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58D3FF">
      <w:pPr>
        <w:spacing w:line="360" w:lineRule="auto"/>
        <w:ind w:left="0" w:leftChars="0" w:firstLine="0" w:firstLineChars="0"/>
        <w:jc w:val="center"/>
        <w:rPr>
          <w:rFonts w:cs="仿宋_GB2312" w:asciiTheme="minorEastAsia" w:hAnsiTheme="minorEastAsia" w:eastAsiaTheme="minorEastAsia"/>
          <w:b/>
          <w:color w:val="auto"/>
          <w:sz w:val="24"/>
          <w:highlight w:val="none"/>
        </w:rPr>
      </w:pPr>
      <w:r>
        <w:rPr>
          <w:rFonts w:hint="eastAsia" w:eastAsia="宋体"/>
          <w:color w:val="auto"/>
          <w:lang w:eastAsia="zh-CN"/>
        </w:rPr>
        <w:drawing>
          <wp:anchor distT="0" distB="0" distL="114300" distR="114300" simplePos="0" relativeHeight="251683840" behindDoc="0" locked="0" layoutInCell="1" allowOverlap="1">
            <wp:simplePos x="0" y="0"/>
            <wp:positionH relativeFrom="column">
              <wp:posOffset>-748030</wp:posOffset>
            </wp:positionH>
            <wp:positionV relativeFrom="paragraph">
              <wp:posOffset>-745490</wp:posOffset>
            </wp:positionV>
            <wp:extent cx="7598410" cy="10748645"/>
            <wp:effectExtent l="0" t="0" r="2540" b="14605"/>
            <wp:wrapNone/>
            <wp:docPr id="20" name="图片 20" descr="730发布稿磋商文件-市本级2026年农产品质量安全定量检测经费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730发布稿磋商文件-市本级2026年农产品质量安全定量检测经费_01"/>
                    <pic:cNvPicPr>
                      <a:picLocks noChangeAspect="1"/>
                    </pic:cNvPicPr>
                  </pic:nvPicPr>
                  <pic:blipFill>
                    <a:blip r:embed="rId19"/>
                    <a:stretch>
                      <a:fillRect/>
                    </a:stretch>
                  </pic:blipFill>
                  <pic:spPr>
                    <a:xfrm>
                      <a:off x="0" y="0"/>
                      <a:ext cx="7598410" cy="10748645"/>
                    </a:xfrm>
                    <a:prstGeom prst="rect">
                      <a:avLst/>
                    </a:prstGeom>
                  </pic:spPr>
                </pic:pic>
              </a:graphicData>
            </a:graphic>
          </wp:anchor>
        </w:drawing>
      </w:r>
    </w:p>
    <w:p w14:paraId="55F95B89">
      <w:pPr>
        <w:spacing w:line="360" w:lineRule="auto"/>
        <w:jc w:val="center"/>
        <w:rPr>
          <w:rFonts w:cs="仿宋_GB2312" w:asciiTheme="minorEastAsia" w:hAnsiTheme="minorEastAsia" w:eastAsiaTheme="minorEastAsia"/>
          <w:b/>
          <w:color w:val="auto"/>
          <w:sz w:val="24"/>
          <w:highlight w:val="none"/>
        </w:rPr>
      </w:pPr>
    </w:p>
    <w:p w14:paraId="25FC1E3B">
      <w:pPr>
        <w:spacing w:afterAutospacing="0"/>
        <w:outlineLvl w:val="9"/>
        <w:rPr>
          <w:rFonts w:hint="eastAsia" w:ascii="宋体" w:hAnsi="宋体" w:eastAsia="宋体" w:cs="宋体"/>
          <w:color w:val="auto"/>
          <w:highlight w:val="none"/>
        </w:rPr>
      </w:pPr>
    </w:p>
    <w:p w14:paraId="4C472895">
      <w:pPr>
        <w:spacing w:afterAutospacing="0"/>
        <w:outlineLvl w:val="9"/>
        <w:rPr>
          <w:rFonts w:hint="eastAsia" w:ascii="宋体" w:hAnsi="宋体" w:eastAsia="宋体" w:cs="宋体"/>
          <w:color w:val="auto"/>
          <w:highlight w:val="none"/>
        </w:rPr>
      </w:pPr>
    </w:p>
    <w:p w14:paraId="1AFEDC57">
      <w:pPr>
        <w:spacing w:beforeLines="50" w:afterLines="50" w:line="300" w:lineRule="auto"/>
        <w:jc w:val="center"/>
        <w:rPr>
          <w:rFonts w:hint="eastAsia" w:ascii="微软雅黑" w:hAnsi="微软雅黑" w:eastAsia="微软雅黑"/>
          <w:b/>
          <w:color w:val="auto"/>
          <w:sz w:val="44"/>
          <w:szCs w:val="44"/>
          <w:highlight w:val="none"/>
          <w:lang w:eastAsia="zh-CN"/>
        </w:rPr>
      </w:pPr>
      <w:r>
        <w:rPr>
          <w:rFonts w:hint="eastAsia" w:ascii="微软雅黑" w:hAnsi="微软雅黑" w:eastAsia="微软雅黑"/>
          <w:b/>
          <w:color w:val="auto"/>
          <w:sz w:val="44"/>
          <w:szCs w:val="44"/>
          <w:highlight w:val="none"/>
          <w:lang w:eastAsia="zh-CN"/>
        </w:rPr>
        <w:t>市本级2026年农产品质量安全定量检测经费</w:t>
      </w:r>
    </w:p>
    <w:p w14:paraId="413D2051">
      <w:pPr>
        <w:spacing w:beforeLines="50" w:afterLines="50" w:line="300" w:lineRule="auto"/>
        <w:jc w:val="center"/>
        <w:rPr>
          <w:rFonts w:hint="eastAsia" w:ascii="微软雅黑" w:hAnsi="微软雅黑" w:eastAsia="微软雅黑"/>
          <w:b/>
          <w:color w:val="auto"/>
          <w:sz w:val="44"/>
          <w:szCs w:val="44"/>
          <w:highlight w:val="none"/>
        </w:rPr>
      </w:pPr>
      <w:r>
        <w:rPr>
          <w:rFonts w:hint="eastAsia" w:ascii="微软雅黑" w:hAnsi="微软雅黑" w:eastAsia="微软雅黑"/>
          <w:b/>
          <w:color w:val="auto"/>
          <w:sz w:val="44"/>
          <w:szCs w:val="44"/>
          <w:highlight w:val="none"/>
        </w:rPr>
        <w:t>竞争性磋商文件</w:t>
      </w:r>
    </w:p>
    <w:p w14:paraId="3A9BE221">
      <w:pPr>
        <w:adjustRightInd/>
        <w:spacing w:line="360" w:lineRule="auto"/>
        <w:jc w:val="center"/>
        <w:rPr>
          <w:rFonts w:hint="eastAsia" w:cs="仿宋_GB2312" w:asciiTheme="minorEastAsia" w:hAnsiTheme="minorEastAsia" w:eastAsiaTheme="minorEastAsia"/>
          <w:b/>
          <w:color w:val="auto"/>
          <w:sz w:val="44"/>
          <w:szCs w:val="44"/>
          <w:highlight w:val="none"/>
          <w:lang w:eastAsia="zh-CN"/>
        </w:rPr>
      </w:pPr>
      <w:r>
        <w:rPr>
          <w:rFonts w:hint="eastAsia" w:cs="仿宋_GB2312" w:asciiTheme="minorEastAsia" w:hAnsiTheme="minorEastAsia" w:eastAsiaTheme="minorEastAsia"/>
          <w:b/>
          <w:color w:val="auto"/>
          <w:sz w:val="44"/>
          <w:szCs w:val="44"/>
          <w:highlight w:val="none"/>
        </w:rPr>
        <w:t>（电子交易）</w:t>
      </w:r>
    </w:p>
    <w:p w14:paraId="0B0FF13D">
      <w:pPr>
        <w:bidi w:val="0"/>
        <w:rPr>
          <w:rFonts w:hint="eastAsia" w:eastAsia="宋体"/>
          <w:color w:val="auto"/>
          <w:lang w:eastAsia="zh-CN"/>
        </w:rPr>
      </w:pPr>
    </w:p>
    <w:p w14:paraId="0B93A9B0">
      <w:pPr>
        <w:snapToGrid w:val="0"/>
        <w:spacing w:line="360" w:lineRule="auto"/>
        <w:jc w:val="center"/>
        <w:rPr>
          <w:rFonts w:cs="仿宋_GB2312" w:asciiTheme="minorEastAsia" w:hAnsiTheme="minorEastAsia" w:eastAsiaTheme="minorEastAsia"/>
          <w:color w:val="auto"/>
          <w:sz w:val="30"/>
          <w:szCs w:val="30"/>
          <w:highlight w:val="none"/>
        </w:rPr>
      </w:pPr>
    </w:p>
    <w:p w14:paraId="3BAF937E">
      <w:pPr>
        <w:pStyle w:val="2"/>
        <w:rPr>
          <w:rFonts w:cs="仿宋_GB2312" w:asciiTheme="minorEastAsia" w:hAnsiTheme="minorEastAsia" w:eastAsiaTheme="minorEastAsia"/>
          <w:color w:val="auto"/>
          <w:sz w:val="30"/>
          <w:szCs w:val="30"/>
          <w:highlight w:val="none"/>
        </w:rPr>
      </w:pPr>
    </w:p>
    <w:p w14:paraId="34BDDCB8">
      <w:pPr>
        <w:pStyle w:val="2"/>
        <w:rPr>
          <w:rFonts w:cs="仿宋_GB2312" w:asciiTheme="minorEastAsia" w:hAnsiTheme="minorEastAsia" w:eastAsiaTheme="minorEastAsia"/>
          <w:color w:val="auto"/>
          <w:sz w:val="30"/>
          <w:szCs w:val="30"/>
          <w:highlight w:val="none"/>
        </w:rPr>
      </w:pPr>
    </w:p>
    <w:p w14:paraId="35C9A82A">
      <w:pPr>
        <w:bidi w:val="0"/>
        <w:rPr>
          <w:color w:val="auto"/>
        </w:rPr>
      </w:pPr>
    </w:p>
    <w:p w14:paraId="4513C3A2">
      <w:pPr>
        <w:snapToGrid w:val="0"/>
        <w:spacing w:line="360" w:lineRule="auto"/>
        <w:jc w:val="center"/>
        <w:rPr>
          <w:rFonts w:hint="eastAsia" w:cs="仿宋_GB2312" w:asciiTheme="minorEastAsia" w:hAnsiTheme="minorEastAsia" w:eastAsiaTheme="minorEastAsia"/>
          <w:color w:val="auto"/>
          <w:sz w:val="30"/>
          <w:szCs w:val="30"/>
          <w:highlight w:val="none"/>
          <w:lang w:eastAsia="zh-CN"/>
        </w:rPr>
      </w:pPr>
      <w:r>
        <w:rPr>
          <w:rFonts w:hint="eastAsia" w:cs="仿宋_GB2312" w:asciiTheme="minorEastAsia" w:hAnsiTheme="minorEastAsia" w:eastAsiaTheme="minorEastAsia"/>
          <w:color w:val="auto"/>
          <w:sz w:val="30"/>
          <w:szCs w:val="30"/>
          <w:highlight w:val="none"/>
        </w:rPr>
        <w:t>项目编号</w:t>
      </w:r>
      <w:r>
        <w:rPr>
          <w:rFonts w:hint="eastAsia" w:cs="仿宋_GB2312" w:asciiTheme="minorEastAsia" w:hAnsiTheme="minorEastAsia" w:eastAsiaTheme="minorEastAsia"/>
          <w:color w:val="auto"/>
          <w:sz w:val="30"/>
          <w:szCs w:val="30"/>
          <w:highlight w:val="none"/>
          <w:lang w:eastAsia="zh-CN"/>
        </w:rPr>
        <w:t>：BHZC2026-C3-990218-GXYZ</w:t>
      </w:r>
    </w:p>
    <w:p w14:paraId="5CCE347D">
      <w:pPr>
        <w:snapToGrid w:val="0"/>
        <w:spacing w:line="360" w:lineRule="auto"/>
        <w:jc w:val="center"/>
        <w:rPr>
          <w:rFonts w:hint="eastAsia" w:cs="仿宋_GB2312" w:asciiTheme="minorEastAsia" w:hAnsiTheme="minorEastAsia" w:eastAsiaTheme="minorEastAsia"/>
          <w:color w:val="auto"/>
          <w:sz w:val="30"/>
          <w:szCs w:val="30"/>
          <w:highlight w:val="none"/>
        </w:rPr>
      </w:pPr>
    </w:p>
    <w:p w14:paraId="43C5701B">
      <w:pPr>
        <w:adjustRightInd/>
        <w:spacing w:line="360" w:lineRule="auto"/>
        <w:rPr>
          <w:rFonts w:cs="仿宋_GB2312" w:asciiTheme="minorEastAsia" w:hAnsiTheme="minorEastAsia" w:eastAsiaTheme="minorEastAsia"/>
          <w:color w:val="auto"/>
          <w:sz w:val="28"/>
          <w:szCs w:val="20"/>
          <w:highlight w:val="none"/>
        </w:rPr>
      </w:pPr>
    </w:p>
    <w:p w14:paraId="39A889FF">
      <w:pPr>
        <w:adjustRightInd/>
        <w:spacing w:line="360" w:lineRule="auto"/>
        <w:rPr>
          <w:rFonts w:cs="仿宋_GB2312" w:asciiTheme="minorEastAsia" w:hAnsiTheme="minorEastAsia" w:eastAsiaTheme="minorEastAsia"/>
          <w:color w:val="auto"/>
          <w:sz w:val="28"/>
          <w:szCs w:val="20"/>
          <w:highlight w:val="none"/>
        </w:rPr>
      </w:pPr>
    </w:p>
    <w:p w14:paraId="325E41CC">
      <w:pPr>
        <w:snapToGrid w:val="0"/>
        <w:spacing w:line="360" w:lineRule="auto"/>
        <w:jc w:val="center"/>
        <w:rPr>
          <w:rFonts w:hint="eastAsia" w:cs="仿宋_GB2312" w:asciiTheme="minorEastAsia" w:hAnsiTheme="minorEastAsia" w:eastAsiaTheme="minorEastAsia"/>
          <w:color w:val="auto"/>
          <w:sz w:val="32"/>
          <w:szCs w:val="32"/>
          <w:highlight w:val="none"/>
          <w:lang w:eastAsia="zh-CN"/>
        </w:rPr>
      </w:pPr>
    </w:p>
    <w:p w14:paraId="18A8D90D">
      <w:pPr>
        <w:spacing w:beforeLines="50" w:afterLines="50" w:line="360" w:lineRule="auto"/>
        <w:ind w:left="0" w:leftChars="0" w:firstLine="1257" w:firstLineChars="393"/>
        <w:rPr>
          <w:rFonts w:hint="eastAsia" w:ascii="宋体" w:hAnsi="宋体" w:eastAsia="宋体" w:cs="宋体"/>
          <w:bCs/>
          <w:color w:val="auto"/>
          <w:sz w:val="32"/>
          <w:szCs w:val="32"/>
          <w:highlight w:val="none"/>
          <w:lang w:eastAsia="zh-CN"/>
        </w:rPr>
      </w:pPr>
      <w:r>
        <w:rPr>
          <w:rFonts w:hint="eastAsia" w:ascii="宋体" w:hAnsi="宋体" w:cs="宋体"/>
          <w:bCs/>
          <w:color w:val="auto"/>
          <w:sz w:val="32"/>
          <w:szCs w:val="32"/>
          <w:highlight w:val="none"/>
        </w:rPr>
        <w:t>采购人</w:t>
      </w:r>
      <w:r>
        <w:rPr>
          <w:rFonts w:hint="eastAsia" w:ascii="宋体" w:hAnsi="宋体" w:cs="宋体"/>
          <w:bCs/>
          <w:color w:val="auto"/>
          <w:sz w:val="32"/>
          <w:szCs w:val="32"/>
          <w:highlight w:val="none"/>
          <w:lang w:eastAsia="zh-CN"/>
        </w:rPr>
        <w:t>：北海市农业农村局</w:t>
      </w:r>
    </w:p>
    <w:p w14:paraId="544B462C">
      <w:pPr>
        <w:spacing w:line="480" w:lineRule="auto"/>
        <w:ind w:left="0" w:leftChars="0" w:firstLine="1257" w:firstLineChars="393"/>
        <w:rPr>
          <w:rFonts w:hint="eastAsia" w:eastAsia="宋体" w:cs="仿宋_GB2312" w:asciiTheme="minorEastAsia" w:hAnsiTheme="minorEastAsia"/>
          <w:bCs/>
          <w:color w:val="auto"/>
          <w:sz w:val="32"/>
          <w:szCs w:val="32"/>
          <w:highlight w:val="none"/>
          <w:lang w:eastAsia="zh-CN"/>
        </w:rPr>
      </w:pPr>
      <w:r>
        <w:rPr>
          <w:rFonts w:hint="eastAsia" w:ascii="宋体" w:hAnsi="宋体" w:cs="宋体"/>
          <w:bCs/>
          <w:color w:val="auto"/>
          <w:sz w:val="32"/>
          <w:szCs w:val="32"/>
          <w:highlight w:val="none"/>
        </w:rPr>
        <w:t>采购代理机构</w:t>
      </w:r>
      <w:r>
        <w:rPr>
          <w:rFonts w:hint="eastAsia" w:ascii="宋体" w:hAnsi="宋体" w:cs="宋体"/>
          <w:bCs/>
          <w:color w:val="auto"/>
          <w:sz w:val="32"/>
          <w:szCs w:val="32"/>
          <w:highlight w:val="none"/>
          <w:lang w:eastAsia="zh-CN"/>
        </w:rPr>
        <w:t>：广西邕政采购代理有限公司</w:t>
      </w:r>
    </w:p>
    <w:p w14:paraId="376D083B">
      <w:pPr>
        <w:snapToGrid w:val="0"/>
        <w:spacing w:line="360" w:lineRule="auto"/>
        <w:jc w:val="center"/>
        <w:rPr>
          <w:rFonts w:hint="eastAsia" w:cs="仿宋_GB2312" w:asciiTheme="minorEastAsia" w:hAnsiTheme="minorEastAsia" w:eastAsiaTheme="minorEastAsia"/>
          <w:bCs/>
          <w:color w:val="auto"/>
          <w:sz w:val="32"/>
          <w:szCs w:val="32"/>
          <w:highlight w:val="none"/>
        </w:rPr>
      </w:pPr>
    </w:p>
    <w:p w14:paraId="1C827832">
      <w:pPr>
        <w:snapToGrid w:val="0"/>
        <w:spacing w:line="360" w:lineRule="auto"/>
        <w:jc w:val="center"/>
        <w:rPr>
          <w:rFonts w:cs="仿宋_GB2312" w:asciiTheme="minorEastAsia" w:hAnsiTheme="minorEastAsia" w:eastAsiaTheme="minorEastAsia"/>
          <w:bCs/>
          <w:color w:val="auto"/>
          <w:sz w:val="32"/>
          <w:szCs w:val="32"/>
          <w:highlight w:val="none"/>
        </w:rPr>
      </w:pPr>
      <w:r>
        <w:rPr>
          <w:rFonts w:hint="eastAsia" w:cs="仿宋_GB2312" w:asciiTheme="minorEastAsia" w:hAnsiTheme="minorEastAsia" w:eastAsiaTheme="minorEastAsia"/>
          <w:bCs/>
          <w:color w:val="auto"/>
          <w:sz w:val="32"/>
          <w:szCs w:val="32"/>
          <w:highlight w:val="none"/>
          <w:lang w:val="en-US" w:eastAsia="zh-CN"/>
        </w:rPr>
        <w:t>2026</w:t>
      </w:r>
      <w:r>
        <w:rPr>
          <w:rFonts w:hint="eastAsia" w:cs="仿宋_GB2312" w:asciiTheme="minorEastAsia" w:hAnsiTheme="minorEastAsia" w:eastAsiaTheme="minorEastAsia"/>
          <w:bCs/>
          <w:color w:val="auto"/>
          <w:sz w:val="32"/>
          <w:szCs w:val="32"/>
          <w:highlight w:val="none"/>
        </w:rPr>
        <w:t>年</w:t>
      </w:r>
      <w:r>
        <w:rPr>
          <w:rFonts w:hint="eastAsia" w:cs="仿宋_GB2312" w:asciiTheme="minorEastAsia" w:hAnsiTheme="minorEastAsia" w:eastAsiaTheme="minorEastAsia"/>
          <w:bCs/>
          <w:color w:val="auto"/>
          <w:sz w:val="32"/>
          <w:szCs w:val="32"/>
          <w:highlight w:val="none"/>
          <w:lang w:val="en-US" w:eastAsia="zh-CN"/>
        </w:rPr>
        <w:t>07</w:t>
      </w:r>
      <w:r>
        <w:rPr>
          <w:rFonts w:hint="eastAsia" w:cs="仿宋_GB2312" w:asciiTheme="minorEastAsia" w:hAnsiTheme="minorEastAsia" w:eastAsiaTheme="minorEastAsia"/>
          <w:bCs/>
          <w:color w:val="auto"/>
          <w:sz w:val="32"/>
          <w:szCs w:val="32"/>
          <w:highlight w:val="none"/>
        </w:rPr>
        <w:t>月</w:t>
      </w:r>
      <w:r>
        <w:rPr>
          <w:rFonts w:hint="eastAsia" w:cs="仿宋_GB2312" w:asciiTheme="minorEastAsia" w:hAnsiTheme="minorEastAsia" w:eastAsiaTheme="minorEastAsia"/>
          <w:bCs/>
          <w:color w:val="auto"/>
          <w:sz w:val="32"/>
          <w:szCs w:val="32"/>
          <w:highlight w:val="none"/>
          <w:lang w:val="en-US" w:eastAsia="zh-CN"/>
        </w:rPr>
        <w:t>31</w:t>
      </w:r>
      <w:r>
        <w:rPr>
          <w:rFonts w:hint="eastAsia" w:cs="仿宋_GB2312" w:asciiTheme="minorEastAsia" w:hAnsiTheme="minorEastAsia" w:eastAsiaTheme="minorEastAsia"/>
          <w:bCs/>
          <w:color w:val="auto"/>
          <w:sz w:val="32"/>
          <w:szCs w:val="32"/>
          <w:highlight w:val="none"/>
        </w:rPr>
        <w:t>日</w:t>
      </w:r>
    </w:p>
    <w:p w14:paraId="654796BE">
      <w:pPr>
        <w:rPr>
          <w:rFonts w:hint="eastAsia" w:cs="仿宋_GB2312" w:asciiTheme="minorEastAsia" w:hAnsiTheme="minorEastAsia" w:eastAsiaTheme="minorEastAsia"/>
          <w:b/>
          <w:color w:val="auto"/>
          <w:sz w:val="48"/>
          <w:szCs w:val="48"/>
          <w:highlight w:val="none"/>
        </w:rPr>
      </w:pPr>
      <w:r>
        <w:rPr>
          <w:rFonts w:hint="eastAsia" w:cs="仿宋_GB2312" w:asciiTheme="minorEastAsia" w:hAnsiTheme="minorEastAsia" w:eastAsiaTheme="minorEastAsia"/>
          <w:b/>
          <w:color w:val="auto"/>
          <w:sz w:val="48"/>
          <w:szCs w:val="48"/>
          <w:highlight w:val="none"/>
        </w:rPr>
        <w:br w:type="page"/>
      </w:r>
    </w:p>
    <w:p w14:paraId="1EEB6B11">
      <w:pPr>
        <w:spacing w:line="360" w:lineRule="auto"/>
        <w:jc w:val="center"/>
        <w:rPr>
          <w:rFonts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目  录</w:t>
      </w:r>
    </w:p>
    <w:p w14:paraId="1588420C">
      <w:pPr>
        <w:pStyle w:val="42"/>
        <w:keepNext w:val="0"/>
        <w:keepLines w:val="0"/>
        <w:pageBreakBefore w:val="0"/>
        <w:widowControl w:val="0"/>
        <w:tabs>
          <w:tab w:val="right" w:leader="dot" w:pos="9638"/>
        </w:tabs>
        <w:kinsoku/>
        <w:wordWrap/>
        <w:overflowPunct/>
        <w:topLinePunct w:val="0"/>
        <w:autoSpaceDE/>
        <w:autoSpaceDN/>
        <w:bidi w:val="0"/>
        <w:adjustRightInd w:val="0"/>
        <w:snapToGrid/>
        <w:spacing w:line="480" w:lineRule="auto"/>
        <w:jc w:val="center"/>
        <w:textAlignment w:val="auto"/>
        <w:rPr>
          <w:color w:val="auto"/>
          <w:sz w:val="28"/>
          <w:szCs w:val="36"/>
          <w:highlight w:val="none"/>
        </w:rPr>
      </w:pPr>
      <w:bookmarkStart w:id="0" w:name="_Hlt91233176"/>
      <w:bookmarkEnd w:id="0"/>
      <w:bookmarkStart w:id="1" w:name="_Toc91899869"/>
      <w:r>
        <w:rPr>
          <w:rFonts w:hint="eastAsia" w:ascii="宋体" w:hAnsi="宋体" w:eastAsia="宋体" w:cs="宋体"/>
          <w:color w:val="auto"/>
          <w:sz w:val="36"/>
          <w:szCs w:val="36"/>
          <w:highlight w:val="none"/>
        </w:rPr>
        <w:fldChar w:fldCharType="begin"/>
      </w:r>
      <w:r>
        <w:rPr>
          <w:rFonts w:hint="eastAsia" w:ascii="宋体" w:hAnsi="宋体" w:eastAsia="宋体" w:cs="宋体"/>
          <w:color w:val="auto"/>
          <w:sz w:val="36"/>
          <w:szCs w:val="36"/>
          <w:highlight w:val="none"/>
        </w:rPr>
        <w:instrText xml:space="preserve"> TOC \o "1-1" \h \z \u </w:instrText>
      </w:r>
      <w:r>
        <w:rPr>
          <w:rFonts w:hint="eastAsia" w:ascii="宋体" w:hAnsi="宋体" w:eastAsia="宋体" w:cs="宋体"/>
          <w:color w:val="auto"/>
          <w:sz w:val="36"/>
          <w:szCs w:val="36"/>
          <w:highlight w:val="none"/>
        </w:rPr>
        <w:fldChar w:fldCharType="separate"/>
      </w: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_Toc23848 </w:instrText>
      </w:r>
      <w:r>
        <w:rPr>
          <w:rFonts w:hint="eastAsia" w:ascii="宋体" w:hAnsi="宋体" w:eastAsia="宋体" w:cs="宋体"/>
          <w:color w:val="auto"/>
          <w:sz w:val="28"/>
          <w:szCs w:val="36"/>
          <w:highlight w:val="none"/>
        </w:rPr>
        <w:fldChar w:fldCharType="separate"/>
      </w:r>
      <w:r>
        <w:rPr>
          <w:rFonts w:hint="eastAsia" w:cs="仿宋_GB2312" w:asciiTheme="minorEastAsia" w:hAnsiTheme="minorEastAsia" w:eastAsiaTheme="minorEastAsia"/>
          <w:color w:val="auto"/>
          <w:sz w:val="28"/>
          <w:szCs w:val="24"/>
          <w:highlight w:val="none"/>
        </w:rPr>
        <w:t>第一部分  邀请供应商</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_Toc23848 \h </w:instrText>
      </w:r>
      <w:r>
        <w:rPr>
          <w:color w:val="auto"/>
          <w:sz w:val="28"/>
          <w:szCs w:val="36"/>
          <w:highlight w:val="none"/>
        </w:rPr>
        <w:fldChar w:fldCharType="separate"/>
      </w:r>
      <w:r>
        <w:rPr>
          <w:color w:val="auto"/>
          <w:sz w:val="28"/>
          <w:szCs w:val="36"/>
          <w:highlight w:val="none"/>
        </w:rPr>
        <w:t>1</w:t>
      </w:r>
      <w:r>
        <w:rPr>
          <w:color w:val="auto"/>
          <w:sz w:val="28"/>
          <w:szCs w:val="36"/>
          <w:highlight w:val="none"/>
        </w:rPr>
        <w:fldChar w:fldCharType="end"/>
      </w:r>
      <w:r>
        <w:rPr>
          <w:rFonts w:hint="eastAsia" w:ascii="宋体" w:hAnsi="宋体" w:eastAsia="宋体" w:cs="宋体"/>
          <w:color w:val="auto"/>
          <w:sz w:val="28"/>
          <w:szCs w:val="36"/>
          <w:highlight w:val="none"/>
        </w:rPr>
        <w:fldChar w:fldCharType="end"/>
      </w:r>
    </w:p>
    <w:p w14:paraId="72D56C6A">
      <w:pPr>
        <w:pStyle w:val="42"/>
        <w:keepNext w:val="0"/>
        <w:keepLines w:val="0"/>
        <w:pageBreakBefore w:val="0"/>
        <w:widowControl w:val="0"/>
        <w:tabs>
          <w:tab w:val="right" w:leader="dot" w:pos="9638"/>
        </w:tabs>
        <w:kinsoku/>
        <w:wordWrap/>
        <w:overflowPunct/>
        <w:topLinePunct w:val="0"/>
        <w:autoSpaceDE/>
        <w:autoSpaceDN/>
        <w:bidi w:val="0"/>
        <w:adjustRightInd w:val="0"/>
        <w:snapToGrid/>
        <w:spacing w:line="480" w:lineRule="auto"/>
        <w:jc w:val="center"/>
        <w:textAlignment w:val="auto"/>
        <w:rPr>
          <w:color w:val="auto"/>
          <w:sz w:val="28"/>
          <w:szCs w:val="36"/>
          <w:highlight w:val="none"/>
        </w:rPr>
      </w:pP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_Toc20364 </w:instrText>
      </w:r>
      <w:r>
        <w:rPr>
          <w:rFonts w:hint="eastAsia" w:ascii="宋体" w:hAnsi="宋体" w:eastAsia="宋体" w:cs="宋体"/>
          <w:color w:val="auto"/>
          <w:sz w:val="28"/>
          <w:szCs w:val="36"/>
          <w:highlight w:val="none"/>
        </w:rPr>
        <w:fldChar w:fldCharType="separate"/>
      </w:r>
      <w:r>
        <w:rPr>
          <w:rFonts w:hint="eastAsia" w:cs="仿宋_GB2312" w:asciiTheme="minorEastAsia" w:hAnsiTheme="minorEastAsia" w:eastAsiaTheme="minorEastAsia"/>
          <w:color w:val="auto"/>
          <w:sz w:val="28"/>
          <w:szCs w:val="24"/>
          <w:highlight w:val="none"/>
        </w:rPr>
        <w:t>第二部分  竞争性磋商流程</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_Toc20364 \h </w:instrText>
      </w:r>
      <w:r>
        <w:rPr>
          <w:color w:val="auto"/>
          <w:sz w:val="28"/>
          <w:szCs w:val="36"/>
          <w:highlight w:val="none"/>
        </w:rPr>
        <w:fldChar w:fldCharType="separate"/>
      </w:r>
      <w:r>
        <w:rPr>
          <w:color w:val="auto"/>
          <w:sz w:val="28"/>
          <w:szCs w:val="36"/>
          <w:highlight w:val="none"/>
        </w:rPr>
        <w:t>6</w:t>
      </w:r>
      <w:r>
        <w:rPr>
          <w:color w:val="auto"/>
          <w:sz w:val="28"/>
          <w:szCs w:val="36"/>
          <w:highlight w:val="none"/>
        </w:rPr>
        <w:fldChar w:fldCharType="end"/>
      </w:r>
      <w:r>
        <w:rPr>
          <w:rFonts w:hint="eastAsia" w:ascii="宋体" w:hAnsi="宋体" w:eastAsia="宋体" w:cs="宋体"/>
          <w:color w:val="auto"/>
          <w:sz w:val="28"/>
          <w:szCs w:val="36"/>
          <w:highlight w:val="none"/>
        </w:rPr>
        <w:fldChar w:fldCharType="end"/>
      </w:r>
    </w:p>
    <w:p w14:paraId="26EAF3EA">
      <w:pPr>
        <w:pStyle w:val="42"/>
        <w:keepNext w:val="0"/>
        <w:keepLines w:val="0"/>
        <w:pageBreakBefore w:val="0"/>
        <w:widowControl w:val="0"/>
        <w:tabs>
          <w:tab w:val="right" w:leader="dot" w:pos="9638"/>
        </w:tabs>
        <w:kinsoku/>
        <w:wordWrap/>
        <w:overflowPunct/>
        <w:topLinePunct w:val="0"/>
        <w:autoSpaceDE/>
        <w:autoSpaceDN/>
        <w:bidi w:val="0"/>
        <w:adjustRightInd w:val="0"/>
        <w:snapToGrid/>
        <w:spacing w:line="480" w:lineRule="auto"/>
        <w:jc w:val="center"/>
        <w:textAlignment w:val="auto"/>
        <w:rPr>
          <w:color w:val="auto"/>
          <w:sz w:val="28"/>
          <w:szCs w:val="36"/>
          <w:highlight w:val="none"/>
        </w:rPr>
      </w:pP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_Toc9508 </w:instrText>
      </w:r>
      <w:r>
        <w:rPr>
          <w:rFonts w:hint="eastAsia" w:ascii="宋体" w:hAnsi="宋体" w:eastAsia="宋体" w:cs="宋体"/>
          <w:color w:val="auto"/>
          <w:sz w:val="28"/>
          <w:szCs w:val="36"/>
          <w:highlight w:val="none"/>
        </w:rPr>
        <w:fldChar w:fldCharType="separate"/>
      </w:r>
      <w:r>
        <w:rPr>
          <w:rFonts w:hint="eastAsia" w:cs="仿宋_GB2312" w:asciiTheme="minorEastAsia" w:hAnsiTheme="minorEastAsia" w:eastAsiaTheme="minorEastAsia"/>
          <w:color w:val="auto"/>
          <w:sz w:val="28"/>
          <w:szCs w:val="24"/>
          <w:highlight w:val="none"/>
        </w:rPr>
        <w:t>第三部分  供应商须知</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_Toc9508 \h </w:instrText>
      </w:r>
      <w:r>
        <w:rPr>
          <w:color w:val="auto"/>
          <w:sz w:val="28"/>
          <w:szCs w:val="36"/>
          <w:highlight w:val="none"/>
        </w:rPr>
        <w:fldChar w:fldCharType="separate"/>
      </w:r>
      <w:r>
        <w:rPr>
          <w:color w:val="auto"/>
          <w:sz w:val="28"/>
          <w:szCs w:val="36"/>
          <w:highlight w:val="none"/>
        </w:rPr>
        <w:t>10</w:t>
      </w:r>
      <w:r>
        <w:rPr>
          <w:color w:val="auto"/>
          <w:sz w:val="28"/>
          <w:szCs w:val="36"/>
          <w:highlight w:val="none"/>
        </w:rPr>
        <w:fldChar w:fldCharType="end"/>
      </w:r>
      <w:r>
        <w:rPr>
          <w:rFonts w:hint="eastAsia" w:ascii="宋体" w:hAnsi="宋体" w:eastAsia="宋体" w:cs="宋体"/>
          <w:color w:val="auto"/>
          <w:sz w:val="28"/>
          <w:szCs w:val="36"/>
          <w:highlight w:val="none"/>
        </w:rPr>
        <w:fldChar w:fldCharType="end"/>
      </w:r>
    </w:p>
    <w:p w14:paraId="514AA1C6">
      <w:pPr>
        <w:pStyle w:val="42"/>
        <w:keepNext w:val="0"/>
        <w:keepLines w:val="0"/>
        <w:pageBreakBefore w:val="0"/>
        <w:widowControl w:val="0"/>
        <w:tabs>
          <w:tab w:val="right" w:leader="dot" w:pos="9638"/>
        </w:tabs>
        <w:kinsoku/>
        <w:wordWrap/>
        <w:overflowPunct/>
        <w:topLinePunct w:val="0"/>
        <w:autoSpaceDE/>
        <w:autoSpaceDN/>
        <w:bidi w:val="0"/>
        <w:adjustRightInd w:val="0"/>
        <w:snapToGrid/>
        <w:spacing w:line="480" w:lineRule="auto"/>
        <w:jc w:val="center"/>
        <w:textAlignment w:val="auto"/>
        <w:rPr>
          <w:color w:val="auto"/>
          <w:sz w:val="28"/>
          <w:szCs w:val="36"/>
          <w:highlight w:val="none"/>
        </w:rPr>
      </w:pP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_Toc8449 </w:instrText>
      </w:r>
      <w:r>
        <w:rPr>
          <w:rFonts w:hint="eastAsia" w:ascii="宋体" w:hAnsi="宋体" w:eastAsia="宋体" w:cs="宋体"/>
          <w:color w:val="auto"/>
          <w:sz w:val="28"/>
          <w:szCs w:val="36"/>
          <w:highlight w:val="none"/>
        </w:rPr>
        <w:fldChar w:fldCharType="separate"/>
      </w:r>
      <w:r>
        <w:rPr>
          <w:rFonts w:hint="eastAsia" w:cs="仿宋_GB2312" w:asciiTheme="minorEastAsia" w:hAnsiTheme="minorEastAsia" w:eastAsiaTheme="minorEastAsia"/>
          <w:color w:val="auto"/>
          <w:sz w:val="28"/>
          <w:szCs w:val="48"/>
          <w:highlight w:val="none"/>
        </w:rPr>
        <w:t>第四部分  采购需求</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_Toc8449 \h </w:instrText>
      </w:r>
      <w:r>
        <w:rPr>
          <w:color w:val="auto"/>
          <w:sz w:val="28"/>
          <w:szCs w:val="36"/>
          <w:highlight w:val="none"/>
        </w:rPr>
        <w:fldChar w:fldCharType="separate"/>
      </w:r>
      <w:r>
        <w:rPr>
          <w:color w:val="auto"/>
          <w:sz w:val="28"/>
          <w:szCs w:val="36"/>
          <w:highlight w:val="none"/>
        </w:rPr>
        <w:t>33</w:t>
      </w:r>
      <w:r>
        <w:rPr>
          <w:color w:val="auto"/>
          <w:sz w:val="28"/>
          <w:szCs w:val="36"/>
          <w:highlight w:val="none"/>
        </w:rPr>
        <w:fldChar w:fldCharType="end"/>
      </w:r>
      <w:r>
        <w:rPr>
          <w:rFonts w:hint="eastAsia" w:ascii="宋体" w:hAnsi="宋体" w:eastAsia="宋体" w:cs="宋体"/>
          <w:color w:val="auto"/>
          <w:sz w:val="28"/>
          <w:szCs w:val="36"/>
          <w:highlight w:val="none"/>
        </w:rPr>
        <w:fldChar w:fldCharType="end"/>
      </w:r>
    </w:p>
    <w:p w14:paraId="7F6473C3">
      <w:pPr>
        <w:pStyle w:val="42"/>
        <w:keepNext w:val="0"/>
        <w:keepLines w:val="0"/>
        <w:pageBreakBefore w:val="0"/>
        <w:widowControl w:val="0"/>
        <w:tabs>
          <w:tab w:val="right" w:leader="dot" w:pos="9638"/>
        </w:tabs>
        <w:kinsoku/>
        <w:wordWrap/>
        <w:overflowPunct/>
        <w:topLinePunct w:val="0"/>
        <w:autoSpaceDE/>
        <w:autoSpaceDN/>
        <w:bidi w:val="0"/>
        <w:adjustRightInd w:val="0"/>
        <w:snapToGrid/>
        <w:spacing w:line="480" w:lineRule="auto"/>
        <w:jc w:val="center"/>
        <w:textAlignment w:val="auto"/>
        <w:rPr>
          <w:color w:val="auto"/>
          <w:sz w:val="28"/>
          <w:szCs w:val="36"/>
          <w:highlight w:val="none"/>
        </w:rPr>
      </w:pP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_Toc28335 </w:instrText>
      </w:r>
      <w:r>
        <w:rPr>
          <w:rFonts w:hint="eastAsia" w:ascii="宋体" w:hAnsi="宋体" w:eastAsia="宋体" w:cs="宋体"/>
          <w:color w:val="auto"/>
          <w:sz w:val="28"/>
          <w:szCs w:val="36"/>
          <w:highlight w:val="none"/>
        </w:rPr>
        <w:fldChar w:fldCharType="separate"/>
      </w:r>
      <w:r>
        <w:rPr>
          <w:rFonts w:hint="eastAsia" w:cs="仿宋_GB2312" w:asciiTheme="minorEastAsia" w:hAnsiTheme="minorEastAsia" w:eastAsiaTheme="minorEastAsia"/>
          <w:color w:val="auto"/>
          <w:sz w:val="28"/>
          <w:szCs w:val="48"/>
          <w:highlight w:val="none"/>
        </w:rPr>
        <w:t>第五部分  评审方法及评审标准</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_Toc28335 \h </w:instrText>
      </w:r>
      <w:r>
        <w:rPr>
          <w:color w:val="auto"/>
          <w:sz w:val="28"/>
          <w:szCs w:val="36"/>
          <w:highlight w:val="none"/>
        </w:rPr>
        <w:fldChar w:fldCharType="separate"/>
      </w:r>
      <w:r>
        <w:rPr>
          <w:color w:val="auto"/>
          <w:sz w:val="28"/>
          <w:szCs w:val="36"/>
          <w:highlight w:val="none"/>
        </w:rPr>
        <w:t>42</w:t>
      </w:r>
      <w:r>
        <w:rPr>
          <w:color w:val="auto"/>
          <w:sz w:val="28"/>
          <w:szCs w:val="36"/>
          <w:highlight w:val="none"/>
        </w:rPr>
        <w:fldChar w:fldCharType="end"/>
      </w:r>
      <w:r>
        <w:rPr>
          <w:rFonts w:hint="eastAsia" w:ascii="宋体" w:hAnsi="宋体" w:eastAsia="宋体" w:cs="宋体"/>
          <w:color w:val="auto"/>
          <w:sz w:val="28"/>
          <w:szCs w:val="36"/>
          <w:highlight w:val="none"/>
        </w:rPr>
        <w:fldChar w:fldCharType="end"/>
      </w:r>
    </w:p>
    <w:p w14:paraId="6D4F2DD5">
      <w:pPr>
        <w:pStyle w:val="42"/>
        <w:keepNext w:val="0"/>
        <w:keepLines w:val="0"/>
        <w:pageBreakBefore w:val="0"/>
        <w:widowControl w:val="0"/>
        <w:tabs>
          <w:tab w:val="right" w:leader="dot" w:pos="9638"/>
        </w:tabs>
        <w:kinsoku/>
        <w:wordWrap/>
        <w:overflowPunct/>
        <w:topLinePunct w:val="0"/>
        <w:autoSpaceDE/>
        <w:autoSpaceDN/>
        <w:bidi w:val="0"/>
        <w:adjustRightInd w:val="0"/>
        <w:snapToGrid/>
        <w:spacing w:line="480" w:lineRule="auto"/>
        <w:jc w:val="center"/>
        <w:textAlignment w:val="auto"/>
        <w:rPr>
          <w:color w:val="auto"/>
          <w:sz w:val="28"/>
          <w:szCs w:val="36"/>
          <w:highlight w:val="none"/>
        </w:rPr>
      </w:pP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_Toc23624 </w:instrText>
      </w:r>
      <w:r>
        <w:rPr>
          <w:rFonts w:hint="eastAsia" w:ascii="宋体" w:hAnsi="宋体" w:eastAsia="宋体" w:cs="宋体"/>
          <w:color w:val="auto"/>
          <w:sz w:val="28"/>
          <w:szCs w:val="36"/>
          <w:highlight w:val="none"/>
        </w:rPr>
        <w:fldChar w:fldCharType="separate"/>
      </w:r>
      <w:r>
        <w:rPr>
          <w:rFonts w:hint="eastAsia" w:cs="仿宋_GB2312" w:asciiTheme="minorEastAsia" w:hAnsiTheme="minorEastAsia" w:eastAsiaTheme="minorEastAsia"/>
          <w:color w:val="auto"/>
          <w:sz w:val="28"/>
          <w:szCs w:val="48"/>
          <w:highlight w:val="none"/>
        </w:rPr>
        <w:t>第六部分  拟签订的合同文本</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_Toc23624 \h </w:instrText>
      </w:r>
      <w:r>
        <w:rPr>
          <w:color w:val="auto"/>
          <w:sz w:val="28"/>
          <w:szCs w:val="36"/>
          <w:highlight w:val="none"/>
        </w:rPr>
        <w:fldChar w:fldCharType="separate"/>
      </w:r>
      <w:r>
        <w:rPr>
          <w:color w:val="auto"/>
          <w:sz w:val="28"/>
          <w:szCs w:val="36"/>
          <w:highlight w:val="none"/>
        </w:rPr>
        <w:t>52</w:t>
      </w:r>
      <w:r>
        <w:rPr>
          <w:color w:val="auto"/>
          <w:sz w:val="28"/>
          <w:szCs w:val="36"/>
          <w:highlight w:val="none"/>
        </w:rPr>
        <w:fldChar w:fldCharType="end"/>
      </w:r>
      <w:r>
        <w:rPr>
          <w:rFonts w:hint="eastAsia" w:ascii="宋体" w:hAnsi="宋体" w:eastAsia="宋体" w:cs="宋体"/>
          <w:color w:val="auto"/>
          <w:sz w:val="28"/>
          <w:szCs w:val="36"/>
          <w:highlight w:val="none"/>
        </w:rPr>
        <w:fldChar w:fldCharType="end"/>
      </w:r>
    </w:p>
    <w:p w14:paraId="2C76D40D">
      <w:pPr>
        <w:pStyle w:val="42"/>
        <w:keepNext w:val="0"/>
        <w:keepLines w:val="0"/>
        <w:pageBreakBefore w:val="0"/>
        <w:widowControl w:val="0"/>
        <w:tabs>
          <w:tab w:val="right" w:leader="dot" w:pos="9638"/>
        </w:tabs>
        <w:kinsoku/>
        <w:wordWrap/>
        <w:overflowPunct/>
        <w:topLinePunct w:val="0"/>
        <w:autoSpaceDE/>
        <w:autoSpaceDN/>
        <w:bidi w:val="0"/>
        <w:adjustRightInd w:val="0"/>
        <w:snapToGrid/>
        <w:spacing w:line="480" w:lineRule="auto"/>
        <w:jc w:val="center"/>
        <w:textAlignment w:val="auto"/>
        <w:rPr>
          <w:color w:val="auto"/>
          <w:sz w:val="28"/>
          <w:szCs w:val="36"/>
          <w:highlight w:val="none"/>
        </w:rPr>
      </w:pPr>
      <w:permStart w:id="0" w:edGrp="everyone"/>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_Toc65 </w:instrText>
      </w:r>
      <w:r>
        <w:rPr>
          <w:rFonts w:hint="eastAsia" w:ascii="宋体" w:hAnsi="宋体" w:eastAsia="宋体" w:cs="宋体"/>
          <w:color w:val="auto"/>
          <w:sz w:val="28"/>
          <w:szCs w:val="36"/>
          <w:highlight w:val="none"/>
        </w:rPr>
        <w:fldChar w:fldCharType="separate"/>
      </w:r>
      <w:r>
        <w:rPr>
          <w:rFonts w:hint="eastAsia" w:cs="仿宋_GB2312" w:asciiTheme="minorEastAsia" w:hAnsiTheme="minorEastAsia" w:eastAsiaTheme="minorEastAsia"/>
          <w:color w:val="auto"/>
          <w:sz w:val="28"/>
          <w:szCs w:val="24"/>
          <w:highlight w:val="none"/>
        </w:rPr>
        <w:t>第七部分  应提交的有关格式范例</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_Toc65 \h </w:instrText>
      </w:r>
      <w:r>
        <w:rPr>
          <w:color w:val="auto"/>
          <w:sz w:val="28"/>
          <w:szCs w:val="36"/>
          <w:highlight w:val="none"/>
        </w:rPr>
        <w:fldChar w:fldCharType="separate"/>
      </w:r>
      <w:r>
        <w:rPr>
          <w:color w:val="auto"/>
          <w:sz w:val="28"/>
          <w:szCs w:val="36"/>
          <w:highlight w:val="none"/>
        </w:rPr>
        <w:t>67</w:t>
      </w:r>
      <w:r>
        <w:rPr>
          <w:color w:val="auto"/>
          <w:sz w:val="28"/>
          <w:szCs w:val="36"/>
          <w:highlight w:val="none"/>
        </w:rPr>
        <w:fldChar w:fldCharType="end"/>
      </w:r>
      <w:r>
        <w:rPr>
          <w:rFonts w:hint="eastAsia" w:ascii="宋体" w:hAnsi="宋体" w:eastAsia="宋体" w:cs="宋体"/>
          <w:color w:val="auto"/>
          <w:sz w:val="28"/>
          <w:szCs w:val="36"/>
          <w:highlight w:val="none"/>
        </w:rPr>
        <w:fldChar w:fldCharType="end"/>
      </w:r>
      <w:permEnd w:id="0"/>
    </w:p>
    <w:p w14:paraId="5F726BC0">
      <w:pPr>
        <w:pStyle w:val="42"/>
        <w:keepNext w:val="0"/>
        <w:keepLines w:val="0"/>
        <w:pageBreakBefore w:val="0"/>
        <w:widowControl w:val="0"/>
        <w:tabs>
          <w:tab w:val="right" w:leader="dot" w:pos="9638"/>
        </w:tabs>
        <w:kinsoku/>
        <w:wordWrap/>
        <w:overflowPunct/>
        <w:topLinePunct w:val="0"/>
        <w:autoSpaceDE/>
        <w:autoSpaceDN/>
        <w:bidi w:val="0"/>
        <w:adjustRightInd w:val="0"/>
        <w:snapToGrid/>
        <w:spacing w:line="480" w:lineRule="auto"/>
        <w:jc w:val="center"/>
        <w:textAlignment w:val="auto"/>
        <w:rPr>
          <w:color w:val="auto"/>
          <w:sz w:val="28"/>
          <w:szCs w:val="36"/>
          <w:highlight w:val="none"/>
        </w:rPr>
      </w:pP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_Toc15357 </w:instrText>
      </w:r>
      <w:r>
        <w:rPr>
          <w:rFonts w:hint="eastAsia" w:ascii="宋体" w:hAnsi="宋体" w:eastAsia="宋体" w:cs="宋体"/>
          <w:color w:val="auto"/>
          <w:sz w:val="28"/>
          <w:szCs w:val="36"/>
          <w:highlight w:val="none"/>
        </w:rPr>
        <w:fldChar w:fldCharType="separate"/>
      </w:r>
      <w:r>
        <w:rPr>
          <w:rFonts w:hint="eastAsia" w:cs="仿宋_GB2312" w:asciiTheme="minorEastAsia" w:hAnsiTheme="minorEastAsia" w:eastAsiaTheme="minorEastAsia"/>
          <w:color w:val="auto"/>
          <w:sz w:val="28"/>
          <w:szCs w:val="48"/>
          <w:highlight w:val="none"/>
        </w:rPr>
        <w:t>第八部分  最后报价格式</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_Toc15357 \h </w:instrText>
      </w:r>
      <w:r>
        <w:rPr>
          <w:color w:val="auto"/>
          <w:sz w:val="28"/>
          <w:szCs w:val="36"/>
          <w:highlight w:val="none"/>
        </w:rPr>
        <w:fldChar w:fldCharType="separate"/>
      </w:r>
      <w:r>
        <w:rPr>
          <w:color w:val="auto"/>
          <w:sz w:val="28"/>
          <w:szCs w:val="36"/>
          <w:highlight w:val="none"/>
        </w:rPr>
        <w:t>88</w:t>
      </w:r>
      <w:r>
        <w:rPr>
          <w:color w:val="auto"/>
          <w:sz w:val="28"/>
          <w:szCs w:val="36"/>
          <w:highlight w:val="none"/>
        </w:rPr>
        <w:fldChar w:fldCharType="end"/>
      </w:r>
      <w:r>
        <w:rPr>
          <w:rFonts w:hint="eastAsia" w:ascii="宋体" w:hAnsi="宋体" w:eastAsia="宋体" w:cs="宋体"/>
          <w:color w:val="auto"/>
          <w:sz w:val="28"/>
          <w:szCs w:val="36"/>
          <w:highlight w:val="none"/>
        </w:rPr>
        <w:fldChar w:fldCharType="end"/>
      </w:r>
    </w:p>
    <w:p w14:paraId="700F9853">
      <w:pPr>
        <w:keepNext w:val="0"/>
        <w:keepLines w:val="0"/>
        <w:pageBreakBefore w:val="0"/>
        <w:widowControl w:val="0"/>
        <w:kinsoku/>
        <w:wordWrap/>
        <w:overflowPunct/>
        <w:topLinePunct w:val="0"/>
        <w:autoSpaceDE/>
        <w:autoSpaceDN/>
        <w:bidi w:val="0"/>
        <w:adjustRightInd w:val="0"/>
        <w:snapToGrid/>
        <w:spacing w:line="480" w:lineRule="auto"/>
        <w:ind w:firstLine="641" w:firstLineChars="229"/>
        <w:jc w:val="center"/>
        <w:textAlignment w:val="auto"/>
        <w:rPr>
          <w:rFonts w:cs="仿宋_GB2312" w:asciiTheme="minorEastAsia" w:hAnsiTheme="minorEastAsia" w:eastAsiaTheme="minorEastAsia"/>
          <w:color w:val="auto"/>
          <w:sz w:val="24"/>
          <w:highlight w:val="none"/>
        </w:rPr>
      </w:pPr>
      <w:r>
        <w:rPr>
          <w:rFonts w:hint="eastAsia" w:ascii="宋体" w:hAnsi="宋体" w:eastAsia="宋体" w:cs="宋体"/>
          <w:color w:val="auto"/>
          <w:sz w:val="28"/>
          <w:szCs w:val="36"/>
          <w:highlight w:val="none"/>
        </w:rPr>
        <w:fldChar w:fldCharType="end"/>
      </w:r>
    </w:p>
    <w:p w14:paraId="6F4ED3C4">
      <w:pPr>
        <w:spacing w:line="360" w:lineRule="auto"/>
        <w:ind w:firstLine="549" w:firstLineChars="229"/>
        <w:rPr>
          <w:rFonts w:cs="仿宋_GB2312" w:asciiTheme="minorEastAsia" w:hAnsiTheme="minorEastAsia" w:eastAsiaTheme="minorEastAsia"/>
          <w:color w:val="auto"/>
          <w:sz w:val="24"/>
          <w:highlight w:val="none"/>
        </w:rPr>
      </w:pPr>
    </w:p>
    <w:p w14:paraId="2DB758BF">
      <w:pPr>
        <w:spacing w:line="360" w:lineRule="auto"/>
        <w:ind w:firstLine="549" w:firstLineChars="229"/>
        <w:rPr>
          <w:rFonts w:cs="仿宋_GB2312" w:asciiTheme="minorEastAsia" w:hAnsiTheme="minorEastAsia" w:eastAsiaTheme="minorEastAsia"/>
          <w:color w:val="auto"/>
          <w:sz w:val="24"/>
          <w:highlight w:val="none"/>
        </w:rPr>
      </w:pPr>
    </w:p>
    <w:p w14:paraId="33F1F21F">
      <w:pPr>
        <w:spacing w:line="360" w:lineRule="auto"/>
        <w:ind w:firstLine="549" w:firstLineChars="229"/>
        <w:rPr>
          <w:rFonts w:cs="仿宋_GB2312" w:asciiTheme="minorEastAsia" w:hAnsiTheme="minorEastAsia" w:eastAsiaTheme="minorEastAsia"/>
          <w:color w:val="auto"/>
          <w:sz w:val="24"/>
          <w:highlight w:val="none"/>
        </w:rPr>
      </w:pPr>
    </w:p>
    <w:p w14:paraId="78CF4FD8">
      <w:pPr>
        <w:spacing w:line="360" w:lineRule="auto"/>
        <w:ind w:firstLine="549" w:firstLineChars="229"/>
        <w:rPr>
          <w:rFonts w:cs="仿宋_GB2312" w:asciiTheme="minorEastAsia" w:hAnsiTheme="minorEastAsia" w:eastAsiaTheme="minorEastAsia"/>
          <w:color w:val="auto"/>
          <w:sz w:val="24"/>
          <w:highlight w:val="none"/>
        </w:rPr>
      </w:pPr>
    </w:p>
    <w:p w14:paraId="6E8BE79C">
      <w:pPr>
        <w:spacing w:line="360" w:lineRule="auto"/>
        <w:ind w:firstLine="549" w:firstLineChars="229"/>
        <w:rPr>
          <w:rFonts w:cs="仿宋_GB2312" w:asciiTheme="minorEastAsia" w:hAnsiTheme="minorEastAsia" w:eastAsiaTheme="minorEastAsia"/>
          <w:color w:val="auto"/>
          <w:sz w:val="24"/>
          <w:highlight w:val="none"/>
        </w:rPr>
      </w:pPr>
    </w:p>
    <w:p w14:paraId="61787C91">
      <w:pPr>
        <w:spacing w:line="360" w:lineRule="auto"/>
        <w:ind w:firstLine="549" w:firstLineChars="229"/>
        <w:rPr>
          <w:rFonts w:cs="仿宋_GB2312" w:asciiTheme="minorEastAsia" w:hAnsiTheme="minorEastAsia" w:eastAsiaTheme="minorEastAsia"/>
          <w:color w:val="auto"/>
          <w:sz w:val="24"/>
          <w:highlight w:val="none"/>
        </w:rPr>
      </w:pPr>
    </w:p>
    <w:p w14:paraId="7936762D">
      <w:pPr>
        <w:spacing w:line="360" w:lineRule="auto"/>
        <w:ind w:firstLine="549" w:firstLineChars="229"/>
        <w:rPr>
          <w:rFonts w:cs="仿宋_GB2312" w:asciiTheme="minorEastAsia" w:hAnsiTheme="minorEastAsia" w:eastAsiaTheme="minorEastAsia"/>
          <w:color w:val="auto"/>
          <w:sz w:val="24"/>
          <w:highlight w:val="none"/>
        </w:rPr>
      </w:pPr>
    </w:p>
    <w:p w14:paraId="1564F2DC">
      <w:pPr>
        <w:spacing w:line="360" w:lineRule="auto"/>
        <w:ind w:firstLine="549" w:firstLineChars="229"/>
        <w:rPr>
          <w:rFonts w:cs="仿宋_GB2312" w:asciiTheme="minorEastAsia" w:hAnsiTheme="minorEastAsia" w:eastAsiaTheme="minorEastAsia"/>
          <w:color w:val="auto"/>
          <w:sz w:val="24"/>
          <w:highlight w:val="none"/>
        </w:rPr>
      </w:pPr>
    </w:p>
    <w:p w14:paraId="42749D3E">
      <w:pPr>
        <w:spacing w:line="360" w:lineRule="auto"/>
        <w:ind w:firstLine="549" w:firstLineChars="229"/>
        <w:rPr>
          <w:rFonts w:cs="仿宋_GB2312" w:asciiTheme="minorEastAsia" w:hAnsiTheme="minorEastAsia" w:eastAsiaTheme="minorEastAsia"/>
          <w:color w:val="auto"/>
          <w:sz w:val="24"/>
          <w:highlight w:val="none"/>
        </w:rPr>
      </w:pPr>
    </w:p>
    <w:p w14:paraId="7CF28FE0">
      <w:pPr>
        <w:spacing w:line="360" w:lineRule="auto"/>
        <w:ind w:firstLine="549" w:firstLineChars="229"/>
        <w:rPr>
          <w:rFonts w:cs="仿宋_GB2312" w:asciiTheme="minorEastAsia" w:hAnsiTheme="minorEastAsia" w:eastAsiaTheme="minorEastAsia"/>
          <w:color w:val="auto"/>
          <w:sz w:val="24"/>
          <w:highlight w:val="none"/>
        </w:rPr>
      </w:pPr>
    </w:p>
    <w:p w14:paraId="2E6607DE">
      <w:pPr>
        <w:spacing w:line="360" w:lineRule="auto"/>
        <w:ind w:firstLine="549" w:firstLineChars="229"/>
        <w:rPr>
          <w:rFonts w:cs="仿宋_GB2312" w:asciiTheme="minorEastAsia" w:hAnsiTheme="minorEastAsia" w:eastAsiaTheme="minorEastAsia"/>
          <w:color w:val="auto"/>
          <w:sz w:val="24"/>
          <w:highlight w:val="none"/>
        </w:rPr>
      </w:pPr>
    </w:p>
    <w:p w14:paraId="1AA949DB">
      <w:pPr>
        <w:spacing w:line="360" w:lineRule="auto"/>
        <w:ind w:firstLine="549" w:firstLineChars="229"/>
        <w:rPr>
          <w:rFonts w:cs="仿宋_GB2312" w:asciiTheme="minorEastAsia" w:hAnsiTheme="minorEastAsia" w:eastAsiaTheme="minorEastAsia"/>
          <w:color w:val="auto"/>
          <w:sz w:val="24"/>
          <w:highlight w:val="none"/>
        </w:rPr>
      </w:pPr>
    </w:p>
    <w:p w14:paraId="5EED9271">
      <w:pPr>
        <w:spacing w:line="360" w:lineRule="auto"/>
        <w:rPr>
          <w:rFonts w:cs="仿宋_GB2312" w:asciiTheme="minorEastAsia" w:hAnsiTheme="minorEastAsia" w:eastAsiaTheme="minorEastAsia"/>
          <w:color w:val="auto"/>
          <w:sz w:val="24"/>
          <w:highlight w:val="none"/>
        </w:rPr>
      </w:pPr>
    </w:p>
    <w:bookmarkEnd w:id="1"/>
    <w:p w14:paraId="2FA33756">
      <w:pPr>
        <w:adjustRightInd/>
        <w:spacing w:line="360" w:lineRule="auto"/>
        <w:jc w:val="center"/>
        <w:outlineLvl w:val="0"/>
        <w:rPr>
          <w:rFonts w:hint="eastAsia" w:cs="仿宋_GB2312" w:asciiTheme="minorEastAsia" w:hAnsiTheme="minorEastAsia" w:eastAsiaTheme="minorEastAsia"/>
          <w:b/>
          <w:color w:val="auto"/>
          <w:sz w:val="36"/>
          <w:szCs w:val="20"/>
          <w:highlight w:val="none"/>
        </w:rPr>
        <w:sectPr>
          <w:pgSz w:w="11906" w:h="16838"/>
          <w:pgMar w:top="1191" w:right="1191" w:bottom="1191" w:left="1191" w:header="851" w:footer="992" w:gutter="0"/>
          <w:cols w:space="425" w:num="1"/>
          <w:docGrid w:type="lines" w:linePitch="312" w:charSpace="0"/>
        </w:sectPr>
      </w:pPr>
      <w:bookmarkStart w:id="2" w:name="_Hlt74729822"/>
      <w:bookmarkEnd w:id="2"/>
      <w:bookmarkStart w:id="3" w:name="_Hlt74649545"/>
      <w:bookmarkEnd w:id="3"/>
      <w:bookmarkStart w:id="4" w:name="_Hlt74728647"/>
      <w:bookmarkEnd w:id="4"/>
      <w:bookmarkStart w:id="5" w:name="_Hlt74707423"/>
      <w:bookmarkEnd w:id="5"/>
      <w:bookmarkStart w:id="6" w:name="第二部分"/>
      <w:bookmarkStart w:id="7" w:name="_Toc91899870"/>
      <w:bookmarkStart w:id="8" w:name="_Toc91899871"/>
    </w:p>
    <w:p w14:paraId="4A8AA946">
      <w:pPr>
        <w:pStyle w:val="3"/>
        <w:numPr>
          <w:ilvl w:val="0"/>
          <w:numId w:val="0"/>
        </w:numPr>
        <w:bidi w:val="0"/>
        <w:spacing w:line="240" w:lineRule="auto"/>
        <w:ind w:leftChars="0"/>
        <w:jc w:val="center"/>
        <w:rPr>
          <w:color w:val="auto"/>
          <w:sz w:val="40"/>
          <w:szCs w:val="40"/>
          <w:highlight w:val="none"/>
        </w:rPr>
      </w:pPr>
      <w:bookmarkStart w:id="9" w:name="_Toc23848"/>
      <w:r>
        <w:rPr>
          <w:rFonts w:hint="eastAsia"/>
          <w:color w:val="auto"/>
          <w:sz w:val="40"/>
          <w:szCs w:val="40"/>
          <w:highlight w:val="none"/>
        </w:rPr>
        <w:t>第一部分  邀请供应商</w:t>
      </w:r>
      <w:bookmarkEnd w:id="9"/>
    </w:p>
    <w:p w14:paraId="764E0836">
      <w:pPr>
        <w:adjustRightInd/>
        <w:spacing w:line="480" w:lineRule="auto"/>
        <w:jc w:val="center"/>
        <w:rPr>
          <w:rFonts w:asciiTheme="minorEastAsia" w:hAnsiTheme="minorEastAsia" w:eastAsiaTheme="minorEastAsia"/>
          <w:color w:val="auto"/>
          <w:sz w:val="24"/>
          <w:highlight w:val="none"/>
        </w:rPr>
      </w:pPr>
      <w:r>
        <w:rPr>
          <w:rFonts w:hint="eastAsia" w:cs="仿宋_GB2312" w:asciiTheme="minorEastAsia" w:hAnsiTheme="minorEastAsia" w:eastAsiaTheme="minorEastAsia"/>
          <w:b/>
          <w:color w:val="auto"/>
          <w:sz w:val="36"/>
          <w:szCs w:val="20"/>
          <w:highlight w:val="none"/>
        </w:rPr>
        <w:t>竞争性磋商公告</w:t>
      </w:r>
    </w:p>
    <w:p w14:paraId="33FB0AF4">
      <w:pPr>
        <w:pBdr>
          <w:top w:val="single" w:color="auto" w:sz="4" w:space="1"/>
          <w:left w:val="single" w:color="auto" w:sz="4" w:space="4"/>
          <w:bottom w:val="single" w:color="auto" w:sz="4" w:space="1"/>
          <w:right w:val="single" w:color="auto" w:sz="4" w:space="4"/>
        </w:pBd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项目概况</w:t>
      </w:r>
    </w:p>
    <w:p w14:paraId="4AA19DC8">
      <w:pPr>
        <w:pBdr>
          <w:top w:val="single" w:color="auto" w:sz="4" w:space="1"/>
          <w:left w:val="single" w:color="auto" w:sz="4" w:space="4"/>
          <w:bottom w:val="single" w:color="auto" w:sz="4" w:space="1"/>
          <w:right w:val="single" w:color="auto" w:sz="4" w:space="4"/>
        </w:pBdr>
        <w:spacing w:line="360" w:lineRule="auto"/>
        <w:ind w:firstLine="480" w:firstLineChars="200"/>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u w:val="single"/>
          <w:lang w:eastAsia="zh-CN"/>
        </w:rPr>
        <w:t>市本级2026年农产品质量安全定量检测经费</w:t>
      </w:r>
      <w:r>
        <w:rPr>
          <w:rFonts w:hint="eastAsia" w:asciiTheme="minorEastAsia" w:hAnsiTheme="minorEastAsia" w:eastAsiaTheme="minorEastAsia"/>
          <w:color w:val="auto"/>
          <w:sz w:val="24"/>
          <w:highlight w:val="none"/>
        </w:rPr>
        <w:t>项目的潜在供应商应在</w:t>
      </w:r>
      <w:r>
        <w:rPr>
          <w:rFonts w:hint="eastAsia" w:ascii="宋体" w:hAnsi="宋体" w:cs="宋体"/>
          <w:color w:val="auto"/>
          <w:sz w:val="24"/>
          <w:highlight w:val="none"/>
        </w:rPr>
        <w:t>广西政府采购云平台（https</w:t>
      </w:r>
      <w:r>
        <w:rPr>
          <w:rFonts w:hint="eastAsia" w:ascii="宋体" w:hAnsi="宋体" w:cs="宋体"/>
          <w:color w:val="auto"/>
          <w:sz w:val="24"/>
          <w:highlight w:val="none"/>
          <w:lang w:eastAsia="zh-CN"/>
        </w:rPr>
        <w:t>：</w:t>
      </w:r>
      <w:r>
        <w:rPr>
          <w:rFonts w:hint="eastAsia" w:ascii="宋体" w:hAnsi="宋体" w:cs="宋体"/>
          <w:color w:val="auto"/>
          <w:sz w:val="24"/>
          <w:highlight w:val="none"/>
        </w:rPr>
        <w:t>//www.gcy.zfcg.gxzf.gov.cn/）</w:t>
      </w:r>
      <w:r>
        <w:rPr>
          <w:rFonts w:hint="eastAsia" w:asciiTheme="minorEastAsia" w:hAnsiTheme="minorEastAsia" w:eastAsiaTheme="minorEastAsia"/>
          <w:color w:val="auto"/>
          <w:sz w:val="24"/>
          <w:highlight w:val="none"/>
        </w:rPr>
        <w:t>获取采购文件，并于</w:t>
      </w:r>
      <w:r>
        <w:rPr>
          <w:rFonts w:hint="eastAsia" w:asciiTheme="minorEastAsia" w:hAnsiTheme="minorEastAsia" w:eastAsiaTheme="minorEastAsia"/>
          <w:color w:val="auto"/>
          <w:sz w:val="24"/>
          <w:highlight w:val="none"/>
          <w:u w:val="single"/>
        </w:rPr>
        <w:t>202</w:t>
      </w:r>
      <w:r>
        <w:rPr>
          <w:rFonts w:hint="eastAsia" w:asciiTheme="minorEastAsia" w:hAnsiTheme="minorEastAsia" w:eastAsiaTheme="minorEastAsia"/>
          <w:color w:val="auto"/>
          <w:sz w:val="24"/>
          <w:highlight w:val="none"/>
          <w:u w:val="single"/>
          <w:lang w:val="en-US" w:eastAsia="zh-CN"/>
        </w:rPr>
        <w:t>6</w:t>
      </w:r>
      <w:r>
        <w:rPr>
          <w:rFonts w:hint="eastAsia" w:asciiTheme="minorEastAsia" w:hAnsiTheme="minorEastAsia" w:eastAsiaTheme="minorEastAsia"/>
          <w:bCs/>
          <w:color w:val="auto"/>
          <w:sz w:val="24"/>
          <w:highlight w:val="none"/>
          <w:u w:val="single"/>
        </w:rPr>
        <w:t>年</w:t>
      </w:r>
      <w:r>
        <w:rPr>
          <w:rFonts w:hint="eastAsia" w:asciiTheme="minorEastAsia" w:hAnsiTheme="minorEastAsia" w:eastAsiaTheme="minorEastAsia"/>
          <w:bCs/>
          <w:color w:val="auto"/>
          <w:sz w:val="24"/>
          <w:highlight w:val="none"/>
          <w:u w:val="single"/>
          <w:lang w:val="en-US" w:eastAsia="zh-CN"/>
        </w:rPr>
        <w:t>8</w:t>
      </w:r>
      <w:r>
        <w:rPr>
          <w:rFonts w:hint="eastAsia" w:asciiTheme="minorEastAsia" w:hAnsiTheme="minorEastAsia" w:eastAsiaTheme="minorEastAsia"/>
          <w:bCs/>
          <w:color w:val="auto"/>
          <w:sz w:val="24"/>
          <w:highlight w:val="none"/>
          <w:u w:val="single"/>
        </w:rPr>
        <w:t>月</w:t>
      </w:r>
      <w:r>
        <w:rPr>
          <w:rFonts w:hint="eastAsia" w:asciiTheme="minorEastAsia" w:hAnsiTheme="minorEastAsia" w:eastAsiaTheme="minorEastAsia"/>
          <w:bCs/>
          <w:color w:val="auto"/>
          <w:sz w:val="24"/>
          <w:highlight w:val="none"/>
          <w:u w:val="single"/>
          <w:lang w:val="en-US" w:eastAsia="zh-CN"/>
        </w:rPr>
        <w:t>12</w:t>
      </w:r>
      <w:r>
        <w:rPr>
          <w:rFonts w:hint="eastAsia" w:asciiTheme="minorEastAsia" w:hAnsiTheme="minorEastAsia" w:eastAsiaTheme="minorEastAsia"/>
          <w:bCs/>
          <w:color w:val="auto"/>
          <w:sz w:val="24"/>
          <w:highlight w:val="none"/>
          <w:u w:val="single"/>
        </w:rPr>
        <w:t>日</w:t>
      </w:r>
      <w:r>
        <w:rPr>
          <w:rFonts w:hint="eastAsia" w:asciiTheme="minorEastAsia" w:hAnsiTheme="minorEastAsia" w:eastAsiaTheme="minorEastAsia"/>
          <w:bCs/>
          <w:color w:val="auto"/>
          <w:sz w:val="24"/>
          <w:highlight w:val="none"/>
          <w:u w:val="single"/>
          <w:lang w:val="en-US" w:eastAsia="zh-CN"/>
        </w:rPr>
        <w:t>09</w:t>
      </w:r>
      <w:r>
        <w:rPr>
          <w:rFonts w:hint="eastAsia" w:asciiTheme="minorEastAsia" w:hAnsiTheme="minorEastAsia" w:eastAsiaTheme="minorEastAsia"/>
          <w:bCs/>
          <w:color w:val="auto"/>
          <w:sz w:val="24"/>
          <w:highlight w:val="none"/>
          <w:u w:val="single"/>
        </w:rPr>
        <w:t>点</w:t>
      </w:r>
      <w:r>
        <w:rPr>
          <w:rFonts w:hint="eastAsia" w:asciiTheme="minorEastAsia" w:hAnsiTheme="minorEastAsia" w:eastAsiaTheme="minorEastAsia"/>
          <w:bCs/>
          <w:color w:val="auto"/>
          <w:sz w:val="24"/>
          <w:highlight w:val="none"/>
          <w:u w:val="single"/>
          <w:lang w:val="en-US" w:eastAsia="zh-CN"/>
        </w:rPr>
        <w:t xml:space="preserve"> 00</w:t>
      </w:r>
      <w:r>
        <w:rPr>
          <w:rFonts w:hint="eastAsia" w:asciiTheme="minorEastAsia" w:hAnsiTheme="minorEastAsia" w:eastAsiaTheme="minorEastAsia"/>
          <w:bCs/>
          <w:color w:val="auto"/>
          <w:sz w:val="24"/>
          <w:highlight w:val="none"/>
          <w:u w:val="single"/>
        </w:rPr>
        <w:t>分00秒</w:t>
      </w:r>
      <w:r>
        <w:rPr>
          <w:rFonts w:hint="eastAsia" w:asciiTheme="minorEastAsia" w:hAnsiTheme="minorEastAsia" w:eastAsiaTheme="minorEastAsia"/>
          <w:bCs/>
          <w:color w:val="auto"/>
          <w:sz w:val="24"/>
          <w:highlight w:val="none"/>
        </w:rPr>
        <w:t>（北京时间）前提交响应文件</w:t>
      </w:r>
      <w:r>
        <w:rPr>
          <w:rFonts w:hint="eastAsia" w:asciiTheme="minorEastAsia" w:hAnsiTheme="minorEastAsia" w:eastAsiaTheme="minorEastAsia"/>
          <w:color w:val="auto"/>
          <w:sz w:val="24"/>
          <w:highlight w:val="none"/>
        </w:rPr>
        <w:t>。</w:t>
      </w:r>
    </w:p>
    <w:p w14:paraId="3E1C9198">
      <w:pPr>
        <w:spacing w:line="360" w:lineRule="auto"/>
        <w:rPr>
          <w:rFonts w:asciiTheme="minorEastAsia" w:hAnsiTheme="minorEastAsia" w:eastAsiaTheme="minorEastAsia"/>
          <w:color w:val="auto"/>
          <w:sz w:val="24"/>
          <w:highlight w:val="none"/>
        </w:rPr>
      </w:pPr>
    </w:p>
    <w:p w14:paraId="2B2162F7">
      <w:pPr>
        <w:pStyle w:val="634"/>
        <w:spacing w:line="360" w:lineRule="auto"/>
        <w:ind w:firstLine="0"/>
        <w:rPr>
          <w:b/>
          <w:color w:val="auto"/>
          <w:highlight w:val="none"/>
        </w:rPr>
      </w:pPr>
      <w:bookmarkStart w:id="10" w:name="_Toc35393798"/>
      <w:bookmarkStart w:id="11" w:name="_Toc28359012"/>
      <w:bookmarkStart w:id="12" w:name="_Toc35393629"/>
      <w:bookmarkStart w:id="13" w:name="_Toc28359089"/>
      <w:r>
        <w:rPr>
          <w:rFonts w:hint="eastAsia"/>
          <w:b/>
          <w:color w:val="auto"/>
          <w:highlight w:val="none"/>
        </w:rPr>
        <w:t>一、项目基本情况</w:t>
      </w:r>
      <w:bookmarkEnd w:id="10"/>
      <w:bookmarkEnd w:id="11"/>
      <w:bookmarkEnd w:id="12"/>
      <w:bookmarkEnd w:id="13"/>
    </w:p>
    <w:p w14:paraId="33DC2EEC">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项目编号</w:t>
      </w:r>
      <w:r>
        <w:rPr>
          <w:rFonts w:hint="eastAsia" w:asciiTheme="minorEastAsia" w:hAnsiTheme="minorEastAsia" w:eastAsiaTheme="minorEastAsia"/>
          <w:color w:val="auto"/>
          <w:sz w:val="24"/>
          <w:highlight w:val="none"/>
          <w:lang w:eastAsia="zh-CN"/>
        </w:rPr>
        <w:t>：BHZC2026-C3-990218-GXYZ</w:t>
      </w:r>
    </w:p>
    <w:p w14:paraId="6F0B8E0B">
      <w:pPr>
        <w:spacing w:line="360" w:lineRule="auto"/>
        <w:ind w:firstLine="480" w:firstLineChars="200"/>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项目名称</w:t>
      </w:r>
      <w:r>
        <w:rPr>
          <w:rFonts w:hint="eastAsia" w:asciiTheme="minorEastAsia" w:hAnsiTheme="minorEastAsia" w:eastAsiaTheme="minorEastAsia"/>
          <w:color w:val="auto"/>
          <w:sz w:val="24"/>
          <w:highlight w:val="none"/>
          <w:lang w:eastAsia="zh-CN"/>
        </w:rPr>
        <w:t>：市本级2026年农产品质量安全定量检测经费</w:t>
      </w:r>
    </w:p>
    <w:p w14:paraId="21432168">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采购方式</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竞争性磋商</w:t>
      </w:r>
    </w:p>
    <w:p w14:paraId="0CC97DB1">
      <w:pPr>
        <w:spacing w:line="360" w:lineRule="auto"/>
        <w:ind w:firstLine="480" w:firstLineChars="200"/>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预算</w:t>
      </w:r>
      <w:r>
        <w:rPr>
          <w:rFonts w:hint="eastAsia" w:asciiTheme="minorEastAsia" w:hAnsiTheme="minorEastAsia" w:eastAsiaTheme="minorEastAsia"/>
          <w:color w:val="auto"/>
          <w:sz w:val="24"/>
          <w:highlight w:val="none"/>
          <w:lang w:val="en-US" w:eastAsia="zh-CN"/>
        </w:rPr>
        <w:t>总</w:t>
      </w:r>
      <w:r>
        <w:rPr>
          <w:rFonts w:hint="eastAsia" w:asciiTheme="minorEastAsia" w:hAnsiTheme="minorEastAsia" w:eastAsiaTheme="minorEastAsia"/>
          <w:color w:val="auto"/>
          <w:sz w:val="24"/>
          <w:highlight w:val="none"/>
        </w:rPr>
        <w:t>金额（元）：</w:t>
      </w:r>
      <w:r>
        <w:rPr>
          <w:rFonts w:hint="eastAsia" w:asciiTheme="minorEastAsia" w:hAnsiTheme="minorEastAsia" w:eastAsiaTheme="minorEastAsia"/>
          <w:color w:val="auto"/>
          <w:sz w:val="24"/>
          <w:highlight w:val="none"/>
          <w:lang w:val="en-US" w:eastAsia="zh-CN"/>
        </w:rPr>
        <w:t>1297450.00</w:t>
      </w:r>
    </w:p>
    <w:p w14:paraId="12AE0EE2">
      <w:pPr>
        <w:spacing w:line="360" w:lineRule="auto"/>
        <w:ind w:firstLine="480" w:firstLineChars="200"/>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采购需求：</w:t>
      </w:r>
    </w:p>
    <w:tbl>
      <w:tblPr>
        <w:tblStyle w:val="62"/>
        <w:tblW w:w="0" w:type="auto"/>
        <w:tblInd w:w="0" w:type="dxa"/>
        <w:tblLayout w:type="autofit"/>
        <w:tblCellMar>
          <w:top w:w="0" w:type="dxa"/>
          <w:left w:w="108" w:type="dxa"/>
          <w:bottom w:w="0" w:type="dxa"/>
          <w:right w:w="108" w:type="dxa"/>
        </w:tblCellMar>
      </w:tblPr>
      <w:tblGrid>
        <w:gridCol w:w="9286"/>
      </w:tblGrid>
      <w:tr w14:paraId="065C7BCB">
        <w:tblPrEx>
          <w:tblCellMar>
            <w:top w:w="0" w:type="dxa"/>
            <w:left w:w="108" w:type="dxa"/>
            <w:bottom w:w="0" w:type="dxa"/>
            <w:right w:w="108" w:type="dxa"/>
          </w:tblCellMar>
        </w:tblPrEx>
        <w:tc>
          <w:tcPr>
            <w:tcW w:w="9286" w:type="dxa"/>
            <w:noWrap w:val="0"/>
            <w:vAlign w:val="top"/>
          </w:tcPr>
          <w:p w14:paraId="48DF9B34">
            <w:pPr>
              <w:spacing w:line="360" w:lineRule="auto"/>
              <w:ind w:firstLine="482" w:firstLineChars="200"/>
              <w:rPr>
                <w:rFonts w:hint="eastAsia" w:cs="Times New Roman" w:asciiTheme="minorEastAsia" w:hAnsiTheme="minorEastAsia" w:eastAsiaTheme="minorEastAsia"/>
                <w:b/>
                <w:bCs/>
                <w:color w:val="auto"/>
                <w:sz w:val="24"/>
                <w:highlight w:val="none"/>
                <w:lang w:val="en-US" w:eastAsia="zh-CN"/>
              </w:rPr>
            </w:pPr>
            <w:r>
              <w:rPr>
                <w:rFonts w:hint="eastAsia" w:cs="Times New Roman" w:asciiTheme="minorEastAsia" w:hAnsiTheme="minorEastAsia" w:eastAsiaTheme="minorEastAsia"/>
                <w:b/>
                <w:bCs/>
                <w:color w:val="auto"/>
                <w:sz w:val="24"/>
                <w:highlight w:val="none"/>
                <w:lang w:val="en-US" w:eastAsia="zh-CN"/>
              </w:rPr>
              <w:t>标项一</w:t>
            </w:r>
          </w:p>
          <w:p w14:paraId="1F67917E">
            <w:pPr>
              <w:spacing w:line="360" w:lineRule="auto"/>
              <w:ind w:left="479" w:leftChars="228" w:firstLine="0" w:firstLineChars="0"/>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标项名称:市本级2026年农产品质量安全定量检测经费（Ⅰ标段）</w:t>
            </w:r>
            <w:r>
              <w:rPr>
                <w:rFonts w:hint="eastAsia" w:cs="Times New Roman" w:asciiTheme="minorEastAsia" w:hAnsiTheme="minorEastAsia" w:eastAsiaTheme="minorEastAsia"/>
                <w:color w:val="auto"/>
                <w:sz w:val="24"/>
                <w:highlight w:val="none"/>
                <w:lang w:val="en-US" w:eastAsia="zh-CN"/>
              </w:rPr>
              <w:br w:type="textWrapping"/>
            </w:r>
            <w:r>
              <w:rPr>
                <w:rFonts w:hint="eastAsia" w:cs="Times New Roman" w:asciiTheme="minorEastAsia" w:hAnsiTheme="minorEastAsia" w:eastAsiaTheme="minorEastAsia"/>
                <w:color w:val="auto"/>
                <w:sz w:val="24"/>
                <w:highlight w:val="none"/>
                <w:lang w:val="en-US" w:eastAsia="zh-CN"/>
              </w:rPr>
              <w:t>数量:1</w:t>
            </w:r>
            <w:r>
              <w:rPr>
                <w:rFonts w:hint="eastAsia" w:cs="Times New Roman" w:asciiTheme="minorEastAsia" w:hAnsiTheme="minorEastAsia" w:eastAsiaTheme="minorEastAsia"/>
                <w:color w:val="auto"/>
                <w:sz w:val="24"/>
                <w:highlight w:val="none"/>
                <w:lang w:val="en-US" w:eastAsia="zh-CN"/>
              </w:rPr>
              <w:br w:type="textWrapping"/>
            </w:r>
            <w:r>
              <w:rPr>
                <w:rFonts w:hint="eastAsia" w:cs="Times New Roman" w:asciiTheme="minorEastAsia" w:hAnsiTheme="minorEastAsia" w:eastAsiaTheme="minorEastAsia"/>
                <w:color w:val="auto"/>
                <w:sz w:val="24"/>
                <w:highlight w:val="none"/>
                <w:lang w:val="en-US" w:eastAsia="zh-CN"/>
              </w:rPr>
              <w:t>预算金额（元）:666670.00</w:t>
            </w:r>
            <w:r>
              <w:rPr>
                <w:rFonts w:hint="eastAsia" w:cs="Times New Roman" w:asciiTheme="minorEastAsia" w:hAnsiTheme="minorEastAsia" w:eastAsiaTheme="minorEastAsia"/>
                <w:color w:val="auto"/>
                <w:sz w:val="24"/>
                <w:highlight w:val="none"/>
                <w:lang w:val="en-US" w:eastAsia="zh-CN"/>
              </w:rPr>
              <w:br w:type="textWrapping"/>
            </w:r>
            <w:r>
              <w:rPr>
                <w:rFonts w:hint="eastAsia" w:cs="Times New Roman" w:asciiTheme="minorEastAsia" w:hAnsiTheme="minorEastAsia" w:eastAsiaTheme="minorEastAsia"/>
                <w:color w:val="auto"/>
                <w:sz w:val="24"/>
                <w:highlight w:val="none"/>
                <w:lang w:val="en-US" w:eastAsia="zh-CN"/>
              </w:rPr>
              <w:t>简要规格描述或项目基本概况介绍、用途：对市本级2026年农产品质量安全定量检测一项，具体内容详见竞争性磋商文件。</w:t>
            </w:r>
          </w:p>
          <w:p w14:paraId="338DF9CB">
            <w:pPr>
              <w:spacing w:line="360" w:lineRule="auto"/>
              <w:ind w:firstLine="480" w:firstLineChars="200"/>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最高限价（如有）：666670.00</w:t>
            </w:r>
          </w:p>
          <w:p w14:paraId="21B511E8">
            <w:pPr>
              <w:spacing w:line="360" w:lineRule="auto"/>
              <w:ind w:firstLine="480" w:firstLineChars="200"/>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合同履约期限：自签订合同之日起开始提供农产品检测服务，直至2026年12月30日止。</w:t>
            </w:r>
          </w:p>
          <w:p w14:paraId="061A59C2">
            <w:pPr>
              <w:spacing w:line="360" w:lineRule="auto"/>
              <w:ind w:firstLine="480" w:firstLineChars="200"/>
              <w:rPr>
                <w:rFonts w:hint="eastAsia" w:ascii="仿宋" w:hAnsi="仿宋" w:eastAsia="仿宋"/>
                <w:color w:val="auto"/>
                <w:szCs w:val="21"/>
              </w:rPr>
            </w:pPr>
            <w:r>
              <w:rPr>
                <w:rFonts w:hint="eastAsia" w:cs="Times New Roman" w:asciiTheme="minorEastAsia" w:hAnsiTheme="minorEastAsia" w:eastAsiaTheme="minorEastAsia"/>
                <w:color w:val="auto"/>
                <w:sz w:val="24"/>
                <w:highlight w:val="none"/>
                <w:lang w:val="en-US" w:eastAsia="zh-CN"/>
              </w:rPr>
              <w:t>本标项（否）接受联合体</w:t>
            </w:r>
            <w:r>
              <w:rPr>
                <w:rFonts w:hint="eastAsia" w:cs="Times New Roman" w:asciiTheme="minorEastAsia" w:hAnsiTheme="minorEastAsia" w:eastAsiaTheme="minorEastAsia"/>
                <w:color w:val="auto"/>
                <w:kern w:val="2"/>
                <w:sz w:val="24"/>
                <w:szCs w:val="24"/>
                <w:highlight w:val="none"/>
                <w:lang w:val="en-US" w:eastAsia="zh-CN" w:bidi="ar-SA"/>
              </w:rPr>
              <w:t>竞标</w:t>
            </w:r>
          </w:p>
        </w:tc>
      </w:tr>
    </w:tbl>
    <w:p w14:paraId="711BD6B5">
      <w:pPr>
        <w:spacing w:line="360" w:lineRule="auto"/>
        <w:ind w:firstLine="482" w:firstLineChars="200"/>
        <w:rPr>
          <w:rFonts w:hint="eastAsia" w:cs="Times New Roman" w:asciiTheme="minorEastAsia" w:hAnsiTheme="minorEastAsia" w:eastAsiaTheme="minorEastAsia"/>
          <w:b/>
          <w:bCs/>
          <w:color w:val="auto"/>
          <w:sz w:val="24"/>
          <w:highlight w:val="none"/>
          <w:lang w:val="en-US" w:eastAsia="zh-CN"/>
        </w:rPr>
      </w:pPr>
    </w:p>
    <w:tbl>
      <w:tblPr>
        <w:tblStyle w:val="62"/>
        <w:tblW w:w="0" w:type="auto"/>
        <w:tblInd w:w="0" w:type="dxa"/>
        <w:tblLayout w:type="autofit"/>
        <w:tblCellMar>
          <w:top w:w="0" w:type="dxa"/>
          <w:left w:w="108" w:type="dxa"/>
          <w:bottom w:w="0" w:type="dxa"/>
          <w:right w:w="108" w:type="dxa"/>
        </w:tblCellMar>
      </w:tblPr>
      <w:tblGrid>
        <w:gridCol w:w="9286"/>
      </w:tblGrid>
      <w:tr w14:paraId="104CF785">
        <w:tblPrEx>
          <w:tblCellMar>
            <w:top w:w="0" w:type="dxa"/>
            <w:left w:w="108" w:type="dxa"/>
            <w:bottom w:w="0" w:type="dxa"/>
            <w:right w:w="108" w:type="dxa"/>
          </w:tblCellMar>
        </w:tblPrEx>
        <w:tc>
          <w:tcPr>
            <w:tcW w:w="9286" w:type="dxa"/>
            <w:noWrap w:val="0"/>
            <w:vAlign w:val="top"/>
          </w:tcPr>
          <w:p w14:paraId="0A489D8A">
            <w:pPr>
              <w:spacing w:line="360" w:lineRule="auto"/>
              <w:ind w:firstLine="482" w:firstLineChars="200"/>
              <w:rPr>
                <w:rFonts w:hint="eastAsia" w:cs="Times New Roman" w:asciiTheme="minorEastAsia" w:hAnsiTheme="minorEastAsia" w:eastAsiaTheme="minorEastAsia"/>
                <w:b/>
                <w:bCs/>
                <w:color w:val="auto"/>
                <w:sz w:val="24"/>
                <w:highlight w:val="none"/>
                <w:lang w:val="en-US" w:eastAsia="zh-CN"/>
              </w:rPr>
            </w:pPr>
            <w:r>
              <w:rPr>
                <w:rFonts w:hint="eastAsia" w:cs="Times New Roman" w:asciiTheme="minorEastAsia" w:hAnsiTheme="minorEastAsia" w:eastAsiaTheme="minorEastAsia"/>
                <w:b/>
                <w:bCs/>
                <w:color w:val="auto"/>
                <w:sz w:val="24"/>
                <w:highlight w:val="none"/>
                <w:lang w:val="en-US" w:eastAsia="zh-CN"/>
              </w:rPr>
              <w:t>标项二</w:t>
            </w:r>
          </w:p>
          <w:p w14:paraId="52DFD863">
            <w:pPr>
              <w:spacing w:line="360" w:lineRule="auto"/>
              <w:ind w:left="479" w:leftChars="228" w:firstLine="0" w:firstLineChars="0"/>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标项名称:市本级2026年农产品质量安全定量检测经费（Ⅱ标段）</w:t>
            </w:r>
            <w:r>
              <w:rPr>
                <w:rFonts w:hint="eastAsia" w:cs="Times New Roman" w:asciiTheme="minorEastAsia" w:hAnsiTheme="minorEastAsia" w:eastAsiaTheme="minorEastAsia"/>
                <w:color w:val="auto"/>
                <w:sz w:val="24"/>
                <w:highlight w:val="none"/>
                <w:lang w:val="en-US" w:eastAsia="zh-CN"/>
              </w:rPr>
              <w:br w:type="textWrapping"/>
            </w:r>
            <w:r>
              <w:rPr>
                <w:rFonts w:hint="eastAsia" w:cs="Times New Roman" w:asciiTheme="minorEastAsia" w:hAnsiTheme="minorEastAsia" w:eastAsiaTheme="minorEastAsia"/>
                <w:color w:val="auto"/>
                <w:sz w:val="24"/>
                <w:highlight w:val="none"/>
                <w:lang w:val="en-US" w:eastAsia="zh-CN"/>
              </w:rPr>
              <w:t>数量:1</w:t>
            </w:r>
            <w:r>
              <w:rPr>
                <w:rFonts w:hint="eastAsia" w:cs="Times New Roman" w:asciiTheme="minorEastAsia" w:hAnsiTheme="minorEastAsia" w:eastAsiaTheme="minorEastAsia"/>
                <w:color w:val="auto"/>
                <w:sz w:val="24"/>
                <w:highlight w:val="none"/>
                <w:lang w:val="en-US" w:eastAsia="zh-CN"/>
              </w:rPr>
              <w:br w:type="textWrapping"/>
            </w:r>
            <w:r>
              <w:rPr>
                <w:rFonts w:hint="eastAsia" w:cs="Times New Roman" w:asciiTheme="minorEastAsia" w:hAnsiTheme="minorEastAsia" w:eastAsiaTheme="minorEastAsia"/>
                <w:color w:val="auto"/>
                <w:sz w:val="24"/>
                <w:highlight w:val="none"/>
                <w:lang w:val="en-US" w:eastAsia="zh-CN"/>
              </w:rPr>
              <w:t>预算金额（元）:630780.00</w:t>
            </w:r>
            <w:r>
              <w:rPr>
                <w:rFonts w:hint="eastAsia" w:cs="Times New Roman" w:asciiTheme="minorEastAsia" w:hAnsiTheme="minorEastAsia" w:eastAsiaTheme="minorEastAsia"/>
                <w:color w:val="auto"/>
                <w:sz w:val="24"/>
                <w:highlight w:val="none"/>
                <w:lang w:val="en-US" w:eastAsia="zh-CN"/>
              </w:rPr>
              <w:br w:type="textWrapping"/>
            </w:r>
            <w:r>
              <w:rPr>
                <w:rFonts w:hint="eastAsia" w:cs="Times New Roman" w:asciiTheme="minorEastAsia" w:hAnsiTheme="minorEastAsia" w:eastAsiaTheme="minorEastAsia"/>
                <w:color w:val="auto"/>
                <w:sz w:val="24"/>
                <w:highlight w:val="none"/>
                <w:lang w:val="en-US" w:eastAsia="zh-CN"/>
              </w:rPr>
              <w:t>简要规格描述或项目基本概况介绍、用途：对市本级2026年农产品质量安全定量检测一项，具体内容详见竞争性磋商文件。</w:t>
            </w:r>
          </w:p>
          <w:p w14:paraId="5CF26026">
            <w:pPr>
              <w:spacing w:line="360" w:lineRule="auto"/>
              <w:ind w:left="479" w:leftChars="228" w:firstLine="0" w:firstLineChars="0"/>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最高限价（如有）：630780.00</w:t>
            </w:r>
          </w:p>
          <w:p w14:paraId="477B8443">
            <w:pPr>
              <w:spacing w:line="360" w:lineRule="auto"/>
              <w:ind w:left="479" w:leftChars="228" w:firstLine="0" w:firstLineChars="0"/>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合同履约期限：自签订合同之日起开始提供农产品检测服务，直至2026年12月30日止。</w:t>
            </w:r>
          </w:p>
          <w:p w14:paraId="55B026A0">
            <w:pPr>
              <w:spacing w:line="360" w:lineRule="auto"/>
              <w:ind w:left="479" w:leftChars="228" w:firstLine="0" w:firstLineChars="0"/>
              <w:rPr>
                <w:rFonts w:hint="eastAsia" w:ascii="仿宋" w:hAnsi="仿宋" w:eastAsia="仿宋"/>
                <w:color w:val="auto"/>
                <w:szCs w:val="21"/>
              </w:rPr>
            </w:pPr>
            <w:r>
              <w:rPr>
                <w:rFonts w:hint="eastAsia" w:cs="Times New Roman" w:asciiTheme="minorEastAsia" w:hAnsiTheme="minorEastAsia" w:eastAsiaTheme="minorEastAsia"/>
                <w:color w:val="auto"/>
                <w:sz w:val="24"/>
                <w:highlight w:val="none"/>
                <w:lang w:val="en-US" w:eastAsia="zh-CN"/>
              </w:rPr>
              <w:t>本标项（否）接受联合体</w:t>
            </w:r>
            <w:r>
              <w:rPr>
                <w:rFonts w:hint="eastAsia" w:cs="Times New Roman" w:asciiTheme="minorEastAsia" w:hAnsiTheme="minorEastAsia" w:eastAsiaTheme="minorEastAsia"/>
                <w:color w:val="auto"/>
                <w:kern w:val="2"/>
                <w:sz w:val="24"/>
                <w:szCs w:val="24"/>
                <w:highlight w:val="none"/>
                <w:lang w:val="en-US" w:eastAsia="zh-CN" w:bidi="ar-SA"/>
              </w:rPr>
              <w:t>竞标</w:t>
            </w:r>
          </w:p>
        </w:tc>
      </w:tr>
    </w:tbl>
    <w:p w14:paraId="648EAD1A">
      <w:pPr>
        <w:spacing w:line="360" w:lineRule="auto"/>
        <w:ind w:firstLine="482" w:firstLineChars="200"/>
        <w:rPr>
          <w:rFonts w:hint="eastAsia" w:cs="Times New Roman" w:asciiTheme="minorEastAsia" w:hAnsiTheme="minorEastAsia" w:eastAsiaTheme="minorEastAsia"/>
          <w:b/>
          <w:bCs/>
          <w:color w:val="auto"/>
          <w:sz w:val="24"/>
          <w:highlight w:val="none"/>
          <w:lang w:val="en-US" w:eastAsia="zh-CN"/>
        </w:rPr>
      </w:pPr>
    </w:p>
    <w:p w14:paraId="5FC0F53B">
      <w:pPr>
        <w:pStyle w:val="634"/>
        <w:spacing w:line="360" w:lineRule="auto"/>
        <w:ind w:firstLine="0"/>
        <w:rPr>
          <w:rFonts w:hint="eastAsia" w:eastAsia="宋体"/>
          <w:b/>
          <w:color w:val="auto"/>
          <w:highlight w:val="none"/>
          <w:lang w:eastAsia="zh-CN"/>
        </w:rPr>
      </w:pPr>
      <w:bookmarkStart w:id="14" w:name="_Toc35393799"/>
      <w:bookmarkStart w:id="15" w:name="_Toc35393630"/>
      <w:bookmarkStart w:id="16" w:name="_Toc28359090"/>
      <w:bookmarkStart w:id="17" w:name="_Toc28359013"/>
      <w:r>
        <w:rPr>
          <w:rFonts w:hint="eastAsia"/>
          <w:b/>
          <w:color w:val="auto"/>
          <w:highlight w:val="none"/>
        </w:rPr>
        <w:t>二、申请人的资格要求</w:t>
      </w:r>
      <w:bookmarkEnd w:id="14"/>
      <w:bookmarkEnd w:id="15"/>
      <w:bookmarkEnd w:id="16"/>
      <w:bookmarkEnd w:id="17"/>
      <w:r>
        <w:rPr>
          <w:rFonts w:hint="eastAsia"/>
          <w:b/>
          <w:color w:val="auto"/>
          <w:highlight w:val="none"/>
          <w:lang w:eastAsia="zh-CN"/>
        </w:rPr>
        <w:t>：</w:t>
      </w:r>
    </w:p>
    <w:p w14:paraId="6C3905E2">
      <w:pPr>
        <w:spacing w:line="360" w:lineRule="auto"/>
        <w:ind w:firstLine="480" w:firstLineChars="200"/>
        <w:rPr>
          <w:rFonts w:hint="eastAsia" w:cs="Times New Roman" w:asciiTheme="minorEastAsia" w:hAnsiTheme="minorEastAsia" w:eastAsiaTheme="minorEastAsia"/>
          <w:color w:val="auto"/>
          <w:sz w:val="24"/>
          <w:highlight w:val="none"/>
          <w:lang w:val="en-US" w:eastAsia="zh-CN"/>
        </w:rPr>
      </w:pPr>
      <w:bookmarkStart w:id="18" w:name="_Toc35393800"/>
      <w:bookmarkStart w:id="19" w:name="_Toc28359091"/>
      <w:bookmarkStart w:id="20" w:name="_Toc28359014"/>
      <w:bookmarkStart w:id="21" w:name="_Toc35393631"/>
      <w:r>
        <w:rPr>
          <w:rFonts w:hint="eastAsia" w:cs="Times New Roman" w:asciiTheme="minorEastAsia" w:hAnsiTheme="minorEastAsia" w:eastAsiaTheme="minorEastAsia"/>
          <w:color w:val="auto"/>
          <w:sz w:val="24"/>
          <w:highlight w:val="none"/>
          <w:lang w:val="en-US" w:eastAsia="zh-CN"/>
        </w:rPr>
        <w:t>1.满足《中华人民共和国政府采购法》第二十二条规定；</w:t>
      </w:r>
    </w:p>
    <w:p w14:paraId="0890D16F">
      <w:pPr>
        <w:spacing w:line="360" w:lineRule="auto"/>
        <w:ind w:firstLine="480" w:firstLineChars="200"/>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2.落实政府采购政策需满足的资格要求：本项目专门面向中小企业采购。</w:t>
      </w:r>
    </w:p>
    <w:p w14:paraId="247D8663">
      <w:pPr>
        <w:spacing w:line="360" w:lineRule="auto"/>
        <w:ind w:firstLine="480" w:firstLineChars="200"/>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3.本项目的特定资格要求：具备有效的省级或省级以上行政主管部门颁发的检验检测机构资质认定证书和农产品质量安全检测机构考核合格证书。</w:t>
      </w:r>
    </w:p>
    <w:p w14:paraId="5B933F48">
      <w:pPr>
        <w:pStyle w:val="634"/>
        <w:spacing w:line="360" w:lineRule="auto"/>
        <w:ind w:firstLine="0"/>
        <w:rPr>
          <w:b/>
          <w:color w:val="auto"/>
          <w:highlight w:val="none"/>
        </w:rPr>
      </w:pPr>
      <w:r>
        <w:rPr>
          <w:rFonts w:hint="eastAsia"/>
          <w:b/>
          <w:color w:val="auto"/>
          <w:highlight w:val="none"/>
        </w:rPr>
        <w:t>三、获取（下载）采购文件</w:t>
      </w:r>
      <w:bookmarkEnd w:id="18"/>
      <w:bookmarkEnd w:id="19"/>
      <w:bookmarkEnd w:id="20"/>
      <w:bookmarkEnd w:id="21"/>
    </w:p>
    <w:p w14:paraId="5A09FFFE">
      <w:pPr>
        <w:spacing w:line="360" w:lineRule="auto"/>
        <w:ind w:firstLine="54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时间</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lang w:val="en-US" w:eastAsia="zh-CN"/>
        </w:rPr>
        <w:t>2026</w:t>
      </w:r>
      <w:r>
        <w:rPr>
          <w:rFonts w:hint="eastAsia" w:cs="宋体" w:asciiTheme="minorEastAsia" w:hAnsiTheme="minorEastAsia" w:eastAsiaTheme="minorEastAsia"/>
          <w:color w:val="auto"/>
          <w:sz w:val="24"/>
          <w:highlight w:val="none"/>
        </w:rPr>
        <w:t>年</w:t>
      </w:r>
      <w:r>
        <w:rPr>
          <w:rFonts w:hint="eastAsia" w:cs="宋体" w:asciiTheme="minorEastAsia" w:hAnsiTheme="minorEastAsia" w:eastAsiaTheme="minorEastAsia"/>
          <w:color w:val="auto"/>
          <w:sz w:val="24"/>
          <w:highlight w:val="none"/>
          <w:lang w:val="en-US" w:eastAsia="zh-CN"/>
        </w:rPr>
        <w:t>7</w:t>
      </w:r>
      <w:r>
        <w:rPr>
          <w:rFonts w:hint="eastAsia" w:cs="宋体" w:asciiTheme="minorEastAsia" w:hAnsiTheme="minorEastAsia" w:eastAsiaTheme="minorEastAsia"/>
          <w:color w:val="auto"/>
          <w:sz w:val="24"/>
          <w:highlight w:val="none"/>
        </w:rPr>
        <w:t>月</w:t>
      </w:r>
      <w:r>
        <w:rPr>
          <w:rFonts w:hint="eastAsia" w:cs="宋体" w:asciiTheme="minorEastAsia" w:hAnsiTheme="minorEastAsia" w:eastAsiaTheme="minorEastAsia"/>
          <w:color w:val="auto"/>
          <w:sz w:val="24"/>
          <w:highlight w:val="none"/>
          <w:lang w:val="en-US" w:eastAsia="zh-CN"/>
        </w:rPr>
        <w:t>31</w:t>
      </w:r>
      <w:r>
        <w:rPr>
          <w:rFonts w:hint="eastAsia" w:cs="宋体" w:asciiTheme="minorEastAsia" w:hAnsiTheme="minorEastAsia" w:eastAsiaTheme="minorEastAsia"/>
          <w:color w:val="auto"/>
          <w:sz w:val="24"/>
          <w:highlight w:val="none"/>
        </w:rPr>
        <w:t>日至</w:t>
      </w:r>
      <w:r>
        <w:rPr>
          <w:rFonts w:hint="eastAsia" w:cs="宋体" w:asciiTheme="minorEastAsia" w:hAnsiTheme="minorEastAsia" w:eastAsiaTheme="minorEastAsia"/>
          <w:color w:val="auto"/>
          <w:sz w:val="24"/>
          <w:highlight w:val="none"/>
          <w:lang w:val="en-US" w:eastAsia="zh-CN"/>
        </w:rPr>
        <w:t>2026</w:t>
      </w:r>
      <w:r>
        <w:rPr>
          <w:rFonts w:hint="eastAsia" w:cs="宋体" w:asciiTheme="minorEastAsia" w:hAnsiTheme="minorEastAsia" w:eastAsiaTheme="minorEastAsia"/>
          <w:color w:val="auto"/>
          <w:sz w:val="24"/>
          <w:highlight w:val="none"/>
        </w:rPr>
        <w:t>年</w:t>
      </w:r>
      <w:r>
        <w:rPr>
          <w:rFonts w:hint="eastAsia" w:cs="宋体" w:asciiTheme="minorEastAsia" w:hAnsiTheme="minorEastAsia" w:eastAsiaTheme="minorEastAsia"/>
          <w:color w:val="auto"/>
          <w:sz w:val="24"/>
          <w:highlight w:val="none"/>
          <w:lang w:val="en-US" w:eastAsia="zh-CN"/>
        </w:rPr>
        <w:t>8</w:t>
      </w:r>
      <w:r>
        <w:rPr>
          <w:rFonts w:hint="eastAsia" w:cs="宋体" w:asciiTheme="minorEastAsia" w:hAnsiTheme="minorEastAsia" w:eastAsiaTheme="minorEastAsia"/>
          <w:color w:val="auto"/>
          <w:sz w:val="24"/>
          <w:highlight w:val="none"/>
        </w:rPr>
        <w:t>月</w:t>
      </w:r>
      <w:r>
        <w:rPr>
          <w:rFonts w:hint="eastAsia" w:cs="宋体" w:asciiTheme="minorEastAsia" w:hAnsiTheme="minorEastAsia" w:eastAsiaTheme="minorEastAsia"/>
          <w:color w:val="auto"/>
          <w:sz w:val="24"/>
          <w:highlight w:val="none"/>
          <w:lang w:val="en-US" w:eastAsia="zh-CN"/>
        </w:rPr>
        <w:t>7</w:t>
      </w:r>
      <w:r>
        <w:rPr>
          <w:rFonts w:hint="eastAsia" w:cs="宋体" w:asciiTheme="minorEastAsia" w:hAnsiTheme="minorEastAsia" w:eastAsiaTheme="minorEastAsia"/>
          <w:color w:val="auto"/>
          <w:sz w:val="24"/>
          <w:highlight w:val="none"/>
        </w:rPr>
        <w:t>日</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rPr>
        <w:t>每天上午</w:t>
      </w:r>
      <w:r>
        <w:rPr>
          <w:rFonts w:hint="eastAsia"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00至12</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00，下午12</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00至23</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59</w:t>
      </w:r>
      <w:r>
        <w:rPr>
          <w:rFonts w:hint="eastAsia" w:cs="宋体" w:asciiTheme="minorEastAsia" w:hAnsiTheme="minorEastAsia" w:eastAsiaTheme="minorEastAsia"/>
          <w:color w:val="auto"/>
          <w:sz w:val="24"/>
          <w:highlight w:val="none"/>
        </w:rPr>
        <w:t>（北京时间，法定节假日除外）；</w:t>
      </w:r>
    </w:p>
    <w:p w14:paraId="6928B6CB">
      <w:pPr>
        <w:spacing w:line="360" w:lineRule="auto"/>
        <w:ind w:firstLine="540"/>
        <w:rPr>
          <w:rFonts w:cs="宋体" w:asciiTheme="minorEastAsia" w:hAnsiTheme="minorEastAsia" w:eastAsiaTheme="minorEastAsia"/>
          <w:color w:val="auto"/>
          <w:sz w:val="28"/>
          <w:szCs w:val="28"/>
          <w:highlight w:val="none"/>
          <w:u w:val="single"/>
        </w:rPr>
      </w:pPr>
      <w:r>
        <w:rPr>
          <w:rFonts w:hint="eastAsia" w:cs="宋体" w:asciiTheme="minorEastAsia" w:hAnsiTheme="minorEastAsia" w:eastAsiaTheme="minorEastAsia"/>
          <w:color w:val="auto"/>
          <w:sz w:val="24"/>
          <w:highlight w:val="none"/>
        </w:rPr>
        <w:t>地点（网址）</w:t>
      </w:r>
      <w:r>
        <w:rPr>
          <w:rFonts w:hint="eastAsia" w:cs="宋体" w:asciiTheme="minorEastAsia" w:hAnsiTheme="minorEastAsia" w:eastAsiaTheme="minorEastAsia"/>
          <w:color w:val="auto"/>
          <w:sz w:val="24"/>
          <w:highlight w:val="none"/>
          <w:lang w:eastAsia="zh-CN"/>
        </w:rPr>
        <w:t>：</w:t>
      </w:r>
      <w:r>
        <w:rPr>
          <w:rFonts w:hint="eastAsia" w:ascii="宋体" w:hAnsi="宋体" w:cs="宋体"/>
          <w:color w:val="auto"/>
          <w:sz w:val="24"/>
          <w:highlight w:val="none"/>
        </w:rPr>
        <w:t>广西政府采购云平台（https</w:t>
      </w:r>
      <w:r>
        <w:rPr>
          <w:rFonts w:hint="eastAsia" w:ascii="宋体" w:hAnsi="宋体" w:cs="宋体"/>
          <w:color w:val="auto"/>
          <w:sz w:val="24"/>
          <w:highlight w:val="none"/>
          <w:lang w:eastAsia="zh-CN"/>
        </w:rPr>
        <w:t>：</w:t>
      </w:r>
      <w:r>
        <w:rPr>
          <w:rFonts w:hint="eastAsia" w:ascii="宋体" w:hAnsi="宋体" w:cs="宋体"/>
          <w:color w:val="auto"/>
          <w:sz w:val="24"/>
          <w:highlight w:val="none"/>
        </w:rPr>
        <w:t>//www.gcy.zfcg.gxzf.gov.cn/）</w:t>
      </w:r>
    </w:p>
    <w:p w14:paraId="111F26F8">
      <w:pPr>
        <w:spacing w:line="360" w:lineRule="auto"/>
        <w:ind w:firstLine="540"/>
        <w:rPr>
          <w:rFonts w:cs="宋体" w:asciiTheme="minorEastAsia" w:hAnsiTheme="minorEastAsia" w:eastAsiaTheme="minorEastAsia"/>
          <w:color w:val="auto"/>
          <w:sz w:val="24"/>
          <w:highlight w:val="none"/>
          <w:u w:val="single"/>
        </w:rPr>
      </w:pPr>
      <w:r>
        <w:rPr>
          <w:rFonts w:hint="eastAsia" w:cs="宋体" w:asciiTheme="minorEastAsia" w:hAnsiTheme="minorEastAsia" w:eastAsiaTheme="minorEastAsia"/>
          <w:color w:val="auto"/>
          <w:sz w:val="24"/>
          <w:highlight w:val="none"/>
        </w:rPr>
        <w:t>方式</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rPr>
        <w:t>供应商登录</w:t>
      </w:r>
      <w:r>
        <w:rPr>
          <w:rFonts w:hint="eastAsia" w:ascii="宋体" w:hAnsi="宋体" w:cs="宋体"/>
          <w:color w:val="auto"/>
          <w:sz w:val="24"/>
          <w:highlight w:val="none"/>
        </w:rPr>
        <w:t>广西政府采购云平台（https</w:t>
      </w:r>
      <w:r>
        <w:rPr>
          <w:rFonts w:hint="eastAsia" w:ascii="宋体" w:hAnsi="宋体" w:cs="宋体"/>
          <w:color w:val="auto"/>
          <w:sz w:val="24"/>
          <w:highlight w:val="none"/>
          <w:lang w:eastAsia="zh-CN"/>
        </w:rPr>
        <w:t>：</w:t>
      </w:r>
      <w:r>
        <w:rPr>
          <w:rFonts w:hint="eastAsia" w:ascii="宋体" w:hAnsi="宋体" w:cs="宋体"/>
          <w:color w:val="auto"/>
          <w:sz w:val="24"/>
          <w:highlight w:val="none"/>
        </w:rPr>
        <w:t>//www.gcy.zfcg.gxzf.gov.cn/）</w:t>
      </w:r>
      <w:r>
        <w:rPr>
          <w:rFonts w:hint="eastAsia" w:cs="宋体" w:asciiTheme="minorEastAsia" w:hAnsiTheme="minorEastAsia" w:eastAsiaTheme="minorEastAsia"/>
          <w:color w:val="auto"/>
          <w:sz w:val="24"/>
          <w:highlight w:val="none"/>
        </w:rPr>
        <w:t>在线申请获取采购文件（进入“项目采购”应用，在获取采购文件菜单中选择项目，申请获取采购文件）。</w:t>
      </w:r>
    </w:p>
    <w:p w14:paraId="25CE882A">
      <w:pPr>
        <w:spacing w:line="360" w:lineRule="auto"/>
        <w:ind w:firstLine="540"/>
        <w:rPr>
          <w:rFonts w:cs="宋体" w:asciiTheme="minorEastAsia" w:hAnsiTheme="minorEastAsia" w:eastAsiaTheme="minorEastAsia"/>
          <w:color w:val="auto"/>
          <w:sz w:val="28"/>
          <w:szCs w:val="28"/>
          <w:highlight w:val="none"/>
        </w:rPr>
      </w:pPr>
      <w:r>
        <w:rPr>
          <w:rFonts w:hint="eastAsia" w:cs="宋体" w:asciiTheme="minorEastAsia" w:hAnsiTheme="minorEastAsia" w:eastAsiaTheme="minorEastAsia"/>
          <w:b/>
          <w:color w:val="auto"/>
          <w:sz w:val="24"/>
          <w:highlight w:val="none"/>
        </w:rPr>
        <w:t>售价</w:t>
      </w:r>
      <w:r>
        <w:rPr>
          <w:rFonts w:hint="eastAsia" w:cs="宋体" w:asciiTheme="minorEastAsia" w:hAnsiTheme="minorEastAsia" w:eastAsiaTheme="minorEastAsia"/>
          <w:b/>
          <w:color w:val="auto"/>
          <w:sz w:val="24"/>
          <w:highlight w:val="none"/>
          <w:lang w:eastAsia="zh-CN"/>
        </w:rPr>
        <w:t>：</w:t>
      </w:r>
      <w:r>
        <w:rPr>
          <w:rFonts w:hint="eastAsia" w:cs="仿宋_GB2312" w:asciiTheme="minorEastAsia" w:hAnsiTheme="minorEastAsia" w:eastAsiaTheme="minorEastAsia"/>
          <w:color w:val="auto"/>
          <w:sz w:val="24"/>
          <w:highlight w:val="none"/>
        </w:rPr>
        <w:t>0。</w:t>
      </w:r>
    </w:p>
    <w:p w14:paraId="770AD9A5">
      <w:pPr>
        <w:pStyle w:val="634"/>
        <w:spacing w:line="360" w:lineRule="auto"/>
        <w:ind w:firstLine="0"/>
        <w:rPr>
          <w:b/>
          <w:color w:val="auto"/>
          <w:highlight w:val="none"/>
        </w:rPr>
      </w:pPr>
      <w:bookmarkStart w:id="22" w:name="_Toc35393801"/>
      <w:bookmarkStart w:id="23" w:name="_Toc28359092"/>
      <w:bookmarkStart w:id="24" w:name="_Toc35393632"/>
      <w:bookmarkStart w:id="25" w:name="_Toc28359015"/>
      <w:r>
        <w:rPr>
          <w:rFonts w:hint="eastAsia"/>
          <w:b/>
          <w:color w:val="auto"/>
          <w:highlight w:val="none"/>
        </w:rPr>
        <w:t>四、响应文件提交</w:t>
      </w:r>
      <w:bookmarkEnd w:id="22"/>
      <w:bookmarkEnd w:id="23"/>
      <w:bookmarkEnd w:id="24"/>
      <w:bookmarkEnd w:id="25"/>
      <w:r>
        <w:rPr>
          <w:rFonts w:hint="eastAsia"/>
          <w:b/>
          <w:color w:val="auto"/>
          <w:highlight w:val="none"/>
        </w:rPr>
        <w:t>（上传）</w:t>
      </w:r>
    </w:p>
    <w:p w14:paraId="5550FA32">
      <w:pPr>
        <w:spacing w:line="360" w:lineRule="auto"/>
        <w:ind w:firstLine="480" w:firstLineChars="200"/>
        <w:rPr>
          <w:rFonts w:asciiTheme="minorEastAsia" w:hAnsiTheme="minorEastAsia" w:eastAsiaTheme="minorEastAsia"/>
          <w:bCs/>
          <w:color w:val="auto"/>
          <w:sz w:val="24"/>
          <w:highlight w:val="none"/>
          <w:u w:val="single"/>
        </w:rPr>
      </w:pPr>
      <w:r>
        <w:rPr>
          <w:rFonts w:hint="eastAsia" w:asciiTheme="minorEastAsia" w:hAnsiTheme="minorEastAsia" w:eastAsiaTheme="minorEastAsia"/>
          <w:color w:val="auto"/>
          <w:sz w:val="24"/>
          <w:highlight w:val="none"/>
        </w:rPr>
        <w:t>截止时间</w:t>
      </w:r>
      <w:r>
        <w:rPr>
          <w:rFonts w:hint="eastAsia"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u w:val="single"/>
        </w:rPr>
        <w:t>202</w:t>
      </w:r>
      <w:r>
        <w:rPr>
          <w:rFonts w:hint="eastAsia" w:cs="宋体" w:asciiTheme="minorEastAsia" w:hAnsiTheme="minorEastAsia" w:eastAsiaTheme="minorEastAsia"/>
          <w:color w:val="auto"/>
          <w:sz w:val="24"/>
          <w:highlight w:val="none"/>
          <w:u w:val="single"/>
          <w:lang w:val="en-US" w:eastAsia="zh-CN"/>
        </w:rPr>
        <w:t>6</w:t>
      </w:r>
      <w:r>
        <w:rPr>
          <w:rFonts w:hint="eastAsia" w:cs="宋体" w:asciiTheme="minorEastAsia" w:hAnsiTheme="minorEastAsia" w:eastAsiaTheme="minorEastAsia"/>
          <w:color w:val="auto"/>
          <w:sz w:val="24"/>
          <w:highlight w:val="none"/>
          <w:u w:val="single"/>
        </w:rPr>
        <w:t>年</w:t>
      </w:r>
      <w:r>
        <w:rPr>
          <w:rFonts w:hint="eastAsia" w:cs="宋体" w:asciiTheme="minorEastAsia" w:hAnsiTheme="minorEastAsia" w:eastAsiaTheme="minorEastAsia"/>
          <w:color w:val="auto"/>
          <w:sz w:val="24"/>
          <w:highlight w:val="none"/>
          <w:u w:val="single"/>
          <w:lang w:val="en-US" w:eastAsia="zh-CN"/>
        </w:rPr>
        <w:t>8</w:t>
      </w:r>
      <w:r>
        <w:rPr>
          <w:rFonts w:hint="eastAsia" w:cs="宋体" w:asciiTheme="minorEastAsia" w:hAnsiTheme="minorEastAsia" w:eastAsiaTheme="minorEastAsia"/>
          <w:color w:val="auto"/>
          <w:sz w:val="24"/>
          <w:highlight w:val="none"/>
          <w:u w:val="single"/>
        </w:rPr>
        <w:t>月</w:t>
      </w:r>
      <w:r>
        <w:rPr>
          <w:rFonts w:hint="eastAsia" w:cs="宋体" w:asciiTheme="minorEastAsia" w:hAnsiTheme="minorEastAsia" w:eastAsiaTheme="minorEastAsia"/>
          <w:color w:val="auto"/>
          <w:sz w:val="24"/>
          <w:highlight w:val="none"/>
          <w:u w:val="single"/>
          <w:lang w:val="en-US" w:eastAsia="zh-CN"/>
        </w:rPr>
        <w:t>12</w:t>
      </w:r>
      <w:r>
        <w:rPr>
          <w:rFonts w:hint="eastAsia" w:cs="宋体" w:asciiTheme="minorEastAsia" w:hAnsiTheme="minorEastAsia" w:eastAsiaTheme="minorEastAsia"/>
          <w:color w:val="auto"/>
          <w:sz w:val="24"/>
          <w:highlight w:val="none"/>
          <w:u w:val="single"/>
        </w:rPr>
        <w:t>日</w:t>
      </w:r>
      <w:r>
        <w:rPr>
          <w:rFonts w:hint="eastAsia" w:asciiTheme="minorEastAsia" w:hAnsiTheme="minorEastAsia" w:eastAsiaTheme="minorEastAsia"/>
          <w:bCs/>
          <w:color w:val="auto"/>
          <w:sz w:val="24"/>
          <w:highlight w:val="none"/>
          <w:u w:val="single"/>
          <w:lang w:val="en-US" w:eastAsia="zh-CN"/>
        </w:rPr>
        <w:t>09</w:t>
      </w:r>
      <w:r>
        <w:rPr>
          <w:rFonts w:hint="eastAsia" w:asciiTheme="minorEastAsia" w:hAnsiTheme="minorEastAsia" w:eastAsiaTheme="minorEastAsia"/>
          <w:bCs/>
          <w:color w:val="auto"/>
          <w:sz w:val="24"/>
          <w:highlight w:val="none"/>
          <w:u w:val="single"/>
        </w:rPr>
        <w:t>点</w:t>
      </w:r>
      <w:r>
        <w:rPr>
          <w:rFonts w:hint="eastAsia" w:asciiTheme="minorEastAsia" w:hAnsiTheme="minorEastAsia" w:eastAsiaTheme="minorEastAsia"/>
          <w:bCs/>
          <w:color w:val="auto"/>
          <w:sz w:val="24"/>
          <w:highlight w:val="none"/>
          <w:u w:val="single"/>
          <w:lang w:val="en-US" w:eastAsia="zh-CN"/>
        </w:rPr>
        <w:t>00</w:t>
      </w:r>
      <w:r>
        <w:rPr>
          <w:rFonts w:hint="eastAsia" w:asciiTheme="minorEastAsia" w:hAnsiTheme="minorEastAsia" w:eastAsiaTheme="minorEastAsia"/>
          <w:bCs/>
          <w:color w:val="auto"/>
          <w:sz w:val="24"/>
          <w:highlight w:val="none"/>
          <w:u w:val="single"/>
        </w:rPr>
        <w:t>分00秒</w:t>
      </w:r>
      <w:r>
        <w:rPr>
          <w:rFonts w:hint="eastAsia" w:asciiTheme="minorEastAsia" w:hAnsiTheme="minorEastAsia" w:eastAsiaTheme="minorEastAsia"/>
          <w:bCs/>
          <w:color w:val="auto"/>
          <w:sz w:val="24"/>
          <w:highlight w:val="none"/>
        </w:rPr>
        <w:t>（北京时间）</w:t>
      </w:r>
    </w:p>
    <w:p w14:paraId="4315B3F1">
      <w:pPr>
        <w:spacing w:line="360" w:lineRule="auto"/>
        <w:ind w:firstLine="480" w:firstLineChars="200"/>
        <w:rPr>
          <w:rFonts w:asciiTheme="minorEastAsia" w:hAnsiTheme="minorEastAsia" w:eastAsiaTheme="minorEastAsia"/>
          <w:bCs/>
          <w:color w:val="auto"/>
          <w:sz w:val="24"/>
          <w:highlight w:val="none"/>
          <w:u w:val="single"/>
        </w:rPr>
      </w:pPr>
      <w:r>
        <w:rPr>
          <w:rFonts w:hint="eastAsia" w:asciiTheme="minorEastAsia" w:hAnsiTheme="minorEastAsia" w:eastAsiaTheme="minorEastAsia"/>
          <w:color w:val="auto"/>
          <w:sz w:val="24"/>
          <w:highlight w:val="none"/>
        </w:rPr>
        <w:t>地点</w:t>
      </w:r>
      <w:r>
        <w:rPr>
          <w:rFonts w:hint="eastAsia" w:asciiTheme="minorEastAsia" w:hAnsiTheme="minorEastAsia" w:eastAsiaTheme="minorEastAsia"/>
          <w:color w:val="auto"/>
          <w:sz w:val="24"/>
          <w:highlight w:val="none"/>
          <w:lang w:eastAsia="zh-CN"/>
        </w:rPr>
        <w:t>：</w:t>
      </w:r>
      <w:r>
        <w:rPr>
          <w:rFonts w:hint="eastAsia" w:ascii="宋体" w:hAnsi="宋体" w:cs="宋体"/>
          <w:color w:val="auto"/>
          <w:sz w:val="24"/>
          <w:highlight w:val="none"/>
        </w:rPr>
        <w:t>广西政府采购云平台（https</w:t>
      </w:r>
      <w:r>
        <w:rPr>
          <w:rFonts w:hint="eastAsia" w:ascii="宋体" w:hAnsi="宋体" w:cs="宋体"/>
          <w:color w:val="auto"/>
          <w:sz w:val="24"/>
          <w:highlight w:val="none"/>
          <w:lang w:eastAsia="zh-CN"/>
        </w:rPr>
        <w:t>：</w:t>
      </w:r>
      <w:r>
        <w:rPr>
          <w:rFonts w:hint="eastAsia" w:ascii="宋体" w:hAnsi="宋体" w:cs="宋体"/>
          <w:color w:val="auto"/>
          <w:sz w:val="24"/>
          <w:highlight w:val="none"/>
        </w:rPr>
        <w:t>//www.gcy.zfcg.gxzf.gov.cn/）</w:t>
      </w:r>
      <w:r>
        <w:rPr>
          <w:rFonts w:hint="eastAsia" w:cs="仿宋_GB2312" w:asciiTheme="minorEastAsia" w:hAnsiTheme="minorEastAsia" w:eastAsiaTheme="minorEastAsia"/>
          <w:b/>
          <w:color w:val="auto"/>
          <w:sz w:val="24"/>
          <w:highlight w:val="none"/>
        </w:rPr>
        <w:t>。</w:t>
      </w:r>
    </w:p>
    <w:p w14:paraId="70C5563F">
      <w:pPr>
        <w:pStyle w:val="634"/>
        <w:spacing w:line="360" w:lineRule="auto"/>
        <w:ind w:firstLine="0"/>
        <w:rPr>
          <w:b/>
          <w:color w:val="auto"/>
          <w:highlight w:val="none"/>
        </w:rPr>
      </w:pPr>
      <w:bookmarkStart w:id="26" w:name="_Toc28359093"/>
      <w:bookmarkStart w:id="27" w:name="_Toc35393633"/>
      <w:bookmarkStart w:id="28" w:name="_Toc35393802"/>
      <w:bookmarkStart w:id="29" w:name="_Toc28359016"/>
      <w:r>
        <w:rPr>
          <w:rFonts w:hint="eastAsia"/>
          <w:b/>
          <w:color w:val="auto"/>
          <w:highlight w:val="none"/>
        </w:rPr>
        <w:t>五、响应文件开启</w:t>
      </w:r>
      <w:bookmarkEnd w:id="26"/>
      <w:bookmarkEnd w:id="27"/>
      <w:bookmarkEnd w:id="28"/>
      <w:bookmarkEnd w:id="29"/>
    </w:p>
    <w:p w14:paraId="33FD8124">
      <w:pPr>
        <w:spacing w:line="360" w:lineRule="auto"/>
        <w:ind w:firstLine="480" w:firstLineChars="200"/>
        <w:rPr>
          <w:rFonts w:asciiTheme="minorEastAsia" w:hAnsiTheme="minorEastAsia" w:eastAsiaTheme="minorEastAsia"/>
          <w:bCs/>
          <w:color w:val="auto"/>
          <w:sz w:val="24"/>
          <w:highlight w:val="none"/>
          <w:u w:val="single"/>
        </w:rPr>
      </w:pPr>
      <w:r>
        <w:rPr>
          <w:rFonts w:hint="eastAsia" w:asciiTheme="minorEastAsia" w:hAnsiTheme="minorEastAsia" w:eastAsiaTheme="minorEastAsia"/>
          <w:color w:val="auto"/>
          <w:sz w:val="24"/>
          <w:highlight w:val="none"/>
        </w:rPr>
        <w:t>时间</w:t>
      </w:r>
      <w:r>
        <w:rPr>
          <w:rFonts w:hint="eastAsia"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u w:val="single"/>
        </w:rPr>
        <w:t>202</w:t>
      </w:r>
      <w:r>
        <w:rPr>
          <w:rFonts w:hint="eastAsia" w:cs="宋体" w:asciiTheme="minorEastAsia" w:hAnsiTheme="minorEastAsia" w:eastAsiaTheme="minorEastAsia"/>
          <w:color w:val="auto"/>
          <w:sz w:val="24"/>
          <w:highlight w:val="none"/>
          <w:u w:val="single"/>
          <w:lang w:val="en-US" w:eastAsia="zh-CN"/>
        </w:rPr>
        <w:t>6</w:t>
      </w:r>
      <w:r>
        <w:rPr>
          <w:rFonts w:hint="eastAsia" w:cs="宋体" w:asciiTheme="minorEastAsia" w:hAnsiTheme="minorEastAsia" w:eastAsiaTheme="minorEastAsia"/>
          <w:color w:val="auto"/>
          <w:sz w:val="24"/>
          <w:highlight w:val="none"/>
          <w:u w:val="single"/>
        </w:rPr>
        <w:t>年</w:t>
      </w:r>
      <w:r>
        <w:rPr>
          <w:rFonts w:hint="eastAsia" w:cs="宋体" w:asciiTheme="minorEastAsia" w:hAnsiTheme="minorEastAsia" w:eastAsiaTheme="minorEastAsia"/>
          <w:color w:val="auto"/>
          <w:sz w:val="24"/>
          <w:highlight w:val="none"/>
          <w:u w:val="single"/>
          <w:lang w:val="en-US" w:eastAsia="zh-CN"/>
        </w:rPr>
        <w:t>8</w:t>
      </w:r>
      <w:r>
        <w:rPr>
          <w:rFonts w:hint="eastAsia" w:cs="宋体" w:asciiTheme="minorEastAsia" w:hAnsiTheme="minorEastAsia" w:eastAsiaTheme="minorEastAsia"/>
          <w:color w:val="auto"/>
          <w:sz w:val="24"/>
          <w:highlight w:val="none"/>
          <w:u w:val="single"/>
        </w:rPr>
        <w:t>月</w:t>
      </w:r>
      <w:r>
        <w:rPr>
          <w:rFonts w:hint="eastAsia" w:cs="宋体" w:asciiTheme="minorEastAsia" w:hAnsiTheme="minorEastAsia" w:eastAsiaTheme="minorEastAsia"/>
          <w:color w:val="auto"/>
          <w:sz w:val="24"/>
          <w:highlight w:val="none"/>
          <w:u w:val="single"/>
          <w:lang w:val="en-US" w:eastAsia="zh-CN"/>
        </w:rPr>
        <w:t>12</w:t>
      </w:r>
      <w:r>
        <w:rPr>
          <w:rFonts w:hint="eastAsia" w:cs="宋体" w:asciiTheme="minorEastAsia" w:hAnsiTheme="minorEastAsia" w:eastAsiaTheme="minorEastAsia"/>
          <w:color w:val="auto"/>
          <w:sz w:val="24"/>
          <w:highlight w:val="none"/>
          <w:u w:val="single"/>
        </w:rPr>
        <w:t>日</w:t>
      </w:r>
      <w:r>
        <w:rPr>
          <w:rFonts w:hint="eastAsia" w:asciiTheme="minorEastAsia" w:hAnsiTheme="minorEastAsia" w:eastAsiaTheme="minorEastAsia"/>
          <w:bCs/>
          <w:color w:val="auto"/>
          <w:sz w:val="24"/>
          <w:highlight w:val="none"/>
          <w:u w:val="single"/>
          <w:lang w:val="en-US" w:eastAsia="zh-CN"/>
        </w:rPr>
        <w:t>09</w:t>
      </w:r>
      <w:r>
        <w:rPr>
          <w:rFonts w:hint="eastAsia" w:asciiTheme="minorEastAsia" w:hAnsiTheme="minorEastAsia" w:eastAsiaTheme="minorEastAsia"/>
          <w:bCs/>
          <w:color w:val="auto"/>
          <w:sz w:val="24"/>
          <w:highlight w:val="none"/>
          <w:u w:val="single"/>
        </w:rPr>
        <w:t>点</w:t>
      </w:r>
      <w:r>
        <w:rPr>
          <w:rFonts w:hint="eastAsia" w:asciiTheme="minorEastAsia" w:hAnsiTheme="minorEastAsia" w:eastAsiaTheme="minorEastAsia"/>
          <w:bCs/>
          <w:color w:val="auto"/>
          <w:sz w:val="24"/>
          <w:highlight w:val="none"/>
          <w:u w:val="single"/>
          <w:lang w:val="en-US" w:eastAsia="zh-CN"/>
        </w:rPr>
        <w:t>00</w:t>
      </w:r>
      <w:r>
        <w:rPr>
          <w:rFonts w:hint="eastAsia" w:asciiTheme="minorEastAsia" w:hAnsiTheme="minorEastAsia" w:eastAsiaTheme="minorEastAsia"/>
          <w:bCs/>
          <w:color w:val="auto"/>
          <w:sz w:val="24"/>
          <w:highlight w:val="none"/>
          <w:u w:val="single"/>
        </w:rPr>
        <w:t>分00秒</w:t>
      </w:r>
      <w:r>
        <w:rPr>
          <w:rFonts w:hint="eastAsia" w:asciiTheme="minorEastAsia" w:hAnsiTheme="minorEastAsia" w:eastAsiaTheme="minorEastAsia"/>
          <w:bCs/>
          <w:color w:val="auto"/>
          <w:sz w:val="24"/>
          <w:highlight w:val="none"/>
        </w:rPr>
        <w:t>（北京时间）</w:t>
      </w:r>
    </w:p>
    <w:p w14:paraId="253EA6DA">
      <w:pPr>
        <w:spacing w:line="360" w:lineRule="auto"/>
        <w:ind w:firstLine="480" w:firstLineChars="200"/>
        <w:rPr>
          <w:rFonts w:asciiTheme="minorEastAsia" w:hAnsiTheme="minorEastAsia" w:eastAsiaTheme="minorEastAsia"/>
          <w:bCs/>
          <w:color w:val="auto"/>
          <w:sz w:val="24"/>
          <w:highlight w:val="none"/>
          <w:u w:val="single"/>
        </w:rPr>
      </w:pPr>
      <w:r>
        <w:rPr>
          <w:rFonts w:hint="eastAsia" w:asciiTheme="minorEastAsia" w:hAnsiTheme="minorEastAsia" w:eastAsiaTheme="minorEastAsia"/>
          <w:color w:val="auto"/>
          <w:sz w:val="24"/>
          <w:highlight w:val="none"/>
        </w:rPr>
        <w:t>地点</w:t>
      </w:r>
      <w:r>
        <w:rPr>
          <w:rFonts w:hint="eastAsia" w:asciiTheme="minorEastAsia" w:hAnsiTheme="minorEastAsia" w:eastAsiaTheme="minorEastAsia"/>
          <w:color w:val="auto"/>
          <w:sz w:val="24"/>
          <w:highlight w:val="none"/>
          <w:lang w:eastAsia="zh-CN"/>
        </w:rPr>
        <w:t>：</w:t>
      </w:r>
      <w:r>
        <w:rPr>
          <w:rFonts w:hint="eastAsia" w:ascii="宋体" w:hAnsi="宋体" w:cs="宋体"/>
          <w:color w:val="auto"/>
          <w:sz w:val="24"/>
          <w:highlight w:val="none"/>
        </w:rPr>
        <w:t>广西政府采购云平台（https</w:t>
      </w:r>
      <w:r>
        <w:rPr>
          <w:rFonts w:hint="eastAsia" w:ascii="宋体" w:hAnsi="宋体" w:cs="宋体"/>
          <w:color w:val="auto"/>
          <w:sz w:val="24"/>
          <w:highlight w:val="none"/>
          <w:lang w:eastAsia="zh-CN"/>
        </w:rPr>
        <w:t>：</w:t>
      </w:r>
      <w:r>
        <w:rPr>
          <w:rFonts w:hint="eastAsia" w:ascii="宋体" w:hAnsi="宋体" w:cs="宋体"/>
          <w:color w:val="auto"/>
          <w:sz w:val="24"/>
          <w:highlight w:val="none"/>
        </w:rPr>
        <w:t>//www.gcy.zfcg.gxzf.gov.cn/）</w:t>
      </w:r>
      <w:r>
        <w:rPr>
          <w:rFonts w:hint="eastAsia" w:cs="宋体" w:asciiTheme="minorEastAsia" w:hAnsiTheme="minorEastAsia" w:eastAsiaTheme="minorEastAsia"/>
          <w:color w:val="auto"/>
          <w:sz w:val="24"/>
          <w:highlight w:val="none"/>
        </w:rPr>
        <w:t>。</w:t>
      </w:r>
    </w:p>
    <w:p w14:paraId="144EC186">
      <w:pPr>
        <w:pStyle w:val="634"/>
        <w:spacing w:line="360" w:lineRule="auto"/>
        <w:ind w:firstLine="0"/>
        <w:rPr>
          <w:b/>
          <w:color w:val="auto"/>
          <w:highlight w:val="none"/>
        </w:rPr>
      </w:pPr>
      <w:bookmarkStart w:id="30" w:name="_Toc35393803"/>
      <w:bookmarkStart w:id="31" w:name="_Toc35393634"/>
      <w:bookmarkStart w:id="32" w:name="_Toc28359017"/>
      <w:bookmarkStart w:id="33" w:name="_Toc28359094"/>
      <w:r>
        <w:rPr>
          <w:rFonts w:hint="eastAsia"/>
          <w:b/>
          <w:color w:val="auto"/>
          <w:highlight w:val="none"/>
        </w:rPr>
        <w:t>六、公告期限</w:t>
      </w:r>
      <w:bookmarkEnd w:id="30"/>
      <w:bookmarkEnd w:id="31"/>
      <w:bookmarkEnd w:id="32"/>
      <w:bookmarkEnd w:id="33"/>
    </w:p>
    <w:p w14:paraId="55181D40">
      <w:pPr>
        <w:spacing w:line="360" w:lineRule="auto"/>
        <w:ind w:firstLine="480" w:firstLineChars="200"/>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自本公告发布之日起</w:t>
      </w:r>
      <w:r>
        <w:rPr>
          <w:rFonts w:hint="eastAsia" w:cs="宋体" w:asciiTheme="minorEastAsia" w:hAnsiTheme="minorEastAsia" w:eastAsiaTheme="minorEastAsia"/>
          <w:color w:val="auto"/>
          <w:kern w:val="0"/>
          <w:sz w:val="24"/>
          <w:highlight w:val="none"/>
          <w:lang w:val="en-US" w:eastAsia="zh-CN"/>
        </w:rPr>
        <w:t>3</w:t>
      </w:r>
      <w:r>
        <w:rPr>
          <w:rFonts w:hint="eastAsia" w:cs="宋体" w:asciiTheme="minorEastAsia" w:hAnsiTheme="minorEastAsia" w:eastAsiaTheme="minorEastAsia"/>
          <w:color w:val="auto"/>
          <w:kern w:val="0"/>
          <w:sz w:val="24"/>
          <w:highlight w:val="none"/>
        </w:rPr>
        <w:t>个工作日。</w:t>
      </w:r>
    </w:p>
    <w:p w14:paraId="58D1D74E">
      <w:pPr>
        <w:pStyle w:val="634"/>
        <w:spacing w:line="360" w:lineRule="auto"/>
        <w:ind w:firstLine="0"/>
        <w:rPr>
          <w:b/>
          <w:color w:val="auto"/>
          <w:highlight w:val="none"/>
        </w:rPr>
      </w:pPr>
      <w:bookmarkStart w:id="34" w:name="_Toc35393804"/>
      <w:bookmarkStart w:id="35" w:name="_Toc35393635"/>
      <w:r>
        <w:rPr>
          <w:rFonts w:hint="eastAsia"/>
          <w:b/>
          <w:color w:val="auto"/>
          <w:highlight w:val="none"/>
        </w:rPr>
        <w:t>七、其他补充事宜</w:t>
      </w:r>
      <w:bookmarkEnd w:id="34"/>
      <w:bookmarkEnd w:id="35"/>
    </w:p>
    <w:p w14:paraId="5E29EB92">
      <w:pPr>
        <w:spacing w:line="360" w:lineRule="auto"/>
        <w:ind w:firstLine="480" w:firstLineChars="200"/>
        <w:rPr>
          <w:rFonts w:hint="eastAsia" w:cs="Times New Roman" w:asciiTheme="minorEastAsia" w:hAnsiTheme="minorEastAsia" w:eastAsiaTheme="minorEastAsia"/>
          <w:color w:val="auto"/>
          <w:kern w:val="2"/>
          <w:sz w:val="24"/>
          <w:szCs w:val="24"/>
          <w:highlight w:val="none"/>
          <w:lang w:val="en-US" w:eastAsia="zh-CN" w:bidi="ar-SA"/>
        </w:rPr>
      </w:pPr>
      <w:bookmarkStart w:id="36" w:name="_Toc28359018"/>
      <w:bookmarkStart w:id="37" w:name="_Toc35393636"/>
      <w:bookmarkStart w:id="38" w:name="_Toc35393805"/>
      <w:bookmarkStart w:id="39" w:name="_Toc28359095"/>
      <w:r>
        <w:rPr>
          <w:rFonts w:hint="eastAsia" w:cs="Times New Roman" w:asciiTheme="minorEastAsia" w:hAnsiTheme="minorEastAsia" w:eastAsiaTheme="minorEastAsia"/>
          <w:color w:val="auto"/>
          <w:kern w:val="2"/>
          <w:sz w:val="24"/>
          <w:szCs w:val="24"/>
          <w:highlight w:val="none"/>
          <w:lang w:val="en-US" w:eastAsia="zh-CN" w:bidi="ar-SA"/>
        </w:rPr>
        <w:t>1.网上查询地址：www.ccgp.gov.cn（中国政府采购网）、zfcg.gxzf.gov.cn（广西壮族自治区政府采购网）、http://ggzy.jgswj.gxzf.gov.cn/bhggzy/（全国公共资源交易平台(广西·北海)）。</w:t>
      </w:r>
    </w:p>
    <w:p w14:paraId="1D05DA4A">
      <w:pPr>
        <w:spacing w:line="360" w:lineRule="auto"/>
        <w:ind w:firstLine="480" w:firstLineChars="200"/>
        <w:rPr>
          <w:rFonts w:hint="eastAsia"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2.本项目需要落实的政府采购政策</w:t>
      </w:r>
    </w:p>
    <w:p w14:paraId="0E1F4CE5">
      <w:pPr>
        <w:spacing w:line="360" w:lineRule="auto"/>
        <w:ind w:firstLine="480" w:firstLineChars="200"/>
        <w:rPr>
          <w:rFonts w:hint="eastAsia"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（1）政府采购促进中小企业发展。</w:t>
      </w:r>
    </w:p>
    <w:p w14:paraId="48299272">
      <w:pPr>
        <w:spacing w:line="360" w:lineRule="auto"/>
        <w:ind w:firstLine="480" w:firstLineChars="200"/>
        <w:rPr>
          <w:rFonts w:hint="eastAsia"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（2）政府采购支持采用本国产品的政策。</w:t>
      </w:r>
    </w:p>
    <w:p w14:paraId="52E3EDDF">
      <w:pPr>
        <w:spacing w:line="360" w:lineRule="auto"/>
        <w:ind w:firstLine="480" w:firstLineChars="200"/>
        <w:rPr>
          <w:rFonts w:hint="eastAsia"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（3）强制采购节能产品；优先采购节能产品、环境标志产品。</w:t>
      </w:r>
    </w:p>
    <w:p w14:paraId="77A536E2">
      <w:pPr>
        <w:spacing w:line="360" w:lineRule="auto"/>
        <w:ind w:firstLine="480" w:firstLineChars="200"/>
        <w:rPr>
          <w:rFonts w:hint="eastAsia"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（4）政府采购促进残疾人就业政策。</w:t>
      </w:r>
    </w:p>
    <w:p w14:paraId="20CBAB91">
      <w:pPr>
        <w:spacing w:line="360" w:lineRule="auto"/>
        <w:ind w:firstLine="480" w:firstLineChars="200"/>
        <w:rPr>
          <w:rFonts w:hint="eastAsia"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（5）政府采购支持监狱企业发展。</w:t>
      </w:r>
    </w:p>
    <w:p w14:paraId="45C294F4">
      <w:pPr>
        <w:spacing w:line="360" w:lineRule="auto"/>
        <w:ind w:left="522" w:leftChars="237" w:hanging="24" w:hangingChars="10"/>
        <w:rPr>
          <w:rFonts w:hint="eastAsia"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3.供应商竞标注意事项</w:t>
      </w:r>
    </w:p>
    <w:p w14:paraId="2CAA07E9">
      <w:pPr>
        <w:spacing w:line="360" w:lineRule="auto"/>
        <w:ind w:left="0" w:leftChars="0" w:firstLine="638" w:firstLineChars="266"/>
        <w:rPr>
          <w:rFonts w:hint="eastAsia"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1）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54036B58">
      <w:pPr>
        <w:spacing w:line="360" w:lineRule="auto"/>
        <w:ind w:firstLine="480" w:firstLineChars="200"/>
        <w:rPr>
          <w:rFonts w:hint="eastAsia"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客服热线：95763或者0771-3381253）。</w:t>
      </w:r>
    </w:p>
    <w:p w14:paraId="084C8C0A">
      <w:pPr>
        <w:spacing w:line="360" w:lineRule="auto"/>
        <w:ind w:firstLine="480" w:firstLineChars="200"/>
        <w:rPr>
          <w:rFonts w:hint="eastAsia"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（3）CA证书在线解密：首次响应文件开启时，需携带制作响应文件时用来加密的有效数字证书（CA认证）登录广西政府采购云平台电子开标大厅现场按规定时间对加密的响应文件进行解密，否则后果自负。</w:t>
      </w:r>
    </w:p>
    <w:p w14:paraId="7FABB589">
      <w:pPr>
        <w:spacing w:line="360" w:lineRule="auto"/>
        <w:ind w:firstLine="480" w:firstLineChars="200"/>
        <w:rPr>
          <w:rFonts w:hint="eastAsia"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注：1）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3CB10372">
      <w:pPr>
        <w:numPr>
          <w:ilvl w:val="0"/>
          <w:numId w:val="0"/>
        </w:numPr>
        <w:spacing w:line="360" w:lineRule="auto"/>
        <w:ind w:firstLine="480" w:firstLineChars="200"/>
        <w:rPr>
          <w:rFonts w:hint="eastAsia"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（4）供应商需要在具备有摄像头及语音功能且互联网网络状况良好的电脑登录广西政府采购云平台远程开标大厅参与本次磋商，否则后果自负。</w:t>
      </w:r>
    </w:p>
    <w:p w14:paraId="673EEF3A">
      <w:pPr>
        <w:numPr>
          <w:ilvl w:val="0"/>
          <w:numId w:val="0"/>
        </w:numPr>
        <w:spacing w:line="360" w:lineRule="auto"/>
        <w:ind w:firstLine="480" w:firstLineChars="200"/>
        <w:rPr>
          <w:b/>
          <w:color w:val="auto"/>
          <w:highlight w:val="none"/>
        </w:rPr>
      </w:pPr>
      <w:r>
        <w:rPr>
          <w:rFonts w:hint="eastAsia" w:cs="Times New Roman" w:asciiTheme="minorEastAsia" w:hAnsiTheme="minorEastAsia" w:eastAsiaTheme="minorEastAsia"/>
          <w:color w:val="auto"/>
          <w:kern w:val="2"/>
          <w:sz w:val="24"/>
          <w:szCs w:val="24"/>
          <w:highlight w:val="none"/>
          <w:lang w:val="en-US" w:eastAsia="zh-CN" w:bidi="ar-SA"/>
        </w:rPr>
        <w:t>4.磋商保证金：</w:t>
      </w:r>
      <w:r>
        <w:rPr>
          <w:rFonts w:hint="eastAsia" w:ascii="宋体" w:hAnsi="宋体" w:cs="宋体"/>
          <w:color w:val="auto"/>
          <w:kern w:val="0"/>
          <w:sz w:val="24"/>
          <w:highlight w:val="none"/>
        </w:rPr>
        <w:t>本项目不收取</w:t>
      </w:r>
      <w:r>
        <w:rPr>
          <w:rFonts w:hint="eastAsia" w:ascii="宋体" w:hAnsi="宋体" w:cs="宋体"/>
          <w:color w:val="auto"/>
          <w:kern w:val="0"/>
          <w:sz w:val="24"/>
          <w:highlight w:val="none"/>
          <w:lang w:val="en-US" w:eastAsia="zh-CN"/>
        </w:rPr>
        <w:t>磋商</w:t>
      </w:r>
      <w:r>
        <w:rPr>
          <w:rFonts w:hint="eastAsia" w:ascii="宋体" w:hAnsi="宋体" w:cs="宋体"/>
          <w:color w:val="auto"/>
          <w:kern w:val="0"/>
          <w:sz w:val="24"/>
          <w:highlight w:val="none"/>
        </w:rPr>
        <w:t>保证金</w:t>
      </w:r>
      <w:r>
        <w:rPr>
          <w:rFonts w:hint="eastAsia" w:cs="Times New Roman" w:asciiTheme="minorEastAsia" w:hAnsiTheme="minorEastAsia" w:eastAsiaTheme="minorEastAsia"/>
          <w:color w:val="auto"/>
          <w:kern w:val="2"/>
          <w:sz w:val="24"/>
          <w:szCs w:val="24"/>
          <w:highlight w:val="none"/>
          <w:lang w:val="en-US" w:eastAsia="zh-CN" w:bidi="ar-SA"/>
        </w:rPr>
        <w:t>。</w:t>
      </w:r>
    </w:p>
    <w:p w14:paraId="4B6E5E73">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6CC6874">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6.对在“信用中国”网站</w:t>
      </w:r>
      <w:r>
        <w:rPr>
          <w:rFonts w:hint="eastAsia" w:ascii="宋体" w:hAnsi="宋体" w:cs="宋体"/>
          <w:color w:val="auto"/>
          <w:sz w:val="24"/>
          <w:highlight w:val="none"/>
          <w:lang w:eastAsia="zh-CN"/>
        </w:rPr>
        <w:t>（</w:t>
      </w:r>
      <w:r>
        <w:rPr>
          <w:rFonts w:hint="eastAsia" w:ascii="宋体" w:hAnsi="宋体" w:cs="宋体"/>
          <w:color w:val="auto"/>
          <w:sz w:val="24"/>
          <w:highlight w:val="none"/>
        </w:rPr>
        <w:t>www.creditchina.gov.cn</w:t>
      </w:r>
      <w:r>
        <w:rPr>
          <w:rFonts w:hint="eastAsia" w:ascii="宋体" w:hAnsi="宋体" w:cs="宋体"/>
          <w:color w:val="auto"/>
          <w:sz w:val="24"/>
          <w:highlight w:val="none"/>
          <w:lang w:eastAsia="zh-CN"/>
        </w:rPr>
        <w:t>）</w:t>
      </w:r>
      <w:r>
        <w:rPr>
          <w:rFonts w:hint="eastAsia" w:ascii="宋体" w:hAnsi="宋体" w:cs="宋体"/>
          <w:color w:val="auto"/>
          <w:sz w:val="24"/>
          <w:highlight w:val="none"/>
        </w:rPr>
        <w:t xml:space="preserve"> 、中国政府采购网</w:t>
      </w:r>
      <w:r>
        <w:rPr>
          <w:rFonts w:hint="eastAsia" w:ascii="宋体" w:hAnsi="宋体" w:cs="宋体"/>
          <w:color w:val="auto"/>
          <w:sz w:val="24"/>
          <w:highlight w:val="none"/>
          <w:lang w:eastAsia="zh-CN"/>
        </w:rPr>
        <w:t>（</w:t>
      </w:r>
      <w:r>
        <w:rPr>
          <w:rFonts w:hint="eastAsia" w:ascii="宋体" w:hAnsi="宋体" w:cs="宋体"/>
          <w:color w:val="auto"/>
          <w:sz w:val="24"/>
          <w:highlight w:val="none"/>
        </w:rPr>
        <w:t>www.ccgp.gov.cn</w:t>
      </w:r>
      <w:r>
        <w:rPr>
          <w:rFonts w:hint="eastAsia" w:ascii="宋体" w:hAnsi="宋体" w:cs="宋体"/>
          <w:color w:val="auto"/>
          <w:sz w:val="24"/>
          <w:highlight w:val="none"/>
          <w:lang w:eastAsia="zh-CN"/>
        </w:rPr>
        <w:t>）</w:t>
      </w:r>
      <w:r>
        <w:rPr>
          <w:rFonts w:hint="eastAsia" w:ascii="宋体" w:hAnsi="宋体" w:cs="宋体"/>
          <w:color w:val="auto"/>
          <w:sz w:val="24"/>
          <w:highlight w:val="none"/>
        </w:rPr>
        <w:t>被列入失信被执行人、重大税收违法失信主体、政府采购严重违法失信行为记录名单及其他不符合《中华人民共和国政府采购法》第二十二条规定条件的供应商，不得参与政府采购活动。</w:t>
      </w:r>
    </w:p>
    <w:p w14:paraId="1DF7587F">
      <w:pPr>
        <w:spacing w:line="360" w:lineRule="auto"/>
        <w:ind w:firstLine="480" w:firstLineChars="200"/>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7.本项目接受同一供应商对多个标项进行竞标，但是一个供应商只允许成交一个标项，推荐各标项的第一成交候选人顺序为标项1→标项2，已作为其他标项的第一中成交候选人不可同时再作为其他标项的排名成交候选人。</w:t>
      </w:r>
    </w:p>
    <w:p w14:paraId="0B71055F">
      <w:pPr>
        <w:numPr>
          <w:ilvl w:val="0"/>
          <w:numId w:val="0"/>
        </w:numPr>
        <w:spacing w:line="360" w:lineRule="auto"/>
        <w:ind w:firstLine="480" w:firstLineChars="200"/>
        <w:rPr>
          <w:rFonts w:hint="eastAsia"/>
          <w:color w:val="auto"/>
          <w:lang w:val="en-US" w:eastAsia="zh-CN"/>
        </w:rPr>
      </w:pPr>
      <w:r>
        <w:rPr>
          <w:rFonts w:hint="eastAsia" w:cs="Times New Roman" w:asciiTheme="minorEastAsia" w:hAnsiTheme="minorEastAsia" w:eastAsiaTheme="minorEastAsia"/>
          <w:color w:val="auto"/>
          <w:sz w:val="24"/>
          <w:highlight w:val="none"/>
          <w:lang w:val="en-US" w:eastAsia="zh-CN"/>
        </w:rPr>
        <w:t>8.本项目为线上电子招标项目，采用远程异地评标。</w:t>
      </w:r>
    </w:p>
    <w:p w14:paraId="5EE19889">
      <w:pPr>
        <w:pStyle w:val="634"/>
        <w:spacing w:line="360" w:lineRule="auto"/>
        <w:ind w:firstLine="0"/>
        <w:rPr>
          <w:rFonts w:hint="eastAsia" w:ascii="宋体" w:hAnsi="宋体" w:eastAsia="宋体" w:cs="Times New Roman"/>
          <w:b/>
          <w:color w:val="auto"/>
          <w:highlight w:val="none"/>
        </w:rPr>
      </w:pPr>
      <w:r>
        <w:rPr>
          <w:rFonts w:hint="eastAsia" w:ascii="宋体" w:hAnsi="宋体" w:eastAsia="宋体" w:cs="Times New Roman"/>
          <w:b/>
          <w:color w:val="auto"/>
          <w:highlight w:val="none"/>
        </w:rPr>
        <w:t>八、凡对本次采购提出询问、质疑、投诉，请按以下方式联系</w:t>
      </w:r>
      <w:bookmarkEnd w:id="36"/>
      <w:bookmarkEnd w:id="37"/>
      <w:bookmarkEnd w:id="38"/>
      <w:bookmarkEnd w:id="39"/>
    </w:p>
    <w:p w14:paraId="5207C669">
      <w:pPr>
        <w:spacing w:line="360" w:lineRule="auto"/>
        <w:ind w:firstLine="480" w:firstLineChars="200"/>
        <w:rPr>
          <w:rFonts w:hint="eastAsia"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1.采购人信息</w:t>
      </w:r>
    </w:p>
    <w:p w14:paraId="6DCA9827">
      <w:pPr>
        <w:spacing w:line="360" w:lineRule="auto"/>
        <w:ind w:firstLine="480" w:firstLineChars="200"/>
        <w:rPr>
          <w:rFonts w:hint="eastAsia"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名称：北海市农业农村局</w:t>
      </w:r>
    </w:p>
    <w:p w14:paraId="37892EF2">
      <w:pPr>
        <w:spacing w:line="360" w:lineRule="auto"/>
        <w:ind w:firstLine="480" w:firstLineChars="200"/>
        <w:rPr>
          <w:rFonts w:hint="eastAsia"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地址：北海市海城区广东路85号</w:t>
      </w:r>
    </w:p>
    <w:p w14:paraId="2B84F6A4">
      <w:pPr>
        <w:spacing w:line="360" w:lineRule="auto"/>
        <w:ind w:firstLine="480" w:firstLineChars="200"/>
        <w:rPr>
          <w:rFonts w:hint="default"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项目联系人：周俐</w:t>
      </w:r>
    </w:p>
    <w:p w14:paraId="1229B16D">
      <w:pPr>
        <w:spacing w:line="360" w:lineRule="auto"/>
        <w:ind w:firstLine="480" w:firstLineChars="200"/>
        <w:rPr>
          <w:rFonts w:hint="default"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项目联系方式：0779-3233122</w:t>
      </w:r>
    </w:p>
    <w:p w14:paraId="6C2C15EE">
      <w:pPr>
        <w:spacing w:line="360" w:lineRule="auto"/>
        <w:ind w:firstLine="480" w:firstLineChars="200"/>
        <w:rPr>
          <w:rFonts w:hint="eastAsia"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2.采购代理机构信息</w:t>
      </w:r>
    </w:p>
    <w:p w14:paraId="5BAAB39F">
      <w:pPr>
        <w:spacing w:line="360" w:lineRule="auto"/>
        <w:ind w:firstLine="480" w:firstLineChars="200"/>
        <w:rPr>
          <w:rFonts w:hint="default"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名称：广西邕政采购代理有限公司</w:t>
      </w:r>
    </w:p>
    <w:p w14:paraId="622F0C8A">
      <w:pPr>
        <w:spacing w:line="360" w:lineRule="auto"/>
        <w:ind w:firstLine="480" w:firstLineChars="200"/>
        <w:rPr>
          <w:rFonts w:hint="default"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地址：南宁市青秀区民族大道180号（威壮大厦）22层2210～2217室</w:t>
      </w:r>
    </w:p>
    <w:p w14:paraId="15A4BCE6">
      <w:pPr>
        <w:spacing w:line="360" w:lineRule="auto"/>
        <w:ind w:firstLine="480" w:firstLineChars="200"/>
        <w:rPr>
          <w:rFonts w:hint="eastAsia"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项目联系人：黄秋梅、罗霞</w:t>
      </w:r>
    </w:p>
    <w:p w14:paraId="078C7DC4">
      <w:pPr>
        <w:spacing w:line="360" w:lineRule="auto"/>
        <w:ind w:firstLine="480" w:firstLineChars="200"/>
        <w:rPr>
          <w:rFonts w:hint="default"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项目联系方式：0771-2225338</w:t>
      </w:r>
    </w:p>
    <w:p w14:paraId="2397E589">
      <w:pPr>
        <w:spacing w:line="360" w:lineRule="auto"/>
        <w:ind w:firstLine="480" w:firstLineChars="200"/>
        <w:rPr>
          <w:rFonts w:hint="eastAsia" w:ascii="宋体" w:hAnsi="宋体" w:cs="宋体"/>
          <w:color w:val="auto"/>
          <w:sz w:val="24"/>
          <w:highlight w:val="none"/>
        </w:rPr>
      </w:pPr>
    </w:p>
    <w:p w14:paraId="6DB3FD78">
      <w:pPr>
        <w:pStyle w:val="2"/>
        <w:rPr>
          <w:rFonts w:hint="eastAsia" w:ascii="宋体" w:hAnsi="宋体" w:cs="宋体"/>
          <w:color w:val="auto"/>
          <w:sz w:val="24"/>
          <w:highlight w:val="none"/>
        </w:rPr>
      </w:pPr>
    </w:p>
    <w:p w14:paraId="0E6A6017">
      <w:pPr>
        <w:pStyle w:val="2"/>
        <w:rPr>
          <w:rFonts w:hint="eastAsia" w:ascii="宋体" w:hAnsi="宋体" w:cs="宋体"/>
          <w:color w:val="auto"/>
          <w:sz w:val="24"/>
          <w:highlight w:val="none"/>
        </w:rPr>
      </w:pPr>
    </w:p>
    <w:p w14:paraId="32DBE36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若对项目采购电子交易系统操作有疑问，可登录广西政府采购云平台（https</w:t>
      </w:r>
      <w:r>
        <w:rPr>
          <w:rFonts w:hint="eastAsia" w:ascii="宋体" w:hAnsi="宋体" w:cs="宋体"/>
          <w:color w:val="auto"/>
          <w:sz w:val="24"/>
          <w:highlight w:val="none"/>
          <w:lang w:eastAsia="zh-CN"/>
        </w:rPr>
        <w:t>：</w:t>
      </w:r>
      <w:r>
        <w:rPr>
          <w:rFonts w:hint="eastAsia" w:ascii="宋体" w:hAnsi="宋体" w:cs="宋体"/>
          <w:color w:val="auto"/>
          <w:sz w:val="24"/>
          <w:highlight w:val="none"/>
        </w:rPr>
        <w:t>//www.zcygov.cn/），点击右侧咨询小采，获取采小蜜智能服务管家帮助，或拨打广西政府采购云平台服务热线95763获取热线服务帮助。</w:t>
      </w:r>
    </w:p>
    <w:p w14:paraId="34E03804">
      <w:pPr>
        <w:pStyle w:val="32"/>
        <w:spacing w:line="360" w:lineRule="auto"/>
        <w:rPr>
          <w:rFonts w:cs="仿宋_GB2312" w:asciiTheme="minorEastAsia" w:hAnsiTheme="minorEastAsia" w:eastAsiaTheme="minorEastAsia"/>
          <w:color w:val="auto"/>
          <w:sz w:val="24"/>
          <w:szCs w:val="24"/>
          <w:highlight w:val="none"/>
        </w:rPr>
      </w:pPr>
    </w:p>
    <w:p w14:paraId="381B1193">
      <w:pPr>
        <w:adjustRightInd/>
        <w:spacing w:line="360" w:lineRule="auto"/>
        <w:jc w:val="center"/>
        <w:rPr>
          <w:rFonts w:cs="仿宋_GB2312" w:asciiTheme="minorEastAsia" w:hAnsiTheme="minorEastAsia" w:eastAsiaTheme="minorEastAsia"/>
          <w:b/>
          <w:color w:val="auto"/>
          <w:sz w:val="36"/>
          <w:szCs w:val="20"/>
          <w:highlight w:val="none"/>
        </w:rPr>
      </w:pPr>
      <w:r>
        <w:rPr>
          <w:rFonts w:hint="eastAsia" w:cs="仿宋_GB2312" w:asciiTheme="minorEastAsia" w:hAnsiTheme="minorEastAsia" w:eastAsiaTheme="minorEastAsia"/>
          <w:b/>
          <w:color w:val="auto"/>
          <w:sz w:val="36"/>
          <w:szCs w:val="20"/>
          <w:highlight w:val="none"/>
        </w:rPr>
        <w:br w:type="page"/>
      </w:r>
    </w:p>
    <w:p w14:paraId="6E14FFEE">
      <w:pPr>
        <w:pStyle w:val="3"/>
        <w:numPr>
          <w:ilvl w:val="0"/>
          <w:numId w:val="0"/>
        </w:numPr>
        <w:bidi w:val="0"/>
        <w:spacing w:line="240" w:lineRule="auto"/>
        <w:ind w:leftChars="0"/>
        <w:jc w:val="center"/>
        <w:rPr>
          <w:rFonts w:hint="eastAsia" w:ascii="Times New Roman" w:hAnsi="Times New Roman" w:eastAsia="宋体" w:cs="Times New Roman"/>
          <w:color w:val="auto"/>
          <w:sz w:val="40"/>
          <w:szCs w:val="40"/>
          <w:highlight w:val="none"/>
        </w:rPr>
      </w:pPr>
      <w:bookmarkStart w:id="40" w:name="_Toc20364"/>
      <w:r>
        <w:rPr>
          <w:rFonts w:hint="eastAsia" w:ascii="Times New Roman" w:hAnsi="Times New Roman" w:eastAsia="宋体" w:cs="Times New Roman"/>
          <w:color w:val="auto"/>
          <w:sz w:val="40"/>
          <w:szCs w:val="40"/>
          <w:highlight w:val="none"/>
        </w:rPr>
        <w:t>第二部分  竞争性磋商流程</w:t>
      </w:r>
      <w:bookmarkEnd w:id="40"/>
    </w:p>
    <w:p w14:paraId="344E7F3D">
      <w:pPr>
        <w:pStyle w:val="395"/>
        <w:spacing w:before="0"/>
        <w:ind w:firstLine="0" w:firstLineChars="0"/>
        <w:rPr>
          <w:rFonts w:asciiTheme="minorEastAsia" w:hAnsiTheme="minorEastAsia" w:eastAsiaTheme="minorEastAsia"/>
          <w:b/>
          <w:color w:val="auto"/>
          <w:highlight w:val="none"/>
        </w:rPr>
      </w:pPr>
      <w:r>
        <w:rPr>
          <w:rFonts w:hint="eastAsia" w:asciiTheme="minorEastAsia" w:hAnsiTheme="minorEastAsia" w:eastAsiaTheme="minorEastAsia"/>
          <w:b/>
          <w:color w:val="auto"/>
          <w:szCs w:val="24"/>
          <w:highlight w:val="none"/>
        </w:rPr>
        <w:t>1.征集供应商</w:t>
      </w:r>
    </w:p>
    <w:p w14:paraId="790FA23C">
      <w:pPr>
        <w:pStyle w:val="395"/>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1.1邀请供应商。</w:t>
      </w:r>
    </w:p>
    <w:p w14:paraId="7FE95565">
      <w:pPr>
        <w:pStyle w:val="395"/>
        <w:spacing w:before="0"/>
        <w:ind w:firstLine="480"/>
        <w:rPr>
          <w:rFonts w:asciiTheme="minorEastAsia" w:hAnsiTheme="minorEastAsia" w:eastAsiaTheme="minorEastAsia"/>
          <w:color w:val="auto"/>
          <w:szCs w:val="24"/>
          <w:highlight w:val="none"/>
        </w:rPr>
      </w:pPr>
      <w:r>
        <w:rPr>
          <w:rFonts w:hint="eastAsia" w:ascii="宋体" w:hAnsi="宋体" w:cs="宋体"/>
          <w:color w:val="auto"/>
          <w:kern w:val="0"/>
          <w:highlight w:val="none"/>
        </w:rPr>
        <w:sym w:font="Wingdings" w:char="F0FE"/>
      </w:r>
      <w:r>
        <w:rPr>
          <w:rFonts w:hint="eastAsia" w:asciiTheme="minorEastAsia" w:hAnsiTheme="minorEastAsia" w:eastAsiaTheme="minorEastAsia"/>
          <w:b/>
          <w:color w:val="auto"/>
          <w:szCs w:val="24"/>
          <w:highlight w:val="none"/>
        </w:rPr>
        <w:t>采用公告方式邀请供应商的，</w:t>
      </w:r>
      <w:r>
        <w:rPr>
          <w:rFonts w:hint="eastAsia" w:asciiTheme="minorEastAsia" w:hAnsiTheme="minorEastAsia" w:eastAsiaTheme="minorEastAsia"/>
          <w:color w:val="auto"/>
          <w:szCs w:val="24"/>
          <w:highlight w:val="none"/>
        </w:rPr>
        <w:t>由采购人、采购代理机构在省级以上人民政府财政部门指定的政府采购信息发布媒体上发布磋商公告，邀请符合相应资格条件的供应商参与竞争性磋商采购活动。</w:t>
      </w:r>
    </w:p>
    <w:p w14:paraId="1966DFA1">
      <w:pPr>
        <w:pStyle w:val="395"/>
        <w:spacing w:before="0"/>
        <w:ind w:firstLine="480"/>
        <w:rPr>
          <w:rFonts w:asciiTheme="minorEastAsia" w:hAnsiTheme="minorEastAsia" w:eastAsiaTheme="minorEastAsia"/>
          <w:color w:val="auto"/>
          <w:szCs w:val="24"/>
          <w:highlight w:val="none"/>
        </w:rPr>
      </w:pPr>
      <w:r>
        <w:rPr>
          <w:rFonts w:hint="eastAsia" w:cs="宋体" w:asciiTheme="minorEastAsia" w:hAnsiTheme="minorEastAsia" w:eastAsiaTheme="minorEastAsia"/>
          <w:color w:val="auto"/>
          <w:highlight w:val="none"/>
        </w:rPr>
        <w:t>□</w:t>
      </w:r>
      <w:r>
        <w:rPr>
          <w:rFonts w:hint="eastAsia" w:asciiTheme="minorEastAsia" w:hAnsiTheme="minorEastAsia" w:eastAsiaTheme="minorEastAsia"/>
          <w:b/>
          <w:color w:val="auto"/>
          <w:szCs w:val="24"/>
          <w:highlight w:val="none"/>
        </w:rPr>
        <w:t>采用随机抽取方式邀请供应商的，</w:t>
      </w:r>
      <w:r>
        <w:rPr>
          <w:rFonts w:hint="eastAsia" w:asciiTheme="minorEastAsia" w:hAnsiTheme="minorEastAsia" w:eastAsiaTheme="minorEastAsia"/>
          <w:color w:val="auto"/>
          <w:szCs w:val="24"/>
          <w:highlight w:val="none"/>
        </w:rPr>
        <w:t>由采购人、采购代理机构从省级以上财政部门建立的供应商库中随机抽取不少于3家符合相应资格条件的供应商参与竞争性磋商采购活动。</w:t>
      </w:r>
    </w:p>
    <w:p w14:paraId="5117FCEA">
      <w:pPr>
        <w:pStyle w:val="395"/>
        <w:spacing w:before="0"/>
        <w:ind w:firstLine="480"/>
        <w:rPr>
          <w:rFonts w:asciiTheme="minorEastAsia" w:hAnsiTheme="minorEastAsia" w:eastAsiaTheme="minorEastAsia"/>
          <w:color w:val="auto"/>
          <w:szCs w:val="24"/>
          <w:highlight w:val="none"/>
        </w:rPr>
      </w:pPr>
      <w:r>
        <w:rPr>
          <w:rFonts w:hint="eastAsia" w:cs="宋体" w:asciiTheme="minorEastAsia" w:hAnsiTheme="minorEastAsia" w:eastAsiaTheme="minorEastAsia"/>
          <w:color w:val="auto"/>
          <w:highlight w:val="none"/>
        </w:rPr>
        <w:t>□</w:t>
      </w:r>
      <w:r>
        <w:rPr>
          <w:rFonts w:hint="eastAsia" w:asciiTheme="minorEastAsia" w:hAnsiTheme="minorEastAsia" w:eastAsiaTheme="minorEastAsia"/>
          <w:b/>
          <w:color w:val="auto"/>
          <w:szCs w:val="24"/>
          <w:highlight w:val="none"/>
        </w:rPr>
        <w:t>采用书面推荐方式邀请供应商的，</w:t>
      </w:r>
      <w:r>
        <w:rPr>
          <w:rFonts w:hint="eastAsia" w:asciiTheme="minorEastAsia" w:hAnsiTheme="minorEastAsia" w:eastAsiaTheme="minorEastAsia"/>
          <w:color w:val="auto"/>
          <w:szCs w:val="24"/>
          <w:highlight w:val="none"/>
        </w:rPr>
        <w:t>由采购人和评审专家分别书面推荐不少于3家符合相应资格条件的供应商参与竞争性磋商采购活动。采取采购人和评审专家书面推荐方式选择供应商的，采购人和评审专家应当各自出具书面推荐意见。采购人推荐供应商的比例不得高于推荐供应商总数的50%。</w:t>
      </w:r>
    </w:p>
    <w:p w14:paraId="751FD6E3">
      <w:pPr>
        <w:pStyle w:val="395"/>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1.2供应商获取磋商文件。</w:t>
      </w:r>
    </w:p>
    <w:p w14:paraId="1B0D827B">
      <w:pPr>
        <w:pStyle w:val="395"/>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1.3组织现场考察或召开答疑会（如果有）。</w:t>
      </w:r>
    </w:p>
    <w:p w14:paraId="5F764498">
      <w:pPr>
        <w:pStyle w:val="395"/>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1.4发布更正（延期）公告，澄清或修改磋商文件（如果有）。</w:t>
      </w:r>
    </w:p>
    <w:p w14:paraId="600A0364">
      <w:pPr>
        <w:pStyle w:val="395"/>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1.5供应商按磋商文件要求编制响应文件。</w:t>
      </w:r>
    </w:p>
    <w:p w14:paraId="59F7914C">
      <w:pPr>
        <w:pStyle w:val="395"/>
        <w:spacing w:before="0"/>
        <w:ind w:firstLine="0" w:firstLineChars="0"/>
        <w:rPr>
          <w:rFonts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2.响应文件开启与信用信息查询</w:t>
      </w:r>
    </w:p>
    <w:p w14:paraId="57389CB7">
      <w:pPr>
        <w:pStyle w:val="395"/>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2.1供应商依据“提交响应文件的截止时间与地点”通过广西政府采购云平台在线提交响应文件。供应商在提交响应文件的截止时间前，可以补充、修改或撤回响应文件。</w:t>
      </w:r>
    </w:p>
    <w:p w14:paraId="18432EAE">
      <w:pPr>
        <w:pStyle w:val="395"/>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2.2</w:t>
      </w:r>
      <w:r>
        <w:rPr>
          <w:rFonts w:hint="eastAsia" w:cs="Arial" w:asciiTheme="minorEastAsia" w:hAnsiTheme="minorEastAsia" w:eastAsiaTheme="minorEastAsia"/>
          <w:color w:val="auto"/>
          <w:kern w:val="0"/>
          <w:szCs w:val="24"/>
          <w:highlight w:val="none"/>
        </w:rPr>
        <w:t>采购人或者采购代理机构将通过“信用中国”网站(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70"/>
          <w:rFonts w:hint="eastAsia" w:asciiTheme="minorEastAsia" w:hAnsiTheme="minorEastAsia" w:eastAsiaTheme="minorEastAsia"/>
          <w:color w:val="auto"/>
          <w:sz w:val="24"/>
          <w:szCs w:val="24"/>
          <w:highlight w:val="none"/>
        </w:rPr>
        <w:t>www.creditchina.gov.cn</w:t>
      </w:r>
      <w:r>
        <w:rPr>
          <w:rStyle w:val="70"/>
          <w:rFonts w:hint="eastAsia" w:asciiTheme="minorEastAsia" w:hAnsiTheme="minorEastAsia" w:eastAsiaTheme="minorEastAsia"/>
          <w:color w:val="auto"/>
          <w:sz w:val="24"/>
          <w:szCs w:val="24"/>
          <w:highlight w:val="none"/>
        </w:rPr>
        <w:fldChar w:fldCharType="end"/>
      </w:r>
      <w:r>
        <w:rPr>
          <w:rFonts w:hint="eastAsia" w:cs="Arial" w:asciiTheme="minorEastAsia" w:hAnsiTheme="minorEastAsia" w:eastAsiaTheme="minorEastAsia"/>
          <w:color w:val="auto"/>
          <w:kern w:val="0"/>
          <w:szCs w:val="24"/>
          <w:highlight w:val="none"/>
        </w:rPr>
        <w:t>)和中国政府采购网(www.ccgp.gov.cn)渠道查询供应商响应截止时间当日的信用记录。</w:t>
      </w:r>
    </w:p>
    <w:p w14:paraId="4699EA5B">
      <w:pPr>
        <w:pStyle w:val="395"/>
        <w:spacing w:before="0"/>
        <w:ind w:firstLine="0" w:firstLineChars="0"/>
        <w:rPr>
          <w:rFonts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3.磋商与评审</w:t>
      </w:r>
    </w:p>
    <w:p w14:paraId="775E4559">
      <w:pPr>
        <w:pStyle w:val="395"/>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3.1磋商小组签到。</w:t>
      </w:r>
    </w:p>
    <w:p w14:paraId="1C14034F">
      <w:pPr>
        <w:pStyle w:val="395"/>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3.2采购代理机构宣布有关纪律以及磋商、评审工作程序。</w:t>
      </w:r>
    </w:p>
    <w:p w14:paraId="5C9B1A29">
      <w:pPr>
        <w:pStyle w:val="395"/>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3.3磋商小组审查确认磋商文件。磋商文件内容违反国家有关强制性规定的，磋商小组应当停止评审并向采购代理机构说明情况。</w:t>
      </w:r>
    </w:p>
    <w:p w14:paraId="086E3037">
      <w:pPr>
        <w:pStyle w:val="395"/>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3.4磋商小组对供应商的资格进行审查。</w:t>
      </w:r>
    </w:p>
    <w:p w14:paraId="6481F88E">
      <w:pPr>
        <w:pStyle w:val="395"/>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3.5磋商小组审查响应文件。</w:t>
      </w:r>
    </w:p>
    <w:p w14:paraId="5AAD8750">
      <w:pPr>
        <w:pStyle w:val="395"/>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3.6对于未实质性响应磋商文件的响应文件由磋商小组认定响应无效，并告知该供应商。</w:t>
      </w:r>
    </w:p>
    <w:p w14:paraId="7537AD1B">
      <w:pPr>
        <w:pStyle w:val="395"/>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3.7供应商根据磋商小组要求对响应文件中含义不明确、同类问题表述不一致或者有明显文字和计算错误的内容等作出必要的澄清、说明或者更正。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14:paraId="34666DDB">
      <w:pPr>
        <w:pStyle w:val="395"/>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3.8磋商小组与符合要求的供应商进行磋商。磋商小组所有成员按照响应文件解密次序集中与单一供应商分别进行磋商，并给予所有参加磋商的供应商平等的磋商机会。磋商过程中，磋商小组可以根据磋商情况调整轮次。磋商时由采购代理机构或磋商小组利用广西政府采购云平台发起磋商邀请，供应商通过广西政府采购云平台“在线评审室”进行远程视频磋商。供应商使用CA数字证书登录广西政府采购云平台——收到视频评审邀请——点击“视频评审”进入“视频评审系统”——开始远程磋商活动。</w:t>
      </w:r>
    </w:p>
    <w:p w14:paraId="30B3567C">
      <w:pPr>
        <w:pStyle w:val="395"/>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3.9经磋商确定磋商文件的变动情况。对磋商文件作出的实质性变动是磋商文件的有效组成部分，磋商小组应当及时以书面形式同时通知所有参加磋商的供应商。</w:t>
      </w:r>
    </w:p>
    <w:p w14:paraId="34AC5F67">
      <w:pPr>
        <w:pStyle w:val="395"/>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3.10供应商应当按照磋商文件的变动情况及磋商小组的要求通过电子交易平台重新提交响应文件和最后报价，并使用电子签名（如果有）。已提交响应文件的供应商，在提交最后报价之前，可以根据磋商情况退出磋商。如供应商未按磋商小组的要求在规定的时间内提交最后报价的，视为退出磋商。</w:t>
      </w:r>
    </w:p>
    <w:p w14:paraId="47652363">
      <w:pPr>
        <w:pStyle w:val="395"/>
        <w:spacing w:before="0"/>
        <w:ind w:firstLine="480"/>
        <w:rPr>
          <w:rFonts w:hint="eastAsia" w:asciiTheme="minorEastAsia" w:hAnsiTheme="minorEastAsia" w:eastAsiaTheme="minorEastAsia"/>
          <w:color w:val="auto"/>
          <w:szCs w:val="24"/>
          <w:highlight w:val="none"/>
          <w:lang w:eastAsia="zh-CN"/>
        </w:rPr>
      </w:pPr>
      <w:r>
        <w:rPr>
          <w:rFonts w:hint="eastAsia" w:asciiTheme="minorEastAsia" w:hAnsiTheme="minorEastAsia" w:eastAsiaTheme="minorEastAsia"/>
          <w:color w:val="auto"/>
          <w:szCs w:val="24"/>
          <w:highlight w:val="none"/>
        </w:rPr>
        <w:t>3.11磋商小组按照下列方式确定提交最后报价的供应商，有特殊规定的从其规定</w:t>
      </w:r>
      <w:r>
        <w:rPr>
          <w:rFonts w:hint="eastAsia" w:asciiTheme="minorEastAsia" w:hAnsiTheme="minorEastAsia" w:eastAsiaTheme="minorEastAsia"/>
          <w:color w:val="auto"/>
          <w:szCs w:val="24"/>
          <w:highlight w:val="none"/>
          <w:lang w:eastAsia="zh-CN"/>
        </w:rPr>
        <w:t>：</w:t>
      </w:r>
    </w:p>
    <w:p w14:paraId="617812C3">
      <w:pPr>
        <w:pStyle w:val="395"/>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磋商文件能够详细列明采购标的的技术、服务要求的，磋商结束后，磋商小组应当要求所有实质性响应的供应商在规定时间内在电子交易平台提交最后报价，提交最后报价的供应商不得少于3家。符合财政部门规定情形的，提交最后报价的供应商可以为2家。</w:t>
      </w:r>
    </w:p>
    <w:p w14:paraId="4F19F775">
      <w:pPr>
        <w:pStyle w:val="395"/>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磋商文件不能详细列明采购标的的技术、服务要求，需经磋商由供应商提供最终设计方案或解决方案的，磋商结束后，磋商小组应当按照少数服从多数的原则投票推荐3家及以上供应商的设计方案或者解决方案，并要求其在规定时间内在电子交易平台提交最后报价。</w:t>
      </w:r>
    </w:p>
    <w:p w14:paraId="448C69D1">
      <w:pPr>
        <w:pStyle w:val="395"/>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3.12确定进入最后报价的供应商在规定时间内提交最后报价。</w:t>
      </w:r>
    </w:p>
    <w:p w14:paraId="7DF5CA2D">
      <w:pPr>
        <w:pStyle w:val="395"/>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3.13由磋商小组根据磋商文件确定的评审办法及评审标准对提交最后报价的供应商的响应文件和最后报价进行综合评分。磋商小组各成员应当独立对每个有效响应的文件进行评价、打分，然后汇总每个供应商每项评分因素的得分。</w:t>
      </w:r>
    </w:p>
    <w:p w14:paraId="699375F0">
      <w:pPr>
        <w:pStyle w:val="395"/>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3.14磋商小组应当根据综合评分情况，按照评审得分由高到低顺序推荐3名以上成交候选供应商，并编写评审报告。</w:t>
      </w:r>
    </w:p>
    <w:p w14:paraId="6E851BCF">
      <w:pPr>
        <w:pStyle w:val="395"/>
        <w:spacing w:before="0"/>
        <w:ind w:firstLine="0" w:firstLineChars="0"/>
        <w:rPr>
          <w:rFonts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4.成交</w:t>
      </w:r>
    </w:p>
    <w:p w14:paraId="7E925F5A">
      <w:pPr>
        <w:pStyle w:val="395"/>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4.1</w:t>
      </w:r>
      <w:r>
        <w:rPr>
          <w:rFonts w:hint="eastAsia" w:ascii="宋体" w:hAnsi="宋体" w:cs="宋体"/>
          <w:color w:val="auto"/>
          <w:szCs w:val="24"/>
          <w:highlight w:val="none"/>
        </w:rPr>
        <w:t>政府采购项目实行全流程电子化，评审报告送交、采购结果确定和结果公告均在线完成。</w:t>
      </w:r>
      <w:r>
        <w:rPr>
          <w:rFonts w:hint="eastAsia" w:asciiTheme="minorEastAsia" w:hAnsiTheme="minorEastAsia" w:eastAsiaTheme="minorEastAsia"/>
          <w:color w:val="auto"/>
          <w:szCs w:val="24"/>
          <w:highlight w:val="none"/>
        </w:rPr>
        <w:t>采购代理机构应当</w:t>
      </w:r>
      <w:r>
        <w:rPr>
          <w:rFonts w:hint="eastAsia" w:ascii="宋体" w:hAnsi="宋体" w:cs="宋体"/>
          <w:color w:val="auto"/>
          <w:szCs w:val="24"/>
          <w:highlight w:val="none"/>
        </w:rPr>
        <w:t>依法及时</w:t>
      </w:r>
      <w:r>
        <w:rPr>
          <w:rFonts w:hint="eastAsia" w:asciiTheme="minorEastAsia" w:hAnsiTheme="minorEastAsia" w:eastAsiaTheme="minorEastAsia"/>
          <w:color w:val="auto"/>
          <w:szCs w:val="24"/>
          <w:highlight w:val="none"/>
        </w:rPr>
        <w:t>将评审报告在线送交采购人确认。采购人应当在收到评审报告后2个工作日内，从评审报告提出的成交候选供应商中，按照排序由高到低的原则确定成交供应商，采购人也可以书面授权磋商小组直接确定成交供应商。</w:t>
      </w:r>
    </w:p>
    <w:p w14:paraId="797DDEE1">
      <w:pPr>
        <w:pStyle w:val="395"/>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4.2采购代理机构在收到采购人对评审报告的确认意见和对成交供应商的确定结果后，应当在2个工作日内，在中国政府采购网、广西政府采购网上公告成交结果，同时向成交供应商发出成交通知书，并将磋商文件随成交结果同时公告。</w:t>
      </w:r>
    </w:p>
    <w:p w14:paraId="275DA370">
      <w:pPr>
        <w:pStyle w:val="395"/>
        <w:spacing w:before="0"/>
        <w:ind w:firstLine="0" w:firstLineChars="0"/>
        <w:rPr>
          <w:rFonts w:cs="宋体" w:asciiTheme="minorEastAsia" w:hAnsiTheme="minorEastAsia" w:eastAsiaTheme="minorEastAsia"/>
          <w:color w:val="auto"/>
          <w:kern w:val="0"/>
          <w:szCs w:val="21"/>
          <w:highlight w:val="none"/>
        </w:rPr>
      </w:pPr>
      <w:r>
        <w:rPr>
          <w:rFonts w:hint="eastAsia" w:asciiTheme="minorEastAsia" w:hAnsiTheme="minorEastAsia" w:eastAsiaTheme="minorEastAsia"/>
          <w:b/>
          <w:color w:val="auto"/>
          <w:highlight w:val="none"/>
        </w:rPr>
        <w:t>5.合同及履约验收</w:t>
      </w:r>
    </w:p>
    <w:p w14:paraId="641B199A">
      <w:pPr>
        <w:pStyle w:val="395"/>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5.1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29A62945">
      <w:pPr>
        <w:tabs>
          <w:tab w:val="left" w:pos="0"/>
        </w:tabs>
        <w:spacing w:line="360" w:lineRule="auto"/>
        <w:ind w:firstLine="48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5.2成交供应商按照政策要求及合同约定缴纳履约保证金（如有）。</w:t>
      </w:r>
    </w:p>
    <w:p w14:paraId="7032E85F">
      <w:pPr>
        <w:pStyle w:val="395"/>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5.3合同履约。</w:t>
      </w:r>
    </w:p>
    <w:p w14:paraId="1BF543EF">
      <w:pPr>
        <w:pStyle w:val="395"/>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5.4采购人组织验收。</w:t>
      </w:r>
    </w:p>
    <w:p w14:paraId="6FA21778">
      <w:pPr>
        <w:widowControl/>
        <w:adjustRightInd/>
        <w:jc w:val="left"/>
        <w:rPr>
          <w:rFonts w:asciiTheme="minorEastAsia" w:hAnsiTheme="minorEastAsia" w:eastAsiaTheme="minorEastAsia"/>
          <w:b/>
          <w:color w:val="auto"/>
          <w:sz w:val="24"/>
          <w:szCs w:val="20"/>
          <w:highlight w:val="none"/>
        </w:rPr>
      </w:pPr>
      <w:r>
        <w:rPr>
          <w:rFonts w:hint="eastAsia" w:asciiTheme="minorEastAsia" w:hAnsiTheme="minorEastAsia" w:eastAsiaTheme="minorEastAsia"/>
          <w:b/>
          <w:color w:val="auto"/>
          <w:highlight w:val="none"/>
        </w:rPr>
        <w:br w:type="page"/>
      </w:r>
    </w:p>
    <w:p w14:paraId="76E1B635">
      <w:pPr>
        <w:pStyle w:val="395"/>
        <w:spacing w:before="0"/>
        <w:ind w:firstLine="0" w:firstLineChars="0"/>
        <w:rPr>
          <w:rFonts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6.竞争性磋商流程图</w:t>
      </w:r>
    </w:p>
    <w:p w14:paraId="5E207904">
      <w:pPr>
        <w:widowControl/>
        <w:adjustRightInd/>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  </w:t>
      </w:r>
    </w:p>
    <w:p w14:paraId="0A6E9637">
      <w:pPr>
        <w:widowControl/>
        <w:adjustRightInd/>
        <w:jc w:val="left"/>
        <w:rPr>
          <w:rFonts w:cs="仿宋_GB2312" w:asciiTheme="minorEastAsia" w:hAnsiTheme="minorEastAsia" w:eastAsiaTheme="minorEastAsia"/>
          <w:b/>
          <w:color w:val="auto"/>
          <w:sz w:val="36"/>
          <w:szCs w:val="20"/>
          <w:highlight w:val="none"/>
        </w:rPr>
      </w:pP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2336" behindDoc="0" locked="0" layoutInCell="1" allowOverlap="1">
                <wp:simplePos x="0" y="0"/>
                <wp:positionH relativeFrom="column">
                  <wp:posOffset>1665605</wp:posOffset>
                </wp:positionH>
                <wp:positionV relativeFrom="paragraph">
                  <wp:posOffset>5859145</wp:posOffset>
                </wp:positionV>
                <wp:extent cx="492125" cy="261620"/>
                <wp:effectExtent l="0" t="0" r="22225" b="24130"/>
                <wp:wrapNone/>
                <wp:docPr id="2" name="文本框 2"/>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FA528CC">
                            <w:pPr>
                              <w:rPr>
                                <w:rFonts w:asciiTheme="minorEastAsia" w:hAnsiTheme="minorEastAsia" w:eastAsiaTheme="minorEastAsia"/>
                              </w:rPr>
                            </w:pPr>
                            <w:r>
                              <w:rPr>
                                <w:rFonts w:hint="eastAsia" w:asciiTheme="minorEastAsia" w:hAnsiTheme="minorEastAsia" w:eastAsiaTheme="minorEastAsia"/>
                              </w:rPr>
                              <w:t>验收</w:t>
                            </w:r>
                          </w:p>
                          <w:p w14:paraId="5060CBA5">
                            <w:pPr>
                              <w:rPr>
                                <w:rFonts w:ascii="仿宋_GB2312" w:eastAsia="仿宋_GB2312"/>
                              </w:rPr>
                            </w:pPr>
                            <w:r>
                              <w:rPr>
                                <w:rFonts w:hint="eastAsia" w:ascii="仿宋_GB2312" w:eastAsia="仿宋_GB2312"/>
                              </w:rPr>
                              <w:t>立项</w:t>
                            </w:r>
                          </w:p>
                          <w:p w14:paraId="71DAFF0D">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15pt;margin-top:461.35pt;height:20.6pt;width:38.75pt;z-index:251662336;mso-width-relative:page;mso-height-relative:page;" fillcolor="#DBEEF4 [664]" filled="t" stroked="t" coordsize="21600,21600" o:gfxdata="UEsDBAoAAAAAAIdO4kAAAAAAAAAAAAAAAAAEAAAAZHJzL1BLAwQUAAAACACHTuJAjjGhsNkAAAAL&#10;AQAADwAAAGRycy9kb3ducmV2LnhtbE2PPU/DMBCGdyT+g3VIbNSpA2kT4nRAQgwMiMLC5sTXJGp8&#10;NrH7Ab+eY4Lx7h6997z15uwmccQ5jp40LBcZCKTO25F6De9vjzdrEDEZsmbyhBq+MMKmubyoTWX9&#10;iV7xuE294BCKldEwpBQqKWM3oDNx4QMS33Z+dibxOPfSzubE4W6SKssK6cxI/GEwAR8G7Pbbg9Ow&#10;orvvp3HfupDW6vPWhJf0/LHT+vpqmd2DSHhOfzD86rM6NOzU+gPZKCYNqlA5oxpKpVYgmMjzksu0&#10;vCnyEmRTy/8dmh9QSwMEFAAAAAgAh07iQBZ7czh/AgAA/QQAAA4AAABkcnMvZTJvRG9jLnhtbK1U&#10;zW4TMRC+I/EOlu90kyUNbdRNlTYNQiq0UkGcHa83a2F7jO1kt30AeANOXLjzXHkOxt5N+gOHHrh4&#10;52+/mfk845PTViuyEc5LMAUdHgwoEYZDKc2qoJ8+Ll4dUeIDMyVTYERBb4Wnp9OXL04aOxE51KBK&#10;4QiCGD9pbEHrEOwkyzyvhWb+AKww6KzAaRZQdausdKxBdK2yfDAYZw240jrgwnu0zjsn7RHdcwCh&#10;qiQXc+BrLUzoUJ1QLGBLvpbW02mqtqoED1dV5UUgqqDYaUgnJkF5Gc9sesImK8dsLXlfAntOCU96&#10;0kwaTLqHmrPAyNrJv6C05A48VOGAg866RhIj2MVw8ISbm5pZkXpBqr3dk+7/Hyz/sLl2RJYFzSkx&#10;TOOFb3983/78vf31jeSRnsb6CUbdWIwL7Rm0ODQ7u0dj7LqtnI5f7IegH8m93ZMr2kA4GkfH+TA/&#10;pISjKx8Px3kiP7v/2Tof3grQJAoFdXh3iVK2ufQBC8HQXUjM5UHJciGVSopbLc+VIxuG9zw/u7hY&#10;jNK/aq3fQ9mZcfgG/YWjGceiMx/tzIjvO5iU6xG+MqQp6Pj14SDBPvLFova5l4rxL5GeiHZfIWrK&#10;xEJFmsm+oUhtR2GUQrtse76XUN4i3Q66efWWLyRmuWQ+XDOHA4oM4wqHKzwqBVga9BIlNbi7f9lj&#10;PM4NeilpcOAL6r+umROUqHcGJ+p4OBrFDUnK6PAN3g9xDz3Lhx6z1ueAXA/xsbA8iTE+qJ1YOdCf&#10;cdNnMSu6mOGYu6BhJ56Hbg3xpeBiNktBuBOWhUtzY3mEjoQZmK0DVDJNQKSp4wYJjgpuRaK63+C4&#10;dg/1FHX/ak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I4xobDZAAAACwEAAA8AAAAAAAAAAQAg&#10;AAAAIgAAAGRycy9kb3ducmV2LnhtbFBLAQIUABQAAAAIAIdO4kAWe3M4fwIAAP0EAAAOAAAAAAAA&#10;AAEAIAAAACgBAABkcnMvZTJvRG9jLnhtbFBLBQYAAAAABgAGAFkBAAAZBgAAAAA=&#10;">
                <v:fill on="t" focussize="0,0"/>
                <v:stroke weight="0.5pt" color="#000000 [3204]" joinstyle="round"/>
                <v:imagedata o:title=""/>
                <o:lock v:ext="edit" aspectratio="f"/>
                <v:textbox>
                  <w:txbxContent>
                    <w:p w14:paraId="5FA528CC">
                      <w:pPr>
                        <w:rPr>
                          <w:rFonts w:asciiTheme="minorEastAsia" w:hAnsiTheme="minorEastAsia" w:eastAsiaTheme="minorEastAsia"/>
                        </w:rPr>
                      </w:pPr>
                      <w:r>
                        <w:rPr>
                          <w:rFonts w:hint="eastAsia" w:asciiTheme="minorEastAsia" w:hAnsiTheme="minorEastAsia" w:eastAsiaTheme="minorEastAsia"/>
                        </w:rPr>
                        <w:t>验收</w:t>
                      </w:r>
                    </w:p>
                    <w:p w14:paraId="5060CBA5">
                      <w:pPr>
                        <w:rPr>
                          <w:rFonts w:ascii="仿宋_GB2312" w:eastAsia="仿宋_GB2312"/>
                        </w:rPr>
                      </w:pPr>
                      <w:r>
                        <w:rPr>
                          <w:rFonts w:hint="eastAsia" w:ascii="仿宋_GB2312" w:eastAsia="仿宋_GB2312"/>
                        </w:rPr>
                        <w:t>立项</w:t>
                      </w:r>
                    </w:p>
                    <w:p w14:paraId="71DAFF0D">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82816" behindDoc="0" locked="0" layoutInCell="1" allowOverlap="1">
                <wp:simplePos x="0" y="0"/>
                <wp:positionH relativeFrom="column">
                  <wp:posOffset>1898650</wp:posOffset>
                </wp:positionH>
                <wp:positionV relativeFrom="paragraph">
                  <wp:posOffset>5595620</wp:posOffset>
                </wp:positionV>
                <wp:extent cx="0" cy="262255"/>
                <wp:effectExtent l="95250" t="0" r="57150" b="61595"/>
                <wp:wrapNone/>
                <wp:docPr id="3" name="直接箭头连接符 3"/>
                <wp:cNvGraphicFramePr/>
                <a:graphic xmlns:a="http://schemas.openxmlformats.org/drawingml/2006/main">
                  <a:graphicData uri="http://schemas.microsoft.com/office/word/2010/wordprocessingShape">
                    <wps:wsp>
                      <wps:cNvCnPr/>
                      <wps:spPr>
                        <a:xfrm>
                          <a:off x="0" y="0"/>
                          <a:ext cx="0" cy="262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49.5pt;margin-top:440.6pt;height:20.65pt;width:0pt;z-index:251682816;mso-width-relative:page;mso-height-relative:page;" filled="f" stroked="t" coordsize="21600,21600" o:gfxdata="UEsDBAoAAAAAAIdO4kAAAAAAAAAAAAAAAAAEAAAAZHJzL1BLAwQUAAAACACHTuJAJacyb9oAAAAL&#10;AQAADwAAAGRycy9kb3ducmV2LnhtbE2PzWrDMBCE74W+g9hCb40sQYPteh1CIZBDC41TaI6KtbWc&#10;WJKxlJ++fVV6aI+zM8x+Uy2udmBnmkLvHYKYZcDItV73rkN4364ecmAhKqfV4B0hfFGARX17U6lS&#10;+4vb0LmJHUslLpQKwcQ4lpyH1pBVYeZHcsn79JNVMcmp43pSl1RuBy6zbM6t6l36YNRIz4baY3Oy&#10;CB9rMRfNziwprg6vL29ypzaHNeL9nciegEW6xr8w/OAndKgT096fnA5sQJBFkbZEhDwXElhK/F72&#10;CIWUj8Driv/fUH8DUEsDBBQAAAAIAIdO4kAqS/e2EwIAAP8DAAAOAAAAZHJzL2Uyb0RvYy54bWyt&#10;U8tu1DAU3SPxD5b3TDIpU2g0mYp2WjY8RgI+4I7jJJb8ku1OZn6CH0BiRVkBq+75GiifwbWTTqFs&#10;umCTXF/nnOtzfDI/3ipJNtx5YXRFp5OcEq6ZqYVuK/ru7fmjp5T4ALoGaTSv6I57erx4+GDe25IX&#10;pjOy5o4gifZlbyvahWDLLPOs4wr8xFiucbMxTkHApWuz2kGP7EpmRZ4fZr1xtXWGce+xuxw26cjo&#10;7kNomkYwvjTsQnEdBlbHJQSU5DthPV2k0zYNZ+F103geiKwoKg3piUOwXsdntphD2TqwnWDjEeA+&#10;R7ijSYHQOHRPtYQA5MKJf6iUYM5404QJMyobhCRHUMU0v+PNmw4sT1rQam/3pvv/R8tebVaOiLqi&#10;B5RoUHjh1x+ufr6/vP729cenq1/fP8b6y2dyEK3qrS8RcapXblx5u3JR97ZxKr5REdkme3d7e/k2&#10;EDY0GXaLw6KYzSJddouzzofn3CgSi4r64EC0XTg1WuMdGjdN7sLmhQ8D8AYQh2pzLqTEPpRSk76i&#10;R7NiRgkDjGeDscBSWZTodUsJyBZzz4JLjN5IUUd0BHvXrk+lIxvAtDx+9uTs5GT4qIOaD92jWZ6P&#10;qfEQXpp6aE/zmz5qGmmSvr/445mX4LsBk7aGAAYQ8kzXJOwsXgA4Z/rRH6mRJto+GB2rtal3yf/U&#10;x1ykQWOGY/D+XCf07X+7+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lpzJv2gAAAAsBAAAPAAAA&#10;AAAAAAEAIAAAACIAAABkcnMvZG93bnJldi54bWxQSwECFAAUAAAACACHTuJAKkv3thMCAAD/AwAA&#10;DgAAAAAAAAABACAAAAAp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3360" behindDoc="0" locked="0" layoutInCell="1" allowOverlap="1">
                <wp:simplePos x="0" y="0"/>
                <wp:positionH relativeFrom="column">
                  <wp:posOffset>1663700</wp:posOffset>
                </wp:positionH>
                <wp:positionV relativeFrom="paragraph">
                  <wp:posOffset>5332095</wp:posOffset>
                </wp:positionV>
                <wp:extent cx="492125" cy="261620"/>
                <wp:effectExtent l="0" t="0" r="22225" b="24130"/>
                <wp:wrapNone/>
                <wp:docPr id="9" name="文本框 9"/>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3BBE25">
                            <w:pPr>
                              <w:rPr>
                                <w:rFonts w:asciiTheme="minorEastAsia" w:hAnsiTheme="minorEastAsia" w:eastAsiaTheme="minorEastAsia"/>
                              </w:rPr>
                            </w:pPr>
                            <w:r>
                              <w:rPr>
                                <w:rFonts w:hint="eastAsia" w:asciiTheme="minorEastAsia" w:hAnsiTheme="minorEastAsia" w:eastAsiaTheme="minorEastAsia"/>
                              </w:rPr>
                              <w:t>履约</w:t>
                            </w:r>
                          </w:p>
                          <w:p w14:paraId="1A46EF2F">
                            <w:pPr>
                              <w:rPr>
                                <w:rFonts w:ascii="仿宋_GB2312" w:eastAsia="仿宋_GB2312"/>
                              </w:rPr>
                            </w:pPr>
                            <w:r>
                              <w:rPr>
                                <w:rFonts w:hint="eastAsia" w:ascii="仿宋_GB2312" w:eastAsia="仿宋_GB2312"/>
                              </w:rPr>
                              <w:t>立项</w:t>
                            </w:r>
                          </w:p>
                          <w:p w14:paraId="3CC26922">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pt;margin-top:419.85pt;height:20.6pt;width:38.75pt;z-index:251663360;mso-width-relative:page;mso-height-relative:page;" fillcolor="#DBEEF4 [664]" filled="t" stroked="t" coordsize="21600,21600" o:gfxdata="UEsDBAoAAAAAAIdO4kAAAAAAAAAAAAAAAAAEAAAAZHJzL1BLAwQUAAAACACHTuJAHzo8StsAAAAL&#10;AQAADwAAAGRycy9kb3ducmV2LnhtbE2PzU7DMBCE70h9B2srcaNOE9omIU4PSIgDB0Thwm0Tu0nU&#10;eG1i9weenuVEj7Mzmv2m2l7sKE5mCoMjBctFAsJQ6/RAnYKP96e7HESISBpHR0bBtwmwrWc3FZba&#10;nenNnHaxE1xCoUQFfYy+lDK0vbEYFs4bYm/vJouR5dRJPeGZy+0o0yRZS4sD8YcevXnsTXvYHa2C&#10;Da1+nodDY33M06979K/x5XOv1O18mTyAiOYS/8Pwh8/oUDNT446kgxgVpOuUt0QFeVZsQHAiy4oV&#10;iIYveVKArCt5vaH+BVBLAwQUAAAACACHTuJA0Z9Nj38CAAD9BAAADgAAAGRycy9lMm9Eb2MueG1s&#10;rVTNbhMxEL4j8Q6W73STkIYmyqZKmwYhFVqpIM6O15u1sD3GdrLbPgC8AScu3HmuPgdj7yZNC4ce&#10;uHjnb7+Z+Tzj6WmjFdkK5yWYnPaPepQIw6GQZp3TTx+Xr04o8YGZgikwIqe3wtPT2csX09pOxAAq&#10;UIVwBEGMn9Q2p1UIdpJlnldCM38EVhh0luA0C6i6dVY4ViO6Vtmg1xtlNbjCOuDCe7QuWiftEN1z&#10;AKEsJRcL4BstTGhRnVAsYEu+ktbTWaq2LAUPV2XpRSAqp9hpSCcmQXkVz2w2ZZO1Y7aSvCuBPaeE&#10;Jz1pJg0m3UMtWGBk4+RfUFpyBx7KcMRBZ20jiRHsot97ws1NxaxIvSDV3u5J9/8Pln/YXjsii5yO&#10;KTFM44Xf//h+//P3/a9vZBzpqa2fYNSNxbjQnEGDQ7OzezTGrpvS6fjFfgj6kdzbPbmiCYSjcTge&#10;9AfHlHB0DUb90SCRnz38bJ0PbwVoEoWcOry7RCnbXvqAhWDoLiTm8qBksZRKJcWtV+fKkS3De16c&#10;XVwsh+lftdHvoWjNOHy97sLRjGPRmk92ZsT3LUzK9QhfGVLndPT6uJdgH/liUfvcK8X4l0hPRHuo&#10;EDVlYqEizWTXUKS2pTBKoVk1Hd8rKG6RbgftvHrLlxKzXDIfrpnDAUWGcYXDFR6lAiwNOomSCtzd&#10;v+wxHucGvZTUOPA59V83zAlK1DuDEzXuD4dxQ5IyPH6D90PcoWd16DEbfQ7IdR8fC8uTGOOD2oml&#10;A/0ZN30es6KLGY65cxp24nlo1xBfCi7m8xSEO2FZuDQ3lkfoSJiB+SZAKdMERJpabpDgqOBWJKq7&#10;DY5rd6inqIdXa/Y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Hzo8StsAAAALAQAADwAAAAAAAAAB&#10;ACAAAAAiAAAAZHJzL2Rvd25yZXYueG1sUEsBAhQAFAAAAAgAh07iQNGfTY9/AgAA/QQAAA4AAAAA&#10;AAAAAQAgAAAAKgEAAGRycy9lMm9Eb2MueG1sUEsFBgAAAAAGAAYAWQEAABsGAAAAAA==&#10;">
                <v:fill on="t" focussize="0,0"/>
                <v:stroke weight="0.5pt" color="#000000 [3204]" joinstyle="round"/>
                <v:imagedata o:title=""/>
                <o:lock v:ext="edit" aspectratio="f"/>
                <v:textbox>
                  <w:txbxContent>
                    <w:p w14:paraId="703BBE25">
                      <w:pPr>
                        <w:rPr>
                          <w:rFonts w:asciiTheme="minorEastAsia" w:hAnsiTheme="minorEastAsia" w:eastAsiaTheme="minorEastAsia"/>
                        </w:rPr>
                      </w:pPr>
                      <w:r>
                        <w:rPr>
                          <w:rFonts w:hint="eastAsia" w:asciiTheme="minorEastAsia" w:hAnsiTheme="minorEastAsia" w:eastAsiaTheme="minorEastAsia"/>
                        </w:rPr>
                        <w:t>履约</w:t>
                      </w:r>
                    </w:p>
                    <w:p w14:paraId="1A46EF2F">
                      <w:pPr>
                        <w:rPr>
                          <w:rFonts w:ascii="仿宋_GB2312" w:eastAsia="仿宋_GB2312"/>
                        </w:rPr>
                      </w:pPr>
                      <w:r>
                        <w:rPr>
                          <w:rFonts w:hint="eastAsia" w:ascii="仿宋_GB2312" w:eastAsia="仿宋_GB2312"/>
                        </w:rPr>
                        <w:t>立项</w:t>
                      </w:r>
                    </w:p>
                    <w:p w14:paraId="3CC26922">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9744" behindDoc="0" locked="0" layoutInCell="1" allowOverlap="1">
                <wp:simplePos x="0" y="0"/>
                <wp:positionH relativeFrom="column">
                  <wp:posOffset>1380490</wp:posOffset>
                </wp:positionH>
                <wp:positionV relativeFrom="paragraph">
                  <wp:posOffset>4802505</wp:posOffset>
                </wp:positionV>
                <wp:extent cx="1072515" cy="262255"/>
                <wp:effectExtent l="0" t="0" r="13335" b="23495"/>
                <wp:wrapNone/>
                <wp:docPr id="10" name="文本框 10"/>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83C3BD">
                            <w:pPr>
                              <w:jc w:val="center"/>
                              <w:rPr>
                                <w:rFonts w:asciiTheme="minorEastAsia" w:hAnsiTheme="minorEastAsia" w:eastAsiaTheme="minorEastAsia"/>
                              </w:rPr>
                            </w:pPr>
                            <w:r>
                              <w:rPr>
                                <w:rFonts w:hint="eastAsia" w:asciiTheme="minorEastAsia" w:hAnsiTheme="minorEastAsia" w:eastAsiaTheme="minorEastAsia"/>
                              </w:rPr>
                              <w:t>签订合同</w:t>
                            </w:r>
                          </w:p>
                          <w:p w14:paraId="63262617">
                            <w:pPr>
                              <w:rPr>
                                <w:rFonts w:ascii="仿宋_GB2312" w:eastAsia="仿宋_GB2312"/>
                              </w:rPr>
                            </w:pPr>
                            <w:r>
                              <w:rPr>
                                <w:rFonts w:hint="eastAsia" w:ascii="仿宋_GB2312" w:eastAsia="仿宋_GB2312"/>
                              </w:rPr>
                              <w:t>立项</w:t>
                            </w:r>
                          </w:p>
                          <w:p w14:paraId="50DE9787">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7pt;margin-top:378.15pt;height:20.65pt;width:84.45pt;z-index:251679744;mso-width-relative:page;mso-height-relative:page;" fillcolor="#DBEEF4 [664]" filled="t" stroked="t" coordsize="21600,21600" o:gfxdata="UEsDBAoAAAAAAIdO4kAAAAAAAAAAAAAAAAAEAAAAZHJzL1BLAwQUAAAACACHTuJAZ7q7PtkAAAAL&#10;AQAADwAAAGRycy9kb3ducmV2LnhtbE2PPU/DMBCGdyT+g3VIbNRJ2iYhxOmAhBgYEIWF7RK7SdT4&#10;bGL3A3491wm2+3j03nP15mwncTRzGB0pSBcJCEOd0yP1Cj7en+5KECEiaZwcGQXfJsCmub6qsdLu&#10;RG/muI294BAKFSoYYvSVlKEbjMWwcN4Q73Zuthi5nXupZzxxuJ1kliS5tDgSXxjQm8fBdPvtwSoo&#10;aP3zPO5b62OZfa3Qv8aXz51Stzdp8gAimnP8g+Giz+rQsFPrDqSDmBRkabFilMPW+RIEE8vyUrQ8&#10;uS9ykE0t///Q/AJQSwMEFAAAAAgAh07iQB9fIDp9AgAAAAUAAA4AAABkcnMvZTJvRG9jLnhtbK1U&#10;zXLTMBC+M8M7aHSndkzSlkycTpo0DDOFdqYwnBVZjj1IWiEpsdsHgDfgxIU7z9XnYCU7aVo49MDF&#10;3j99u/tpV5OzVkmyFdbVoHM6OEopEZpDUet1Tj99XL46pcR5pgsmQYuc3gpHz6YvX0waMxYZVCAL&#10;YQmCaDduTE4r7804SRyvhGLuCIzQ6CzBKuZRteuksKxBdCWTLE2PkwZsYSxw4RxaF52T9oj2OYBQ&#10;ljUXC+AbJbTvUK2QzGNLrqqNo9NYbVkK7q/K0glPZE6xUx+/mATlVfgm0wkbry0zVc37EthzSnjS&#10;k2K1xqR7qAXzjGxs/ReUqrkFB6U/4qCSrpHICHYxSJ9wc1MxI2IvSLUze9Ld/4PlH7bXltQFTgJS&#10;opnCG7//8f3+5+/7X98I2pCgxrgxxt0YjPTtObQYvLM7NIa+29Kq8MeOCPoR63ZPr2g94eFQepKN&#10;BiNKOPqy4ywbjQJM8nDaWOffClAkCDm1eH2RVba9dL4L3YWEZA5kXSxrKaNi16u5tGTL8KoX5xcX&#10;y2E8KzfqPRSdGecv7e8czTgZnfl0Z8ZSXAcTy3qELzVpcnr8epRG2Ee+UNQ+90oy/qVv7CAKsaUO&#10;hYo4ln1DgduOwyD5dtX2hK+guEW+LXQj6wxf1pjlkjl/zSzOKFKMW+yv8FNKwNKglyipwN79yx7i&#10;cXTQS0mDM59T93XDrKBEvtM4VG8GwyHC+qgMRycZKvbQszr06I2aA3I9wPfC8CiGeC93YmlBfcZl&#10;n4Ws6GKaY+6c+p04990m4mPBxWwWg3AtDPOX+sbwAB0I0zDbeCjrOAGBpo4bvKKg4GLEy+qXOGze&#10;oR6jHh6u6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nurs+2QAAAAsBAAAPAAAAAAAAAAEAIAAA&#10;ACIAAABkcnMvZG93bnJldi54bWxQSwECFAAUAAAACACHTuJAH18gOn0CAAAABQAADgAAAAAAAAAB&#10;ACAAAAAoAQAAZHJzL2Uyb0RvYy54bWxQSwUGAAAAAAYABgBZAQAAFwYAAAAA&#10;">
                <v:fill on="t" focussize="0,0"/>
                <v:stroke weight="0.5pt" color="#000000 [3204]" joinstyle="round"/>
                <v:imagedata o:title=""/>
                <o:lock v:ext="edit" aspectratio="f"/>
                <v:textbox>
                  <w:txbxContent>
                    <w:p w14:paraId="6B83C3BD">
                      <w:pPr>
                        <w:jc w:val="center"/>
                        <w:rPr>
                          <w:rFonts w:asciiTheme="minorEastAsia" w:hAnsiTheme="minorEastAsia" w:eastAsiaTheme="minorEastAsia"/>
                        </w:rPr>
                      </w:pPr>
                      <w:r>
                        <w:rPr>
                          <w:rFonts w:hint="eastAsia" w:asciiTheme="minorEastAsia" w:hAnsiTheme="minorEastAsia" w:eastAsiaTheme="minorEastAsia"/>
                        </w:rPr>
                        <w:t>签订合同</w:t>
                      </w:r>
                    </w:p>
                    <w:p w14:paraId="63262617">
                      <w:pPr>
                        <w:rPr>
                          <w:rFonts w:ascii="仿宋_GB2312" w:eastAsia="仿宋_GB2312"/>
                        </w:rPr>
                      </w:pPr>
                      <w:r>
                        <w:rPr>
                          <w:rFonts w:hint="eastAsia" w:ascii="仿宋_GB2312" w:eastAsia="仿宋_GB2312"/>
                        </w:rPr>
                        <w:t>立项</w:t>
                      </w:r>
                    </w:p>
                    <w:p w14:paraId="50DE9787">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6672" behindDoc="0" locked="0" layoutInCell="1" allowOverlap="1">
                <wp:simplePos x="0" y="0"/>
                <wp:positionH relativeFrom="column">
                  <wp:posOffset>1159510</wp:posOffset>
                </wp:positionH>
                <wp:positionV relativeFrom="paragraph">
                  <wp:posOffset>4292600</wp:posOffset>
                </wp:positionV>
                <wp:extent cx="1581785" cy="261620"/>
                <wp:effectExtent l="0" t="0" r="18415" b="24130"/>
                <wp:wrapNone/>
                <wp:docPr id="11" name="文本框 11"/>
                <wp:cNvGraphicFramePr/>
                <a:graphic xmlns:a="http://schemas.openxmlformats.org/drawingml/2006/main">
                  <a:graphicData uri="http://schemas.microsoft.com/office/word/2010/wordprocessingShape">
                    <wps:wsp>
                      <wps:cNvSpPr txBox="1"/>
                      <wps:spPr>
                        <a:xfrm>
                          <a:off x="0" y="0"/>
                          <a:ext cx="158178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B145D4">
                            <w:pPr>
                              <w:rPr>
                                <w:rFonts w:asciiTheme="minorEastAsia" w:hAnsiTheme="minorEastAsia" w:eastAsiaTheme="minorEastAsia"/>
                              </w:rPr>
                            </w:pPr>
                            <w:r>
                              <w:rPr>
                                <w:rFonts w:hint="eastAsia" w:asciiTheme="minorEastAsia" w:hAnsiTheme="minorEastAsia" w:eastAsiaTheme="minorEastAsia"/>
                              </w:rPr>
                              <w:t>成交公告；成交通知书</w:t>
                            </w:r>
                          </w:p>
                          <w:p w14:paraId="34573CEA">
                            <w:pPr>
                              <w:rPr>
                                <w:rFonts w:ascii="仿宋_GB2312" w:eastAsia="仿宋_GB2312"/>
                              </w:rPr>
                            </w:pPr>
                            <w:r>
                              <w:rPr>
                                <w:rFonts w:hint="eastAsia" w:ascii="仿宋_GB2312" w:eastAsia="仿宋_GB2312"/>
                              </w:rPr>
                              <w:t>立项</w:t>
                            </w:r>
                          </w:p>
                          <w:p w14:paraId="437F4B81">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3pt;margin-top:338pt;height:20.6pt;width:124.55pt;z-index:251676672;mso-width-relative:page;mso-height-relative:page;" fillcolor="#DBEEF4 [664]" filled="t" stroked="t" coordsize="21600,21600" o:gfxdata="UEsDBAoAAAAAAIdO4kAAAAAAAAAAAAAAAAAEAAAAZHJzL1BLAwQUAAAACACHTuJA/rRuk9gAAAAL&#10;AQAADwAAAGRycy9kb3ducmV2LnhtbE2PPU+EQBCGexP/w2ZM7LwFPIEgyxUmxsLCeNrYDewckGNn&#10;kd370F/vWGn5Zt4887z15uwmdaQljJ4NpKsEFHHn7ci9gfe3x5sSVIjIFifPZOCLAmyay4saK+tP&#10;/ErHbeyVQDhUaGCIca60Dt1ADsPKz8Ry2/nFYZS49NoueBK4m3SWJLl2OLJ8GHCmh4G6/fbgDBR8&#10;9/007ls3xzL7XOP8Ep8/dsZcX6XJPahI5/hXhl99UYdGnFp/YBvUJLnMcqkayItcRkljfZsWoFrB&#10;p0UGuqn1/w3ND1BLAwQUAAAACACHTuJAHcvk534CAAAABQAADgAAAGRycy9lMm9Eb2MueG1srVTL&#10;bhMxFN0j8Q+W93SSkIQQdVKlTYOQCq1UEGvH48mM8AvbyaR8APwBKzbs+a5+B8eeSfqARRdsPPfl&#10;c+89vneOT3ZKkq1wvjY6p/2jHiVCc1PUep3Tjx+WLyaU+MB0waTRIqc3wtOT2fNnx42dioGpjCyE&#10;IwDRftrYnFYh2GmWeV4JxfyRsULDWRqnWIDq1lnhWAN0JbNBrzfOGuMK6wwX3sO6aJ20Q3RPATRl&#10;WXOxMHyjhA4tqhOSBbTkq9p6OkvVlqXg4bIsvQhE5hSdhnQiCeRVPLPZMZuuHbNVzbsS2FNKeNST&#10;YrVG0gPUggVGNq7+C0rV3BlvynDEjcraRhIj6KLfe8TNdcWsSL2Aam8PpPv/B8vfb68cqQtMQp8S&#10;zRRe/PbH99ufv29/fSOwgaDG+iniri0iw+7U7BC8t3sYY9+70qn4RUcEftB7c6BX7ALh8dJo0n81&#10;GVHC4RuM++NB4j+7u22dD2+EUSQKOXV4vsQq2174gEoQug+JybyRdbGspUyKW6/OpCNbhqdenJ6f&#10;L4fprtyod6ZozZi/XvfmMGMyWvNkbwa+b2FSrgf4UpMmp+OXo16CfeCLRR1yryTjnyM/Ee2uQmhS&#10;x0JFGsuuochty2GUwm616whfmeIGfDvTjqy3fFkjywXz4Yo5zCgoxhaHSxylNCjNdBIllXFf/2WP&#10;8RgdeClpMPM59V82zAlK5FuNoXrdHw7jkiRlOHqF9yHuvmd136M36syAa8wNqktijA9yL5bOqE9Y&#10;9nnMChfTHLlzGvbiWWg3ET8LLubzFIS1sCxc6GvLI3QkTJv5JpiyThMQaWq5AcFRwWIkqrsljpt3&#10;X09Rdz+u2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tG6T2AAAAAsBAAAPAAAAAAAAAAEAIAAA&#10;ACIAAABkcnMvZG93bnJldi54bWxQSwECFAAUAAAACACHTuJAHcvk534CAAAABQAADgAAAAAAAAAB&#10;ACAAAAAnAQAAZHJzL2Uyb0RvYy54bWxQSwUGAAAAAAYABgBZAQAAFwYAAAAA&#10;">
                <v:fill on="t" focussize="0,0"/>
                <v:stroke weight="0.5pt" color="#000000 [3204]" joinstyle="round"/>
                <v:imagedata o:title=""/>
                <o:lock v:ext="edit" aspectratio="f"/>
                <v:textbox>
                  <w:txbxContent>
                    <w:p w14:paraId="1FB145D4">
                      <w:pPr>
                        <w:rPr>
                          <w:rFonts w:asciiTheme="minorEastAsia" w:hAnsiTheme="minorEastAsia" w:eastAsiaTheme="minorEastAsia"/>
                        </w:rPr>
                      </w:pPr>
                      <w:r>
                        <w:rPr>
                          <w:rFonts w:hint="eastAsia" w:asciiTheme="minorEastAsia" w:hAnsiTheme="minorEastAsia" w:eastAsiaTheme="minorEastAsia"/>
                        </w:rPr>
                        <w:t>成交公告；成交通知书</w:t>
                      </w:r>
                    </w:p>
                    <w:p w14:paraId="34573CEA">
                      <w:pPr>
                        <w:rPr>
                          <w:rFonts w:ascii="仿宋_GB2312" w:eastAsia="仿宋_GB2312"/>
                        </w:rPr>
                      </w:pPr>
                      <w:r>
                        <w:rPr>
                          <w:rFonts w:hint="eastAsia" w:ascii="仿宋_GB2312" w:eastAsia="仿宋_GB2312"/>
                        </w:rPr>
                        <w:t>立项</w:t>
                      </w:r>
                    </w:p>
                    <w:p w14:paraId="437F4B81">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7696" behindDoc="0" locked="0" layoutInCell="1" allowOverlap="1">
                <wp:simplePos x="0" y="0"/>
                <wp:positionH relativeFrom="column">
                  <wp:posOffset>1383665</wp:posOffset>
                </wp:positionH>
                <wp:positionV relativeFrom="paragraph">
                  <wp:posOffset>3750310</wp:posOffset>
                </wp:positionV>
                <wp:extent cx="1072515" cy="262255"/>
                <wp:effectExtent l="0" t="0" r="13335" b="23495"/>
                <wp:wrapNone/>
                <wp:docPr id="12" name="文本框 12"/>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ED953C">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2083C89F">
                            <w:pPr>
                              <w:rPr>
                                <w:rFonts w:ascii="仿宋_GB2312" w:eastAsia="仿宋_GB2312"/>
                              </w:rPr>
                            </w:pPr>
                            <w:r>
                              <w:rPr>
                                <w:rFonts w:hint="eastAsia" w:ascii="仿宋_GB2312" w:eastAsia="仿宋_GB2312"/>
                              </w:rPr>
                              <w:t>立项</w:t>
                            </w:r>
                          </w:p>
                          <w:p w14:paraId="49FDDF66">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5pt;margin-top:295.3pt;height:20.65pt;width:84.45pt;z-index:251677696;mso-width-relative:page;mso-height-relative:page;" fillcolor="#DBEEF4 [664]" filled="t" stroked="t" coordsize="21600,21600" o:gfxdata="UEsDBAoAAAAAAIdO4kAAAAAAAAAAAAAAAAAEAAAAZHJzL1BLAwQUAAAACACHTuJAMw1dO9oAAAAL&#10;AQAADwAAAGRycy9kb3ducmV2LnhtbE2PPU/DMBCGdyT+g3VIbNRJStMk5NIBCTEwIAoLmxNfk6jx&#10;2cTuB/x6zETH0z163+etN2cziSPNfrSMkC4SEMSd1SP3CB/vT3cFCB8UazVZJoRv8rBprq9qVWl7&#10;4jc6bkMvYgj7SiEMIbhKSt8NZJRfWEccfzs7GxXiOfdSz+oUw80ksyTJpVEjx4ZBOXocqNtvDwZh&#10;zauf53HfGheK7Oteudfw8rlDvL1JkwcQgc7hH4Y//agOTXRq7YG1FxNClq7LiCKsyiQHEYllkccx&#10;LUK+TEuQTS0vNzS/UEsDBBQAAAAIAIdO4kB1NyxVfgIAAAAFAAAOAAAAZHJzL2Uyb0RvYy54bWyt&#10;VM1y0zAQvjPDO2h0p3ZM0pZMnE6aNAwzhXamMJwVWY49SFohKbHbB4A34MSFO8/V52AlO2laOPTA&#10;xd4/fbv7aVeTs1ZJshXW1aBzOjhKKRGaQ1HrdU4/fVy+OqXEeaYLJkGLnN4KR8+mL19MGjMWGVQg&#10;C2EJgmg3bkxOK+/NOEkcr4Ri7giM0OgswSrmUbXrpLCsQXQlkyxNj5MGbGEscOEcWhedk/aI9jmA&#10;UJY1FwvgGyW071CtkMxjS66qjaPTWG1ZCu6vytIJT2ROsVMfv5gE5VX4JtMJG68tM1XN+xLYc0p4&#10;0pNitcake6gF84xsbP0XlKq5BQelP+Kgkq6RyAh2MUifcHNTMSNiL0i1M3vS3f+D5R+215bUBU5C&#10;RolmCm/8/sf3+5+/7399I2hDghrjxhh3YzDSt+fQYvDO7tAY+m5Lq8IfOyLoR3pv9/SK1hMeDqUn&#10;2WgwooSjLzvOstEowCQPp411/q0ARYKQU4vXF1ll20vnu9BdSEjmQNbFspYyKna9mktLtgyvenF+&#10;cbEcxrNyo95D0Zlx/tL+ztGMk9GZT3dmLMV1MLGsR/hSkyanx69HaYR95AtF7XOvJONf+sYOohBb&#10;6lCoiGPZNxS47TgMkm9XbU/4Copb5NtCN7LO8GWNWS6Z89fM4owixbjF/go/pQQsDXqJkgrs3b/s&#10;IR5HB72UNDjzOXVfN8wKSuQ7jUP1ZjAchiWJynB0kqFiDz2rQ4/eqDkg1wN8LwyPYoj3cieWFtRn&#10;XPZZyIoupjnmzqnfiXPfbSI+FlzMZjEI18Iwf6lvDA/QgTANs42Hso4TEGjquMErCgouRrysfonD&#10;5h3qMerh4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MNXTvaAAAACwEAAA8AAAAAAAAAAQAg&#10;AAAAIgAAAGRycy9kb3ducmV2LnhtbFBLAQIUABQAAAAIAIdO4kB1NyxVfgIAAAAFAAAOAAAAAAAA&#10;AAEAIAAAACkBAABkcnMvZTJvRG9jLnhtbFBLBQYAAAAABgAGAFkBAAAZBgAAAAA=&#10;">
                <v:fill on="t" focussize="0,0"/>
                <v:stroke weight="0.5pt" color="#000000 [3204]" joinstyle="round"/>
                <v:imagedata o:title=""/>
                <o:lock v:ext="edit" aspectratio="f"/>
                <v:textbox>
                  <w:txbxContent>
                    <w:p w14:paraId="62ED953C">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2083C89F">
                      <w:pPr>
                        <w:rPr>
                          <w:rFonts w:ascii="仿宋_GB2312" w:eastAsia="仿宋_GB2312"/>
                        </w:rPr>
                      </w:pPr>
                      <w:r>
                        <w:rPr>
                          <w:rFonts w:hint="eastAsia" w:ascii="仿宋_GB2312" w:eastAsia="仿宋_GB2312"/>
                        </w:rPr>
                        <w:t>立项</w:t>
                      </w:r>
                    </w:p>
                    <w:p w14:paraId="49FDDF66">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4384" behindDoc="0" locked="0" layoutInCell="1" allowOverlap="1">
                <wp:simplePos x="0" y="0"/>
                <wp:positionH relativeFrom="column">
                  <wp:posOffset>1398905</wp:posOffset>
                </wp:positionH>
                <wp:positionV relativeFrom="paragraph">
                  <wp:posOffset>3225800</wp:posOffset>
                </wp:positionV>
                <wp:extent cx="1073150" cy="262255"/>
                <wp:effectExtent l="0" t="0" r="12700" b="23495"/>
                <wp:wrapNone/>
                <wp:docPr id="13" name="文本框 13"/>
                <wp:cNvGraphicFramePr/>
                <a:graphic xmlns:a="http://schemas.openxmlformats.org/drawingml/2006/main">
                  <a:graphicData uri="http://schemas.microsoft.com/office/word/2010/wordprocessingShape">
                    <wps:wsp>
                      <wps:cNvSpPr txBox="1"/>
                      <wps:spPr>
                        <a:xfrm>
                          <a:off x="0" y="0"/>
                          <a:ext cx="107315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08E398">
                            <w:pPr>
                              <w:jc w:val="center"/>
                              <w:rPr>
                                <w:rFonts w:asciiTheme="minorEastAsia" w:hAnsiTheme="minorEastAsia" w:eastAsiaTheme="minorEastAsia"/>
                              </w:rPr>
                            </w:pPr>
                            <w:r>
                              <w:rPr>
                                <w:rFonts w:hint="eastAsia" w:asciiTheme="minorEastAsia" w:hAnsiTheme="minorEastAsia" w:eastAsiaTheme="minorEastAsia"/>
                              </w:rPr>
                              <w:t>评审打分</w:t>
                            </w:r>
                          </w:p>
                          <w:p w14:paraId="0A59F911">
                            <w:pPr>
                              <w:rPr>
                                <w:rFonts w:ascii="仿宋_GB2312" w:eastAsia="仿宋_GB2312"/>
                              </w:rPr>
                            </w:pPr>
                            <w:r>
                              <w:rPr>
                                <w:rFonts w:hint="eastAsia" w:ascii="仿宋_GB2312" w:eastAsia="仿宋_GB2312"/>
                              </w:rPr>
                              <w:t>立项</w:t>
                            </w:r>
                          </w:p>
                          <w:p w14:paraId="1050E321">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15pt;margin-top:254pt;height:20.65pt;width:84.5pt;z-index:251664384;mso-width-relative:page;mso-height-relative:page;" fillcolor="#DBEEF4 [664]" filled="t" stroked="t" coordsize="21600,21600" o:gfxdata="UEsDBAoAAAAAAIdO4kAAAAAAAAAAAAAAAAAEAAAAZHJzL1BLAwQUAAAACACHTuJAa/THuNkAAAAL&#10;AQAADwAAAGRycy9kb3ducmV2LnhtbE2PT0/DMAzF70h8h8hI3FiyboNSmu6AhDhwQAwu3NzGa6s1&#10;TmmyP/DpMSd2s5+fnn+vXJ/8oA40xT6whfnMgCJuguu5tfDx/nSTg4oJ2eEQmCx8U4R1dXlRYuHC&#10;kd/osEmtkhCOBVroUhoLrWPTkcc4CyOx3LZh8phknVrtJjxKuB90Zsyt9tizfOhwpMeOmt1m7y3c&#10;8ernud/Vfkx59rXE8TW9fG6tvb6amwdQiU7p3wx/+IIOlTDVYc8uqsFClpmFWC2sTC6lxLHI70Wp&#10;RVnKoKtSn3eofgFQSwMEFAAAAAgAh07iQERa8L57AgAAAAUAAA4AAABkcnMvZTJvRG9jLnhtbK1U&#10;zW4TMRC+I/EOlu90kzRpS9RNlTYNQiq0UkGcHa83u8J/2E425QHgDThx4c5z9Tn47N2koeXQA5fd&#10;+fM3M59nfHq2UZKshfO10TntH/QoEZqbotbLnH78MH91QokPTBdMGi1yeic8PZu8fHHa2LEYmMrI&#10;QjgCEO3Hjc1pFYIdZ5nnlVDMHxgrNJylcYoFqG6ZFY41QFcyG/R6R1ljXGGd4cJ7WGetk3aI7jmA&#10;pixrLmaGr5TQoUV1QrKAlnxVW08nqdqyFDxcl6UXgcicotOQvkgCeRG/2eSUjZeO2armXQnsOSU8&#10;6kmxWiPpDmrGAiMrVz+BUjV3xpsyHHCjsraRxAi66PcecXNbMStSL6Da2x3p/v/B8vfrG0fqApNw&#10;SIlmCjd+/+P7/c/f97++EdhAUGP9GHG3FpFhc242CN7aPYyx703pVPyjIwI/6L3b0Ss2gfB4qHd8&#10;2B/BxeEbHA0Go1GEyR5OW+fDG2EUiUJOHa4vscrWVz60oduQmMwbWRfzWsqkuOXiQjqyZrjq2fnl&#10;5XyYzsqVemeK1oz563V3DjMmozWfbM0oxbcwqay/8KUmTU6PDtHAk9yxqF3uhWT8c9fYHgKwpY4n&#10;RRrLrqHIbcthlMJmsekIX5jiDnw7046st3xeI8sV8+GGOcwoeMQWh2t8SmlQmukkSirjvv7LHuMx&#10;OvBS0mDmc+q/rJgTlMi3GkP1uj8cAjYkZTg6HkBx+57Fvkev1IUB1328F5YnMcYHuRVLZ9QnLPs0&#10;ZoWLaY7cOQ1b8SK0m4jHgovpNAVhLSwLV/rW8ggdCdNmugqmrNMERJpabnBFUcFipMvqljhu3r6e&#10;oh4ers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a/THuNkAAAALAQAADwAAAAAAAAABACAAAAAi&#10;AAAAZHJzL2Rvd25yZXYueG1sUEsBAhQAFAAAAAgAh07iQERa8L57AgAAAAUAAA4AAAAAAAAAAQAg&#10;AAAAKAEAAGRycy9lMm9Eb2MueG1sUEsFBgAAAAAGAAYAWQEAABUGAAAAAA==&#10;">
                <v:fill on="t" focussize="0,0"/>
                <v:stroke weight="0.5pt" color="#000000 [3204]" joinstyle="round"/>
                <v:imagedata o:title=""/>
                <o:lock v:ext="edit" aspectratio="f"/>
                <v:textbox>
                  <w:txbxContent>
                    <w:p w14:paraId="7208E398">
                      <w:pPr>
                        <w:jc w:val="center"/>
                        <w:rPr>
                          <w:rFonts w:asciiTheme="minorEastAsia" w:hAnsiTheme="minorEastAsia" w:eastAsiaTheme="minorEastAsia"/>
                        </w:rPr>
                      </w:pPr>
                      <w:r>
                        <w:rPr>
                          <w:rFonts w:hint="eastAsia" w:asciiTheme="minorEastAsia" w:hAnsiTheme="minorEastAsia" w:eastAsiaTheme="minorEastAsia"/>
                        </w:rPr>
                        <w:t>评审打分</w:t>
                      </w:r>
                    </w:p>
                    <w:p w14:paraId="0A59F911">
                      <w:pPr>
                        <w:rPr>
                          <w:rFonts w:ascii="仿宋_GB2312" w:eastAsia="仿宋_GB2312"/>
                        </w:rPr>
                      </w:pPr>
                      <w:r>
                        <w:rPr>
                          <w:rFonts w:hint="eastAsia" w:ascii="仿宋_GB2312" w:eastAsia="仿宋_GB2312"/>
                        </w:rPr>
                        <w:t>立项</w:t>
                      </w:r>
                    </w:p>
                    <w:p w14:paraId="1050E321">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3600" behindDoc="0" locked="0" layoutInCell="1" allowOverlap="1">
                <wp:simplePos x="0" y="0"/>
                <wp:positionH relativeFrom="column">
                  <wp:posOffset>1247140</wp:posOffset>
                </wp:positionH>
                <wp:positionV relativeFrom="paragraph">
                  <wp:posOffset>2703830</wp:posOffset>
                </wp:positionV>
                <wp:extent cx="1453515" cy="261620"/>
                <wp:effectExtent l="0" t="0" r="13335" b="24130"/>
                <wp:wrapNone/>
                <wp:docPr id="14" name="文本框 14"/>
                <wp:cNvGraphicFramePr/>
                <a:graphic xmlns:a="http://schemas.openxmlformats.org/drawingml/2006/main">
                  <a:graphicData uri="http://schemas.microsoft.com/office/word/2010/wordprocessingShape">
                    <wps:wsp>
                      <wps:cNvSpPr txBox="1"/>
                      <wps:spPr>
                        <a:xfrm>
                          <a:off x="0" y="0"/>
                          <a:ext cx="145351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7427D72">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68AD7E32">
                            <w:pPr>
                              <w:rPr>
                                <w:rFonts w:ascii="仿宋_GB2312" w:eastAsia="仿宋_GB2312"/>
                              </w:rPr>
                            </w:pPr>
                            <w:r>
                              <w:rPr>
                                <w:rFonts w:hint="eastAsia" w:ascii="仿宋_GB2312" w:eastAsia="仿宋_GB2312"/>
                              </w:rPr>
                              <w:t>立项</w:t>
                            </w:r>
                          </w:p>
                          <w:p w14:paraId="38F0775E">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2pt;margin-top:212.9pt;height:20.6pt;width:114.45pt;z-index:251673600;mso-width-relative:page;mso-height-relative:page;" fillcolor="#DBEEF4 [664]" filled="t" stroked="t" coordsize="21600,21600" o:gfxdata="UEsDBAoAAAAAAIdO4kAAAAAAAAAAAAAAAAAEAAAAZHJzL1BLAwQUAAAACACHTuJAD7BB3dgAAAAL&#10;AQAADwAAAGRycy9kb3ducmV2LnhtbE2PzU7DMBCE70i8g7VI3KjdkKZtGqcHJMSBA6Jw4baJ3SRq&#10;vDax+wNPz3KC24z20+xMtb24UZzsFAdPGuYzBcJS681AnYb3t8e7FYiYkAyOnqyGLxthW19fVVga&#10;f6ZXe9qlTnAIxRI19CmFUsrY9tZhnPlgiW97PzlMbKdOmgnPHO5GmSlVSIcD8Yceg33obXvYHZ2G&#10;JS2+n4ZD40JaZZ85hpf0/LHX+vZmrjYgkr2kPxh+63N1qLlT449kohjZr4ucUQ15tuANTLC4B9Gw&#10;KJYKZF3J/xvqH1BLAwQUAAAACACHTuJA2eTVsn8CAAAABQAADgAAAGRycy9lMm9Eb2MueG1srVTL&#10;bhMxFN0j8Q+W93SSNAkl6qRKmwYhFVqpINaOx5MZ4Re2k0z7AfAHrNiw57v6HRx7JukDFl2wmbkv&#10;n3vv8b0+PmmUJBvhfG10TvsHPUqE5qao9Sqnnz4uXh1R4gPTBZNGi5zeCE9Ppi9fHG/tRAxMZWQh&#10;HAGI9pOtzWkVgp1kmeeVUMwfGCs0nKVxigWobpUVjm2BrmQ26PXG2da4wjrDhfewzlsn7RDdcwBN&#10;WdZczA1fK6FDi+qEZAEt+aq2nk5TtWUpeLgsSy8CkTlFpyF9kQTyMn6z6TGbrByzVc27EthzSnjS&#10;k2K1RtI91JwFRtau/gtK1dwZb8pwwI3K2kYSI+ii33vCzXXFrEi9gGpv96T7/wfLP2yuHKkLTMKQ&#10;Es0Ubvzux/e7n7/vfn0jsIGgrfUTxF1bRIbm1DQI3tk9jLHvpnQq/tERgR/03uzpFU0gPB4ajg5H&#10;/RElHL7BuD8eJP6z+9PW+fBWGEWikFOH60usss2FD6gEobuQmMwbWReLWsqkuNXyTDqyYbjq+en5&#10;+WKYzsq1em+K1oz563V3DjMmozUf7czA9y1MyvUIX2qyzen4cNRLsI98sah97qVk/EvkJ6LdVwhN&#10;6lioSGPZNRS5bTmMUmiWTUf40hQ34NuZdmS95YsaWS6YD1fMYUZBMbY4XOJTSoPSTCdRUhl3+y97&#10;jMfowEvJFjOfU/91zZygRL7TGKo3/eEwLklShqPXuB/iHnqWDz16rc4MuO7jvbA8iTE+yJ1YOqM+&#10;Y9lnMStcTHPkzmnYiWeh3UQ8FlzMZikIa2FZuNDXlkfoSJg2s3UwZZ0mINLUcgOCo4LFSFR3Sxw3&#10;76Geou4fru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D7BB3dgAAAALAQAADwAAAAAAAAABACAA&#10;AAAiAAAAZHJzL2Rvd25yZXYueG1sUEsBAhQAFAAAAAgAh07iQNnk1bJ/AgAAAAUAAA4AAAAAAAAA&#10;AQAgAAAAJwEAAGRycy9lMm9Eb2MueG1sUEsFBgAAAAAGAAYAWQEAABgGAAAAAA==&#10;">
                <v:fill on="t" focussize="0,0"/>
                <v:stroke weight="0.5pt" color="#000000 [3204]" joinstyle="round"/>
                <v:imagedata o:title=""/>
                <o:lock v:ext="edit" aspectratio="f"/>
                <v:textbox>
                  <w:txbxContent>
                    <w:p w14:paraId="37427D72">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68AD7E32">
                      <w:pPr>
                        <w:rPr>
                          <w:rFonts w:ascii="仿宋_GB2312" w:eastAsia="仿宋_GB2312"/>
                        </w:rPr>
                      </w:pPr>
                      <w:r>
                        <w:rPr>
                          <w:rFonts w:hint="eastAsia" w:ascii="仿宋_GB2312" w:eastAsia="仿宋_GB2312"/>
                        </w:rPr>
                        <w:t>立项</w:t>
                      </w:r>
                    </w:p>
                    <w:p w14:paraId="38F0775E">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2576" behindDoc="0" locked="0" layoutInCell="1" allowOverlap="1">
                <wp:simplePos x="0" y="0"/>
                <wp:positionH relativeFrom="column">
                  <wp:posOffset>1383030</wp:posOffset>
                </wp:positionH>
                <wp:positionV relativeFrom="paragraph">
                  <wp:posOffset>2178685</wp:posOffset>
                </wp:positionV>
                <wp:extent cx="1089025" cy="262255"/>
                <wp:effectExtent l="0" t="0" r="15875" b="23495"/>
                <wp:wrapNone/>
                <wp:docPr id="15" name="文本框 15"/>
                <wp:cNvGraphicFramePr/>
                <a:graphic xmlns:a="http://schemas.openxmlformats.org/drawingml/2006/main">
                  <a:graphicData uri="http://schemas.microsoft.com/office/word/2010/wordprocessingShape">
                    <wps:wsp>
                      <wps:cNvSpPr txBox="1"/>
                      <wps:spPr>
                        <a:xfrm>
                          <a:off x="0" y="0"/>
                          <a:ext cx="108902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23DD87">
                            <w:pPr>
                              <w:jc w:val="center"/>
                              <w:rPr>
                                <w:rFonts w:asciiTheme="minorEastAsia" w:hAnsiTheme="minorEastAsia" w:eastAsiaTheme="minorEastAsia"/>
                              </w:rPr>
                            </w:pPr>
                            <w:r>
                              <w:rPr>
                                <w:rFonts w:hint="eastAsia" w:asciiTheme="minorEastAsia" w:hAnsiTheme="minorEastAsia" w:eastAsiaTheme="minorEastAsia"/>
                              </w:rPr>
                              <w:t>磋商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pt;margin-top:171.55pt;height:20.65pt;width:85.75pt;z-index:251672576;mso-width-relative:page;mso-height-relative:page;" fillcolor="#DBEEF4 [664]" filled="t" stroked="t" coordsize="21600,21600" o:gfxdata="UEsDBAoAAAAAAIdO4kAAAAAAAAAAAAAAAAAEAAAAZHJzL1BLAwQUAAAACACHTuJAavU/hNkAAAAL&#10;AQAADwAAAGRycy9kb3ducmV2LnhtbE2PS0/DMBCE70j8B2uRuFHnBU1DnB6QEAcOiMKlNyfeJlHj&#10;tYm3D/j1uCe47WhHM9/U67OdxBHnMDpSkC4SEEidMyP1Cj4/nu9KEIE1GT05QgXfGGDdXF/VujLu&#10;RO943HAvYgiFSisYmH0lZegGtDosnEeKv52breYo516aWZ9iuJ1kliQP0uqRYsOgPT4N2O03B6tg&#10;Sfc/L+O+tZ7L7KvQ/o1ftzulbm/S5BEE45n/zHDBj+jQRKbWHcgEMSnI0mVEZwV5kacgoiMvVzmI&#10;9nIUBcimlv83NL9QSwMEFAAAAAgAh07iQAHru3p+AgAAAAUAAA4AAABkcnMvZTJvRG9jLnhtbK1U&#10;zXLTMBC+M8M7aHSndkxS2kydTtoQhplCO1MYzoosxx5kSUhK7PIA8AacuHDnufocfJKd9AcOPXCx&#10;90/f7n7a1clp10iyFdbVWuV0dJBSIhTXRa3WOf34YfniiBLnmSqY1Erk9EY4ejp7/uykNVOR6UrL&#10;QlgCEOWmrclp5b2ZJonjlWiYO9BGKDhLbRvmodp1UljWAr2RSZamh0mrbWGs5sI5WBe9kw6I9imA&#10;uixrLhaabxqhfI9qhWQeLbmqNo7OYrVlKbi/LEsnPJE5Rac+fpEE8ip8k9kJm64tM1XNhxLYU0p4&#10;1FPDaoWke6gF84xsbP0XVFNzq50u/QHXTdI3EhlBF6P0ETfXFTMi9gKqndmT7v4fLH+/vbKkLjAJ&#10;E0oUa3Djtz++3/78ffvrG4ENBLXGTRF3bRDpuzPdIXhndzCGvrvSNuGPjgj8oPdmT6/oPOHhUHp0&#10;nGZIw+HLDrNsEuGTu9PGOv9G6IYEIacW1xdZZdsL51EJQnchIZnTsi6WtZRRsevVubRky3DVi7PX&#10;r5fjeFZumne66M2Yv3S4c5gxGb35aGcGvuthYq4H+FKRNqeHLydphH3gC0Xtc68k458DPwHtrkJo&#10;UoVCRRzLoaHAbc9hkHy36gbCV7q4Ad9W9yPrDF/WyHLBnL9iFjMKirHF/hKfUmqUpgeJkkrbr/+y&#10;h3iMDryUtJj5nLovG2YFJfKtwlAdj8bjsCRRGU9eZVDsfc/qvkdtmnMNrkd4LwyPYoj3cieWVjef&#10;sOzzkBUupjhy59TvxHPfbyIeCy7m8xiEtTDMX6hrwwN0IEzp+cbrso4TEGjquQHBQcFiRKqHJQ6b&#10;d1+PUXcP1+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avU/hNkAAAALAQAADwAAAAAAAAABACAA&#10;AAAiAAAAZHJzL2Rvd25yZXYueG1sUEsBAhQAFAAAAAgAh07iQAHru3p+AgAAAAUAAA4AAAAAAAAA&#10;AQAgAAAAKAEAAGRycy9lMm9Eb2MueG1sUEsFBgAAAAAGAAYAWQEAABgGAAAAAA==&#10;">
                <v:fill on="t" focussize="0,0"/>
                <v:stroke weight="0.5pt" color="#000000 [3204]" joinstyle="round"/>
                <v:imagedata o:title=""/>
                <o:lock v:ext="edit" aspectratio="f"/>
                <v:textbox>
                  <w:txbxContent>
                    <w:p w14:paraId="1023DD87">
                      <w:pPr>
                        <w:jc w:val="center"/>
                        <w:rPr>
                          <w:rFonts w:asciiTheme="minorEastAsia" w:hAnsiTheme="minorEastAsia" w:eastAsiaTheme="minorEastAsia"/>
                        </w:rPr>
                      </w:pPr>
                      <w:r>
                        <w:rPr>
                          <w:rFonts w:hint="eastAsia" w:asciiTheme="minorEastAsia" w:hAnsiTheme="minorEastAsia" w:eastAsiaTheme="minorEastAsia"/>
                        </w:rPr>
                        <w:t>磋商</w:t>
                      </w: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81792" behindDoc="0" locked="0" layoutInCell="1" allowOverlap="1">
                <wp:simplePos x="0" y="0"/>
                <wp:positionH relativeFrom="column">
                  <wp:posOffset>1395095</wp:posOffset>
                </wp:positionH>
                <wp:positionV relativeFrom="paragraph">
                  <wp:posOffset>1667510</wp:posOffset>
                </wp:positionV>
                <wp:extent cx="1088390" cy="262255"/>
                <wp:effectExtent l="0" t="0" r="16510" b="23495"/>
                <wp:wrapNone/>
                <wp:docPr id="16" name="文本框 16"/>
                <wp:cNvGraphicFramePr/>
                <a:graphic xmlns:a="http://schemas.openxmlformats.org/drawingml/2006/main">
                  <a:graphicData uri="http://schemas.microsoft.com/office/word/2010/wordprocessingShape">
                    <wps:wsp>
                      <wps:cNvSpPr txBox="1"/>
                      <wps:spPr>
                        <a:xfrm>
                          <a:off x="0" y="0"/>
                          <a:ext cx="108839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DAD194">
                            <w:pPr>
                              <w:jc w:val="center"/>
                              <w:rPr>
                                <w:rFonts w:asciiTheme="minorEastAsia" w:hAnsiTheme="minorEastAsia" w:eastAsiaTheme="minorEastAsia"/>
                              </w:rPr>
                            </w:pPr>
                            <w:r>
                              <w:rPr>
                                <w:rFonts w:hint="eastAsia" w:asciiTheme="minorEastAsia" w:hAnsiTheme="minorEastAsia" w:eastAsiaTheme="minorEastAsia"/>
                              </w:rPr>
                              <w:t>资格审查</w:t>
                            </w:r>
                          </w:p>
                          <w:p w14:paraId="00CA09CC">
                            <w:pPr>
                              <w:jc w:val="center"/>
                              <w:rPr>
                                <w:rFonts w:ascii="仿宋_GB2312" w:eastAsia="仿宋_GB2312"/>
                              </w:rPr>
                            </w:pPr>
                          </w:p>
                          <w:p w14:paraId="779C8B9C">
                            <w:pPr>
                              <w:rPr>
                                <w:rFonts w:ascii="仿宋_GB2312" w:eastAsia="仿宋_GB2312"/>
                              </w:rPr>
                            </w:pPr>
                            <w:r>
                              <w:rPr>
                                <w:rFonts w:hint="eastAsia" w:ascii="仿宋_GB2312" w:eastAsia="仿宋_GB2312"/>
                              </w:rPr>
                              <w:t>立项</w:t>
                            </w:r>
                          </w:p>
                          <w:p w14:paraId="5218ED4D">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85pt;margin-top:131.3pt;height:20.65pt;width:85.7pt;z-index:251681792;mso-width-relative:page;mso-height-relative:page;" fillcolor="#DBEEF4 [664]" filled="t" stroked="t" coordsize="21600,21600" o:gfxdata="UEsDBAoAAAAAAIdO4kAAAAAAAAAAAAAAAAAEAAAAZHJzL1BLAwQUAAAACACHTuJAH3l30NkAAAAL&#10;AQAADwAAAGRycy9kb3ducmV2LnhtbE2PPU/DMBCGdyT+g3VIbNROCmkT4nRAQgwMiMLCdondJGp8&#10;NrH7Ab+eY4LtPd2j956rN2c3iaOd4+hJQ7ZQICx13ozUa3h/e7xZg4gJyeDkyWr4shE2zeVFjZXx&#10;J3q1x23qBZdQrFDDkFKopIzdYB3GhQ+WeLfzs8PE49xLM+OJy90kc6UK6XAkvjBgsA+D7fbbg9Ow&#10;orvvp3HfupDW+ecthpf0/LHT+voqU/cgkj2nPxh+9VkdGnZq/YFMFJOGPCtXjHIo8gIEE8syy0C0&#10;HNSyBNnU8v8PzQ9QSwMEFAAAAAgAh07iQIa9T/5+AgAAAAUAAA4AAABkcnMvZTJvRG9jLnhtbK1U&#10;zXLTMBC+M8M7aHSndtIkpJk4nTRpGGYK7UxhOCuyHHuQtEJSYpcHgDfgxIU7z9XnYCU7aVo49MDF&#10;3j99u/tpV9PzRkmyE9ZVoDPaO0kpEZpDXulNRj9+WL0aU+I80zmToEVG74Sj57OXL6a1mYg+lCBz&#10;YQmCaDepTUZL780kSRwvhWLuBIzQ6CzAKuZRtZskt6xGdCWTfpqOkhpsbixw4Rxal62Tdoj2OYBQ&#10;FBUXS+BbJbRvUa2QzGNLrqyMo7NYbVEI7q+LwglPZEaxUx+/mATldfgmsymbbCwzZcW7EthzSnjS&#10;k2KVxqQHqCXzjGxt9ReUqrgFB4U/4aCStpHICHbRS59wc1syI2IvSLUzB9Ld/4Pl73c3llQ5TsKI&#10;Es0U3vj9j+/3P3/f//pG0IYE1cZNMO7WYKRvLqDB4L3doTH03RRWhT92RNCP9N4d6BWNJzwcSsfj&#10;0zN0cfT1R/3+cBhgkofTxjr/RoAiQcioxeuLrLLdlfNt6D4kJHMgq3xVSRkVu1kvpCU7hle9vLi8&#10;XA3iWblV7yBvzTh/aXfnaMbJaM3jvRlLcS1MLOsRvtSkzujodJhG2Ee+UNQh91oy/rlr7CgKsaUO&#10;hYo4ll1DgduWwyD5Zt10hK8hv0O+LbQj6wxfVZjlijl/wyzOKPKIW+yv8VNIwNKgkygpwX79lz3E&#10;4+igl5IaZz6j7suWWUGJfKtxqM56gwHC+qgMhq/7qNhjz/rYo7dqAch1D98Lw6MY4r3ci4UF9QmX&#10;fR6yootpjrkz6vfiwrebiI8FF/N5DMK1MMxf6VvDA3QgTMN866Go4gQEmlpu8IqCgosRL6tb4rB5&#10;x3qMeni4Z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H3l30NkAAAALAQAADwAAAAAAAAABACAA&#10;AAAiAAAAZHJzL2Rvd25yZXYueG1sUEsBAhQAFAAAAAgAh07iQIa9T/5+AgAAAAUAAA4AAAAAAAAA&#10;AQAgAAAAKAEAAGRycy9lMm9Eb2MueG1sUEsFBgAAAAAGAAYAWQEAABgGAAAAAA==&#10;">
                <v:fill on="t" focussize="0,0"/>
                <v:stroke weight="0.5pt" color="#000000 [3204]" joinstyle="round"/>
                <v:imagedata o:title=""/>
                <o:lock v:ext="edit" aspectratio="f"/>
                <v:textbox>
                  <w:txbxContent>
                    <w:p w14:paraId="0ADAD194">
                      <w:pPr>
                        <w:jc w:val="center"/>
                        <w:rPr>
                          <w:rFonts w:asciiTheme="minorEastAsia" w:hAnsiTheme="minorEastAsia" w:eastAsiaTheme="minorEastAsia"/>
                        </w:rPr>
                      </w:pPr>
                      <w:r>
                        <w:rPr>
                          <w:rFonts w:hint="eastAsia" w:asciiTheme="minorEastAsia" w:hAnsiTheme="minorEastAsia" w:eastAsiaTheme="minorEastAsia"/>
                        </w:rPr>
                        <w:t>资格审查</w:t>
                      </w:r>
                    </w:p>
                    <w:p w14:paraId="00CA09CC">
                      <w:pPr>
                        <w:jc w:val="center"/>
                        <w:rPr>
                          <w:rFonts w:ascii="仿宋_GB2312" w:eastAsia="仿宋_GB2312"/>
                        </w:rPr>
                      </w:pPr>
                    </w:p>
                    <w:p w14:paraId="779C8B9C">
                      <w:pPr>
                        <w:rPr>
                          <w:rFonts w:ascii="仿宋_GB2312" w:eastAsia="仿宋_GB2312"/>
                        </w:rPr>
                      </w:pPr>
                      <w:r>
                        <w:rPr>
                          <w:rFonts w:hint="eastAsia" w:ascii="仿宋_GB2312" w:eastAsia="仿宋_GB2312"/>
                        </w:rPr>
                        <w:t>立项</w:t>
                      </w:r>
                    </w:p>
                    <w:p w14:paraId="5218ED4D">
                      <w:pPr>
                        <w:rPr>
                          <w:rFonts w:ascii="仿宋_GB2312" w:eastAsia="仿宋_GB2312"/>
                        </w:rPr>
                      </w:pPr>
                    </w:p>
                  </w:txbxContent>
                </v:textbox>
              </v:shape>
            </w:pict>
          </mc:Fallback>
        </mc:AlternateContent>
      </w:r>
      <w:r>
        <w:rPr>
          <w:rFonts w:asciiTheme="minorEastAsia" w:hAnsiTheme="minorEastAsia" w:eastAsiaTheme="minorEastAsia"/>
          <w:color w:val="auto"/>
          <w:sz w:val="24"/>
          <w:highlight w:val="none"/>
        </w:rPr>
        <mc:AlternateContent>
          <mc:Choice Requires="wps">
            <w:drawing>
              <wp:anchor distT="0" distB="0" distL="114300" distR="114300" simplePos="0" relativeHeight="251680768" behindDoc="0" locked="0" layoutInCell="1" allowOverlap="1">
                <wp:simplePos x="0" y="0"/>
                <wp:positionH relativeFrom="column">
                  <wp:posOffset>1906270</wp:posOffset>
                </wp:positionH>
                <wp:positionV relativeFrom="paragraph">
                  <wp:posOffset>5068570</wp:posOffset>
                </wp:positionV>
                <wp:extent cx="0" cy="261620"/>
                <wp:effectExtent l="95250" t="0" r="57150" b="62230"/>
                <wp:wrapNone/>
                <wp:docPr id="17" name="直接箭头连接符 17"/>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99.1pt;height:20.6pt;width:0pt;z-index:251680768;mso-width-relative:page;mso-height-relative:page;" filled="f" stroked="t" coordsize="21600,21600" o:gfxdata="UEsDBAoAAAAAAIdO4kAAAAAAAAAAAAAAAAAEAAAAZHJzL1BLAwQUAAAACACHTuJAzR7o3doAAAAL&#10;AQAADwAAAGRycy9kb3ducmV2LnhtbE2PTUvDQBCG74L/YRnBm91NKjWN2RQRCj0o2Fhoj9NkzKZm&#10;Z0N2++G/d8WD3ubj4Z1nisXF9uJEo+8ca0gmCgRx7ZqOWw2b9+VdBsIH5AZ7x6ThizwsyuurAvPG&#10;nXlNpyq0Ioawz1GDCWHIpfS1IYt+4gbiuPtwo8UQ27GVzYjnGG57mSo1kxY7jhcMDvRsqP6sjlbD&#10;dpXMkmpnnigsD68vb+kO14eV1rc3iXoEEegS/mD40Y/qUEanvTty40WvYapUGlEND/MsFpH4new1&#10;ZNP5PciykP9/KL8BUEsDBBQAAAAIAIdO4kB86h+4FgIAAAEEAAAOAAAAZHJzL2Uyb0RvYy54bWyt&#10;U81uEzEQviPxDpbvdDcRSWmUTUWTlgs/kYAHcLzeXUte25pxs8lL8AJInIATcOqdp4HyGIy92xTK&#10;pQcu9nhm5/N8n7+dn+5aw7YKUDtb8NFRzpmy0pXa1gV/++bi0RPOMAhbCuOsKvheIT9dPHww7/xM&#10;jV3jTKmAEYjFWecL3oTgZ1mGslGtwCPnlaVi5aAVgY5QZyWIjtBbk43zfJp1DkoPTipEyq76Ih8Q&#10;4T6Arqq0VCsnL1tlQ48KyohAlLDRHvkiTVtVSoZXVYUqMFNwYhrSSpdQvIlrtpiLWQ3CN1oOI4j7&#10;jHCHUyu0pUsPUCsRBLsE/Q9UqyU4dFU4kq7NeiJJEWIxyu9o87oRXiUuJDX6g+j4/2Dly+0amC7J&#10;CcecWdHSi1+/v/r57tP1t68/Pl79+v4hxl8+M6qTWJ3HGfUs7RqGE/o1ROa7Ctq4Eye2SwLvDwKr&#10;XWCyT0rKjqej6Thpn932ecDwTLmWxaDgGEDouglLZy29ooNR0ldsn2Ogm6nxpiFeat2FNiY9prGs&#10;K/jJZDzhTAoyaEXGoLD1RBJtzZkwNTlfBkiI6IwuY3fEQag3SwNsK8gvj58en5+d9R81olR99mSS&#10;54NvUIQXruzTo/wmT6MNMGnMv/DjzCuBTd+TSr0Fg9Dm3JYs7D29gABwXSwQlrG0Rdl7oWO0ceU+&#10;6Z/y5Iz04eDiaL0/z6n79s9d/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NHujd2gAAAAsBAAAP&#10;AAAAAAAAAAEAIAAAACIAAABkcnMvZG93bnJldi54bWxQSwECFAAUAAAACACHTuJAfOofuBYCAAAB&#10;BAAADgAAAAAAAAABACAAAAApAQAAZHJzL2Uyb0RvYy54bWxQSwUGAAAAAAYABgBZAQAAsQUAAAAA&#10;">
                <v:fill on="f" focussize="0,0"/>
                <v:stroke color="#4A7EBB [3204]" joinstyle="round" endarrow="open"/>
                <v:imagedata o:title=""/>
                <o:lock v:ext="edit" aspectratio="f"/>
              </v:shape>
            </w:pict>
          </mc:Fallback>
        </mc:AlternateContent>
      </w:r>
      <w:r>
        <w:rPr>
          <w:rFonts w:asciiTheme="minorEastAsia" w:hAnsiTheme="minorEastAsia" w:eastAsiaTheme="minorEastAsia"/>
          <w:color w:val="auto"/>
          <w:sz w:val="24"/>
          <w:highlight w:val="none"/>
        </w:rPr>
        <mc:AlternateContent>
          <mc:Choice Requires="wps">
            <w:drawing>
              <wp:anchor distT="0" distB="0" distL="114300" distR="114300" simplePos="0" relativeHeight="251661312" behindDoc="0" locked="0" layoutInCell="1" allowOverlap="1">
                <wp:simplePos x="0" y="0"/>
                <wp:positionH relativeFrom="column">
                  <wp:posOffset>1905000</wp:posOffset>
                </wp:positionH>
                <wp:positionV relativeFrom="paragraph">
                  <wp:posOffset>4542155</wp:posOffset>
                </wp:positionV>
                <wp:extent cx="0" cy="261620"/>
                <wp:effectExtent l="95250" t="0" r="57150" b="62230"/>
                <wp:wrapNone/>
                <wp:docPr id="19" name="直接箭头连接符 19"/>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pt;margin-top:357.65pt;height:20.6pt;width:0pt;z-index:251661312;mso-width-relative:page;mso-height-relative:page;" filled="f" stroked="t" coordsize="21600,21600" o:gfxdata="UEsDBAoAAAAAAIdO4kAAAAAAAAAAAAAAAAAEAAAAZHJzL1BLAwQUAAAACACHTuJAhYS4WNkAAAAL&#10;AQAADwAAAGRycy9kb3ducmV2LnhtbE2PzU7DMBCE70i8g7VI3KidVgkoxKkQUqUeQKIBiR7deIlT&#10;4nUUuz+8PYs4wHFnRzPfVMuzH8QRp9gH0pDNFAikNtieOg1vr6ubOxAxGbJmCIQavjDCsr68qExp&#10;w4k2eGxSJziEYmk0uJTGUsrYOvQmzsKIxL+PMHmT+Jw6aSdz4nA/yLlShfSmJ25wZsRHh+1nc/Aa&#10;3tdZkTVb94BptX9+eplvzWa/1vr6KlP3IBKe058ZfvAZHWpm2oUD2SgGDQuleEvScJvlCxDs+FV2&#10;rORFDrKu5P8N9TdQSwMEFAAAAAgAh07iQITnZpwWAgAAAQQAAA4AAABkcnMvZTJvRG9jLnhtbK1T&#10;zY7TMBC+I/EOlu80aUULrZqu2HaXCz+VgAdwHSex5NjWjLdpX4IXQOIEewJOe+dpYHkMxk63C8tl&#10;D1zs8Uzm83yfv8xPdq1hWwWonS34cJBzpqx0pbZ1wd+9PX/0lDMMwpbCOKsKvlfITxYPH8w7P1Mj&#10;1zhTKmAEYnHW+YI3IfhZlqFsVCtw4LyyVKwctCLQEeqsBNERemuyUZ5Pss5B6cFJhUjZVV/kB0S4&#10;D6CrKi3VysmLVtnQo4IyIhAlbLRHvkjTVpWS4XVVoQrMFJyYhrTSJRRv4pot5mJWg/CNlocRxH1G&#10;uMOpFdrSpUeolQiCXYD+B6rVEhy6Kgyka7OeSFKEWAzzO9q8aYRXiQtJjf4oOv4/WPlquwamS3LC&#10;lDMrWnrx6w9XP99/vv729cenq1/fP8b4yyWjOonVeZxRz9Ku4XBCv4bIfFdBG3fixHZJ4P1RYLUL&#10;TPZJSdnRZDgZJe2z2z4PGJ4r17IYFBwDCF03YemspVd0MEz6iu0LDHQzNd40xEutO9fGpMc0lnUF&#10;n45HY86kIINWZAwKW08k0dacCVOT82WAhIjO6DJ2RxyEerM0wLaC/PL42ZOz09P+o0aUqs9Ox3l+&#10;8A2K8NKVfXqY3+RptANMGvMv/DjzSmDT96RSb8EgtDmzJQt7Ty8gAFwXC4RlLG1R9l7oGG1cuU/6&#10;pzw5I314cHG03p/n1H375y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WEuFjZAAAACwEAAA8A&#10;AAAAAAAAAQAgAAAAIgAAAGRycy9kb3ducmV2LnhtbFBLAQIUABQAAAAIAIdO4kCE52acFgIAAAEE&#10;AAAOAAAAAAAAAAEAIAAAACgBAABkcnMvZTJvRG9jLnhtbFBLBQYAAAAABgAGAFkBAACw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0288" behindDoc="0" locked="0" layoutInCell="1" allowOverlap="1">
                <wp:simplePos x="0" y="0"/>
                <wp:positionH relativeFrom="column">
                  <wp:posOffset>1405255</wp:posOffset>
                </wp:positionH>
                <wp:positionV relativeFrom="paragraph">
                  <wp:posOffset>84455</wp:posOffset>
                </wp:positionV>
                <wp:extent cx="1089025" cy="262255"/>
                <wp:effectExtent l="0" t="0" r="15875" b="23495"/>
                <wp:wrapNone/>
                <wp:docPr id="21" name="文本框 21"/>
                <wp:cNvGraphicFramePr/>
                <a:graphic xmlns:a="http://schemas.openxmlformats.org/drawingml/2006/main">
                  <a:graphicData uri="http://schemas.microsoft.com/office/word/2010/wordprocessingShape">
                    <wps:wsp>
                      <wps:cNvSpPr txBox="1"/>
                      <wps:spPr>
                        <a:xfrm>
                          <a:off x="0" y="0"/>
                          <a:ext cx="1089271"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13A74E">
                            <w:pPr>
                              <w:jc w:val="center"/>
                              <w:rPr>
                                <w:rFonts w:asciiTheme="minorEastAsia" w:hAnsiTheme="minorEastAsia" w:eastAsiaTheme="minorEastAsia"/>
                              </w:rPr>
                            </w:pPr>
                            <w:r>
                              <w:rPr>
                                <w:rFonts w:hint="eastAsia" w:asciiTheme="minorEastAsia" w:hAnsiTheme="minorEastAsia" w:eastAsiaTheme="minorEastAsia"/>
                              </w:rPr>
                              <w:t>编制磋商文件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6.65pt;height:20.65pt;width:85.75pt;z-index:251660288;mso-width-relative:page;mso-height-relative:page;" fillcolor="#DBEEF4 [664]" filled="t" stroked="t" coordsize="21600,21600" o:gfxdata="UEsDBAoAAAAAAIdO4kAAAAAAAAAAAAAAAAAEAAAAZHJzL1BLAwQUAAAACACHTuJAaj2pKdcAAAAJ&#10;AQAADwAAAGRycy9kb3ducmV2LnhtbE2PO0/EMBCEeyT+g7VIdJwT554hzhVIiIICcdDQbWJfEl28&#10;NrHvAb+epYJqNZpPszPV9uJGcbJTHDxpyGcZCEutNwN1Gt7fHu/WIGJCMjh6shq+bIRtfX1VYWn8&#10;mV7taZc6wSEUS9TQpxRKKWPbW4dx5oMl9vZ+cphYTp00E5453I1SZdlSOhyIP/QY7ENv28Pu6DSs&#10;aPH9NBwaF9Jafc4xvKTnj73Wtzd5dg8i2Uv6g+G3PleHmjs1/kgmilGDUnnBKBsFXwaKjeItjYbF&#10;fAmyruT/BfUPUEsDBBQAAAAIAIdO4kASw+0yfgIAAAAFAAAOAAAAZHJzL2Uyb0RvYy54bWytVMFu&#10;2zAMvQ/YPwi6r3a8tE2DOEWaNMOAbi3QDTsrshwbk0RNUmJ3H7D9wU677L7v6neMkp007XboYReZ&#10;IqlH8pH05LxVkmyFdTXonA6OUkqE5lDUep3Tjx+Wr0aUOM90wSRokdM74ej59OWLSWPGIoMKZCEs&#10;QRDtxo3JaeW9GSeJ45VQzB2BERqNJVjFPF7tOiksaxBdySRL05OkAVsYC1w4h9pFZ6Q9on0OIJRl&#10;zcUC+EYJ7TtUKyTzWJKrauPoNGZbloL767J0whOZU6zUxxODoLwKZzKdsPHaMlPVvE+BPSeFJzUp&#10;VmsMuodaMM/IxtZ/QamaW3BQ+iMOKukKiYxgFYP0CTe3FTMi1oJUO7Mn3f0/WP5+e2NJXeQ0G1Ci&#10;mcKO3//4fv/z9/2vbwR1SFBj3Bj9bg16+vYCWhybnd6hMtTdllaFL1ZE0I703u3pFa0nPDxKR2fZ&#10;KYbhaMtOsmx4FmCSh9fGOv9GgCJByKnF9kVW2fbK+c515xKCOZB1sayljBe7Xs2lJVuGrV5cXF4u&#10;h/Gt3Kh3UHRqnL+07zmqcTI69WinxlRcBxPTeoQvNWlyevL6OI2wj2whqX3slWT8c1/YgRdiSx0S&#10;FXEs+4ICtx2HQfLtqu0JX0Fxh3xb6EbWGb6sMcoVc/6GWZxRpBi32F/jUUrA1KCXKKnAfv2XPvjj&#10;6KCVkgZnPqfuy4ZZQYl8q3GozgbDYViSeBken2Z4sYeW1aFFb9QckGtsKGYXxeDv5U4sLahPuOyz&#10;EBVNTHOMnVO/E+e+20T8WXAxm0UnXAvD/JW+NTxAB8I0zDYeyjpOQKCp4wZbFC64GLFZ/RKHzTu8&#10;R6+HH9f0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o9qSnXAAAACQEAAA8AAAAAAAAAAQAgAAAA&#10;IgAAAGRycy9kb3ducmV2LnhtbFBLAQIUABQAAAAIAIdO4kASw+0yfgIAAAAFAAAOAAAAAAAAAAEA&#10;IAAAACYBAABkcnMvZTJvRG9jLnhtbFBLBQYAAAAABgAGAFkBAAAWBgAAAAA=&#10;">
                <v:fill on="t" focussize="0,0"/>
                <v:stroke weight="0.5pt" color="#000000 [3204]" joinstyle="round"/>
                <v:imagedata o:title=""/>
                <o:lock v:ext="edit" aspectratio="f"/>
                <v:textbox>
                  <w:txbxContent>
                    <w:p w14:paraId="5013A74E">
                      <w:pPr>
                        <w:jc w:val="center"/>
                        <w:rPr>
                          <w:rFonts w:asciiTheme="minorEastAsia" w:hAnsiTheme="minorEastAsia" w:eastAsiaTheme="minorEastAsia"/>
                        </w:rPr>
                      </w:pPr>
                      <w:r>
                        <w:rPr>
                          <w:rFonts w:hint="eastAsia" w:asciiTheme="minorEastAsia" w:hAnsiTheme="minorEastAsia" w:eastAsiaTheme="minorEastAsia"/>
                        </w:rPr>
                        <w:t>编制磋商文件</w:t>
                      </w: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5408" behindDoc="0" locked="0" layoutInCell="1" allowOverlap="1">
                <wp:simplePos x="0" y="0"/>
                <wp:positionH relativeFrom="column">
                  <wp:posOffset>1405255</wp:posOffset>
                </wp:positionH>
                <wp:positionV relativeFrom="paragraph">
                  <wp:posOffset>1134110</wp:posOffset>
                </wp:positionV>
                <wp:extent cx="1088390" cy="262255"/>
                <wp:effectExtent l="0" t="0" r="16510" b="23495"/>
                <wp:wrapNone/>
                <wp:docPr id="40" name="文本框 40"/>
                <wp:cNvGraphicFramePr/>
                <a:graphic xmlns:a="http://schemas.openxmlformats.org/drawingml/2006/main">
                  <a:graphicData uri="http://schemas.microsoft.com/office/word/2010/wordprocessingShape">
                    <wps:wsp>
                      <wps:cNvSpPr txBox="1"/>
                      <wps:spPr>
                        <a:xfrm>
                          <a:off x="0" y="0"/>
                          <a:ext cx="1088359"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5A11F8">
                            <w:pPr>
                              <w:jc w:val="center"/>
                              <w:rPr>
                                <w:rFonts w:asciiTheme="minorEastAsia" w:hAnsiTheme="minorEastAsia" w:eastAsiaTheme="minorEastAsia"/>
                              </w:rPr>
                            </w:pPr>
                            <w:r>
                              <w:rPr>
                                <w:rFonts w:hint="eastAsia" w:asciiTheme="minorEastAsia" w:hAnsiTheme="minorEastAsia" w:eastAsiaTheme="minorEastAsia"/>
                              </w:rPr>
                              <w:t>开启响应文件</w:t>
                            </w:r>
                          </w:p>
                          <w:p w14:paraId="0253A3BE">
                            <w:pPr>
                              <w:rPr>
                                <w:rFonts w:ascii="仿宋_GB2312" w:eastAsia="仿宋_GB2312"/>
                              </w:rPr>
                            </w:pPr>
                            <w:r>
                              <w:rPr>
                                <w:rFonts w:hint="eastAsia" w:ascii="仿宋_GB2312" w:eastAsia="仿宋_GB2312"/>
                              </w:rPr>
                              <w:t>立项</w:t>
                            </w:r>
                          </w:p>
                          <w:p w14:paraId="3DEA82A4">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89.3pt;height:20.65pt;width:85.7pt;z-index:251665408;mso-width-relative:page;mso-height-relative:page;" fillcolor="#DBEEF4 [664]" filled="t" stroked="t" coordsize="21600,21600" o:gfxdata="UEsDBAoAAAAAAIdO4kAAAAAAAAAAAAAAAAAEAAAAZHJzL1BLAwQUAAAACACHTuJArO2/I9kAAAAL&#10;AQAADwAAAGRycy9kb3ducmV2LnhtbE2Py07DMBBF90j8gzVI7KgTF5oHcbqoVLFggShs2E1iN4ka&#10;j0PsPuDrGVawHJ2re89U64sbxcnOYfCkIV0kICy13gzUaXh/297lIEJEMjh6shq+bIB1fX1VYWn8&#10;mV7taRc7wSUUStTQxziVUoa2tw7Dwk+WmO397DDyOXfSzHjmcjdKlSQr6XAgXuhxspvetofd0WnI&#10;6OH7aTg0boq5+rzH6SU+f+y1vr1Jk0cQ0V7iXxh+9VkdanZq/JFMEKMGpdIlRxlk+QoEJ5aFykA0&#10;jNKiAFlX8v8P9Q9QSwMEFAAAAAgAh07iQHxGMX1+AgAAAAUAAA4AAABkcnMvZTJvRG9jLnhtbK1U&#10;zW4TMRC+I/EOlu90N2la0qibKm0ahFRopYI4O15v1sL2GNvJbnkAeANOXLjzXH0Oxt5NmhYOPXDZ&#10;nT9/M/N5xqdnrVZkI5yXYAo6OMgpEYZDKc2qoB8/LF6NKfGBmZIpMKKgd8LTs+nLF6eNnYgh1KBK&#10;4QiCGD9pbEHrEOwkyzyvhWb+AKww6KzAaRZQdausdKxBdK2yYZ4fZw240jrgwnu0zjsn7RHdcwCh&#10;qiQXc+BrLUzoUJ1QLGBLvpbW02mqtqoED9dV5UUgqqDYaUhfTILyMn6z6SmbrByzteR9Cew5JTzp&#10;STNpMOkOas4CI2sn/4LSkjvwUIUDDjrrGkmMYBeD/Ak3tzWzIvWCVHu7I93/P1j+fnPjiCwLOkJK&#10;DNN44/c/vt///H3/6xtBGxLUWD/BuFuLkaE9hxbHZmv3aIx9t5XT8Y8dEfQj1t2OXtEGwuOhfDw+&#10;PDqhhKNveDwcjk4iTPZw2jof3gjQJAoFdXh9iVW2ufKhC92GxGQelCwXUqmkuNXyQjmyYXjV8/PL&#10;y8UonVVr/Q7Kzozzl/d3jmacjM483pqxFN/BpLIe4StDmoIeHx7lCfaRLxa1y71UjH/uG9uLQmxl&#10;YqEijWXfUOS24zBKoV22PeFLKO+QbwfdyHrLFxKzXDEfbpjDGUWKcYvDNX4qBVga9BIlNbiv/7LH&#10;eBwd9FLS4MwX1H9ZMycoUW8NDtXJYBSnICRldPR6iIrb9yz3PWatLwC5HuB7YXkSY3xQW7FyoD/h&#10;ss9iVnQxwzF3QcNWvAjdJuJjwcVsloJwLSwLV+bW8ggdCTMwWweoZJqASFPHDV5RVHAx0mX1Sxw3&#10;b19PUQ8P1/Q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rO2/I9kAAAALAQAADwAAAAAAAAABACAA&#10;AAAiAAAAZHJzL2Rvd25yZXYueG1sUEsBAhQAFAAAAAgAh07iQHxGMX1+AgAAAAUAAA4AAAAAAAAA&#10;AQAgAAAAKAEAAGRycy9lMm9Eb2MueG1sUEsFBgAAAAAGAAYAWQEAABgGAAAAAA==&#10;">
                <v:fill on="t" focussize="0,0"/>
                <v:stroke weight="0.5pt" color="#000000 [3204]" joinstyle="round"/>
                <v:imagedata o:title=""/>
                <o:lock v:ext="edit" aspectratio="f"/>
                <v:textbox>
                  <w:txbxContent>
                    <w:p w14:paraId="215A11F8">
                      <w:pPr>
                        <w:jc w:val="center"/>
                        <w:rPr>
                          <w:rFonts w:asciiTheme="minorEastAsia" w:hAnsiTheme="minorEastAsia" w:eastAsiaTheme="minorEastAsia"/>
                        </w:rPr>
                      </w:pPr>
                      <w:r>
                        <w:rPr>
                          <w:rFonts w:hint="eastAsia" w:asciiTheme="minorEastAsia" w:hAnsiTheme="minorEastAsia" w:eastAsiaTheme="minorEastAsia"/>
                        </w:rPr>
                        <w:t>开启响应文件</w:t>
                      </w:r>
                    </w:p>
                    <w:p w14:paraId="0253A3BE">
                      <w:pPr>
                        <w:rPr>
                          <w:rFonts w:ascii="仿宋_GB2312" w:eastAsia="仿宋_GB2312"/>
                        </w:rPr>
                      </w:pPr>
                      <w:r>
                        <w:rPr>
                          <w:rFonts w:hint="eastAsia" w:ascii="仿宋_GB2312" w:eastAsia="仿宋_GB2312"/>
                        </w:rPr>
                        <w:t>立项</w:t>
                      </w:r>
                    </w:p>
                    <w:p w14:paraId="3DEA82A4">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6432" behindDoc="0" locked="0" layoutInCell="1" allowOverlap="1">
                <wp:simplePos x="0" y="0"/>
                <wp:positionH relativeFrom="column">
                  <wp:posOffset>1421130</wp:posOffset>
                </wp:positionH>
                <wp:positionV relativeFrom="paragraph">
                  <wp:posOffset>609600</wp:posOffset>
                </wp:positionV>
                <wp:extent cx="1073150" cy="262255"/>
                <wp:effectExtent l="0" t="0" r="12700" b="23495"/>
                <wp:wrapNone/>
                <wp:docPr id="41" name="文本框 41"/>
                <wp:cNvGraphicFramePr/>
                <a:graphic xmlns:a="http://schemas.openxmlformats.org/drawingml/2006/main">
                  <a:graphicData uri="http://schemas.microsoft.com/office/word/2010/wordprocessingShape">
                    <wps:wsp>
                      <wps:cNvSpPr txBox="1"/>
                      <wps:spPr>
                        <a:xfrm>
                          <a:off x="0" y="0"/>
                          <a:ext cx="1073066"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7E91F12">
                            <w:pPr>
                              <w:jc w:val="center"/>
                              <w:rPr>
                                <w:rFonts w:asciiTheme="minorEastAsia" w:hAnsiTheme="minorEastAsia" w:eastAsiaTheme="minorEastAsia"/>
                              </w:rPr>
                            </w:pPr>
                            <w:r>
                              <w:rPr>
                                <w:rFonts w:hint="eastAsia" w:asciiTheme="minorEastAsia" w:hAnsiTheme="minorEastAsia" w:eastAsiaTheme="minorEastAsia"/>
                              </w:rPr>
                              <w:t>邀请供应商</w:t>
                            </w:r>
                          </w:p>
                          <w:p w14:paraId="0E577ABE">
                            <w:pPr>
                              <w:rPr>
                                <w:rFonts w:ascii="仿宋_GB2312" w:eastAsia="仿宋_GB2312"/>
                              </w:rPr>
                            </w:pPr>
                            <w:r>
                              <w:rPr>
                                <w:rFonts w:hint="eastAsia" w:ascii="仿宋_GB2312" w:eastAsia="仿宋_GB2312"/>
                              </w:rPr>
                              <w:t>立项</w:t>
                            </w:r>
                          </w:p>
                          <w:p w14:paraId="2E0F13A4">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9pt;margin-top:48pt;height:20.65pt;width:84.5pt;z-index:251666432;mso-width-relative:page;mso-height-relative:page;" fillcolor="#DBEEF4 [664]" filled="t" stroked="t" coordsize="21600,21600" o:gfxdata="UEsDBAoAAAAAAIdO4kAAAAAAAAAAAAAAAAAEAAAAZHJzL1BLAwQUAAAACACHTuJAGAtaD9gAAAAK&#10;AQAADwAAAGRycy9kb3ducmV2LnhtbE2PPU/EMAyGdyT+Q2QkNi69Fu6jNL0BCTEwIA4WNrfxtdU1&#10;TmhyH/DrMROMth+9ft5qc3ajOtIUB88G5rMMFHHr7cCdgfe3x5sVqJiQLY6eycAXRdjUlxcVltaf&#10;+JWO29QpCeFYooE+pVBqHdueHMaZD8Ry2/nJYZJx6rSd8CThbtR5li20w4HlQ4+BHnpq99uDM7Dk&#10;u++nYd+4kFb55y2Gl/T8sTPm+mqe3YNKdE5/MPzqizrU4tT4A9uoRgN5Xoh6MrBeSCcBinUui0bI&#10;YlmAriv9v0L9A1BLAwQUAAAACACHTuJAXCaksn4CAAAABQAADgAAAGRycy9lMm9Eb2MueG1srVTN&#10;bhMxEL4j8Q6W73Q3aRraqJsqbRqEVGilgjg7Xm/WwvYY28lueQB4A05cuPNcfQ7G3k2aFg49cPHO&#10;n7+Z+Tyzp2etVmQjnJdgCjo4yCkRhkMpzaqgHz8sXh1T4gMzJVNgREHvhKdn05cvThs7EUOoQZXC&#10;EQQxftLYgtYh2EmWeV4LzfwBWGHQWYHTLKDqVlnpWIPoWmXDPB9nDbjSOuDCe7TOOyftEd1zAKGq&#10;JBdz4GstTOhQnVAsYEu+ltbTaaq2qgQP11XlRSCqoNhpSCcmQXkZz2x6yiYrx2wteV8Ce04JT3rS&#10;TBpMuoOas8DI2sm/oLTkDjxU4YCDzrpGEiPYxSB/ws1tzaxIvSDV3u5I9/8Plr/f3Dgiy4KOBpQY&#10;pvHF7398v//5+/7XN4I2JKixfoJxtxYjQ3sOLY7N1u7RGPtuK6fjFzsi6Ed673b0ijYQHi/lrw/z&#10;8ZgSjr7heDgcnUSY7OG2dT68EaBJFArq8PkSq2xz5UMXug2JyTwoWS6kUklxq+WFcmTD8Knn55eX&#10;i1G6q9b6HZSdGecv798czTgZnfl4a8ZSfAeTynqErwxpCjo+PMoT7CNfLGqXe6kY/9w3theF2MrE&#10;QkUay76hyG3HYZRCu2x7wpdQ3iHfDrqR9ZYvJGa5Yj7cMIczihTjFodrPCoFWBr0EiU1uK//ssd4&#10;HB30UtLgzBfUf1kzJyhRbw0O1clgNIpLkpTR0eshKm7fs9z3mLW+AOQa5warS2KMD2orVg70J1z2&#10;WcyKLmY45i5o2IoXodtE/FlwMZulIFwLy8KVubU8QkfCDMzWASqZJiDS1HGDTxQVXIz0WP0Sx83b&#10;11PUw49r+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YC1oP2AAAAAoBAAAPAAAAAAAAAAEAIAAA&#10;ACIAAABkcnMvZG93bnJldi54bWxQSwECFAAUAAAACACHTuJAXCaksn4CAAAABQAADgAAAAAAAAAB&#10;ACAAAAAnAQAAZHJzL2Uyb0RvYy54bWxQSwUGAAAAAAYABgBZAQAAFwYAAAAA&#10;">
                <v:fill on="t" focussize="0,0"/>
                <v:stroke weight="0.5pt" color="#000000 [3204]" joinstyle="round"/>
                <v:imagedata o:title=""/>
                <o:lock v:ext="edit" aspectratio="f"/>
                <v:textbox>
                  <w:txbxContent>
                    <w:p w14:paraId="67E91F12">
                      <w:pPr>
                        <w:jc w:val="center"/>
                        <w:rPr>
                          <w:rFonts w:asciiTheme="minorEastAsia" w:hAnsiTheme="minorEastAsia" w:eastAsiaTheme="minorEastAsia"/>
                        </w:rPr>
                      </w:pPr>
                      <w:r>
                        <w:rPr>
                          <w:rFonts w:hint="eastAsia" w:asciiTheme="minorEastAsia" w:hAnsiTheme="minorEastAsia" w:eastAsiaTheme="minorEastAsia"/>
                        </w:rPr>
                        <w:t>邀请供应商</w:t>
                      </w:r>
                    </w:p>
                    <w:p w14:paraId="0E577ABE">
                      <w:pPr>
                        <w:rPr>
                          <w:rFonts w:ascii="仿宋_GB2312" w:eastAsia="仿宋_GB2312"/>
                        </w:rPr>
                      </w:pPr>
                      <w:r>
                        <w:rPr>
                          <w:rFonts w:hint="eastAsia" w:ascii="仿宋_GB2312" w:eastAsia="仿宋_GB2312"/>
                        </w:rPr>
                        <w:t>立项</w:t>
                      </w:r>
                    </w:p>
                    <w:p w14:paraId="2E0F13A4">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7456" behindDoc="0" locked="0" layoutInCell="1" allowOverlap="1">
                <wp:simplePos x="0" y="0"/>
                <wp:positionH relativeFrom="column">
                  <wp:posOffset>1929765</wp:posOffset>
                </wp:positionH>
                <wp:positionV relativeFrom="paragraph">
                  <wp:posOffset>346710</wp:posOffset>
                </wp:positionV>
                <wp:extent cx="0" cy="262255"/>
                <wp:effectExtent l="95250" t="0" r="57150" b="62230"/>
                <wp:wrapNone/>
                <wp:docPr id="42" name="直接箭头连接符 42"/>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27.3pt;height:20.65pt;width:0pt;z-index:251667456;mso-width-relative:page;mso-height-relative:page;" filled="f" stroked="t" coordsize="21600,21600" o:gfxdata="UEsDBAoAAAAAAIdO4kAAAAAAAAAAAAAAAAAEAAAAZHJzL1BLAwQUAAAACACHTuJAJ0Wx/tkAAAAJ&#10;AQAADwAAAGRycy9kb3ducmV2LnhtbE2PTUvDQBCG74L/YRnBm91Na0MTsykiFHpQsLFgj9PsmKRm&#10;Z0N2++G/d8WDHmfm4Z3nLZYX24sTjb5zrCGZKBDEtTMdNxq2b6u7BQgfkA32jknDF3lYltdXBebG&#10;nXlDpyo0Ioawz1FDG8KQS+nrliz6iRuI4+3DjRZDHMdGmhHPMdz2cqpUKi12HD+0ONBTS/VndbQa&#10;3tdJmlS79pHC6vDy/Drd4eaw1vr2JlEPIAJdwh8MP/pRHcrotHdHNl70GmZqlkVUw/w+BRGB38Ve&#10;QzbPQJaF/N+g/AZQSwMEFAAAAAgAh07iQJnuxSIUAgAAAQQAAA4AAABkcnMvZTJvRG9jLnhtbK1T&#10;zY7TMBC+I/EOlu80adQutGq6YttdLvxUAh5g6jiJJf/J9jbtS/ACSJyAE3DaO08Dy2MwdrJdWC57&#10;4JKMZzLfzPf5y+J0ryTZceeF0SUdj3JKuGamErop6ds3F4+eUOID6Aqk0bykB+7p6fLhg0Vn57ww&#10;rZEVdwRBtJ93tqRtCHaeZZ61XIEfGcs1FmvjFAQ8uiarHHSIrmRW5PlJ1hlXWWcY9x6z675IB0R3&#10;H0BT14LxtWGXiuvQozouISAl3wrr6TJtW9echVd17XkgsqTINKQnDsF4G5/ZcgHzxoFtBRtWgPus&#10;cIeTAqFx6BFqDQHIpRP/QCnBnPGmDiNmVNYTSYogi3F+R5vXLVieuKDU3h5F9/8Plr3cbRwRVUkn&#10;BSUaFN749furn+8+XX/7+uPj1a/vH2L85TPBOorVWT/HnpXeuOHk7cZF5vvaqfhGTmSfBD4cBeb7&#10;QFifZJgtTopiMotw2W2fdT4840aRGJTUBweiacPKaI23aNw46Qu75z70jTcNcag2F0JKzMNcatKV&#10;dDYtppQwQIPWaAwMlUWSXjeUgGzQ+Sy4hOiNFFXsjs3eNduVdGQH6JfJ08fnZ2f9Ry1UvM/Opn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RbH+2QAAAAkBAAAPAAAA&#10;AAAAAAEAIAAAACIAAABkcnMvZG93bnJldi54bWxQSwECFAAUAAAACACHTuJAme7FIh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8480" behindDoc="0" locked="0" layoutInCell="1" allowOverlap="1">
                <wp:simplePos x="0" y="0"/>
                <wp:positionH relativeFrom="column">
                  <wp:posOffset>1929765</wp:posOffset>
                </wp:positionH>
                <wp:positionV relativeFrom="paragraph">
                  <wp:posOffset>871855</wp:posOffset>
                </wp:positionV>
                <wp:extent cx="0" cy="262255"/>
                <wp:effectExtent l="95250" t="0" r="57150" b="62230"/>
                <wp:wrapNone/>
                <wp:docPr id="43" name="直接箭头连接符 43"/>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68.65pt;height:20.65pt;width:0pt;z-index:251668480;mso-width-relative:page;mso-height-relative:page;" filled="f" stroked="t" coordsize="21600,21600" o:gfxdata="UEsDBAoAAAAAAIdO4kAAAAAAAAAAAAAAAAAEAAAAZHJzL1BLAwQUAAAACACHTuJAzrHWWdkAAAAL&#10;AQAADwAAAGRycy9kb3ducmV2LnhtbE2PT0vDQBDF74LfYRnBm92kgbRNsykiFHpQsFGwx212zKZm&#10;Z0N2+8dv74iHepz3frx5r1xdXC9OOIbOk4J0koBAarzpqFXw/rZ+mIMIUZPRvSdU8I0BVtXtTakL&#10;48+0xVMdW8EhFAqtwMY4FFKGxqLTYeIHJPY+/eh05HNspRn1mcNdL6dJkkunO+IPVg/4ZLH5qo9O&#10;wccmzdN6Zx8xrg8vz6/Tnd4eNkrd36XJEkTES7zC8Fufq0PFnfb+SCaIXkGWZAtG2chmGQgm/pQ9&#10;K7N5DrIq5f8N1Q9QSwMEFAAAAAgAh07iQJDa/OsVAgAAAQQAAA4AAABkcnMvZTJvRG9jLnhtbK1T&#10;zXLTMBC+M8M7aHQndkJSqCdOhyYtF34yAzzARpZtzehvJDVOXoIXYIYT5QSceudpoDwGK9lNoVx6&#10;4GKvdr3f7vfp8/xkpyTZcueF0SUdj3JKuGamErop6bu354+eUuID6Aqk0byke+7pyeLhg3lnCz4x&#10;rZEVdwRBtC86W9I2BFtkmWctV+BHxnKNxdo4BQGPrskqBx2iK5lN8vwo64yrrDOMe4/ZVV+kA6K7&#10;D6Cpa8H4yrALxXXoUR2XEJCSb4X1dJG2rWvOwuu69jwQWVJkGtITh2C8ic9sMYeicWBbwYYV4D4r&#10;3OGkQGgceoBaQQBy4cQ/UEowZ7ypw4gZlfVEkiLIYpzf0eZNC5YnLii1twfR/f+DZa+2a0dEVdLp&#10;Y0o0KLzx6w9XP99fXn/7+uPT1a/vH2P85TPBOorVWV9gz1Kv3XDydu0i813tVHwjJ7JLAu8PAvNd&#10;IKxPMsxOjiaT6XGEy277rPPhOTeKxKCkPjgQTRuWRmu8RePGSV/YvvChb7xpiEO1ORdSYh4KqUlX&#10;0uPZZEYJAzRojcbAUFkk6XVDCcgGnc+CS4jeSFHF7tjsXbNZSke2gH6ZPntydnraf9RCxfvs8SzP&#10;B994CC9N1afH+U0eOQ0wid9f+HHnFfi270ml3oIBhDzTFQl7izcAzplu0EdqhImy90LHaGOqfdI/&#10;5dEZadDg4mi9P8+p+/bPX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rHWWdkAAAALAQAADwAA&#10;AAAAAAABACAAAAAiAAAAZHJzL2Rvd25yZXYueG1sUEsBAhQAFAAAAAgAh07iQJDa/Os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9504" behindDoc="0" locked="0" layoutInCell="1" allowOverlap="1">
                <wp:simplePos x="0" y="0"/>
                <wp:positionH relativeFrom="column">
                  <wp:posOffset>1906270</wp:posOffset>
                </wp:positionH>
                <wp:positionV relativeFrom="paragraph">
                  <wp:posOffset>2437765</wp:posOffset>
                </wp:positionV>
                <wp:extent cx="0" cy="262255"/>
                <wp:effectExtent l="95250" t="0" r="57150" b="62230"/>
                <wp:wrapNone/>
                <wp:docPr id="44" name="直接箭头连接符 44"/>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91.95pt;height:20.65pt;width:0pt;z-index:251669504;mso-width-relative:page;mso-height-relative:page;" filled="f" stroked="t" coordsize="21600,21600" o:gfxdata="UEsDBAoAAAAAAIdO4kAAAAAAAAAAAAAAAAAEAAAAZHJzL1BLAwQUAAAACACHTuJAMj58C9kAAAAL&#10;AQAADwAAAGRycy9kb3ducmV2LnhtbE2PTUvDQBCG74L/YRnBm93NVkuN2RQRCj0o2CjY4zYZs6nZ&#10;2ZDdfvjvHelBb/Px8M4zxeLke3HAMXaBDGQTBQKpDk1HrYH3t+XNHERMlhrbB0ID3xhhUV5eFDZv&#10;wpHWeKhSKziEYm4NuJSGXMpYO/Q2TsKAxLvPMHqbuB1b2Yz2yOG+l1qpmfS2I77g7IBPDuuvau8N&#10;fKyyWVZt3COm5e7l+VVv7Hq3Mub6KlMPIBKe0h8Mv/qsDiU7bcOemih6A1OlNKNczKf3IJg4T7YG&#10;bvWdBlkW8v8P5Q9QSwMEFAAAAAgAh07iQGxcwPk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Lp&#10;lBINCm/8+v3Vz3efrr99/fHx6tf3DzH+8plgHcXqrC+wZ6U3bjh5u3GR+b52Kr6RE9kngQ9Hgfk+&#10;ENYnGWYnJ5PJdB7hsts+63x4xo0iMSipDw5E04aV0Rpv0bhx0hd2z33oG28a4lBtLoSUmIdCatKV&#10;dD6bzChhgAat0RgYKoskvW4oAdmg81lwCdEbKarYHZu9a7Yr6cgO0C/Tp4/Pz876j1qoeJ+dz/J8&#10;8I2H8MJUfXqc3+SR0wCT+P2FH3deg2/7nlTqLRhAyHNdkXCweAPgnOkGfaRGmCh7L3SMtqY6JP1T&#10;Hp2RBg0ujtb785y6b//c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yPnwL2QAAAAsBAAAPAAAA&#10;AAAAAAEAIAAAACIAAABkcnMvZG93bnJldi54bWxQSwECFAAUAAAACACHTuJAbFzA+R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0528" behindDoc="0" locked="0" layoutInCell="1" allowOverlap="1">
                <wp:simplePos x="0" y="0"/>
                <wp:positionH relativeFrom="column">
                  <wp:posOffset>1906270</wp:posOffset>
                </wp:positionH>
                <wp:positionV relativeFrom="paragraph">
                  <wp:posOffset>1921510</wp:posOffset>
                </wp:positionV>
                <wp:extent cx="0" cy="262255"/>
                <wp:effectExtent l="95250" t="0" r="57150" b="62230"/>
                <wp:wrapNone/>
                <wp:docPr id="45" name="直接箭头连接符 45"/>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51.3pt;height:20.65pt;width:0pt;z-index:251670528;mso-width-relative:page;mso-height-relative:page;" filled="f" stroked="t" coordsize="21600,21600" o:gfxdata="UEsDBAoAAAAAAIdO4kAAAAAAAAAAAAAAAAAEAAAAZHJzL1BLAwQUAAAACACHTuJAhW2LytgAAAAL&#10;AQAADwAAAGRycy9kb3ducmV2LnhtbE2PT0vEMBDF74LfIYzgzU3alaK16SLCwh4U3Cq4x9lmbLo2&#10;SWmyf/z2zuJBb2/mPd78plqc3CAONMU+eA3ZTIEg3wbT+07D+9vy5g5ETOgNDsGThm+KsKgvLyos&#10;TTj6NR2a1Aku8bFEDTalsZQytpYcxlkYybP3GSaHicepk2bCI5e7QeZKFdJh7/mCxZGeLLVfzd5p&#10;+FhlRdZs7COl5e7l+TXf4Hq30vr6KlMPIBKd0l8YzviMDjUzbcPemygGDXOlco6eRV6A4MTvZsvi&#10;dn4Psq7k/x/qH1BLAwQUAAAACACHTuJAZWj5MBQCAAABBAAADgAAAGRycy9lMm9Eb2MueG1srVPN&#10;jtMwEL4j8Q6W7zRp1S40arpi210u/FQCHmDqOIkl/8n2Nu1L8AJInIATcNo7TwPLYzB2sl1YLnvg&#10;koxnMt/M9/nL4nSvJNlx54XRJR2Pckq4ZqYSuinp2zcXj55Q4gPoCqTRvKQH7unp8uGDRWcLPjGt&#10;kRV3BEG0Lzpb0jYEW2SZZy1X4EfGco3F2jgFAY+uySoHHaIrmU3y/CTrjKusM4x7j9l1X6QDorsP&#10;oKlrwfjasEvFdehRHZcQkJJvhfV0mbata87Cq7r2PBBZUmQa0hOHYLyNz2y5gKJxYFvBhhXgPivc&#10;4aRAaBx6hFpDAHLpxD9QSjBnvKnDiBmV9USSIshinN/R5nULlicuKLW3R9H9/4NlL3cbR0RV0umM&#10;Eg0Kb/z6/dXPd5+uv3398fHq1/cPMf7ymWAdxeqsL7BnpTduOHm7cZH5vnYqvpET2SeBD0eB+T4Q&#10;1icZZicnk8l0HuGy2z7rfHjGjSIxKKkPDkTThpXRGm/RuHHSF3bPfegbbxriUG0uhJSYh0Jq0pV0&#10;PpsgHwZo0BqNgaGySNLrhhKQDTqfBZcQvZGiit2x2btmu5KO7AD9Mn36+PzsrP+ohYr32fkszwff&#10;eAgvTNWnx/lNHjkNMInfX/hx5zX4tu9Jpd6CAYQ81xUJB4s3AM6ZbtBHaoSJsvdCx2hrqkPSP+XR&#10;GWnQ4OJovT/Pqfv2z13+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Vti8rYAAAACwEAAA8AAAAA&#10;AAAAAQAgAAAAIgAAAGRycy9kb3ducmV2LnhtbFBLAQIUABQAAAAIAIdO4kBlaPk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1552" behindDoc="0" locked="0" layoutInCell="1" allowOverlap="1">
                <wp:simplePos x="0" y="0"/>
                <wp:positionH relativeFrom="column">
                  <wp:posOffset>1906270</wp:posOffset>
                </wp:positionH>
                <wp:positionV relativeFrom="paragraph">
                  <wp:posOffset>1396365</wp:posOffset>
                </wp:positionV>
                <wp:extent cx="0" cy="262255"/>
                <wp:effectExtent l="95250" t="0" r="57150" b="62230"/>
                <wp:wrapNone/>
                <wp:docPr id="46" name="直接箭头连接符 46"/>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09.95pt;height:20.65pt;width:0pt;z-index:251671552;mso-width-relative:page;mso-height-relative:page;" filled="f" stroked="t" coordsize="21600,21600" o:gfxdata="UEsDBAoAAAAAAIdO4kAAAAAAAAAAAAAAAAAEAAAAZHJzL1BLAwQUAAAACACHTuJAJkKOqtgAAAAL&#10;AQAADwAAAGRycy9kb3ducmV2LnhtbE2PTUsDMRCG74L/IYzgzeajsNh1s0WEQg8V7CrYY7oZN1s3&#10;k2WTfvjvjXjQ47zz8M4z1fLiB3bCKfaBNMiZAIbUBttTp+HtdXV3DywmQ9YMgVDDF0ZY1tdXlSlt&#10;ONMWT03qWC6hWBoNLqWx5Dy2Dr2JszAi5d1HmLxJeZw6bidzzuV+4EqIgnvTU77gzIhPDtvP5ug1&#10;vK9lIZude8S0OjxvXtTObA9rrW9vpHgAlvCS/mD40c/qUGenfTiSjWzQMBdCZVSDkosFsEz8Jvuc&#10;FFIBryv+/4f6G1BLAwQUAAAACACHTuJAPzLDsBQCAAABBAAADgAAAGRycy9lMm9Eb2MueG1srVPN&#10;jtMwEL4j8Q6W7zRp1RYaNV2x7S4XflYCHmDqOIkl/8n2Nu1L8AJInIATcNo7TwPLYzB2sl1YLnvg&#10;koxnMt/M9/nL8mSvJNlx54XRJR2Pckq4ZqYSuinp2zfnj55Q4gPoCqTRvKQH7unJ6uGDZWcLPjGt&#10;kRV3BEG0Lzpb0jYEW2SZZy1X4EfGco3F2jgFAY+uySoHHaIrmU3yfJ51xlXWGca9x+ymL9IB0d0H&#10;0NS1YHxj2KXiOvSojksISMm3wnq6StvWNWfhVV17HogsKTIN6YlDMN7GZ7ZaQtE4sK1gwwpwnxXu&#10;cFIgNA49Qm0gALl04h8oJZgz3tRhxIzKeiJJEWQxzu9o87oFyxMXlNrbo+j+/8Gyl7sLR0RV0umc&#10;Eg0Kb/z6/dXPd5+uv3398fHq1/cPMf7ymWAdxeqsL7BnrS/ccPL2wkXm+9qp+EZOZJ8EPhwF5vtA&#10;WJ9kmJ3MJ5PpIsJlt33W+fCMG0ViUFIfHIimDWujNd6iceOkL+ye+9A33jTEodqcCykxD4XUpCvp&#10;YjaZUcIADVqjMTBUFkl63VACskHns+ASojdSVLE7NnvXbNfSkR2gX6ZPH5+dnvYftVDxPruY5fng&#10;Gw/hhan69Di/ySOnASbx+ws/7rwB3/Y9qdRbMICQZ7oi4WDxBsA50w36SI0wUfZe6BhtTXVI+qc8&#10;OiMNGlwcrffnOXXf/rm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ZCjqrYAAAACwEAAA8AAAAA&#10;AAAAAQAgAAAAIgAAAGRycy9kb3ducmV2LnhtbFBLAQIUABQAAAAIAIdO4kA/MsO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4624" behindDoc="0" locked="0" layoutInCell="1" allowOverlap="1">
                <wp:simplePos x="0" y="0"/>
                <wp:positionH relativeFrom="column">
                  <wp:posOffset>1906270</wp:posOffset>
                </wp:positionH>
                <wp:positionV relativeFrom="paragraph">
                  <wp:posOffset>3487420</wp:posOffset>
                </wp:positionV>
                <wp:extent cx="0" cy="262255"/>
                <wp:effectExtent l="95250" t="0" r="57150" b="62230"/>
                <wp:wrapNone/>
                <wp:docPr id="47" name="直接箭头连接符 47"/>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74.6pt;height:20.65pt;width:0pt;z-index:251674624;mso-width-relative:page;mso-height-relative:page;" filled="f" stroked="t" coordsize="21600,21600" o:gfxdata="UEsDBAoAAAAAAIdO4kAAAAAAAAAAAAAAAAAEAAAAZHJzL1BLAwQUAAAACACHTuJAQAE9f9kAAAAL&#10;AQAADwAAAGRycy9kb3ducmV2LnhtbE2PzU7DMBCE70i8g7VI3KidQCsa4lQIqVIPINGARI9uvMQp&#10;8TqK3R/enkU9wG13ZjT7bbk4+V4ccIxdIA3ZRIFAaoLtqNXw/ra8uQcRkyFr+kCo4RsjLKrLi9IU&#10;NhxpjYc6tYJLKBZGg0tpKKSMjUNv4iQMSOx9htGbxOvYSjuaI5f7XuZKzaQ3HfEFZwZ8cth81Xuv&#10;4WOVzbJ64x4xLXcvz6/5xqx3K62vrzL1ACLhKf2F4Ref0aFipm3Yk42i13CrVM5RDdO7OQ+cOCtb&#10;VuZqCrIq5f8fqh9QSwMEFAAAAAgAh07iQDYG+nkVAgAAAQQAAA4AAABkcnMvZTJvRG9jLnhtbK1T&#10;zW7TQBC+I/EOq70TO1HSUitORZOWCz+RgAeYrNf2Svun3W2cvAQvgMQJegJOvfM0UB6D2bWbQrn0&#10;wMWenfF8M9+3n+enOyXJljsvjC7peJRTwjUzldBNSd+9vXjylBIfQFcgjeYl3XNPTxePH807W/CJ&#10;aY2suCMIon3R2ZK2IdgiyzxruQI/MpZrLNbGKQh4dE1WOegQXclskudHWWdcZZ1h3HvMrvoiHRDd&#10;QwBNXQvGV4ZdKq5Dj+q4hICUfCusp4u0bV1zFl7XteeByJIi05CeOATjTXxmizkUjQPbCjasAA9Z&#10;4R4nBULj0APUCgKQSyf+gVKCOeNNHUbMqKwnkhRBFuP8njZvWrA8cUGpvT2I7v8fLHu1XTsiqpJO&#10;jynRoPDGbz5c/3z/+ebb1x+frn99/xjjL1cE6yhWZ32BPUu9dsPJ27WLzHe1U/GNnMguCbw/CMx3&#10;gbA+yTA7OZpMpicRLrvrs86H59woEoOS+uBANG1YGq3xFo0bJ31h+8KHvvG2IQ7V5kJIiXkopCZd&#10;SU9mkxklDNCgNRoDQ2WRpNcNJSAbdD4LLiF6I0UVu2Ozd81mKR3ZAvpl+uz4/Oys/6iFivfZk1me&#10;D77xEF6aqk+P89s8chpgEr+/8OPOK/Bt35NKvQUDCHmuKxL2Fm8AnDPdoI/UCBNl74WO0cZU+6R/&#10;yqMz0qDBxdF6f55T992fu/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AE9f9kAAAALAQAADwAA&#10;AAAAAAABACAAAAAiAAAAZHJzL2Rvd25yZXYueG1sUEsBAhQAFAAAAAgAh07iQDYG+nk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5648" behindDoc="0" locked="0" layoutInCell="1" allowOverlap="1">
                <wp:simplePos x="0" y="0"/>
                <wp:positionH relativeFrom="column">
                  <wp:posOffset>1906270</wp:posOffset>
                </wp:positionH>
                <wp:positionV relativeFrom="paragraph">
                  <wp:posOffset>2962910</wp:posOffset>
                </wp:positionV>
                <wp:extent cx="0" cy="262255"/>
                <wp:effectExtent l="95250" t="0" r="57150" b="62230"/>
                <wp:wrapNone/>
                <wp:docPr id="48" name="直接箭头连接符 48"/>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33.3pt;height:20.65pt;width:0pt;z-index:251675648;mso-width-relative:page;mso-height-relative:page;" filled="f" stroked="t" coordsize="21600,21600" o:gfxdata="UEsDBAoAAAAAAIdO4kAAAAAAAAAAAAAAAAAEAAAAZHJzL1BLAwQUAAAACACHTuJATOmkOdkAAAAL&#10;AQAADwAAAGRycy9kb3ducmV2LnhtbE2PTUvEMBCG74L/IYzgzU1aNWrtdBFhYQ8KbhXc42wztl2b&#10;pDTZD/+9EQ96nJmHd563nB/tIPY8hd47hGymQLBrvOldi/D2uri4BREiOUODd4zwxQHm1elJSYXx&#10;B7fifR1bkUJcKAihi3EspAxNx5bCzI/s0u3DT5ZiGqdWmokOKdwOMldKS0u9Sx86Gvmx4+az3lmE&#10;92Wms3rdPXBcbJ+fXvI1rbZLxPOzTN2DiHyMfzD86Cd1qJLTxu+cCWJAuFQqTyjCldYaRCJ+NxuE&#10;a3VzB7Iq5f8O1TdQSwMEFAAAAAgAh07iQMc/upQ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Ip&#10;3rsGhTd+/f7q57tP19++/vh49ev7hxh/+UywjmJ11hfYs9IbN5y83bjIfF87Fd/IieyTwIejwHwf&#10;COuTDLOTk8lkOo9w2W2fdT4840aRGJTUBweiacPKaI23aNw46Qu75z70jTcNcag2F0JKzEMhNelK&#10;Op9NZpQwQIPWaAwMlUWSXjeUgGzQ+Sy4hOiNFFXsjs3eNduVdGQH6Jfp08fnZ2f9Ry1UvM/OZ3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M6aQ52QAAAAsBAAAPAAAA&#10;AAAAAAEAIAAAACIAAABkcnMvZG93bnJldi54bWxQSwECFAAUAAAACACHTuJAxz+6lB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8720" behindDoc="0" locked="0" layoutInCell="1" allowOverlap="1">
                <wp:simplePos x="0" y="0"/>
                <wp:positionH relativeFrom="column">
                  <wp:posOffset>1906270</wp:posOffset>
                </wp:positionH>
                <wp:positionV relativeFrom="paragraph">
                  <wp:posOffset>4012565</wp:posOffset>
                </wp:positionV>
                <wp:extent cx="0" cy="262255"/>
                <wp:effectExtent l="95250" t="0" r="57150" b="62230"/>
                <wp:wrapNone/>
                <wp:docPr id="49" name="直接箭头连接符 49"/>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15.95pt;height:20.65pt;width:0pt;z-index:251678720;mso-width-relative:page;mso-height-relative:page;" filled="f" stroked="t" coordsize="21600,21600" o:gfxdata="UEsDBAoAAAAAAIdO4kAAAAAAAAAAAAAAAAAEAAAAZHJzL1BLAwQUAAAACACHTuJAL4rJWdkAAAAL&#10;AQAADwAAAGRycy9kb3ducmV2LnhtbE2PTUvEMBCG74L/IYzgzU3SQnW7TRcRFvag4FbBPc42Y9O1&#10;SUqT/fDfG/GwHuedh3eeqZZnO7AjTaH3ToGcCWDkWq971yl4f1vdPQALEZ3GwTtS8E0BlvX1VYWl&#10;9ie3oWMTO5ZKXChRgYlxLDkPrSGLYeZHcmn36SeLMY1Tx/WEp1RuB54JUXCLvUsXDI70ZKj9ag5W&#10;wcdaFrLZmkeKq/3L82u2xc1+rdTtjRQLYJHO8QLDr35Shzo57fzB6cAGBbkQWUIVFLmcA0vEX7JL&#10;yX2eAa8r/v+H+gdQSwMEFAAAAAgAh07iQM4Lg10VAgAAAQQAAA4AAABkcnMvZTJvRG9jLnhtbK1T&#10;zW4TMRC+I/EOlu9kN1FTaJRNRZOWCz+RgAeYeL27lry2NXazyUvwAkicgBNw6p2ngfIYjL3bFMql&#10;By72eGbn83yfv52f7lrNthK9sqbg41HOmTTClsrUBX/75uLRE858AFOCtkYWfC89P108fDDv3ExO&#10;bGN1KZERiPGzzhW8CcHNssyLRrbgR9ZJQ8XKYguBjlhnJUJH6K3OJnl+nHUWS4dWSO8pu+qLfEDE&#10;+wDaqlJCrqy4bKUJPSpKDYEo+UY5zxdp2qqSIryqKi8D0wUnpiGtdAnFm7hmiznMagTXKDGMAPcZ&#10;4Q6nFpShSw9QKwjALlH9A9UqgdbbKoyEbbOeSFKEWIzzO9q8bsDJxIWk9u4guv9/sOLldo1MlQU/&#10;OuHMQEsvfv3+6ue7T9ffvv74ePXr+4cYf/nMqE5idc7PqGdp1jicvFtjZL6rsI07cWK7JPD+ILDc&#10;BSb6pKDs5Hgy6eGy2z6HPjyTtmUxKLgPCKpuwtIaQ69ocZz0he1zH+hmarxpiJcae6G0To+pDesK&#10;fjKdTDkTQAatyBgUto5IelNzBrom54uACdFbrcrYHXE81pulRrYF8svR08fnZ2f9Rw2Uss+eTPN8&#10;8I2H8MKWfXqc3+RptAEmjfkXfpx5Bb7pe1Kpt2AApc9NycLe0QsAou1igbC0oS3K3gsdo40t90n/&#10;lCdnpA8HF0fr/XlO3bd/7u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4rJWdkAAAALAQAADwAA&#10;AAAAAAABACAAAAAiAAAAZHJzL2Rvd25yZXYueG1sUEsBAhQAFAAAAAgAh07iQM4Lg10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cs="仿宋_GB2312" w:asciiTheme="minorEastAsia" w:hAnsiTheme="minorEastAsia" w:eastAsiaTheme="minorEastAsia"/>
          <w:b/>
          <w:color w:val="auto"/>
          <w:sz w:val="36"/>
          <w:szCs w:val="20"/>
          <w:highlight w:val="none"/>
        </w:rPr>
        <w:br w:type="page"/>
      </w:r>
    </w:p>
    <w:p w14:paraId="2EDC0CB7">
      <w:pPr>
        <w:pStyle w:val="3"/>
        <w:numPr>
          <w:ilvl w:val="0"/>
          <w:numId w:val="0"/>
        </w:numPr>
        <w:bidi w:val="0"/>
        <w:spacing w:line="240" w:lineRule="auto"/>
        <w:ind w:leftChars="0"/>
        <w:jc w:val="center"/>
        <w:rPr>
          <w:rFonts w:hint="eastAsia" w:ascii="Times New Roman" w:hAnsi="Times New Roman" w:eastAsia="宋体" w:cs="Times New Roman"/>
          <w:color w:val="auto"/>
          <w:sz w:val="40"/>
          <w:szCs w:val="40"/>
          <w:highlight w:val="none"/>
        </w:rPr>
      </w:pPr>
      <w:bookmarkStart w:id="41" w:name="_Toc9508"/>
      <w:r>
        <w:rPr>
          <w:rFonts w:hint="eastAsia" w:ascii="Times New Roman" w:hAnsi="Times New Roman" w:eastAsia="宋体" w:cs="Times New Roman"/>
          <w:color w:val="auto"/>
          <w:sz w:val="40"/>
          <w:szCs w:val="40"/>
          <w:highlight w:val="none"/>
        </w:rPr>
        <w:t>第三部分</w:t>
      </w:r>
      <w:bookmarkEnd w:id="6"/>
      <w:r>
        <w:rPr>
          <w:rFonts w:hint="eastAsia" w:ascii="Times New Roman" w:hAnsi="Times New Roman" w:eastAsia="宋体" w:cs="Times New Roman"/>
          <w:color w:val="auto"/>
          <w:sz w:val="40"/>
          <w:szCs w:val="40"/>
          <w:highlight w:val="none"/>
        </w:rPr>
        <w:t xml:space="preserve">  供应商须知</w:t>
      </w:r>
      <w:bookmarkEnd w:id="7"/>
      <w:bookmarkEnd w:id="41"/>
    </w:p>
    <w:p w14:paraId="6882877E">
      <w:pPr>
        <w:pStyle w:val="4"/>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一、前附表</w:t>
      </w:r>
    </w:p>
    <w:tbl>
      <w:tblPr>
        <w:tblStyle w:val="62"/>
        <w:tblW w:w="915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682"/>
      </w:tblGrid>
      <w:tr w14:paraId="67DEE1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2E24C990">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14:paraId="6E092849">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事项</w:t>
            </w:r>
          </w:p>
        </w:tc>
        <w:tc>
          <w:tcPr>
            <w:tcW w:w="6682" w:type="dxa"/>
            <w:tcBorders>
              <w:top w:val="single" w:color="000000" w:sz="8" w:space="0"/>
              <w:left w:val="single" w:color="000000" w:sz="2" w:space="0"/>
              <w:bottom w:val="single" w:color="000000" w:sz="8" w:space="0"/>
              <w:right w:val="single" w:color="000000" w:sz="8" w:space="0"/>
            </w:tcBorders>
            <w:vAlign w:val="center"/>
          </w:tcPr>
          <w:p w14:paraId="3F9A1114">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本项目的特别规定</w:t>
            </w:r>
          </w:p>
        </w:tc>
      </w:tr>
      <w:tr w14:paraId="27BA5B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11C4C8CC">
            <w:pPr>
              <w:snapToGrid w:val="0"/>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w:t>
            </w:r>
          </w:p>
        </w:tc>
        <w:tc>
          <w:tcPr>
            <w:tcW w:w="1843" w:type="dxa"/>
            <w:tcBorders>
              <w:top w:val="single" w:color="000000" w:sz="8" w:space="0"/>
              <w:left w:val="single" w:color="auto" w:sz="4" w:space="0"/>
              <w:bottom w:val="single" w:color="000000" w:sz="8" w:space="0"/>
              <w:right w:val="single" w:color="000000" w:sz="8" w:space="0"/>
            </w:tcBorders>
            <w:vAlign w:val="center"/>
          </w:tcPr>
          <w:p w14:paraId="10C7833B">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项目属性</w:t>
            </w:r>
          </w:p>
        </w:tc>
        <w:tc>
          <w:tcPr>
            <w:tcW w:w="6682" w:type="dxa"/>
            <w:tcBorders>
              <w:top w:val="single" w:color="000000" w:sz="8" w:space="0"/>
              <w:left w:val="single" w:color="000000" w:sz="2" w:space="0"/>
              <w:bottom w:val="single" w:color="000000" w:sz="8" w:space="0"/>
              <w:right w:val="single" w:color="000000" w:sz="8" w:space="0"/>
            </w:tcBorders>
            <w:vAlign w:val="center"/>
          </w:tcPr>
          <w:p w14:paraId="330A890F">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服务类。</w:t>
            </w:r>
          </w:p>
        </w:tc>
      </w:tr>
      <w:tr w14:paraId="100B13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24671291">
            <w:pPr>
              <w:snapToGrid w:val="0"/>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w:t>
            </w:r>
          </w:p>
        </w:tc>
        <w:tc>
          <w:tcPr>
            <w:tcW w:w="1843" w:type="dxa"/>
            <w:tcBorders>
              <w:top w:val="single" w:color="000000" w:sz="8" w:space="0"/>
              <w:left w:val="single" w:color="auto" w:sz="4" w:space="0"/>
              <w:bottom w:val="single" w:color="000000" w:sz="8" w:space="0"/>
              <w:right w:val="single" w:color="000000" w:sz="8" w:space="0"/>
            </w:tcBorders>
            <w:vAlign w:val="center"/>
          </w:tcPr>
          <w:p w14:paraId="08F6658D">
            <w:pPr>
              <w:snapToGrid w:val="0"/>
              <w:spacing w:line="360" w:lineRule="auto"/>
              <w:rPr>
                <w:rFonts w:cs="宋体" w:asciiTheme="minorEastAsia" w:hAnsiTheme="minorEastAsia" w:eastAsiaTheme="minorEastAsia"/>
                <w:b/>
                <w:color w:val="auto"/>
                <w:kern w:val="0"/>
                <w:sz w:val="24"/>
                <w:highlight w:val="none"/>
              </w:rPr>
            </w:pPr>
            <w:r>
              <w:rPr>
                <w:rFonts w:hint="eastAsia" w:cs="宋体" w:asciiTheme="minorEastAsia" w:hAnsiTheme="minorEastAsia" w:eastAsiaTheme="minorEastAsia"/>
                <w:b/>
                <w:color w:val="auto"/>
                <w:kern w:val="0"/>
                <w:sz w:val="24"/>
                <w:highlight w:val="none"/>
              </w:rPr>
              <w:t>采购标的及其对应的中小企业划分标准所属行业</w:t>
            </w:r>
          </w:p>
        </w:tc>
        <w:tc>
          <w:tcPr>
            <w:tcW w:w="6682" w:type="dxa"/>
            <w:tcBorders>
              <w:top w:val="single" w:color="000000" w:sz="8" w:space="0"/>
              <w:left w:val="single" w:color="000000" w:sz="2" w:space="0"/>
              <w:bottom w:val="single" w:color="000000" w:sz="8" w:space="0"/>
              <w:right w:val="single" w:color="000000" w:sz="8" w:space="0"/>
            </w:tcBorders>
            <w:vAlign w:val="center"/>
          </w:tcPr>
          <w:p w14:paraId="46D96FAA">
            <w:pPr>
              <w:snapToGrid w:val="0"/>
              <w:spacing w:line="360" w:lineRule="auto"/>
              <w:rPr>
                <w:rFonts w:hint="eastAsia" w:cs="宋体" w:asciiTheme="minorEastAsia" w:hAnsiTheme="minorEastAsia" w:eastAsiaTheme="minorEastAsia"/>
                <w:b w:val="0"/>
                <w:bCs w:val="0"/>
                <w:color w:val="auto"/>
                <w:kern w:val="0"/>
                <w:sz w:val="24"/>
                <w:szCs w:val="24"/>
                <w:highlight w:val="none"/>
                <w:lang w:val="en-US" w:eastAsia="zh-CN"/>
              </w:rPr>
            </w:pPr>
            <w:r>
              <w:rPr>
                <w:rFonts w:hint="eastAsia" w:cs="宋体" w:asciiTheme="minorEastAsia" w:hAnsiTheme="minorEastAsia" w:eastAsiaTheme="minorEastAsia"/>
                <w:color w:val="auto"/>
                <w:kern w:val="0"/>
                <w:sz w:val="24"/>
                <w:highlight w:val="none"/>
              </w:rPr>
              <w:t>标的</w:t>
            </w:r>
            <w:r>
              <w:rPr>
                <w:rFonts w:hint="eastAsia" w:cs="宋体" w:asciiTheme="minorEastAsia" w:hAnsiTheme="minorEastAsia" w:eastAsiaTheme="minorEastAsia"/>
                <w:color w:val="auto"/>
                <w:kern w:val="0"/>
                <w:sz w:val="24"/>
                <w:highlight w:val="none"/>
                <w:lang w:eastAsia="zh-CN"/>
              </w:rPr>
              <w:t>：</w:t>
            </w:r>
            <w:r>
              <w:rPr>
                <w:rFonts w:hint="eastAsia" w:cs="宋体" w:asciiTheme="minorEastAsia" w:hAnsiTheme="minorEastAsia" w:eastAsiaTheme="minorEastAsia"/>
                <w:color w:val="auto"/>
                <w:kern w:val="0"/>
                <w:sz w:val="24"/>
                <w:highlight w:val="none"/>
                <w:u w:val="single"/>
                <w:lang w:eastAsia="zh-CN"/>
              </w:rPr>
              <w:t>市本级</w:t>
            </w:r>
            <w:r>
              <w:rPr>
                <w:rFonts w:hint="eastAsia" w:cs="宋体" w:asciiTheme="minorEastAsia" w:hAnsiTheme="minorEastAsia" w:eastAsiaTheme="minorEastAsia"/>
                <w:color w:val="auto"/>
                <w:kern w:val="0"/>
                <w:sz w:val="24"/>
                <w:highlight w:val="none"/>
                <w:u w:val="single"/>
              </w:rPr>
              <w:t>202</w:t>
            </w:r>
            <w:r>
              <w:rPr>
                <w:rFonts w:hint="eastAsia" w:cs="宋体" w:asciiTheme="minorEastAsia" w:hAnsiTheme="minorEastAsia" w:eastAsiaTheme="minorEastAsia"/>
                <w:color w:val="auto"/>
                <w:kern w:val="0"/>
                <w:sz w:val="24"/>
                <w:highlight w:val="none"/>
                <w:u w:val="single"/>
                <w:lang w:val="en-US" w:eastAsia="zh-CN"/>
              </w:rPr>
              <w:t>6</w:t>
            </w:r>
            <w:r>
              <w:rPr>
                <w:rFonts w:hint="eastAsia" w:cs="宋体" w:asciiTheme="minorEastAsia" w:hAnsiTheme="minorEastAsia" w:eastAsiaTheme="minorEastAsia"/>
                <w:color w:val="auto"/>
                <w:kern w:val="0"/>
                <w:sz w:val="24"/>
                <w:highlight w:val="none"/>
                <w:u w:val="single"/>
              </w:rPr>
              <w:t>年农产品质量安全</w:t>
            </w:r>
            <w:r>
              <w:rPr>
                <w:rFonts w:hint="eastAsia" w:cs="宋体" w:asciiTheme="minorEastAsia" w:hAnsiTheme="minorEastAsia" w:eastAsiaTheme="minorEastAsia"/>
                <w:color w:val="auto"/>
                <w:kern w:val="0"/>
                <w:sz w:val="24"/>
                <w:highlight w:val="none"/>
                <w:u w:val="single"/>
                <w:lang w:eastAsia="zh-CN"/>
              </w:rPr>
              <w:t>定量检测经费</w:t>
            </w:r>
            <w:r>
              <w:rPr>
                <w:rFonts w:hint="eastAsia" w:cs="宋体" w:asciiTheme="minorEastAsia" w:hAnsiTheme="minorEastAsia" w:eastAsiaTheme="minorEastAsia"/>
                <w:color w:val="auto"/>
                <w:kern w:val="0"/>
                <w:sz w:val="24"/>
                <w:highlight w:val="none"/>
              </w:rPr>
              <w:t>，属于</w:t>
            </w:r>
            <w:r>
              <w:rPr>
                <w:rFonts w:hint="eastAsia" w:cs="宋体" w:asciiTheme="minorEastAsia" w:hAnsiTheme="minorEastAsia" w:eastAsiaTheme="minorEastAsia"/>
                <w:color w:val="auto"/>
                <w:kern w:val="0"/>
                <w:sz w:val="24"/>
                <w:highlight w:val="none"/>
                <w:u w:val="single"/>
                <w:lang w:eastAsia="zh-CN"/>
              </w:rPr>
              <w:t>其他未列明行业</w:t>
            </w:r>
            <w:r>
              <w:rPr>
                <w:rFonts w:hint="eastAsia" w:cs="宋体" w:asciiTheme="minorEastAsia" w:hAnsiTheme="minorEastAsia" w:eastAsiaTheme="minorEastAsia"/>
                <w:color w:val="auto"/>
                <w:kern w:val="0"/>
                <w:sz w:val="24"/>
                <w:highlight w:val="none"/>
                <w:lang w:eastAsia="zh-CN"/>
              </w:rPr>
              <w:t>。</w:t>
            </w:r>
          </w:p>
        </w:tc>
      </w:tr>
      <w:tr w14:paraId="3F2546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49CB3CA6">
            <w:pPr>
              <w:snapToGrid w:val="0"/>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w:t>
            </w:r>
          </w:p>
        </w:tc>
        <w:tc>
          <w:tcPr>
            <w:tcW w:w="1843" w:type="dxa"/>
            <w:tcBorders>
              <w:top w:val="single" w:color="000000" w:sz="8" w:space="0"/>
              <w:left w:val="single" w:color="auto" w:sz="4" w:space="0"/>
              <w:bottom w:val="single" w:color="000000" w:sz="8" w:space="0"/>
              <w:right w:val="single" w:color="000000" w:sz="8" w:space="0"/>
            </w:tcBorders>
            <w:vAlign w:val="center"/>
          </w:tcPr>
          <w:p w14:paraId="2B27D443">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是否允许采购进口产品</w:t>
            </w:r>
          </w:p>
        </w:tc>
        <w:tc>
          <w:tcPr>
            <w:tcW w:w="6682" w:type="dxa"/>
            <w:tcBorders>
              <w:top w:val="single" w:color="000000" w:sz="8" w:space="0"/>
              <w:left w:val="single" w:color="000000" w:sz="2" w:space="0"/>
              <w:bottom w:val="single" w:color="000000" w:sz="8" w:space="0"/>
              <w:right w:val="single" w:color="000000" w:sz="8" w:space="0"/>
            </w:tcBorders>
            <w:vAlign w:val="center"/>
          </w:tcPr>
          <w:p w14:paraId="5F25CBE3">
            <w:pPr>
              <w:spacing w:line="360" w:lineRule="auto"/>
              <w:rPr>
                <w:rFonts w:cs="宋体" w:asciiTheme="minorEastAsia" w:hAnsiTheme="minorEastAsia" w:eastAsiaTheme="minorEastAsia"/>
                <w:color w:val="auto"/>
                <w:kern w:val="0"/>
                <w:sz w:val="24"/>
                <w:highlight w:val="none"/>
              </w:rPr>
            </w:pPr>
            <w:sdt>
              <w:sdtPr>
                <w:rPr>
                  <w:rFonts w:hint="eastAsia" w:cs="宋体" w:asciiTheme="minorEastAsia" w:hAnsiTheme="minorEastAsia" w:eastAsiaTheme="minorEastAsia"/>
                  <w:color w:val="auto"/>
                  <w:kern w:val="0"/>
                  <w:sz w:val="24"/>
                  <w:highlight w:val="none"/>
                </w:rPr>
                <w:id w:val="-1828425707"/>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Wingdings" w:hAnsi="Wingdings" w:eastAsia="MS Gothic" w:cs="宋体"/>
                    <w:color w:val="auto"/>
                    <w:kern w:val="0"/>
                    <w:sz w:val="24"/>
                    <w:szCs w:val="24"/>
                    <w:highlight w:val="none"/>
                    <w:lang w:val="en-US" w:eastAsia="zh-CN" w:bidi="ar-SA"/>
                  </w:rPr>
                  <w:t>þ</w:t>
                </w:r>
              </w:sdtContent>
            </w:sdt>
            <w:r>
              <w:rPr>
                <w:rFonts w:hint="eastAsia" w:cs="宋体" w:asciiTheme="minorEastAsia" w:hAnsiTheme="minorEastAsia" w:eastAsiaTheme="minorEastAsia"/>
                <w:color w:val="auto"/>
                <w:kern w:val="0"/>
                <w:sz w:val="24"/>
                <w:highlight w:val="none"/>
              </w:rPr>
              <w:t>本项目不允许采购进口产品。</w:t>
            </w:r>
          </w:p>
          <w:p w14:paraId="056827E0">
            <w:pPr>
              <w:spacing w:line="360" w:lineRule="auto"/>
              <w:rPr>
                <w:rFonts w:cs="宋体" w:asciiTheme="minorEastAsia" w:hAnsiTheme="minorEastAsia" w:eastAsiaTheme="minorEastAsia"/>
                <w:color w:val="auto"/>
                <w:highlight w:val="none"/>
              </w:rPr>
            </w:pPr>
            <w:sdt>
              <w:sdtPr>
                <w:rPr>
                  <w:rFonts w:hint="eastAsia" w:cs="宋体" w:asciiTheme="minorEastAsia" w:hAnsiTheme="minorEastAsia" w:eastAsiaTheme="minorEastAsia"/>
                  <w:color w:val="auto"/>
                  <w:kern w:val="0"/>
                  <w:sz w:val="24"/>
                  <w:highlight w:val="none"/>
                </w:rPr>
                <w:id w:val="-52852824"/>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cs="宋体" w:asciiTheme="minorEastAsia" w:hAnsiTheme="minorEastAsia" w:eastAsiaTheme="minorEastAsia"/>
                <w:color w:val="auto"/>
                <w:kern w:val="0"/>
                <w:sz w:val="24"/>
                <w:highlight w:val="none"/>
              </w:rPr>
              <w:t>可以就</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kern w:val="0"/>
                <w:sz w:val="24"/>
                <w:highlight w:val="none"/>
              </w:rPr>
              <w:t>采购进口产品。</w:t>
            </w:r>
          </w:p>
        </w:tc>
      </w:tr>
      <w:tr w14:paraId="5B8836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13E06F5C">
            <w:pPr>
              <w:snapToGrid w:val="0"/>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w:t>
            </w:r>
          </w:p>
        </w:tc>
        <w:tc>
          <w:tcPr>
            <w:tcW w:w="1843" w:type="dxa"/>
            <w:tcBorders>
              <w:top w:val="single" w:color="000000" w:sz="8" w:space="0"/>
              <w:left w:val="single" w:color="auto" w:sz="4" w:space="0"/>
              <w:bottom w:val="single" w:color="000000" w:sz="8" w:space="0"/>
              <w:right w:val="single" w:color="000000" w:sz="8" w:space="0"/>
            </w:tcBorders>
            <w:vAlign w:val="center"/>
          </w:tcPr>
          <w:p w14:paraId="4B407FE3">
            <w:pPr>
              <w:snapToGrid w:val="0"/>
              <w:spacing w:line="360" w:lineRule="auto"/>
              <w:ind w:firstLine="482" w:firstLineChars="200"/>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分包</w:t>
            </w:r>
          </w:p>
        </w:tc>
        <w:tc>
          <w:tcPr>
            <w:tcW w:w="6682" w:type="dxa"/>
            <w:tcBorders>
              <w:top w:val="single" w:color="000000" w:sz="8" w:space="0"/>
              <w:left w:val="single" w:color="000000" w:sz="2" w:space="0"/>
              <w:bottom w:val="single" w:color="000000" w:sz="8" w:space="0"/>
              <w:right w:val="single" w:color="000000" w:sz="8" w:space="0"/>
            </w:tcBorders>
            <w:vAlign w:val="center"/>
          </w:tcPr>
          <w:p w14:paraId="035D8E07">
            <w:pPr>
              <w:spacing w:line="360" w:lineRule="auto"/>
              <w:rPr>
                <w:rFonts w:hint="eastAsia" w:cs="宋体" w:asciiTheme="minorEastAsia" w:hAnsiTheme="minorEastAsia" w:eastAsiaTheme="minorEastAsia"/>
                <w:color w:val="auto"/>
                <w:sz w:val="24"/>
                <w:highlight w:val="none"/>
                <w:lang w:eastAsia="zh-CN"/>
              </w:rPr>
            </w:pPr>
            <w:sdt>
              <w:sdtPr>
                <w:rPr>
                  <w:rFonts w:hint="eastAsia" w:cs="宋体" w:asciiTheme="minorEastAsia" w:hAnsiTheme="minorEastAsia" w:eastAsiaTheme="minorEastAsia"/>
                  <w:color w:val="auto"/>
                  <w:kern w:val="0"/>
                  <w:sz w:val="24"/>
                  <w:highlight w:val="none"/>
                </w:rPr>
                <w:id w:val="-1477286927"/>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MS Gothic" w:hAnsi="MS Gothic" w:eastAsia="MS Gothic" w:cs="宋体"/>
                    <w:color w:val="auto"/>
                    <w:kern w:val="0"/>
                    <w:sz w:val="24"/>
                    <w:highlight w:val="none"/>
                  </w:rPr>
                  <w:t>☐</w:t>
                </w:r>
              </w:sdtContent>
            </w:sdt>
            <w:r>
              <w:rPr>
                <w:rFonts w:hint="eastAsia" w:cs="宋体" w:asciiTheme="minorEastAsia" w:hAnsiTheme="minorEastAsia" w:eastAsiaTheme="minorEastAsia"/>
                <w:color w:val="auto"/>
                <w:kern w:val="0"/>
                <w:sz w:val="24"/>
                <w:highlight w:val="none"/>
              </w:rPr>
              <w:t xml:space="preserve"> A</w:t>
            </w:r>
            <w:r>
              <w:rPr>
                <w:rFonts w:hint="eastAsia" w:cs="宋体" w:asciiTheme="minorEastAsia" w:hAnsiTheme="minorEastAsia" w:eastAsiaTheme="minorEastAsia"/>
                <w:color w:val="auto"/>
                <w:sz w:val="24"/>
                <w:highlight w:val="none"/>
              </w:rPr>
              <w:t>同意将非主体、非关键性的</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工作分包</w:t>
            </w:r>
            <w:r>
              <w:rPr>
                <w:rFonts w:hint="eastAsia" w:cs="宋体" w:asciiTheme="minorEastAsia" w:hAnsiTheme="minorEastAsia" w:eastAsiaTheme="minorEastAsia"/>
                <w:color w:val="auto"/>
                <w:sz w:val="24"/>
                <w:highlight w:val="none"/>
                <w:lang w:eastAsia="zh-CN"/>
              </w:rPr>
              <w:t>。</w:t>
            </w:r>
          </w:p>
          <w:p w14:paraId="0A721F8F">
            <w:pPr>
              <w:spacing w:line="360" w:lineRule="auto"/>
              <w:rPr>
                <w:rFonts w:cs="宋体" w:asciiTheme="minorEastAsia" w:hAnsiTheme="minorEastAsia" w:eastAsiaTheme="minorEastAsia"/>
                <w:color w:val="auto"/>
                <w:sz w:val="24"/>
                <w:highlight w:val="none"/>
              </w:rPr>
            </w:pPr>
            <w:sdt>
              <w:sdtPr>
                <w:rPr>
                  <w:rFonts w:hint="eastAsia" w:cs="宋体" w:asciiTheme="minorEastAsia" w:hAnsiTheme="minorEastAsia" w:eastAsiaTheme="minorEastAsia"/>
                  <w:color w:val="auto"/>
                  <w:kern w:val="0"/>
                  <w:sz w:val="24"/>
                  <w:highlight w:val="none"/>
                </w:rPr>
                <w:id w:val="-1276331357"/>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Wingdings" w:hAnsi="Wingdings" w:eastAsia="MS Mincho" w:cs="MS Mincho"/>
                    <w:color w:val="auto"/>
                    <w:kern w:val="0"/>
                    <w:sz w:val="24"/>
                    <w:szCs w:val="24"/>
                    <w:highlight w:val="none"/>
                    <w:lang w:val="en-US" w:eastAsia="zh-CN" w:bidi="ar-SA"/>
                  </w:rPr>
                  <w:t>þ</w:t>
                </w:r>
              </w:sdtContent>
            </w:sdt>
            <w:r>
              <w:rPr>
                <w:rFonts w:hint="eastAsia" w:cs="宋体" w:asciiTheme="minorEastAsia" w:hAnsiTheme="minorEastAsia" w:eastAsiaTheme="minorEastAsia"/>
                <w:color w:val="auto"/>
                <w:kern w:val="0"/>
                <w:sz w:val="24"/>
                <w:highlight w:val="none"/>
              </w:rPr>
              <w:t xml:space="preserve"> B</w:t>
            </w:r>
            <w:r>
              <w:rPr>
                <w:rFonts w:hint="eastAsia" w:cs="宋体" w:asciiTheme="minorEastAsia" w:hAnsiTheme="minorEastAsia" w:eastAsiaTheme="minorEastAsia"/>
                <w:color w:val="auto"/>
                <w:sz w:val="24"/>
                <w:highlight w:val="none"/>
              </w:rPr>
              <w:t>不同意分包。</w:t>
            </w:r>
          </w:p>
          <w:p w14:paraId="55C29489">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注</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rPr>
              <w:t>不得限制大中型企业向小微企业合理分包。</w:t>
            </w:r>
          </w:p>
        </w:tc>
      </w:tr>
      <w:tr w14:paraId="330D11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23ABFFF7">
            <w:pPr>
              <w:snapToGrid w:val="0"/>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w:t>
            </w:r>
          </w:p>
        </w:tc>
        <w:tc>
          <w:tcPr>
            <w:tcW w:w="1843" w:type="dxa"/>
            <w:tcBorders>
              <w:top w:val="single" w:color="000000" w:sz="8" w:space="0"/>
              <w:left w:val="single" w:color="auto" w:sz="4" w:space="0"/>
              <w:bottom w:val="single" w:color="000000" w:sz="8" w:space="0"/>
              <w:right w:val="single" w:color="000000" w:sz="8" w:space="0"/>
            </w:tcBorders>
            <w:vAlign w:val="center"/>
          </w:tcPr>
          <w:p w14:paraId="428A357F">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开标前答疑会或现场考察</w:t>
            </w:r>
          </w:p>
        </w:tc>
        <w:tc>
          <w:tcPr>
            <w:tcW w:w="6682" w:type="dxa"/>
            <w:tcBorders>
              <w:top w:val="single" w:color="000000" w:sz="8" w:space="0"/>
              <w:left w:val="single" w:color="000000" w:sz="2" w:space="0"/>
              <w:bottom w:val="single" w:color="000000" w:sz="8" w:space="0"/>
              <w:right w:val="single" w:color="000000" w:sz="8" w:space="0"/>
            </w:tcBorders>
            <w:vAlign w:val="center"/>
          </w:tcPr>
          <w:p w14:paraId="1FC5730B">
            <w:pPr>
              <w:spacing w:line="360" w:lineRule="auto"/>
              <w:rPr>
                <w:rFonts w:cs="宋体" w:asciiTheme="minorEastAsia" w:hAnsiTheme="minorEastAsia" w:eastAsiaTheme="minorEastAsia"/>
                <w:color w:val="auto"/>
                <w:sz w:val="24"/>
                <w:highlight w:val="none"/>
              </w:rPr>
            </w:pPr>
            <w:sdt>
              <w:sdtPr>
                <w:rPr>
                  <w:rFonts w:hint="eastAsia" w:cs="宋体" w:asciiTheme="minorEastAsia" w:hAnsiTheme="minorEastAsia" w:eastAsiaTheme="minorEastAsia"/>
                  <w:color w:val="auto"/>
                  <w:kern w:val="0"/>
                  <w:sz w:val="24"/>
                  <w:highlight w:val="none"/>
                </w:rPr>
                <w:id w:val="-212966419"/>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Wingdings" w:hAnsi="Wingdings" w:eastAsia="MS Gothic" w:cs="宋体"/>
                    <w:color w:val="auto"/>
                    <w:kern w:val="0"/>
                    <w:sz w:val="24"/>
                    <w:szCs w:val="24"/>
                    <w:highlight w:val="none"/>
                    <w:lang w:val="en-US" w:eastAsia="zh-CN" w:bidi="ar-SA"/>
                  </w:rPr>
                  <w:t>þ</w:t>
                </w:r>
              </w:sdtContent>
            </w:sdt>
            <w:r>
              <w:rPr>
                <w:rFonts w:hint="eastAsia" w:cs="宋体" w:asciiTheme="minorEastAsia" w:hAnsiTheme="minorEastAsia" w:eastAsiaTheme="minorEastAsia"/>
                <w:color w:val="auto"/>
                <w:kern w:val="0"/>
                <w:sz w:val="24"/>
                <w:highlight w:val="none"/>
              </w:rPr>
              <w:t>A</w:t>
            </w:r>
            <w:r>
              <w:rPr>
                <w:rFonts w:hint="eastAsia" w:cs="宋体" w:asciiTheme="minorEastAsia" w:hAnsiTheme="minorEastAsia" w:eastAsiaTheme="minorEastAsia"/>
                <w:color w:val="auto"/>
                <w:sz w:val="24"/>
                <w:highlight w:val="none"/>
              </w:rPr>
              <w:t>不组织。</w:t>
            </w:r>
          </w:p>
          <w:p w14:paraId="0505CE01">
            <w:pPr>
              <w:spacing w:line="360" w:lineRule="auto"/>
              <w:rPr>
                <w:rFonts w:cs="宋体" w:asciiTheme="minorEastAsia" w:hAnsiTheme="minorEastAsia" w:eastAsiaTheme="minorEastAsia"/>
                <w:color w:val="auto"/>
                <w:sz w:val="24"/>
                <w:szCs w:val="20"/>
                <w:highlight w:val="none"/>
              </w:rPr>
            </w:pPr>
            <w:sdt>
              <w:sdtPr>
                <w:rPr>
                  <w:rFonts w:hint="eastAsia" w:cs="宋体" w:asciiTheme="minorEastAsia" w:hAnsiTheme="minorEastAsia" w:eastAsiaTheme="minorEastAsia"/>
                  <w:color w:val="auto"/>
                  <w:kern w:val="0"/>
                  <w:sz w:val="24"/>
                  <w:highlight w:val="none"/>
                </w:rPr>
                <w:id w:val="-999802974"/>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cs="宋体" w:asciiTheme="minorEastAsia" w:hAnsiTheme="minorEastAsia" w:eastAsiaTheme="minorEastAsia"/>
                <w:color w:val="auto"/>
                <w:kern w:val="0"/>
                <w:sz w:val="24"/>
                <w:highlight w:val="none"/>
              </w:rPr>
              <w:t>B组织，</w:t>
            </w:r>
            <w:r>
              <w:rPr>
                <w:rFonts w:hint="eastAsia" w:cs="宋体" w:asciiTheme="minorEastAsia" w:hAnsiTheme="minorEastAsia" w:eastAsiaTheme="minorEastAsia"/>
                <w:color w:val="auto"/>
                <w:sz w:val="24"/>
                <w:highlight w:val="none"/>
              </w:rPr>
              <w:t>时间</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,地点</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，联系人</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，联系方式</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szCs w:val="20"/>
                <w:highlight w:val="none"/>
              </w:rPr>
              <w:t>。</w:t>
            </w:r>
          </w:p>
        </w:tc>
      </w:tr>
      <w:tr w14:paraId="60E90C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02E93505">
            <w:pPr>
              <w:snapToGrid w:val="0"/>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6</w:t>
            </w:r>
          </w:p>
        </w:tc>
        <w:tc>
          <w:tcPr>
            <w:tcW w:w="1843" w:type="dxa"/>
            <w:tcBorders>
              <w:top w:val="single" w:color="000000" w:sz="8" w:space="0"/>
              <w:left w:val="single" w:color="auto" w:sz="4" w:space="0"/>
              <w:bottom w:val="single" w:color="000000" w:sz="8" w:space="0"/>
              <w:right w:val="single" w:color="000000" w:sz="8" w:space="0"/>
            </w:tcBorders>
            <w:vAlign w:val="center"/>
          </w:tcPr>
          <w:p w14:paraId="59612C13">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样品提供</w:t>
            </w:r>
          </w:p>
        </w:tc>
        <w:tc>
          <w:tcPr>
            <w:tcW w:w="6682" w:type="dxa"/>
            <w:tcBorders>
              <w:top w:val="single" w:color="000000" w:sz="8" w:space="0"/>
              <w:left w:val="single" w:color="000000" w:sz="2" w:space="0"/>
              <w:bottom w:val="single" w:color="000000" w:sz="8" w:space="0"/>
              <w:right w:val="single" w:color="000000" w:sz="8" w:space="0"/>
            </w:tcBorders>
            <w:vAlign w:val="center"/>
          </w:tcPr>
          <w:p w14:paraId="2DBCDF73">
            <w:pPr>
              <w:spacing w:line="360" w:lineRule="auto"/>
              <w:rPr>
                <w:rFonts w:cs="宋体" w:asciiTheme="minorEastAsia" w:hAnsiTheme="minorEastAsia" w:eastAsiaTheme="minorEastAsia"/>
                <w:color w:val="auto"/>
                <w:sz w:val="24"/>
                <w:highlight w:val="none"/>
              </w:rPr>
            </w:pPr>
            <w:sdt>
              <w:sdtPr>
                <w:rPr>
                  <w:rFonts w:hint="eastAsia" w:cs="宋体" w:asciiTheme="minorEastAsia" w:hAnsiTheme="minorEastAsia" w:eastAsiaTheme="minorEastAsia"/>
                  <w:color w:val="auto"/>
                  <w:kern w:val="0"/>
                  <w:sz w:val="24"/>
                  <w:highlight w:val="none"/>
                </w:rPr>
                <w:id w:val="-1639946486"/>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Wingdings" w:hAnsi="Wingdings" w:eastAsia="MS Gothic" w:cs="宋体"/>
                    <w:color w:val="auto"/>
                    <w:kern w:val="0"/>
                    <w:sz w:val="24"/>
                    <w:szCs w:val="24"/>
                    <w:highlight w:val="none"/>
                    <w:lang w:val="en-US" w:eastAsia="zh-CN" w:bidi="ar-SA"/>
                  </w:rPr>
                  <w:t>þ</w:t>
                </w:r>
              </w:sdtContent>
            </w:sdt>
            <w:r>
              <w:rPr>
                <w:rFonts w:hint="eastAsia" w:cs="宋体" w:asciiTheme="minorEastAsia" w:hAnsiTheme="minorEastAsia" w:eastAsiaTheme="minorEastAsia"/>
                <w:color w:val="auto"/>
                <w:kern w:val="0"/>
                <w:sz w:val="24"/>
                <w:highlight w:val="none"/>
              </w:rPr>
              <w:t>A</w:t>
            </w:r>
            <w:r>
              <w:rPr>
                <w:rFonts w:hint="eastAsia" w:cs="宋体" w:asciiTheme="minorEastAsia" w:hAnsiTheme="minorEastAsia" w:eastAsiaTheme="minorEastAsia"/>
                <w:color w:val="auto"/>
                <w:sz w:val="24"/>
                <w:highlight w:val="none"/>
              </w:rPr>
              <w:t>不要求提供。</w:t>
            </w:r>
          </w:p>
          <w:p w14:paraId="012F8209">
            <w:pPr>
              <w:spacing w:line="360" w:lineRule="auto"/>
              <w:rPr>
                <w:rFonts w:cs="宋体" w:asciiTheme="minorEastAsia" w:hAnsiTheme="minorEastAsia" w:eastAsiaTheme="minorEastAsia"/>
                <w:color w:val="auto"/>
                <w:kern w:val="0"/>
                <w:sz w:val="24"/>
                <w:highlight w:val="none"/>
              </w:rPr>
            </w:pPr>
            <w:sdt>
              <w:sdtPr>
                <w:rPr>
                  <w:rFonts w:hint="eastAsia" w:cs="宋体" w:asciiTheme="minorEastAsia" w:hAnsiTheme="minorEastAsia" w:eastAsiaTheme="minorEastAsia"/>
                  <w:color w:val="auto"/>
                  <w:kern w:val="0"/>
                  <w:sz w:val="24"/>
                  <w:highlight w:val="none"/>
                </w:rPr>
                <w:id w:val="1026831988"/>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cs="宋体" w:asciiTheme="minorEastAsia" w:hAnsiTheme="minorEastAsia" w:eastAsiaTheme="minorEastAsia"/>
                <w:color w:val="auto"/>
                <w:kern w:val="0"/>
                <w:sz w:val="24"/>
                <w:highlight w:val="none"/>
              </w:rPr>
              <w:t>B要求提供，</w:t>
            </w:r>
          </w:p>
          <w:p w14:paraId="1880DA25">
            <w:pPr>
              <w:spacing w:line="360" w:lineRule="auto"/>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（1）</w:t>
            </w:r>
            <w:r>
              <w:rPr>
                <w:rFonts w:hint="eastAsia" w:cs="宋体" w:asciiTheme="minorEastAsia" w:hAnsiTheme="minorEastAsia" w:eastAsiaTheme="minorEastAsia"/>
                <w:snapToGrid w:val="0"/>
                <w:color w:val="auto"/>
                <w:kern w:val="28"/>
                <w:sz w:val="24"/>
                <w:highlight w:val="none"/>
              </w:rPr>
              <w:t>样品</w:t>
            </w:r>
            <w:r>
              <w:rPr>
                <w:rFonts w:hint="eastAsia" w:cs="宋体" w:asciiTheme="minorEastAsia" w:hAnsiTheme="minorEastAsia" w:eastAsiaTheme="minorEastAsia"/>
                <w:snapToGrid w:val="0"/>
                <w:color w:val="auto"/>
                <w:kern w:val="28"/>
                <w:sz w:val="24"/>
                <w:highlight w:val="none"/>
                <w:lang w:eastAsia="zh-CN"/>
              </w:rPr>
              <w:t>：</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kern w:val="0"/>
                <w:sz w:val="24"/>
                <w:highlight w:val="none"/>
              </w:rPr>
              <w:t>；</w:t>
            </w:r>
          </w:p>
          <w:p w14:paraId="0D9FF554">
            <w:pPr>
              <w:spacing w:line="360" w:lineRule="auto"/>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（2）</w:t>
            </w:r>
            <w:r>
              <w:rPr>
                <w:rFonts w:hint="eastAsia" w:cs="宋体" w:asciiTheme="minorEastAsia" w:hAnsiTheme="minorEastAsia" w:eastAsiaTheme="minorEastAsia"/>
                <w:snapToGrid w:val="0"/>
                <w:color w:val="auto"/>
                <w:kern w:val="28"/>
                <w:sz w:val="24"/>
                <w:highlight w:val="none"/>
              </w:rPr>
              <w:t>样品制作的标准和要求</w:t>
            </w:r>
            <w:r>
              <w:rPr>
                <w:rFonts w:hint="eastAsia" w:cs="宋体" w:asciiTheme="minorEastAsia" w:hAnsiTheme="minorEastAsia" w:eastAsiaTheme="minorEastAsia"/>
                <w:snapToGrid w:val="0"/>
                <w:color w:val="auto"/>
                <w:kern w:val="28"/>
                <w:sz w:val="24"/>
                <w:highlight w:val="none"/>
                <w:lang w:eastAsia="zh-CN"/>
              </w:rPr>
              <w:t>：</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kern w:val="0"/>
                <w:sz w:val="24"/>
                <w:highlight w:val="none"/>
              </w:rPr>
              <w:t>；</w:t>
            </w:r>
          </w:p>
          <w:p w14:paraId="219217B1">
            <w:pPr>
              <w:spacing w:line="360" w:lineRule="auto"/>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（3）样品的评审方法以及评审标准</w:t>
            </w:r>
            <w:r>
              <w:rPr>
                <w:rFonts w:hint="eastAsia" w:cs="宋体" w:asciiTheme="minorEastAsia" w:hAnsiTheme="minorEastAsia" w:eastAsiaTheme="minorEastAsia"/>
                <w:snapToGrid w:val="0"/>
                <w:color w:val="auto"/>
                <w:kern w:val="28"/>
                <w:sz w:val="24"/>
                <w:highlight w:val="none"/>
                <w:lang w:eastAsia="zh-CN"/>
              </w:rPr>
              <w:t>：</w:t>
            </w:r>
            <w:r>
              <w:rPr>
                <w:rFonts w:hint="eastAsia" w:cs="宋体" w:asciiTheme="minorEastAsia" w:hAnsiTheme="minorEastAsia" w:eastAsiaTheme="minorEastAsia"/>
                <w:snapToGrid w:val="0"/>
                <w:color w:val="auto"/>
                <w:kern w:val="28"/>
                <w:sz w:val="24"/>
                <w:highlight w:val="none"/>
              </w:rPr>
              <w:t>详见</w:t>
            </w:r>
            <w:r>
              <w:rPr>
                <w:rFonts w:hint="eastAsia" w:cs="宋体" w:asciiTheme="minorEastAsia" w:hAnsiTheme="minorEastAsia" w:eastAsiaTheme="minorEastAsia"/>
                <w:color w:val="auto"/>
                <w:sz w:val="24"/>
                <w:highlight w:val="none"/>
                <w:u w:val="single"/>
              </w:rPr>
              <w:t>评审标准</w:t>
            </w:r>
            <w:r>
              <w:rPr>
                <w:rFonts w:hint="eastAsia" w:cs="宋体" w:asciiTheme="minorEastAsia" w:hAnsiTheme="minorEastAsia" w:eastAsiaTheme="minorEastAsia"/>
                <w:color w:val="auto"/>
                <w:kern w:val="0"/>
                <w:sz w:val="24"/>
                <w:highlight w:val="none"/>
              </w:rPr>
              <w:t>；</w:t>
            </w:r>
          </w:p>
          <w:p w14:paraId="03E3296C">
            <w:pPr>
              <w:spacing w:line="360" w:lineRule="auto"/>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（4）是否需要随样品提交检测报告</w:t>
            </w:r>
            <w:r>
              <w:rPr>
                <w:rFonts w:hint="eastAsia" w:cs="宋体" w:asciiTheme="minorEastAsia" w:hAnsiTheme="minorEastAsia" w:eastAsiaTheme="minorEastAsia"/>
                <w:color w:val="auto"/>
                <w:kern w:val="0"/>
                <w:sz w:val="24"/>
                <w:highlight w:val="none"/>
                <w:lang w:eastAsia="zh-CN"/>
              </w:rPr>
              <w:t>：</w:t>
            </w:r>
            <w:sdt>
              <w:sdtPr>
                <w:rPr>
                  <w:rFonts w:hint="eastAsia" w:cs="宋体" w:asciiTheme="minorEastAsia" w:hAnsiTheme="minorEastAsia" w:eastAsiaTheme="minorEastAsia"/>
                  <w:color w:val="auto"/>
                  <w:kern w:val="0"/>
                  <w:sz w:val="24"/>
                  <w:highlight w:val="none"/>
                </w:rPr>
                <w:id w:val="1303421454"/>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cs="宋体" w:asciiTheme="minorEastAsia" w:hAnsiTheme="minorEastAsia" w:eastAsiaTheme="minorEastAsia"/>
                <w:color w:val="auto"/>
                <w:kern w:val="0"/>
                <w:sz w:val="24"/>
                <w:highlight w:val="none"/>
              </w:rPr>
              <w:t>否；</w:t>
            </w:r>
            <w:sdt>
              <w:sdtPr>
                <w:rPr>
                  <w:rFonts w:hint="eastAsia" w:cs="宋体" w:asciiTheme="minorEastAsia" w:hAnsiTheme="minorEastAsia" w:eastAsiaTheme="minorEastAsia"/>
                  <w:color w:val="auto"/>
                  <w:kern w:val="0"/>
                  <w:sz w:val="24"/>
                  <w:highlight w:val="none"/>
                </w:rPr>
                <w:id w:val="1621728433"/>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cs="宋体" w:asciiTheme="minorEastAsia" w:hAnsiTheme="minorEastAsia" w:eastAsiaTheme="minorEastAsia"/>
                <w:color w:val="auto"/>
                <w:kern w:val="0"/>
                <w:sz w:val="24"/>
                <w:highlight w:val="none"/>
              </w:rPr>
              <w:t>是，检测机构的要求</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kern w:val="0"/>
                <w:sz w:val="24"/>
                <w:highlight w:val="none"/>
              </w:rPr>
              <w:t>；检测内容</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kern w:val="0"/>
                <w:sz w:val="24"/>
                <w:highlight w:val="none"/>
              </w:rPr>
              <w:t>。</w:t>
            </w:r>
          </w:p>
          <w:p w14:paraId="1CA00F9D">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（5）提供样品的时间</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kern w:val="0"/>
                <w:sz w:val="24"/>
                <w:highlight w:val="none"/>
              </w:rPr>
              <w:t>；地点</w:t>
            </w:r>
            <w:r>
              <w:rPr>
                <w:rFonts w:hint="eastAsia" w:cs="宋体" w:asciiTheme="minorEastAsia" w:hAnsiTheme="minorEastAsia" w:eastAsiaTheme="minorEastAsia"/>
                <w:color w:val="auto"/>
                <w:kern w:val="0"/>
                <w:sz w:val="24"/>
                <w:highlight w:val="none"/>
                <w:lang w:eastAsia="zh-CN"/>
              </w:rPr>
              <w:t>：</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kern w:val="0"/>
                <w:sz w:val="24"/>
                <w:highlight w:val="none"/>
              </w:rPr>
              <w:t>；联系人</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w:t>
            </w:r>
            <w:r>
              <w:rPr>
                <w:rFonts w:hint="eastAsia" w:cs="宋体" w:asciiTheme="minorEastAsia" w:hAnsiTheme="minorEastAsia" w:eastAsiaTheme="minorEastAsia"/>
                <w:color w:val="auto"/>
                <w:kern w:val="28"/>
                <w:sz w:val="24"/>
                <w:highlight w:val="none"/>
              </w:rPr>
              <w:t>联系电话</w:t>
            </w:r>
            <w:r>
              <w:rPr>
                <w:rFonts w:hint="eastAsia" w:cs="宋体" w:asciiTheme="minorEastAsia" w:hAnsiTheme="minorEastAsia" w:eastAsiaTheme="minorEastAsia"/>
                <w:color w:val="auto"/>
                <w:kern w:val="28"/>
                <w:sz w:val="24"/>
                <w:highlight w:val="none"/>
                <w:lang w:eastAsia="zh-CN"/>
              </w:rPr>
              <w:t>：</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。请供应商在上述时间内提供样品并按规定位置安装完毕。超过截止时间的，采购人或采购代理机构将不予接收，并将清场并封闭样品现场。</w:t>
            </w:r>
          </w:p>
          <w:p w14:paraId="563E14CF">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(6)采购活动结束后，对于未</w:t>
            </w:r>
            <w:r>
              <w:rPr>
                <w:rFonts w:hint="eastAsia" w:cs="宋体" w:asciiTheme="minorEastAsia" w:hAnsiTheme="minorEastAsia" w:eastAsiaTheme="minorEastAsia"/>
                <w:color w:val="auto"/>
                <w:sz w:val="24"/>
                <w:highlight w:val="none"/>
                <w:lang w:eastAsia="zh-CN"/>
              </w:rPr>
              <w:t>成交供应商</w:t>
            </w:r>
            <w:r>
              <w:rPr>
                <w:rFonts w:hint="eastAsia" w:cs="宋体" w:asciiTheme="minorEastAsia" w:hAnsiTheme="minorEastAsia" w:eastAsiaTheme="minorEastAsia"/>
                <w:color w:val="auto"/>
                <w:sz w:val="24"/>
                <w:highlight w:val="none"/>
              </w:rPr>
              <w:t>提供的样品，采购人、采购代理机构将通知未成交人在规定的时间内取回，逾期未取回的，采购人、采购代理机构不负保管义务；对于成交人提供的样品，采购人将进行保管、封存，并作为履约验收的参考。</w:t>
            </w:r>
          </w:p>
          <w:p w14:paraId="4282919D">
            <w:pPr>
              <w:spacing w:line="360" w:lineRule="auto"/>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color w:val="auto"/>
                <w:sz w:val="24"/>
                <w:highlight w:val="none"/>
              </w:rPr>
              <w:t>（7）制作、运输、安装和保管样品所发生的一切费用由供应商自理。</w:t>
            </w:r>
          </w:p>
        </w:tc>
      </w:tr>
      <w:tr w14:paraId="2118FE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11A9E344">
            <w:pPr>
              <w:snapToGrid w:val="0"/>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7</w:t>
            </w:r>
          </w:p>
        </w:tc>
        <w:tc>
          <w:tcPr>
            <w:tcW w:w="1843" w:type="dxa"/>
            <w:tcBorders>
              <w:top w:val="single" w:color="000000" w:sz="8" w:space="0"/>
              <w:left w:val="single" w:color="auto" w:sz="4" w:space="0"/>
              <w:bottom w:val="single" w:color="000000" w:sz="8" w:space="0"/>
              <w:right w:val="single" w:color="000000" w:sz="8" w:space="0"/>
            </w:tcBorders>
            <w:vAlign w:val="center"/>
          </w:tcPr>
          <w:p w14:paraId="211C4054">
            <w:pPr>
              <w:snapToGrid w:val="0"/>
              <w:spacing w:line="360" w:lineRule="auto"/>
              <w:jc w:val="center"/>
              <w:rPr>
                <w:rFonts w:cs="宋体" w:asciiTheme="minorEastAsia" w:hAnsiTheme="minorEastAsia" w:eastAsiaTheme="minorEastAsia"/>
                <w:bCs/>
                <w:color w:val="auto"/>
                <w:sz w:val="24"/>
                <w:highlight w:val="none"/>
              </w:rPr>
            </w:pPr>
            <w:r>
              <w:rPr>
                <w:rFonts w:hint="eastAsia" w:cs="宋体" w:asciiTheme="minorEastAsia" w:hAnsiTheme="minorEastAsia" w:eastAsiaTheme="minorEastAsia"/>
                <w:b/>
                <w:color w:val="auto"/>
                <w:sz w:val="24"/>
                <w:highlight w:val="none"/>
              </w:rPr>
              <w:t>方案讲解演示</w:t>
            </w:r>
          </w:p>
        </w:tc>
        <w:tc>
          <w:tcPr>
            <w:tcW w:w="6682" w:type="dxa"/>
            <w:tcBorders>
              <w:top w:val="single" w:color="000000" w:sz="8" w:space="0"/>
              <w:left w:val="single" w:color="000000" w:sz="2" w:space="0"/>
              <w:bottom w:val="single" w:color="000000" w:sz="8" w:space="0"/>
              <w:right w:val="single" w:color="000000" w:sz="8" w:space="0"/>
            </w:tcBorders>
            <w:vAlign w:val="center"/>
          </w:tcPr>
          <w:p w14:paraId="111A91D6">
            <w:pPr>
              <w:spacing w:line="360" w:lineRule="auto"/>
              <w:rPr>
                <w:rFonts w:cs="宋体" w:asciiTheme="minorEastAsia" w:hAnsiTheme="minorEastAsia" w:eastAsiaTheme="minorEastAsia"/>
                <w:color w:val="auto"/>
                <w:sz w:val="24"/>
                <w:highlight w:val="none"/>
              </w:rPr>
            </w:pPr>
            <w:sdt>
              <w:sdtPr>
                <w:rPr>
                  <w:rFonts w:hint="eastAsia" w:cs="宋体" w:asciiTheme="minorEastAsia" w:hAnsiTheme="minorEastAsia" w:eastAsiaTheme="minorEastAsia"/>
                  <w:color w:val="auto"/>
                  <w:kern w:val="0"/>
                  <w:sz w:val="24"/>
                  <w:highlight w:val="none"/>
                </w:rPr>
                <w:id w:val="-1859348549"/>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Wingdings" w:hAnsi="Wingdings" w:eastAsia="MS Gothic" w:cs="宋体"/>
                    <w:color w:val="auto"/>
                    <w:kern w:val="0"/>
                    <w:sz w:val="24"/>
                    <w:szCs w:val="24"/>
                    <w:highlight w:val="none"/>
                    <w:lang w:val="en-US" w:eastAsia="zh-CN" w:bidi="ar-SA"/>
                  </w:rPr>
                  <w:t>þ</w:t>
                </w:r>
              </w:sdtContent>
            </w:sdt>
            <w:r>
              <w:rPr>
                <w:rFonts w:hint="eastAsia" w:cs="宋体" w:asciiTheme="minorEastAsia" w:hAnsiTheme="minorEastAsia" w:eastAsiaTheme="minorEastAsia"/>
                <w:color w:val="auto"/>
                <w:kern w:val="0"/>
                <w:sz w:val="24"/>
                <w:highlight w:val="none"/>
              </w:rPr>
              <w:t>A</w:t>
            </w:r>
            <w:r>
              <w:rPr>
                <w:rFonts w:hint="eastAsia" w:cs="宋体" w:asciiTheme="minorEastAsia" w:hAnsiTheme="minorEastAsia" w:eastAsiaTheme="minorEastAsia"/>
                <w:color w:val="auto"/>
                <w:sz w:val="24"/>
                <w:highlight w:val="none"/>
              </w:rPr>
              <w:t>不组织。</w:t>
            </w:r>
          </w:p>
          <w:p w14:paraId="7260E474">
            <w:pPr>
              <w:spacing w:line="360" w:lineRule="auto"/>
              <w:rPr>
                <w:rFonts w:cs="宋体" w:asciiTheme="minorEastAsia" w:hAnsiTheme="minorEastAsia" w:eastAsiaTheme="minorEastAsia"/>
                <w:color w:val="auto"/>
                <w:kern w:val="0"/>
                <w:sz w:val="24"/>
                <w:highlight w:val="none"/>
              </w:rPr>
            </w:pPr>
            <w:sdt>
              <w:sdtPr>
                <w:rPr>
                  <w:rFonts w:hint="eastAsia" w:cs="宋体" w:asciiTheme="minorEastAsia" w:hAnsiTheme="minorEastAsia" w:eastAsiaTheme="minorEastAsia"/>
                  <w:color w:val="auto"/>
                  <w:kern w:val="0"/>
                  <w:sz w:val="24"/>
                  <w:highlight w:val="none"/>
                </w:rPr>
                <w:id w:val="1174071719"/>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cs="宋体" w:asciiTheme="minorEastAsia" w:hAnsiTheme="minorEastAsia" w:eastAsiaTheme="minorEastAsia"/>
                <w:color w:val="auto"/>
                <w:kern w:val="0"/>
                <w:sz w:val="24"/>
                <w:highlight w:val="none"/>
              </w:rPr>
              <w:t>B组织。</w:t>
            </w:r>
          </w:p>
          <w:p w14:paraId="35351875">
            <w:pPr>
              <w:snapToGrid w:val="0"/>
              <w:spacing w:line="360" w:lineRule="auto"/>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（1）在评审时安排每个供应商进行方案讲解演示。每个供应商时间不超过</w:t>
            </w:r>
            <w:r>
              <w:rPr>
                <w:rFonts w:hint="eastAsia" w:cs="宋体" w:asciiTheme="minorEastAsia" w:hAnsiTheme="minorEastAsia" w:eastAsiaTheme="minorEastAsia"/>
                <w:color w:val="auto"/>
                <w:kern w:val="0"/>
                <w:sz w:val="24"/>
                <w:highlight w:val="none"/>
                <w:u w:val="single"/>
              </w:rPr>
              <w:t>20</w:t>
            </w:r>
            <w:r>
              <w:rPr>
                <w:rFonts w:hint="eastAsia" w:ascii="宋体" w:hAnsi="宋体" w:cs="宋体"/>
                <w:color w:val="auto"/>
                <w:kern w:val="0"/>
                <w:sz w:val="24"/>
                <w:highlight w:val="none"/>
                <w:u w:val="single"/>
              </w:rPr>
              <w:t>（编制时可根据项目情况进行调整）</w:t>
            </w:r>
            <w:r>
              <w:rPr>
                <w:rFonts w:hint="eastAsia" w:cs="宋体" w:asciiTheme="minorEastAsia" w:hAnsiTheme="minorEastAsia" w:eastAsiaTheme="minorEastAsia"/>
                <w:color w:val="auto"/>
                <w:kern w:val="0"/>
                <w:sz w:val="24"/>
                <w:highlight w:val="none"/>
              </w:rPr>
              <w:t>分钟，讲解次序以响应文件解密时间先后次序为准，讲解演示人员不超过</w:t>
            </w:r>
            <w:r>
              <w:rPr>
                <w:rFonts w:hint="eastAsia" w:cs="宋体" w:asciiTheme="minorEastAsia" w:hAnsiTheme="minorEastAsia" w:eastAsiaTheme="minorEastAsia"/>
                <w:color w:val="auto"/>
                <w:kern w:val="0"/>
                <w:sz w:val="24"/>
                <w:highlight w:val="none"/>
                <w:u w:val="single"/>
              </w:rPr>
              <w:t>3</w:t>
            </w:r>
            <w:r>
              <w:rPr>
                <w:rFonts w:hint="eastAsia" w:ascii="宋体" w:hAnsi="宋体" w:cs="宋体"/>
                <w:color w:val="auto"/>
                <w:kern w:val="0"/>
                <w:sz w:val="24"/>
                <w:highlight w:val="none"/>
                <w:u w:val="single"/>
              </w:rPr>
              <w:t>（编制时可根据项目情况进行调整）</w:t>
            </w:r>
            <w:r>
              <w:rPr>
                <w:rFonts w:hint="eastAsia" w:cs="宋体" w:asciiTheme="minorEastAsia" w:hAnsiTheme="minorEastAsia" w:eastAsiaTheme="minorEastAsia"/>
                <w:color w:val="auto"/>
                <w:kern w:val="0"/>
                <w:sz w:val="24"/>
                <w:highlight w:val="none"/>
              </w:rPr>
              <w:t>人。讲解演示结束后按要求解答评标委员会提问。</w:t>
            </w:r>
          </w:p>
          <w:p w14:paraId="08C38FC2">
            <w:pPr>
              <w:snapToGrid w:val="0"/>
              <w:spacing w:line="360" w:lineRule="auto"/>
              <w:rPr>
                <w:rFonts w:hint="eastAsia" w:cs="宋体" w:asciiTheme="minorEastAsia" w:hAnsiTheme="minorEastAsia" w:eastAsiaTheme="minorEastAsia"/>
                <w:color w:val="auto"/>
                <w:kern w:val="0"/>
                <w:sz w:val="24"/>
                <w:highlight w:val="none"/>
                <w:lang w:eastAsia="zh-CN"/>
              </w:rPr>
            </w:pPr>
            <w:r>
              <w:rPr>
                <w:rFonts w:hint="eastAsia" w:cs="宋体" w:asciiTheme="minorEastAsia" w:hAnsiTheme="minorEastAsia" w:eastAsiaTheme="minorEastAsia"/>
                <w:color w:val="auto"/>
                <w:kern w:val="0"/>
                <w:sz w:val="24"/>
                <w:highlight w:val="none"/>
              </w:rPr>
              <w:t>（2）方案讲解演示可选择以下其中一种方式</w:t>
            </w:r>
            <w:r>
              <w:rPr>
                <w:rFonts w:hint="eastAsia" w:cs="宋体" w:asciiTheme="minorEastAsia" w:hAnsiTheme="minorEastAsia" w:eastAsiaTheme="minorEastAsia"/>
                <w:color w:val="auto"/>
                <w:kern w:val="0"/>
                <w:sz w:val="24"/>
                <w:highlight w:val="none"/>
                <w:lang w:eastAsia="zh-CN"/>
              </w:rPr>
              <w:t>：</w:t>
            </w:r>
          </w:p>
          <w:p w14:paraId="0C09F63B">
            <w:pPr>
              <w:snapToGrid w:val="0"/>
              <w:spacing w:line="360" w:lineRule="auto"/>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方式一</w:t>
            </w:r>
            <w:r>
              <w:rPr>
                <w:rFonts w:hint="eastAsia" w:cs="宋体" w:asciiTheme="minorEastAsia" w:hAnsiTheme="minorEastAsia" w:eastAsiaTheme="minorEastAsia"/>
                <w:color w:val="auto"/>
                <w:kern w:val="0"/>
                <w:sz w:val="24"/>
                <w:highlight w:val="none"/>
                <w:lang w:eastAsia="zh-CN"/>
              </w:rPr>
              <w:t>：</w:t>
            </w:r>
            <w:r>
              <w:rPr>
                <w:rFonts w:hint="eastAsia" w:cs="宋体" w:asciiTheme="minorEastAsia" w:hAnsiTheme="minorEastAsia" w:eastAsiaTheme="minorEastAsia"/>
                <w:color w:val="auto"/>
                <w:kern w:val="0"/>
                <w:sz w:val="24"/>
                <w:highlight w:val="none"/>
              </w:rPr>
              <w:t>广西政府采购云平台在线讲解演示。广西政府采购云平台在线讲解需供应商根据广西政府采购云平台操作要求做好准备工作，提前完善软硬件配置环境。</w:t>
            </w:r>
          </w:p>
          <w:p w14:paraId="1FE1CF44">
            <w:pPr>
              <w:snapToGrid w:val="0"/>
              <w:spacing w:line="360" w:lineRule="auto"/>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方式二</w:t>
            </w:r>
            <w:r>
              <w:rPr>
                <w:rFonts w:hint="eastAsia" w:cs="宋体" w:asciiTheme="minorEastAsia" w:hAnsiTheme="minorEastAsia" w:eastAsiaTheme="minorEastAsia"/>
                <w:color w:val="auto"/>
                <w:kern w:val="0"/>
                <w:sz w:val="24"/>
                <w:highlight w:val="none"/>
                <w:lang w:eastAsia="zh-CN"/>
              </w:rPr>
              <w:t>：</w:t>
            </w:r>
            <w:r>
              <w:rPr>
                <w:rFonts w:hint="eastAsia" w:cs="宋体" w:asciiTheme="minorEastAsia" w:hAnsiTheme="minorEastAsia" w:eastAsiaTheme="minorEastAsia"/>
                <w:color w:val="auto"/>
                <w:kern w:val="0"/>
                <w:sz w:val="24"/>
                <w:highlight w:val="none"/>
              </w:rPr>
              <w:t>交易中心现场讲解演示。现场讲解地点为</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kern w:val="0"/>
                <w:sz w:val="24"/>
                <w:highlight w:val="none"/>
              </w:rPr>
              <w:t>，讲解演示所用电脑等设备由供应商自备。现场讲解演示人员进场时提供讲解人员名单（加盖公章或授权代表签名）及身份证明，否则不得讲解演示。</w:t>
            </w:r>
          </w:p>
          <w:p w14:paraId="48935647">
            <w:pPr>
              <w:snapToGrid w:val="0"/>
              <w:spacing w:line="360" w:lineRule="auto"/>
              <w:rPr>
                <w:rFonts w:cs="宋体" w:asciiTheme="minorEastAsia" w:hAnsiTheme="minorEastAsia" w:eastAsiaTheme="minorEastAsia"/>
                <w:b/>
                <w:color w:val="auto"/>
                <w:kern w:val="0"/>
                <w:sz w:val="24"/>
                <w:highlight w:val="none"/>
                <w:lang w:val="zh-CN"/>
              </w:rPr>
            </w:pPr>
            <w:r>
              <w:rPr>
                <w:rFonts w:hint="eastAsia" w:cs="宋体" w:asciiTheme="minorEastAsia" w:hAnsiTheme="minorEastAsia" w:eastAsiaTheme="minorEastAsia"/>
                <w:color w:val="auto"/>
                <w:kern w:val="0"/>
                <w:sz w:val="24"/>
                <w:highlight w:val="none"/>
              </w:rPr>
              <w:t>注</w:t>
            </w:r>
            <w:r>
              <w:rPr>
                <w:rFonts w:hint="eastAsia" w:cs="宋体" w:asciiTheme="minorEastAsia" w:hAnsiTheme="minorEastAsia" w:eastAsiaTheme="minorEastAsia"/>
                <w:color w:val="auto"/>
                <w:kern w:val="0"/>
                <w:sz w:val="24"/>
                <w:highlight w:val="none"/>
                <w:lang w:eastAsia="zh-CN"/>
              </w:rPr>
              <w:t>：</w:t>
            </w:r>
            <w:r>
              <w:rPr>
                <w:rFonts w:hint="eastAsia" w:cs="宋体" w:asciiTheme="minorEastAsia" w:hAnsiTheme="minorEastAsia" w:eastAsiaTheme="minorEastAsia"/>
                <w:color w:val="auto"/>
                <w:kern w:val="0"/>
                <w:sz w:val="24"/>
                <w:highlight w:val="none"/>
              </w:rPr>
              <w:t>因供应商自身原因导致无法演示或者演示效果不理想的，责任自负。因平台原因导致本项目方案讲解演示环节无法顺利开展，按照相关规定执行。</w:t>
            </w:r>
          </w:p>
        </w:tc>
      </w:tr>
      <w:tr w14:paraId="54BCE4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jc w:val="center"/>
        </w:trPr>
        <w:tc>
          <w:tcPr>
            <w:tcW w:w="629" w:type="dxa"/>
            <w:vMerge w:val="restart"/>
            <w:tcBorders>
              <w:top w:val="single" w:color="auto" w:sz="4" w:space="0"/>
              <w:left w:val="single" w:color="auto" w:sz="4" w:space="0"/>
              <w:right w:val="single" w:color="auto" w:sz="4" w:space="0"/>
            </w:tcBorders>
            <w:vAlign w:val="center"/>
          </w:tcPr>
          <w:p w14:paraId="201E75E4">
            <w:pPr>
              <w:snapToGrid w:val="0"/>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8</w:t>
            </w:r>
          </w:p>
        </w:tc>
        <w:tc>
          <w:tcPr>
            <w:tcW w:w="1843" w:type="dxa"/>
            <w:vMerge w:val="restart"/>
            <w:tcBorders>
              <w:top w:val="single" w:color="000000" w:sz="8" w:space="0"/>
              <w:left w:val="single" w:color="auto" w:sz="4" w:space="0"/>
              <w:right w:val="single" w:color="000000" w:sz="8" w:space="0"/>
            </w:tcBorders>
            <w:vAlign w:val="center"/>
          </w:tcPr>
          <w:p w14:paraId="2DEEFA10">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供应商应当提供的资格、资信证明文件</w:t>
            </w:r>
          </w:p>
        </w:tc>
        <w:tc>
          <w:tcPr>
            <w:tcW w:w="6682" w:type="dxa"/>
            <w:tcBorders>
              <w:top w:val="single" w:color="000000" w:sz="8" w:space="0"/>
              <w:left w:val="single" w:color="000000" w:sz="2" w:space="0"/>
              <w:bottom w:val="single" w:color="auto" w:sz="4" w:space="0"/>
              <w:right w:val="single" w:color="000000" w:sz="8" w:space="0"/>
            </w:tcBorders>
            <w:vAlign w:val="center"/>
          </w:tcPr>
          <w:p w14:paraId="15C39983">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（1）资格证明文件</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rPr>
              <w:t>见磋商文件</w:t>
            </w:r>
            <w:r>
              <w:rPr>
                <w:rFonts w:hint="eastAsia" w:cs="宋体" w:asciiTheme="minorEastAsia" w:hAnsiTheme="minorEastAsia" w:eastAsiaTheme="minorEastAsia"/>
                <w:color w:val="auto"/>
                <w:sz w:val="24"/>
                <w:highlight w:val="none"/>
                <w:lang w:val="en-US" w:eastAsia="zh-CN"/>
              </w:rPr>
              <w:t xml:space="preserve"> </w:t>
            </w:r>
            <w:r>
              <w:rPr>
                <w:rFonts w:hint="eastAsia" w:cs="宋体" w:asciiTheme="minorEastAsia" w:hAnsiTheme="minorEastAsia" w:eastAsiaTheme="minorEastAsia"/>
                <w:color w:val="auto"/>
                <w:sz w:val="24"/>
                <w:highlight w:val="none"/>
              </w:rPr>
              <w:t>第</w:t>
            </w:r>
            <w:r>
              <w:rPr>
                <w:rFonts w:hint="eastAsia" w:cs="宋体" w:asciiTheme="minorEastAsia" w:hAnsiTheme="minorEastAsia" w:eastAsiaTheme="minorEastAsia"/>
                <w:color w:val="auto"/>
                <w:sz w:val="24"/>
                <w:highlight w:val="none"/>
                <w:lang w:val="en-US" w:eastAsia="zh-CN"/>
              </w:rPr>
              <w:t>三</w:t>
            </w:r>
            <w:r>
              <w:rPr>
                <w:rFonts w:hint="eastAsia" w:cs="宋体" w:asciiTheme="minorEastAsia" w:hAnsiTheme="minorEastAsia" w:eastAsiaTheme="minorEastAsia"/>
                <w:color w:val="auto"/>
                <w:sz w:val="24"/>
                <w:highlight w:val="none"/>
              </w:rPr>
              <w:t xml:space="preserve">部分 </w:t>
            </w:r>
            <w:r>
              <w:rPr>
                <w:rFonts w:hint="eastAsia" w:cs="宋体" w:asciiTheme="minorEastAsia" w:hAnsiTheme="minorEastAsia" w:eastAsiaTheme="minorEastAsia"/>
                <w:color w:val="auto"/>
                <w:sz w:val="24"/>
                <w:highlight w:val="none"/>
                <w:lang w:val="en-US" w:eastAsia="zh-CN"/>
              </w:rPr>
              <w:t>六</w:t>
            </w:r>
            <w:r>
              <w:rPr>
                <w:rFonts w:hint="eastAsia" w:cs="宋体" w:asciiTheme="minorEastAsia" w:hAnsiTheme="minorEastAsia" w:eastAsiaTheme="minorEastAsia"/>
                <w:color w:val="auto"/>
                <w:sz w:val="24"/>
                <w:highlight w:val="none"/>
              </w:rPr>
              <w:t>。</w:t>
            </w:r>
          </w:p>
          <w:p w14:paraId="3FC8F3BE">
            <w:pPr>
              <w:spacing w:line="360" w:lineRule="auto"/>
              <w:rPr>
                <w:rFonts w:cs="宋体" w:asciiTheme="minorEastAsia" w:hAnsiTheme="minorEastAsia" w:eastAsiaTheme="minorEastAsia"/>
                <w:snapToGrid w:val="0"/>
                <w:color w:val="auto"/>
                <w:kern w:val="0"/>
                <w:szCs w:val="21"/>
                <w:highlight w:val="none"/>
              </w:rPr>
            </w:pPr>
            <w:r>
              <w:rPr>
                <w:rFonts w:hint="eastAsia" w:cs="宋体" w:asciiTheme="minorEastAsia" w:hAnsiTheme="minorEastAsia" w:eastAsiaTheme="minorEastAsia"/>
                <w:color w:val="auto"/>
                <w:kern w:val="0"/>
                <w:sz w:val="24"/>
                <w:highlight w:val="none"/>
                <w:lang w:val="zh-CN"/>
              </w:rPr>
              <w:t>供应商未提供有效的资格证明文件的，视为供应商不具备磋商文件中规定的资格要求，响应无效。</w:t>
            </w:r>
          </w:p>
        </w:tc>
      </w:tr>
      <w:tr w14:paraId="299966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jc w:val="center"/>
        </w:trPr>
        <w:tc>
          <w:tcPr>
            <w:tcW w:w="629" w:type="dxa"/>
            <w:vMerge w:val="continue"/>
            <w:tcBorders>
              <w:left w:val="single" w:color="auto" w:sz="4" w:space="0"/>
              <w:bottom w:val="single" w:color="auto" w:sz="4" w:space="0"/>
              <w:right w:val="single" w:color="auto" w:sz="4" w:space="0"/>
            </w:tcBorders>
            <w:vAlign w:val="center"/>
          </w:tcPr>
          <w:p w14:paraId="2D47EC68">
            <w:pPr>
              <w:snapToGrid w:val="0"/>
              <w:spacing w:line="360" w:lineRule="auto"/>
              <w:jc w:val="center"/>
              <w:rPr>
                <w:rFonts w:cs="宋体" w:asciiTheme="minorEastAsia" w:hAnsiTheme="minorEastAsia" w:eastAsiaTheme="minorEastAsia"/>
                <w:color w:val="auto"/>
                <w:sz w:val="24"/>
                <w:highlight w:val="none"/>
              </w:rPr>
            </w:pPr>
          </w:p>
        </w:tc>
        <w:tc>
          <w:tcPr>
            <w:tcW w:w="1843" w:type="dxa"/>
            <w:vMerge w:val="continue"/>
            <w:tcBorders>
              <w:left w:val="single" w:color="auto" w:sz="4" w:space="0"/>
              <w:bottom w:val="single" w:color="000000" w:sz="8" w:space="0"/>
              <w:right w:val="single" w:color="000000" w:sz="8" w:space="0"/>
            </w:tcBorders>
            <w:vAlign w:val="center"/>
          </w:tcPr>
          <w:p w14:paraId="2B36D7A0">
            <w:pPr>
              <w:snapToGrid w:val="0"/>
              <w:spacing w:line="360" w:lineRule="auto"/>
              <w:jc w:val="center"/>
              <w:rPr>
                <w:rFonts w:cs="宋体" w:asciiTheme="minorEastAsia" w:hAnsiTheme="minorEastAsia" w:eastAsiaTheme="minorEastAsia"/>
                <w:b/>
                <w:color w:val="auto"/>
                <w:sz w:val="24"/>
                <w:highlight w:val="none"/>
              </w:rPr>
            </w:pPr>
          </w:p>
        </w:tc>
        <w:tc>
          <w:tcPr>
            <w:tcW w:w="6682" w:type="dxa"/>
            <w:tcBorders>
              <w:top w:val="single" w:color="auto" w:sz="4" w:space="0"/>
              <w:left w:val="single" w:color="000000" w:sz="2" w:space="0"/>
              <w:bottom w:val="single" w:color="000000" w:sz="8" w:space="0"/>
              <w:right w:val="single" w:color="000000" w:sz="8" w:space="0"/>
            </w:tcBorders>
            <w:vAlign w:val="center"/>
          </w:tcPr>
          <w:p w14:paraId="1B4BBC2C">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（2）资信证明文件</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rPr>
              <w:t>根据磋商文件第五部分评审标准提供。</w:t>
            </w:r>
          </w:p>
        </w:tc>
      </w:tr>
      <w:tr w14:paraId="12D5DA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jc w:val="center"/>
        </w:trPr>
        <w:tc>
          <w:tcPr>
            <w:tcW w:w="629" w:type="dxa"/>
            <w:tcBorders>
              <w:top w:val="single" w:color="auto" w:sz="4" w:space="0"/>
              <w:left w:val="single" w:color="000000" w:sz="8" w:space="0"/>
              <w:bottom w:val="single" w:color="auto" w:sz="4" w:space="0"/>
              <w:right w:val="single" w:color="000000" w:sz="2" w:space="0"/>
            </w:tcBorders>
            <w:shd w:val="clear" w:color="auto" w:fill="auto"/>
            <w:vAlign w:val="center"/>
          </w:tcPr>
          <w:p w14:paraId="3FA1FAB8">
            <w:pPr>
              <w:snapToGrid w:val="0"/>
              <w:spacing w:line="360" w:lineRule="auto"/>
              <w:jc w:val="center"/>
              <w:rPr>
                <w:rFonts w:hint="eastAsia" w:cs="宋体" w:asciiTheme="minorEastAsia" w:hAnsiTheme="minorEastAsia" w:eastAsiaTheme="minorEastAsia"/>
                <w:color w:val="auto"/>
                <w:kern w:val="2"/>
                <w:sz w:val="24"/>
                <w:szCs w:val="24"/>
                <w:highlight w:val="none"/>
                <w:lang w:val="en-US" w:eastAsia="zh-CN" w:bidi="ar-SA"/>
              </w:rPr>
            </w:pPr>
            <w:r>
              <w:rPr>
                <w:rFonts w:hint="eastAsia" w:cs="宋体" w:asciiTheme="minorEastAsia" w:hAnsiTheme="minorEastAsia" w:eastAsiaTheme="minorEastAsia"/>
                <w:color w:val="auto"/>
                <w:sz w:val="24"/>
                <w:highlight w:val="none"/>
              </w:rPr>
              <w:t>9</w:t>
            </w:r>
          </w:p>
        </w:tc>
        <w:tc>
          <w:tcPr>
            <w:tcW w:w="1843" w:type="dxa"/>
            <w:tcBorders>
              <w:top w:val="single" w:color="000000" w:sz="8" w:space="0"/>
              <w:left w:val="single" w:color="000000" w:sz="2" w:space="0"/>
              <w:bottom w:val="single" w:color="000000" w:sz="8" w:space="0"/>
              <w:right w:val="single" w:color="000000" w:sz="8" w:space="0"/>
            </w:tcBorders>
            <w:shd w:val="clear" w:color="auto" w:fill="auto"/>
            <w:vAlign w:val="center"/>
          </w:tcPr>
          <w:p w14:paraId="0AE8365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sz w:val="24"/>
                <w:szCs w:val="24"/>
                <w:highlight w:val="none"/>
                <w:lang w:val="en-US" w:eastAsia="zh-CN"/>
              </w:rPr>
              <w:t>允许偏离的条款数量</w:t>
            </w:r>
          </w:p>
        </w:tc>
        <w:tc>
          <w:tcPr>
            <w:tcW w:w="6682" w:type="dxa"/>
            <w:tcBorders>
              <w:top w:val="single" w:color="000000" w:sz="8" w:space="0"/>
              <w:left w:val="single" w:color="000000" w:sz="2" w:space="0"/>
              <w:bottom w:val="single" w:color="000000" w:sz="8" w:space="0"/>
              <w:right w:val="single" w:color="000000" w:sz="8" w:space="0"/>
            </w:tcBorders>
            <w:shd w:val="clear" w:color="auto" w:fill="auto"/>
            <w:vAlign w:val="center"/>
          </w:tcPr>
          <w:p w14:paraId="4C88599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商务条款评审中允许负偏离的条款数为</w:t>
            </w:r>
            <w:r>
              <w:rPr>
                <w:rFonts w:hint="eastAsia" w:ascii="宋体" w:hAnsi="宋体" w:eastAsia="宋体" w:cs="宋体"/>
                <w:color w:val="auto"/>
                <w:sz w:val="24"/>
                <w:szCs w:val="24"/>
                <w:highlight w:val="none"/>
                <w:u w:val="single"/>
              </w:rPr>
              <w:t xml:space="preserve"> 0</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w:t>
            </w:r>
          </w:p>
          <w:p w14:paraId="534BEB60">
            <w:pPr>
              <w:keepNext w:val="0"/>
              <w:keepLines w:val="0"/>
              <w:pageBreakBefore w:val="0"/>
              <w:widowControl w:val="0"/>
              <w:kinsoku/>
              <w:wordWrap/>
              <w:overflowPunct/>
              <w:topLinePunct w:val="0"/>
              <w:autoSpaceDE/>
              <w:autoSpaceDN/>
              <w:bidi w:val="0"/>
              <w:adjustRightInd w:val="0"/>
              <w:spacing w:line="360" w:lineRule="auto"/>
              <w:textAlignment w:val="auto"/>
              <w:outlineLvl w:val="9"/>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技术条款评审中允许负偏离的条款数为</w:t>
            </w:r>
            <w:r>
              <w:rPr>
                <w:rFonts w:hint="eastAsia" w:ascii="宋体" w:hAnsi="宋体" w:eastAsia="宋体" w:cs="宋体"/>
                <w:color w:val="auto"/>
                <w:sz w:val="24"/>
                <w:szCs w:val="24"/>
                <w:highlight w:val="none"/>
                <w:u w:val="single"/>
                <w:lang w:val="en-US" w:eastAsia="zh-CN"/>
              </w:rPr>
              <w:t xml:space="preserve"> 0 </w:t>
            </w:r>
            <w:r>
              <w:rPr>
                <w:rFonts w:hint="eastAsia" w:ascii="宋体" w:hAnsi="宋体" w:eastAsia="宋体" w:cs="宋体"/>
                <w:color w:val="auto"/>
                <w:sz w:val="24"/>
                <w:szCs w:val="24"/>
                <w:highlight w:val="none"/>
              </w:rPr>
              <w:t>项。</w:t>
            </w:r>
          </w:p>
        </w:tc>
      </w:tr>
      <w:tr w14:paraId="643B89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jc w:val="center"/>
        </w:trPr>
        <w:tc>
          <w:tcPr>
            <w:tcW w:w="629" w:type="dxa"/>
            <w:tcBorders>
              <w:top w:val="single" w:color="auto" w:sz="4" w:space="0"/>
              <w:left w:val="single" w:color="000000" w:sz="8" w:space="0"/>
              <w:bottom w:val="single" w:color="auto" w:sz="4" w:space="0"/>
              <w:right w:val="single" w:color="000000" w:sz="2" w:space="0"/>
            </w:tcBorders>
            <w:shd w:val="clear" w:color="auto" w:fill="auto"/>
            <w:vAlign w:val="center"/>
          </w:tcPr>
          <w:p w14:paraId="371B9B26">
            <w:pPr>
              <w:snapToGrid w:val="0"/>
              <w:spacing w:line="360" w:lineRule="auto"/>
              <w:jc w:val="center"/>
              <w:rPr>
                <w:rFonts w:cs="宋体" w:asciiTheme="minorEastAsia" w:hAnsiTheme="minorEastAsia" w:eastAsiaTheme="minorEastAsia"/>
                <w:color w:val="auto"/>
                <w:kern w:val="2"/>
                <w:sz w:val="24"/>
                <w:szCs w:val="24"/>
                <w:highlight w:val="none"/>
                <w:lang w:val="en-US" w:eastAsia="zh-CN" w:bidi="ar-SA"/>
              </w:rPr>
            </w:pPr>
            <w:r>
              <w:rPr>
                <w:rFonts w:hint="eastAsia" w:cs="宋体" w:asciiTheme="minorEastAsia" w:hAnsiTheme="minorEastAsia" w:eastAsiaTheme="minorEastAsia"/>
                <w:color w:val="auto"/>
                <w:sz w:val="24"/>
                <w:highlight w:val="none"/>
              </w:rPr>
              <w:t>10</w:t>
            </w:r>
          </w:p>
        </w:tc>
        <w:tc>
          <w:tcPr>
            <w:tcW w:w="1843" w:type="dxa"/>
            <w:tcBorders>
              <w:top w:val="single" w:color="000000" w:sz="8" w:space="0"/>
              <w:left w:val="single" w:color="000000" w:sz="2" w:space="0"/>
              <w:bottom w:val="single" w:color="000000" w:sz="8" w:space="0"/>
              <w:right w:val="single" w:color="000000" w:sz="8" w:space="0"/>
            </w:tcBorders>
            <w:vAlign w:val="center"/>
          </w:tcPr>
          <w:p w14:paraId="267447B8">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节能产品、环境标志产品</w:t>
            </w:r>
          </w:p>
        </w:tc>
        <w:tc>
          <w:tcPr>
            <w:tcW w:w="6682" w:type="dxa"/>
            <w:tcBorders>
              <w:top w:val="single" w:color="000000" w:sz="8" w:space="0"/>
              <w:left w:val="single" w:color="000000" w:sz="2" w:space="0"/>
              <w:bottom w:val="single" w:color="000000" w:sz="8" w:space="0"/>
              <w:right w:val="single" w:color="000000" w:sz="8" w:space="0"/>
            </w:tcBorders>
            <w:vAlign w:val="center"/>
          </w:tcPr>
          <w:p w14:paraId="174AE220">
            <w:pPr>
              <w:snapToGrid w:val="0"/>
              <w:spacing w:line="360" w:lineRule="auto"/>
              <w:rPr>
                <w:rFonts w:cs="宋体" w:asciiTheme="minorEastAsia" w:hAnsiTheme="minorEastAsia" w:eastAsiaTheme="minorEastAsia"/>
                <w:color w:val="auto"/>
                <w:highlight w:val="none"/>
              </w:rPr>
            </w:pPr>
            <w:r>
              <w:rPr>
                <w:rFonts w:hint="eastAsia" w:cs="宋体" w:asciiTheme="minorEastAsia" w:hAnsiTheme="minorEastAsia" w:eastAsiaTheme="minorEastAsia"/>
                <w:color w:val="auto"/>
                <w:kern w:val="0"/>
                <w:sz w:val="24"/>
                <w:highlight w:val="none"/>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14:paraId="7E7F13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jc w:val="center"/>
        </w:trPr>
        <w:tc>
          <w:tcPr>
            <w:tcW w:w="629" w:type="dxa"/>
            <w:tcBorders>
              <w:top w:val="single" w:color="auto" w:sz="4" w:space="0"/>
              <w:left w:val="single" w:color="000000" w:sz="8" w:space="0"/>
              <w:bottom w:val="single" w:color="auto" w:sz="4" w:space="0"/>
              <w:right w:val="single" w:color="000000" w:sz="2" w:space="0"/>
            </w:tcBorders>
            <w:shd w:val="clear" w:color="auto" w:fill="auto"/>
            <w:vAlign w:val="center"/>
          </w:tcPr>
          <w:p w14:paraId="4D2F3AA2">
            <w:pPr>
              <w:snapToGrid w:val="0"/>
              <w:spacing w:line="360" w:lineRule="auto"/>
              <w:jc w:val="center"/>
              <w:rPr>
                <w:rFonts w:cs="宋体" w:asciiTheme="minorEastAsia" w:hAnsiTheme="minorEastAsia" w:eastAsiaTheme="minorEastAsia"/>
                <w:color w:val="auto"/>
                <w:kern w:val="2"/>
                <w:sz w:val="24"/>
                <w:szCs w:val="24"/>
                <w:highlight w:val="none"/>
                <w:lang w:val="en-US" w:eastAsia="zh-CN" w:bidi="ar-SA"/>
              </w:rPr>
            </w:pPr>
            <w:r>
              <w:rPr>
                <w:rFonts w:hint="eastAsia" w:cs="宋体" w:asciiTheme="minorEastAsia" w:hAnsiTheme="minorEastAsia" w:eastAsiaTheme="minorEastAsia"/>
                <w:color w:val="auto"/>
                <w:sz w:val="24"/>
                <w:highlight w:val="none"/>
              </w:rPr>
              <w:t>11</w:t>
            </w:r>
          </w:p>
        </w:tc>
        <w:tc>
          <w:tcPr>
            <w:tcW w:w="1843" w:type="dxa"/>
            <w:tcBorders>
              <w:top w:val="single" w:color="000000" w:sz="8" w:space="0"/>
              <w:left w:val="single" w:color="000000" w:sz="2" w:space="0"/>
              <w:bottom w:val="single" w:color="000000" w:sz="8" w:space="0"/>
              <w:right w:val="single" w:color="000000" w:sz="8" w:space="0"/>
            </w:tcBorders>
            <w:vAlign w:val="center"/>
          </w:tcPr>
          <w:p w14:paraId="19B8B0B9">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最后报价要求</w:t>
            </w:r>
          </w:p>
        </w:tc>
        <w:tc>
          <w:tcPr>
            <w:tcW w:w="6682" w:type="dxa"/>
            <w:tcBorders>
              <w:top w:val="single" w:color="000000" w:sz="8" w:space="0"/>
              <w:left w:val="single" w:color="000000" w:sz="2" w:space="0"/>
              <w:bottom w:val="single" w:color="000000" w:sz="8" w:space="0"/>
              <w:right w:val="single" w:color="000000" w:sz="8" w:space="0"/>
            </w:tcBorders>
            <w:vAlign w:val="center"/>
          </w:tcPr>
          <w:p w14:paraId="0963ED8D">
            <w:pPr>
              <w:snapToGrid w:val="0"/>
              <w:spacing w:line="360" w:lineRule="auto"/>
              <w:ind w:firstLine="480" w:firstLineChars="200"/>
              <w:jc w:val="left"/>
              <w:rPr>
                <w:rFonts w:cs="宋体" w:asciiTheme="minorEastAsia" w:hAnsiTheme="minorEastAsia" w:eastAsiaTheme="minorEastAsia"/>
                <w:b/>
                <w:color w:val="auto"/>
                <w:kern w:val="0"/>
                <w:sz w:val="24"/>
                <w:highlight w:val="none"/>
                <w:lang w:val="zh-CN"/>
              </w:rPr>
            </w:pPr>
            <w:r>
              <w:rPr>
                <w:rFonts w:hint="eastAsia" w:cs="宋体" w:asciiTheme="minorEastAsia" w:hAnsiTheme="minorEastAsia" w:eastAsiaTheme="minorEastAsia"/>
                <w:color w:val="auto"/>
                <w:kern w:val="0"/>
                <w:sz w:val="24"/>
                <w:highlight w:val="none"/>
                <w:lang w:val="zh-CN"/>
              </w:rPr>
              <w:t>有关本项目实施所需的所有费用（含税费）均计入最后报价。《最后报价</w:t>
            </w:r>
            <w:r>
              <w:rPr>
                <w:rFonts w:hint="eastAsia" w:cs="宋体" w:asciiTheme="minorEastAsia" w:hAnsiTheme="minorEastAsia" w:eastAsiaTheme="minorEastAsia"/>
                <w:color w:val="auto"/>
                <w:sz w:val="24"/>
                <w:highlight w:val="none"/>
              </w:rPr>
              <w:t>一览表（报价表）</w:t>
            </w:r>
            <w:r>
              <w:rPr>
                <w:rFonts w:hint="eastAsia" w:cs="宋体" w:asciiTheme="minorEastAsia" w:hAnsiTheme="minorEastAsia" w:eastAsiaTheme="minorEastAsia"/>
                <w:color w:val="auto"/>
                <w:kern w:val="0"/>
                <w:sz w:val="24"/>
                <w:highlight w:val="none"/>
                <w:lang w:val="zh-CN"/>
              </w:rPr>
              <w:t>》</w:t>
            </w:r>
            <w:r>
              <w:rPr>
                <w:rFonts w:hint="eastAsia" w:cs="宋体" w:asciiTheme="minorEastAsia" w:hAnsiTheme="minorEastAsia" w:eastAsiaTheme="minorEastAsia"/>
                <w:color w:val="auto"/>
                <w:sz w:val="24"/>
                <w:highlight w:val="none"/>
              </w:rPr>
              <w:t>是最后报价的唯一载体</w:t>
            </w:r>
            <w:r>
              <w:rPr>
                <w:rFonts w:hint="eastAsia" w:cs="宋体" w:asciiTheme="minorEastAsia" w:hAnsiTheme="minorEastAsia" w:eastAsiaTheme="minorEastAsia"/>
                <w:color w:val="auto"/>
                <w:kern w:val="0"/>
                <w:sz w:val="24"/>
                <w:highlight w:val="none"/>
                <w:lang w:val="zh-CN"/>
              </w:rPr>
              <w:t>。磋商文件中价格全部采用人民币报价。磋商文件未列明，而供应商认为必需的费用也需列入报价。</w:t>
            </w:r>
            <w:r>
              <w:rPr>
                <w:rFonts w:hint="eastAsia" w:cs="宋体" w:asciiTheme="minorEastAsia" w:hAnsiTheme="minorEastAsia" w:eastAsiaTheme="minorEastAsia"/>
                <w:b/>
                <w:color w:val="auto"/>
                <w:kern w:val="0"/>
                <w:sz w:val="24"/>
                <w:highlight w:val="none"/>
                <w:lang w:val="zh-CN"/>
              </w:rPr>
              <w:t>提醒：验收时检测费用由</w:t>
            </w:r>
            <w:r>
              <w:rPr>
                <w:rFonts w:hint="eastAsia" w:cs="宋体" w:asciiTheme="minorEastAsia" w:hAnsiTheme="minorEastAsia" w:eastAsiaTheme="minorEastAsia"/>
                <w:b/>
                <w:color w:val="auto"/>
                <w:kern w:val="0"/>
                <w:sz w:val="24"/>
                <w:highlight w:val="none"/>
                <w:lang w:val="en-US" w:eastAsia="zh-CN"/>
              </w:rPr>
              <w:t>成交供应商</w:t>
            </w:r>
            <w:r>
              <w:rPr>
                <w:rFonts w:hint="eastAsia" w:cs="宋体" w:asciiTheme="minorEastAsia" w:hAnsiTheme="minorEastAsia" w:eastAsiaTheme="minorEastAsia"/>
                <w:b/>
                <w:color w:val="auto"/>
                <w:kern w:val="0"/>
                <w:sz w:val="24"/>
                <w:highlight w:val="none"/>
                <w:lang w:val="zh-CN"/>
              </w:rPr>
              <w:t>承担，包含在最后报价中。</w:t>
            </w:r>
          </w:p>
          <w:p w14:paraId="4C64A2EB">
            <w:pPr>
              <w:snapToGrid w:val="0"/>
              <w:spacing w:line="360" w:lineRule="auto"/>
              <w:jc w:val="left"/>
              <w:rPr>
                <w:rFonts w:cs="宋体" w:asciiTheme="minorEastAsia" w:hAnsiTheme="minorEastAsia" w:eastAsiaTheme="minorEastAsia"/>
                <w:b/>
                <w:color w:val="auto"/>
                <w:kern w:val="0"/>
                <w:sz w:val="24"/>
                <w:highlight w:val="none"/>
                <w:lang w:val="zh-CN"/>
              </w:rPr>
            </w:pPr>
            <w:r>
              <w:rPr>
                <w:rFonts w:hint="eastAsia" w:cs="宋体" w:asciiTheme="minorEastAsia" w:hAnsiTheme="minorEastAsia" w:eastAsiaTheme="minorEastAsia"/>
                <w:b/>
                <w:color w:val="auto"/>
                <w:kern w:val="0"/>
                <w:sz w:val="24"/>
                <w:highlight w:val="none"/>
                <w:lang w:val="zh-CN"/>
              </w:rPr>
              <w:t>最后报价出现下列情形的，响应无效：</w:t>
            </w:r>
          </w:p>
          <w:p w14:paraId="69310F5F">
            <w:pPr>
              <w:snapToGrid w:val="0"/>
              <w:spacing w:line="360" w:lineRule="auto"/>
              <w:jc w:val="left"/>
              <w:rPr>
                <w:rFonts w:cs="宋体" w:asciiTheme="minorEastAsia" w:hAnsiTheme="minorEastAsia" w:eastAsiaTheme="minorEastAsia"/>
                <w:b/>
                <w:color w:val="auto"/>
                <w:kern w:val="0"/>
                <w:sz w:val="24"/>
                <w:highlight w:val="none"/>
                <w:lang w:val="zh-CN"/>
              </w:rPr>
            </w:pPr>
            <w:r>
              <w:rPr>
                <w:rFonts w:hint="eastAsia" w:cs="宋体" w:asciiTheme="minorEastAsia" w:hAnsiTheme="minorEastAsia" w:eastAsiaTheme="minorEastAsia"/>
                <w:b/>
                <w:color w:val="auto"/>
                <w:kern w:val="0"/>
                <w:sz w:val="24"/>
                <w:highlight w:val="none"/>
                <w:lang w:val="zh-CN"/>
              </w:rPr>
              <w:t>响应文件出现不是唯一的、有选择性的最后报价的；</w:t>
            </w:r>
          </w:p>
          <w:p w14:paraId="3449584B">
            <w:pPr>
              <w:snapToGrid w:val="0"/>
              <w:spacing w:line="360" w:lineRule="auto"/>
              <w:jc w:val="left"/>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b/>
                <w:color w:val="auto"/>
                <w:kern w:val="0"/>
                <w:sz w:val="24"/>
                <w:highlight w:val="none"/>
                <w:lang w:val="zh-CN"/>
              </w:rPr>
              <w:t>最后报价超过磋商文件中规定的预算金额或者最高限价的；</w:t>
            </w:r>
          </w:p>
          <w:p w14:paraId="56BE8C7D">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b/>
                <w:color w:val="auto"/>
                <w:kern w:val="0"/>
                <w:sz w:val="24"/>
                <w:highlight w:val="none"/>
              </w:rPr>
              <w:t>供应商对根据修正原则修正后的报价不确认的</w:t>
            </w:r>
            <w:r>
              <w:rPr>
                <w:rFonts w:hint="eastAsia" w:cs="宋体" w:asciiTheme="minorEastAsia" w:hAnsiTheme="minorEastAsia" w:eastAsiaTheme="minorEastAsia"/>
                <w:b/>
                <w:color w:val="auto"/>
                <w:sz w:val="24"/>
                <w:highlight w:val="none"/>
              </w:rPr>
              <w:t>。</w:t>
            </w:r>
          </w:p>
        </w:tc>
      </w:tr>
      <w:tr w14:paraId="74CE68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jc w:val="center"/>
        </w:trPr>
        <w:tc>
          <w:tcPr>
            <w:tcW w:w="629" w:type="dxa"/>
            <w:tcBorders>
              <w:top w:val="single" w:color="auto" w:sz="4" w:space="0"/>
              <w:left w:val="single" w:color="000000" w:sz="8" w:space="0"/>
              <w:right w:val="single" w:color="000000" w:sz="2" w:space="0"/>
            </w:tcBorders>
            <w:shd w:val="clear" w:color="auto" w:fill="auto"/>
            <w:vAlign w:val="center"/>
          </w:tcPr>
          <w:p w14:paraId="7032670F">
            <w:pPr>
              <w:snapToGrid w:val="0"/>
              <w:spacing w:line="360" w:lineRule="auto"/>
              <w:jc w:val="center"/>
              <w:rPr>
                <w:rFonts w:cs="宋体" w:asciiTheme="minorEastAsia" w:hAnsiTheme="minorEastAsia" w:eastAsiaTheme="minorEastAsia"/>
                <w:color w:val="auto"/>
                <w:kern w:val="2"/>
                <w:sz w:val="24"/>
                <w:szCs w:val="24"/>
                <w:highlight w:val="none"/>
                <w:lang w:val="en-US" w:eastAsia="zh-CN" w:bidi="ar-SA"/>
              </w:rPr>
            </w:pPr>
            <w:r>
              <w:rPr>
                <w:rFonts w:hint="eastAsia" w:cs="宋体" w:asciiTheme="minorEastAsia" w:hAnsiTheme="minorEastAsia" w:eastAsiaTheme="minorEastAsia"/>
                <w:color w:val="auto"/>
                <w:sz w:val="24"/>
                <w:highlight w:val="none"/>
              </w:rPr>
              <w:t>12</w:t>
            </w:r>
          </w:p>
        </w:tc>
        <w:tc>
          <w:tcPr>
            <w:tcW w:w="1843" w:type="dxa"/>
            <w:tcBorders>
              <w:top w:val="single" w:color="000000" w:sz="8" w:space="0"/>
              <w:left w:val="single" w:color="000000" w:sz="2" w:space="0"/>
              <w:right w:val="single" w:color="000000" w:sz="8" w:space="0"/>
            </w:tcBorders>
            <w:vAlign w:val="center"/>
          </w:tcPr>
          <w:p w14:paraId="4871ADDF">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中小企业信用融资</w:t>
            </w:r>
          </w:p>
        </w:tc>
        <w:tc>
          <w:tcPr>
            <w:tcW w:w="6682" w:type="dxa"/>
            <w:tcBorders>
              <w:top w:val="single" w:color="000000" w:sz="8" w:space="0"/>
              <w:left w:val="single" w:color="000000" w:sz="2" w:space="0"/>
              <w:right w:val="single" w:color="000000" w:sz="8" w:space="0"/>
            </w:tcBorders>
            <w:vAlign w:val="center"/>
          </w:tcPr>
          <w:p w14:paraId="13626B52">
            <w:pPr>
              <w:spacing w:line="360" w:lineRule="auto"/>
              <w:ind w:firstLine="480" w:firstLineChars="200"/>
              <w:rPr>
                <w:rFonts w:cs="宋体" w:asciiTheme="minorEastAsia" w:hAnsiTheme="minorEastAsia" w:eastAsiaTheme="minorEastAsia"/>
                <w:snapToGrid w:val="0"/>
                <w:color w:val="auto"/>
                <w:kern w:val="28"/>
                <w:sz w:val="24"/>
                <w:highlight w:val="none"/>
              </w:rPr>
            </w:pPr>
            <w:r>
              <w:rPr>
                <w:rFonts w:hint="eastAsia" w:cs="宋体" w:asciiTheme="minorEastAsia" w:hAnsiTheme="minorEastAsia" w:eastAsiaTheme="minorEastAsia"/>
                <w:snapToGrid w:val="0"/>
                <w:color w:val="auto"/>
                <w:kern w:val="28"/>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14:paraId="14D5E629">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snapToGrid w:val="0"/>
                <w:color w:val="auto"/>
                <w:kern w:val="28"/>
                <w:sz w:val="24"/>
                <w:highlight w:val="none"/>
              </w:rPr>
              <w:t>供应商成交后也可在“广西政府采购云”平台申请政采贷</w:t>
            </w:r>
            <w:r>
              <w:rPr>
                <w:rFonts w:hint="eastAsia" w:cs="宋体" w:asciiTheme="minorEastAsia" w:hAnsiTheme="minorEastAsia" w:eastAsiaTheme="minorEastAsia"/>
                <w:snapToGrid w:val="0"/>
                <w:color w:val="auto"/>
                <w:kern w:val="28"/>
                <w:sz w:val="24"/>
                <w:highlight w:val="none"/>
                <w:lang w:eastAsia="zh-CN"/>
              </w:rPr>
              <w:t>：</w:t>
            </w:r>
            <w:r>
              <w:rPr>
                <w:rFonts w:hint="eastAsia" w:cs="宋体" w:asciiTheme="minorEastAsia" w:hAnsiTheme="minorEastAsia" w:eastAsiaTheme="minorEastAsia"/>
                <w:snapToGrid w:val="0"/>
                <w:color w:val="auto"/>
                <w:kern w:val="28"/>
                <w:sz w:val="24"/>
                <w:highlight w:val="none"/>
              </w:rPr>
              <w:t>操作路径</w:t>
            </w:r>
            <w:r>
              <w:rPr>
                <w:rFonts w:hint="eastAsia" w:cs="宋体" w:asciiTheme="minorEastAsia" w:hAnsiTheme="minorEastAsia" w:eastAsiaTheme="minorEastAsia"/>
                <w:snapToGrid w:val="0"/>
                <w:color w:val="auto"/>
                <w:kern w:val="28"/>
                <w:sz w:val="24"/>
                <w:highlight w:val="none"/>
                <w:lang w:eastAsia="zh-CN"/>
              </w:rPr>
              <w:t>：</w:t>
            </w:r>
            <w:r>
              <w:rPr>
                <w:rFonts w:hint="eastAsia" w:cs="宋体" w:asciiTheme="minorEastAsia" w:hAnsiTheme="minorEastAsia" w:eastAsiaTheme="minorEastAsia"/>
                <w:snapToGrid w:val="0"/>
                <w:color w:val="auto"/>
                <w:kern w:val="28"/>
                <w:sz w:val="24"/>
                <w:highlight w:val="none"/>
              </w:rPr>
              <w:t>登录广西政府采购云平台-金融服务中心-【融资服务】，可在热门申请中选择产品直接申请。</w:t>
            </w:r>
          </w:p>
        </w:tc>
      </w:tr>
      <w:tr w14:paraId="310260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jc w:val="center"/>
        </w:trPr>
        <w:tc>
          <w:tcPr>
            <w:tcW w:w="629" w:type="dxa"/>
            <w:tcBorders>
              <w:top w:val="single" w:color="auto" w:sz="4" w:space="0"/>
              <w:left w:val="single" w:color="000000" w:sz="8" w:space="0"/>
              <w:bottom w:val="single" w:color="auto" w:sz="4" w:space="0"/>
              <w:right w:val="single" w:color="000000" w:sz="2" w:space="0"/>
            </w:tcBorders>
            <w:shd w:val="clear" w:color="auto" w:fill="auto"/>
            <w:vAlign w:val="center"/>
          </w:tcPr>
          <w:p w14:paraId="526AFEC9">
            <w:pPr>
              <w:snapToGrid w:val="0"/>
              <w:spacing w:line="360" w:lineRule="auto"/>
              <w:jc w:val="center"/>
              <w:rPr>
                <w:rFonts w:cs="宋体" w:asciiTheme="minorEastAsia" w:hAnsiTheme="minorEastAsia" w:eastAsiaTheme="minorEastAsia"/>
                <w:color w:val="auto"/>
                <w:kern w:val="2"/>
                <w:sz w:val="24"/>
                <w:szCs w:val="24"/>
                <w:highlight w:val="none"/>
                <w:lang w:val="en-US" w:eastAsia="zh-CN" w:bidi="ar-SA"/>
              </w:rPr>
            </w:pPr>
            <w:r>
              <w:rPr>
                <w:rFonts w:hint="eastAsia" w:cs="宋体" w:asciiTheme="minorEastAsia" w:hAnsiTheme="minorEastAsia" w:eastAsiaTheme="minorEastAsia"/>
                <w:color w:val="auto"/>
                <w:sz w:val="24"/>
                <w:highlight w:val="none"/>
              </w:rPr>
              <w:t>13</w:t>
            </w:r>
          </w:p>
        </w:tc>
        <w:tc>
          <w:tcPr>
            <w:tcW w:w="1843" w:type="dxa"/>
            <w:tcBorders>
              <w:top w:val="single" w:color="000000" w:sz="8" w:space="0"/>
              <w:left w:val="single" w:color="000000" w:sz="2" w:space="0"/>
              <w:bottom w:val="single" w:color="000000" w:sz="8" w:space="0"/>
              <w:right w:val="single" w:color="000000" w:sz="8" w:space="0"/>
            </w:tcBorders>
            <w:vAlign w:val="center"/>
          </w:tcPr>
          <w:p w14:paraId="27AAAF17">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备份响应文件送达地点和签收人员</w:t>
            </w:r>
          </w:p>
        </w:tc>
        <w:tc>
          <w:tcPr>
            <w:tcW w:w="6682" w:type="dxa"/>
            <w:tcBorders>
              <w:top w:val="single" w:color="000000" w:sz="8" w:space="0"/>
              <w:left w:val="single" w:color="000000" w:sz="2" w:space="0"/>
              <w:bottom w:val="single" w:color="000000" w:sz="8" w:space="0"/>
              <w:right w:val="single" w:color="000000" w:sz="8" w:space="0"/>
            </w:tcBorders>
            <w:vAlign w:val="center"/>
          </w:tcPr>
          <w:p w14:paraId="23FBCD18">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1297724926"/>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Wingdings" w:hAnsi="Wingdings" w:eastAsia="宋体" w:cs="宋体"/>
                    <w:color w:val="auto"/>
                    <w:kern w:val="0"/>
                    <w:sz w:val="24"/>
                    <w:szCs w:val="24"/>
                    <w:highlight w:val="none"/>
                    <w:lang w:val="en-US" w:eastAsia="zh-CN" w:bidi="ar-SA"/>
                  </w:rPr>
                  <w:t>þ</w:t>
                </w:r>
              </w:sdtContent>
            </w:sdt>
            <w:r>
              <w:rPr>
                <w:rFonts w:hint="eastAsia" w:ascii="宋体" w:hAnsi="宋体" w:cs="宋体"/>
                <w:color w:val="auto"/>
                <w:kern w:val="0"/>
                <w:sz w:val="24"/>
                <w:highlight w:val="none"/>
              </w:rPr>
              <w:t>A</w:t>
            </w:r>
            <w:r>
              <w:rPr>
                <w:rFonts w:hint="eastAsia" w:ascii="宋体" w:hAnsi="宋体" w:cs="宋体"/>
                <w:color w:val="auto"/>
                <w:sz w:val="24"/>
                <w:highlight w:val="none"/>
              </w:rPr>
              <w:t>不接受。</w:t>
            </w:r>
          </w:p>
          <w:p w14:paraId="39B0D025">
            <w:pPr>
              <w:pStyle w:val="32"/>
              <w:spacing w:line="360" w:lineRule="auto"/>
              <w:rPr>
                <w:rFonts w:hAnsi="宋体" w:cs="宋体"/>
                <w:color w:val="auto"/>
                <w:kern w:val="28"/>
                <w:sz w:val="24"/>
                <w:highlight w:val="none"/>
              </w:rPr>
            </w:pPr>
            <w:sdt>
              <w:sdtPr>
                <w:rPr>
                  <w:rFonts w:hint="eastAsia" w:hAnsi="宋体" w:cs="宋体"/>
                  <w:color w:val="auto"/>
                  <w:kern w:val="0"/>
                  <w:sz w:val="24"/>
                  <w:highlight w:val="none"/>
                </w:rPr>
                <w:id w:val="1206604863"/>
                <w14:checkbox>
                  <w14:checked w14:val="0"/>
                  <w14:checkedState w14:val="00FE" w14:font="Wingdings"/>
                  <w14:uncheckedState w14:val="2610" w14:font="MS Gothic"/>
                </w14:checkbox>
              </w:sdtPr>
              <w:sdtEndPr>
                <w:rPr>
                  <w:rFonts w:hint="eastAsia" w:hAnsi="宋体" w:cs="宋体"/>
                  <w:color w:val="auto"/>
                  <w:kern w:val="0"/>
                  <w:sz w:val="24"/>
                  <w:highlight w:val="none"/>
                </w:rPr>
              </w:sdtEndPr>
              <w:sdtContent>
                <w:r>
                  <w:rPr>
                    <w:rFonts w:hint="eastAsia" w:ascii="MS Gothic" w:hAnsi="MS Gothic" w:eastAsia="MS Mincho" w:cs="MS Mincho"/>
                    <w:color w:val="auto"/>
                    <w:kern w:val="0"/>
                    <w:sz w:val="24"/>
                    <w:szCs w:val="20"/>
                    <w:highlight w:val="none"/>
                    <w:lang w:val="en-US" w:eastAsia="zh-CN" w:bidi="ar-SA"/>
                  </w:rPr>
                  <w:t>☐</w:t>
                </w:r>
              </w:sdtContent>
            </w:sdt>
            <w:r>
              <w:rPr>
                <w:rFonts w:hint="eastAsia" w:hAnsi="宋体" w:cs="宋体"/>
                <w:color w:val="auto"/>
                <w:kern w:val="0"/>
                <w:sz w:val="24"/>
                <w:highlight w:val="none"/>
              </w:rPr>
              <w:t>B</w:t>
            </w:r>
            <w:r>
              <w:rPr>
                <w:rFonts w:hint="eastAsia" w:hAnsi="宋体" w:cs="宋体"/>
                <w:color w:val="auto"/>
                <w:sz w:val="24"/>
                <w:highlight w:val="none"/>
              </w:rPr>
              <w:t>接受</w:t>
            </w:r>
            <w:r>
              <w:rPr>
                <w:rFonts w:hint="eastAsia" w:hAnsi="宋体" w:cs="宋体"/>
                <w:color w:val="auto"/>
                <w:kern w:val="0"/>
                <w:sz w:val="24"/>
                <w:highlight w:val="none"/>
                <w:lang w:eastAsia="zh-CN"/>
              </w:rPr>
              <w:t>：</w:t>
            </w:r>
            <w:r>
              <w:rPr>
                <w:rFonts w:hint="eastAsia" w:hAnsi="宋体" w:cs="宋体"/>
                <w:color w:val="auto"/>
                <w:kern w:val="28"/>
                <w:sz w:val="24"/>
                <w:highlight w:val="none"/>
              </w:rPr>
              <w:t>备份响应文件送达地点</w:t>
            </w:r>
            <w:r>
              <w:rPr>
                <w:rFonts w:hint="eastAsia" w:hAnsi="宋体" w:cs="宋体"/>
                <w:color w:val="auto"/>
                <w:kern w:val="28"/>
                <w:sz w:val="24"/>
                <w:highlight w:val="none"/>
                <w:lang w:eastAsia="zh-CN"/>
              </w:rPr>
              <w:t>：</w:t>
            </w:r>
            <w:r>
              <w:rPr>
                <w:rFonts w:hint="eastAsia" w:hAnsi="宋体" w:cs="宋体"/>
                <w:color w:val="auto"/>
                <w:kern w:val="28"/>
                <w:sz w:val="24"/>
                <w:highlight w:val="none"/>
                <w:u w:val="single"/>
                <w:lang w:val="en-US" w:eastAsia="zh-CN"/>
              </w:rPr>
              <w:t xml:space="preserve">     </w:t>
            </w:r>
            <w:r>
              <w:rPr>
                <w:rFonts w:hint="eastAsia" w:hAnsi="宋体" w:cs="宋体"/>
                <w:color w:val="auto"/>
                <w:kern w:val="28"/>
                <w:sz w:val="24"/>
                <w:highlight w:val="none"/>
              </w:rPr>
              <w:t>；备份响应文件签收人员联系电话</w:t>
            </w:r>
            <w:r>
              <w:rPr>
                <w:rFonts w:hint="eastAsia" w:hAnsi="宋体" w:cs="宋体"/>
                <w:color w:val="auto"/>
                <w:kern w:val="28"/>
                <w:sz w:val="24"/>
                <w:highlight w:val="none"/>
                <w:lang w:eastAsia="zh-CN"/>
              </w:rPr>
              <w:t>：</w:t>
            </w:r>
            <w:r>
              <w:rPr>
                <w:rFonts w:hint="eastAsia" w:hAnsi="宋体" w:cs="宋体"/>
                <w:color w:val="auto"/>
                <w:kern w:val="28"/>
                <w:sz w:val="24"/>
                <w:highlight w:val="none"/>
                <w:u w:val="single"/>
                <w:lang w:val="en-US" w:eastAsia="zh-CN"/>
              </w:rPr>
              <w:t xml:space="preserve">      </w:t>
            </w:r>
            <w:r>
              <w:rPr>
                <w:rFonts w:hint="eastAsia" w:hAnsi="宋体" w:cs="宋体"/>
                <w:color w:val="auto"/>
                <w:sz w:val="24"/>
                <w:highlight w:val="none"/>
              </w:rPr>
              <w:t>。</w:t>
            </w:r>
          </w:p>
        </w:tc>
      </w:tr>
      <w:tr w14:paraId="483B65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jc w:val="center"/>
        </w:trPr>
        <w:tc>
          <w:tcPr>
            <w:tcW w:w="629" w:type="dxa"/>
            <w:vMerge w:val="restart"/>
            <w:tcBorders>
              <w:top w:val="single" w:color="auto" w:sz="4" w:space="0"/>
              <w:left w:val="single" w:color="000000" w:sz="8" w:space="0"/>
              <w:right w:val="single" w:color="000000" w:sz="2" w:space="0"/>
            </w:tcBorders>
            <w:vAlign w:val="center"/>
          </w:tcPr>
          <w:p w14:paraId="09930E87">
            <w:pPr>
              <w:snapToGrid w:val="0"/>
              <w:spacing w:line="360" w:lineRule="auto"/>
              <w:jc w:val="center"/>
              <w:rPr>
                <w:rFonts w:cs="宋体" w:asciiTheme="minorEastAsia" w:hAnsiTheme="minorEastAsia" w:eastAsiaTheme="minorEastAsia"/>
                <w:color w:val="auto"/>
                <w:sz w:val="24"/>
                <w:highlight w:val="none"/>
              </w:rPr>
            </w:pPr>
            <w:r>
              <w:rPr>
                <w:rFonts w:hint="eastAsia" w:ascii="宋体" w:hAnsi="宋体" w:cs="宋体"/>
                <w:color w:val="auto"/>
                <w:sz w:val="24"/>
                <w:highlight w:val="none"/>
              </w:rPr>
              <w:t>14</w:t>
            </w:r>
          </w:p>
        </w:tc>
        <w:tc>
          <w:tcPr>
            <w:tcW w:w="1843" w:type="dxa"/>
            <w:vMerge w:val="restart"/>
            <w:tcBorders>
              <w:top w:val="single" w:color="000000" w:sz="8" w:space="0"/>
              <w:left w:val="single" w:color="000000" w:sz="2" w:space="0"/>
              <w:right w:val="single" w:color="000000" w:sz="8" w:space="0"/>
            </w:tcBorders>
            <w:vAlign w:val="center"/>
          </w:tcPr>
          <w:p w14:paraId="34C37F20">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特别说明</w:t>
            </w:r>
          </w:p>
        </w:tc>
        <w:tc>
          <w:tcPr>
            <w:tcW w:w="6682" w:type="dxa"/>
            <w:tcBorders>
              <w:top w:val="single" w:color="000000" w:sz="8" w:space="0"/>
              <w:left w:val="single" w:color="000000" w:sz="2" w:space="0"/>
              <w:bottom w:val="single" w:color="000000" w:sz="8" w:space="0"/>
              <w:right w:val="single" w:color="000000" w:sz="8" w:space="0"/>
            </w:tcBorders>
            <w:vAlign w:val="center"/>
          </w:tcPr>
          <w:p w14:paraId="319B1A7D">
            <w:pPr>
              <w:spacing w:line="360" w:lineRule="auto"/>
              <w:rPr>
                <w:rFonts w:ascii="宋体" w:hAnsi="宋体" w:cs="宋体"/>
                <w:snapToGrid w:val="0"/>
                <w:color w:val="auto"/>
                <w:kern w:val="28"/>
                <w:sz w:val="24"/>
                <w:highlight w:val="none"/>
              </w:rPr>
            </w:pPr>
            <w:r>
              <w:rPr>
                <w:rFonts w:hint="eastAsia" w:ascii="宋体" w:hAnsi="宋体" w:cs="宋体"/>
                <w:snapToGrid w:val="0"/>
                <w:color w:val="auto"/>
                <w:kern w:val="28"/>
                <w:sz w:val="24"/>
                <w:highlight w:val="none"/>
              </w:rPr>
              <w:t>联合体响应的，联合体各方分别提供与联合体协议中规定的分工内容相应的业绩证明材料，业绩数量以提供材料较少的一方为准。</w:t>
            </w:r>
          </w:p>
        </w:tc>
      </w:tr>
      <w:tr w14:paraId="1EFD05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jc w:val="center"/>
        </w:trPr>
        <w:tc>
          <w:tcPr>
            <w:tcW w:w="629" w:type="dxa"/>
            <w:vMerge w:val="continue"/>
            <w:tcBorders>
              <w:left w:val="single" w:color="000000" w:sz="8" w:space="0"/>
              <w:bottom w:val="single" w:color="auto" w:sz="4" w:space="0"/>
              <w:right w:val="single" w:color="000000" w:sz="2" w:space="0"/>
            </w:tcBorders>
            <w:shd w:val="clear" w:color="auto" w:fill="auto"/>
            <w:vAlign w:val="center"/>
          </w:tcPr>
          <w:p w14:paraId="685235DF">
            <w:pPr>
              <w:snapToGrid w:val="0"/>
              <w:spacing w:line="360" w:lineRule="auto"/>
              <w:jc w:val="center"/>
              <w:rPr>
                <w:rFonts w:ascii="宋体" w:hAnsi="宋体" w:eastAsia="宋体" w:cs="宋体"/>
                <w:color w:val="auto"/>
                <w:kern w:val="2"/>
                <w:sz w:val="24"/>
                <w:szCs w:val="24"/>
                <w:highlight w:val="none"/>
                <w:lang w:val="en-US" w:eastAsia="zh-CN" w:bidi="ar-SA"/>
              </w:rPr>
            </w:pPr>
          </w:p>
        </w:tc>
        <w:tc>
          <w:tcPr>
            <w:tcW w:w="1843" w:type="dxa"/>
            <w:vMerge w:val="continue"/>
            <w:tcBorders>
              <w:left w:val="single" w:color="000000" w:sz="2" w:space="0"/>
              <w:bottom w:val="single" w:color="auto" w:sz="4" w:space="0"/>
              <w:right w:val="single" w:color="000000" w:sz="8" w:space="0"/>
            </w:tcBorders>
            <w:vAlign w:val="center"/>
          </w:tcPr>
          <w:p w14:paraId="7138B785">
            <w:pPr>
              <w:snapToGrid w:val="0"/>
              <w:spacing w:line="360" w:lineRule="auto"/>
              <w:jc w:val="center"/>
              <w:rPr>
                <w:rFonts w:cs="宋体" w:asciiTheme="minorEastAsia" w:hAnsiTheme="minorEastAsia" w:eastAsiaTheme="minorEastAsia"/>
                <w:b/>
                <w:color w:val="auto"/>
                <w:sz w:val="24"/>
                <w:highlight w:val="none"/>
              </w:rPr>
            </w:pPr>
          </w:p>
        </w:tc>
        <w:tc>
          <w:tcPr>
            <w:tcW w:w="6682" w:type="dxa"/>
            <w:tcBorders>
              <w:top w:val="single" w:color="000000" w:sz="8" w:space="0"/>
              <w:left w:val="single" w:color="000000" w:sz="2" w:space="0"/>
              <w:bottom w:val="single" w:color="auto" w:sz="4" w:space="0"/>
              <w:right w:val="single" w:color="000000" w:sz="8" w:space="0"/>
            </w:tcBorders>
            <w:vAlign w:val="center"/>
          </w:tcPr>
          <w:p w14:paraId="6449094B">
            <w:pPr>
              <w:spacing w:line="360" w:lineRule="auto"/>
              <w:rPr>
                <w:rFonts w:ascii="宋体" w:hAnsi="宋体" w:cs="宋体"/>
                <w:snapToGrid w:val="0"/>
                <w:color w:val="auto"/>
                <w:kern w:val="28"/>
                <w:sz w:val="24"/>
                <w:highlight w:val="none"/>
              </w:rPr>
            </w:pPr>
            <w:sdt>
              <w:sdtPr>
                <w:rPr>
                  <w:rFonts w:hint="eastAsia" w:cs="Arial" w:asciiTheme="minorEastAsia" w:hAnsiTheme="minorEastAsia" w:eastAsiaTheme="minorEastAsia"/>
                  <w:color w:val="auto"/>
                  <w:kern w:val="0"/>
                  <w:sz w:val="24"/>
                  <w:highlight w:val="none"/>
                </w:rPr>
                <w:id w:val="-1816336663"/>
                <w14:checkbox>
                  <w14:checked w14:val="0"/>
                  <w14:checkedState w14:val="00FE" w14:font="Wingdings"/>
                  <w14:uncheckedState w14:val="2610" w14:font="MS Gothic"/>
                </w14:checkbox>
              </w:sdtPr>
              <w:sdtEndPr>
                <w:rPr>
                  <w:rFonts w:hint="eastAsia" w:cs="Arial" w:asciiTheme="minorEastAsia" w:hAnsiTheme="minorEastAsia" w:eastAsiaTheme="minorEastAsia"/>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ascii="宋体" w:hAnsi="宋体" w:cs="宋体"/>
                <w:snapToGrid w:val="0"/>
                <w:color w:val="auto"/>
                <w:kern w:val="28"/>
                <w:sz w:val="24"/>
                <w:highlight w:val="none"/>
              </w:rPr>
              <w:t>联合体响应的，联合体各方均需按磋商文件第五部分评审标准要求提供资信证明文件，否则视为不符合相关要求。</w:t>
            </w:r>
          </w:p>
          <w:p w14:paraId="174A8EBD">
            <w:pPr>
              <w:spacing w:line="360" w:lineRule="auto"/>
              <w:rPr>
                <w:rFonts w:ascii="宋体" w:hAnsi="宋体" w:cs="宋体"/>
                <w:snapToGrid w:val="0"/>
                <w:color w:val="auto"/>
                <w:kern w:val="28"/>
                <w:sz w:val="24"/>
                <w:highlight w:val="none"/>
              </w:rPr>
            </w:pPr>
            <w:sdt>
              <w:sdtPr>
                <w:rPr>
                  <w:rFonts w:hint="eastAsia" w:cs="Arial" w:asciiTheme="minorEastAsia" w:hAnsiTheme="minorEastAsia" w:eastAsiaTheme="minorEastAsia"/>
                  <w:color w:val="auto"/>
                  <w:kern w:val="0"/>
                  <w:sz w:val="24"/>
                  <w:highlight w:val="none"/>
                </w:rPr>
                <w:id w:val="-232311894"/>
                <w14:checkbox>
                  <w14:checked w14:val="0"/>
                  <w14:checkedState w14:val="00FE" w14:font="Wingdings"/>
                  <w14:uncheckedState w14:val="2610" w14:font="MS Gothic"/>
                </w14:checkbox>
              </w:sdtPr>
              <w:sdtEndPr>
                <w:rPr>
                  <w:rFonts w:hint="eastAsia" w:cs="Arial" w:asciiTheme="minorEastAsia" w:hAnsiTheme="minorEastAsia" w:eastAsiaTheme="minorEastAsia"/>
                  <w:color w:val="auto"/>
                  <w:kern w:val="0"/>
                  <w:sz w:val="24"/>
                  <w:highlight w:val="none"/>
                </w:rPr>
              </w:sdtEndPr>
              <w:sdtContent>
                <w:r>
                  <w:rPr>
                    <w:rFonts w:hint="eastAsia" w:ascii="MS Gothic" w:hAnsi="MS Gothic" w:eastAsia="MS Gothic" w:cs="Arial"/>
                    <w:color w:val="auto"/>
                    <w:kern w:val="0"/>
                    <w:sz w:val="24"/>
                    <w:highlight w:val="none"/>
                  </w:rPr>
                  <w:t>☐</w:t>
                </w:r>
              </w:sdtContent>
            </w:sdt>
            <w:r>
              <w:rPr>
                <w:rFonts w:hint="eastAsia" w:ascii="宋体" w:hAnsi="宋体" w:cs="宋体"/>
                <w:snapToGrid w:val="0"/>
                <w:color w:val="auto"/>
                <w:kern w:val="28"/>
                <w:sz w:val="24"/>
                <w:highlight w:val="none"/>
              </w:rPr>
              <w:t>联合体响应的，联合体中有一方或者联合体成员根据分工按磋商文件第五部分评审标准要求提供资信证明文件的，视为符合了相关要求。</w:t>
            </w:r>
          </w:p>
        </w:tc>
      </w:tr>
      <w:tr w14:paraId="4FE3AD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jc w:val="center"/>
        </w:trPr>
        <w:tc>
          <w:tcPr>
            <w:tcW w:w="629" w:type="dxa"/>
            <w:tcBorders>
              <w:top w:val="single" w:color="auto" w:sz="4" w:space="0"/>
              <w:left w:val="single" w:color="auto" w:sz="4" w:space="0"/>
              <w:bottom w:val="single" w:color="auto" w:sz="4" w:space="0"/>
              <w:right w:val="single" w:color="auto" w:sz="4" w:space="0"/>
            </w:tcBorders>
            <w:shd w:val="clear" w:color="auto" w:fill="auto"/>
            <w:vAlign w:val="center"/>
          </w:tcPr>
          <w:p w14:paraId="6177E86F">
            <w:pPr>
              <w:snapToGrid w:val="0"/>
              <w:spacing w:line="360" w:lineRule="auto"/>
              <w:jc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sz w:val="24"/>
                <w:highlight w:val="none"/>
                <w:lang w:val="en-US" w:eastAsia="zh-CN"/>
              </w:rPr>
              <w:t>15</w:t>
            </w:r>
          </w:p>
        </w:tc>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14:paraId="15419DB5">
            <w:pPr>
              <w:snapToGrid w:val="0"/>
              <w:spacing w:line="360" w:lineRule="auto"/>
              <w:jc w:val="center"/>
              <w:rPr>
                <w:rFonts w:hint="eastAsia" w:ascii="宋体" w:hAnsi="宋体" w:eastAsia="宋体" w:cs="宋体"/>
                <w:b/>
                <w:color w:val="auto"/>
                <w:kern w:val="2"/>
                <w:sz w:val="24"/>
                <w:szCs w:val="24"/>
                <w:highlight w:val="none"/>
                <w:lang w:val="en-US" w:eastAsia="zh-CN" w:bidi="ar-SA"/>
              </w:rPr>
            </w:pPr>
            <w:r>
              <w:rPr>
                <w:rFonts w:hint="eastAsia" w:cs="宋体" w:asciiTheme="minorEastAsia" w:hAnsiTheme="minorEastAsia" w:eastAsiaTheme="minorEastAsia"/>
                <w:b/>
                <w:color w:val="auto"/>
                <w:sz w:val="24"/>
                <w:highlight w:val="none"/>
              </w:rPr>
              <w:t>解释权</w:t>
            </w:r>
          </w:p>
        </w:tc>
        <w:tc>
          <w:tcPr>
            <w:tcW w:w="6682" w:type="dxa"/>
            <w:tcBorders>
              <w:top w:val="single" w:color="auto" w:sz="4" w:space="0"/>
              <w:left w:val="single" w:color="auto" w:sz="4" w:space="0"/>
              <w:bottom w:val="single" w:color="auto" w:sz="4" w:space="0"/>
              <w:right w:val="single" w:color="auto" w:sz="4" w:space="0"/>
            </w:tcBorders>
            <w:shd w:val="clear" w:color="auto" w:fill="auto"/>
            <w:vAlign w:val="center"/>
          </w:tcPr>
          <w:p w14:paraId="762314BB">
            <w:pPr>
              <w:spacing w:line="360" w:lineRule="auto"/>
              <w:rPr>
                <w:rFonts w:hint="eastAsia" w:cs="Arial" w:asciiTheme="minorEastAsia" w:hAnsiTheme="minorEastAsia" w:eastAsiaTheme="minorEastAsia"/>
                <w:color w:val="auto"/>
                <w:kern w:val="0"/>
                <w:sz w:val="24"/>
                <w:szCs w:val="24"/>
                <w:highlight w:val="none"/>
                <w:lang w:val="en-US" w:eastAsia="zh-CN" w:bidi="ar-SA"/>
              </w:rPr>
            </w:pPr>
            <w:r>
              <w:rPr>
                <w:rFonts w:hint="eastAsia" w:cs="Arial" w:asciiTheme="minorEastAsia" w:hAnsiTheme="minorEastAsia" w:eastAsiaTheme="minorEastAsia"/>
                <w:color w:val="auto"/>
                <w:kern w:val="0"/>
                <w:sz w:val="24"/>
                <w:highlight w:val="none"/>
              </w:rPr>
              <w:t>本磋商文件解释权属采购人及代理机构。</w:t>
            </w:r>
          </w:p>
        </w:tc>
      </w:tr>
    </w:tbl>
    <w:p w14:paraId="0B7AB27D">
      <w:pPr>
        <w:pStyle w:val="4"/>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二、总则</w:t>
      </w:r>
    </w:p>
    <w:p w14:paraId="6BA2EE78">
      <w:pPr>
        <w:snapToGrid w:val="0"/>
        <w:spacing w:line="360" w:lineRule="auto"/>
        <w:jc w:val="left"/>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 适用范围</w:t>
      </w:r>
    </w:p>
    <w:p w14:paraId="5315BD8A">
      <w:pPr>
        <w:snapToGrid w:val="0"/>
        <w:spacing w:line="360" w:lineRule="auto"/>
        <w:ind w:firstLine="480"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本磋商文件适用于该项目的邀请、响应、开启响应文件、信用信息查询、资格性审查、评审、成交、合同、验收等行为（法律、法规另有规定的，从其规定）。</w:t>
      </w:r>
    </w:p>
    <w:p w14:paraId="298F4671">
      <w:pPr>
        <w:adjustRightInd/>
        <w:spacing w:line="360" w:lineRule="auto"/>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2.</w:t>
      </w:r>
      <w:r>
        <w:rPr>
          <w:rFonts w:hint="eastAsia" w:cs="仿宋_GB2312" w:asciiTheme="minorEastAsia" w:hAnsiTheme="minorEastAsia" w:eastAsiaTheme="minorEastAsia"/>
          <w:b/>
          <w:color w:val="auto"/>
          <w:sz w:val="24"/>
          <w:highlight w:val="none"/>
          <w:lang w:val="en-US" w:eastAsia="zh-CN"/>
        </w:rPr>
        <w:t xml:space="preserve"> </w:t>
      </w:r>
      <w:r>
        <w:rPr>
          <w:rFonts w:hint="eastAsia" w:cs="仿宋_GB2312" w:asciiTheme="minorEastAsia" w:hAnsiTheme="minorEastAsia" w:eastAsiaTheme="minorEastAsia"/>
          <w:b/>
          <w:color w:val="auto"/>
          <w:sz w:val="24"/>
          <w:highlight w:val="none"/>
        </w:rPr>
        <w:t>定义</w:t>
      </w:r>
    </w:p>
    <w:p w14:paraId="678548DC">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 “采购人”系指磋商邀请公告中载明的本项目的采购人。</w:t>
      </w:r>
    </w:p>
    <w:p w14:paraId="5FA3537A">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 “采购代理机构”系指磋商邀请公告中载明的本项目的采购代理机构。</w:t>
      </w:r>
    </w:p>
    <w:p w14:paraId="547BFEF2">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 “供应商”系指响应磋商、参加本次竞争的法人、其他组织或自然人。</w:t>
      </w:r>
    </w:p>
    <w:p w14:paraId="58E14771">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2.4 “</w:t>
      </w:r>
      <w:r>
        <w:rPr>
          <w:rFonts w:hint="eastAsia" w:ascii="宋体" w:hAnsi="宋体" w:cs="宋体"/>
          <w:color w:val="auto"/>
          <w:sz w:val="24"/>
          <w:highlight w:val="none"/>
        </w:rPr>
        <w:t>法定代表人（负责人）</w:t>
      </w:r>
      <w:r>
        <w:rPr>
          <w:rFonts w:hint="eastAsia" w:asciiTheme="minorEastAsia" w:hAnsiTheme="minorEastAsia" w:eastAsiaTheme="minorEastAsia"/>
          <w:color w:val="auto"/>
          <w:sz w:val="24"/>
          <w:highlight w:val="none"/>
        </w:rPr>
        <w:t>”系指法人企业的法定负责人，或其他组织为法律、行政法规规定代表单位行使职权的主要负责人，或自然人本人。</w:t>
      </w:r>
    </w:p>
    <w:p w14:paraId="154F19F7">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2.5 “成交人”系指经评审确定的成交供应商。</w:t>
      </w:r>
    </w:p>
    <w:p w14:paraId="55E7D39C">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2.6</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highlight w:val="none"/>
        </w:rPr>
        <w:t>“响应文件”系指供应商提交的商务技术文件。供应商提交最后报价后，最后报价是供应商响应文件的有效组成部分。</w:t>
      </w:r>
    </w:p>
    <w:p w14:paraId="47FD768F">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2.7</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highlight w:val="none"/>
        </w:rPr>
        <w:t>“电子交易平台”系指本项目政府采购活动所依托的</w:t>
      </w:r>
      <w:r>
        <w:rPr>
          <w:rFonts w:hint="eastAsia" w:ascii="宋体" w:hAnsi="宋体" w:cs="宋体"/>
          <w:color w:val="auto"/>
          <w:sz w:val="24"/>
          <w:highlight w:val="none"/>
        </w:rPr>
        <w:t>广西政府采购云平台（https</w:t>
      </w:r>
      <w:r>
        <w:rPr>
          <w:rFonts w:hint="eastAsia" w:ascii="宋体" w:hAnsi="宋体" w:cs="宋体"/>
          <w:color w:val="auto"/>
          <w:sz w:val="24"/>
          <w:highlight w:val="none"/>
          <w:lang w:eastAsia="zh-CN"/>
        </w:rPr>
        <w:t>：</w:t>
      </w:r>
      <w:r>
        <w:rPr>
          <w:rFonts w:hint="eastAsia" w:ascii="宋体" w:hAnsi="宋体" w:cs="宋体"/>
          <w:color w:val="auto"/>
          <w:sz w:val="24"/>
          <w:highlight w:val="none"/>
        </w:rPr>
        <w:t>//www.gcy.zfcg.gxzf.gov.cn/）</w:t>
      </w:r>
      <w:r>
        <w:rPr>
          <w:rFonts w:hint="eastAsia" w:asciiTheme="minorEastAsia" w:hAnsiTheme="minorEastAsia" w:eastAsiaTheme="minorEastAsia"/>
          <w:color w:val="auto"/>
          <w:sz w:val="24"/>
          <w:highlight w:val="none"/>
        </w:rPr>
        <w:t>。</w:t>
      </w:r>
    </w:p>
    <w:p w14:paraId="5B56AABB">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2.8</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highlight w:val="none"/>
        </w:rPr>
        <w:t>“电子签名”系指数据电文中以电子形式所含、所附用于识别签名人身份并表明签名人认可其中内容的数据；“公章”系指单位法定名称章。因特殊原因需要使用冠以法定名称的业务专用章的，响应时须提供《业务专用章使用说明函》（附件</w:t>
      </w:r>
      <w:r>
        <w:rPr>
          <w:rFonts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rPr>
        <w:t>）。</w:t>
      </w:r>
    </w:p>
    <w:p w14:paraId="0C1D3237">
      <w:pPr>
        <w:spacing w:line="360" w:lineRule="auto"/>
        <w:ind w:firstLine="480" w:firstLineChars="200"/>
        <w:rPr>
          <w:rFonts w:asciiTheme="minorEastAsia" w:hAnsiTheme="minorEastAsia" w:eastAsiaTheme="minorEastAsia"/>
          <w:color w:val="auto"/>
          <w:sz w:val="24"/>
          <w:highlight w:val="none"/>
        </w:rPr>
      </w:pPr>
      <w:r>
        <w:rPr>
          <w:rFonts w:hint="eastAsia" w:ascii="宋体" w:hAnsi="宋体" w:cs="宋体"/>
          <w:color w:val="auto"/>
          <w:sz w:val="24"/>
          <w:highlight w:val="none"/>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p w14:paraId="540E5FD4">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2.9 “书面形式”包括数据电文形式与纸质形式。数据电文形式与纸质形式的采购活动具有同等法律效力。</w:t>
      </w:r>
    </w:p>
    <w:p w14:paraId="23D4E3BB">
      <w:pPr>
        <w:snapToGrid w:val="0"/>
        <w:spacing w:line="360" w:lineRule="auto"/>
        <w:ind w:firstLine="480" w:firstLineChars="200"/>
        <w:jc w:val="left"/>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2.10 “▲” 系指实质性要求条款，“※”系指磋商过程中可能实质性变动的内容，</w:t>
      </w:r>
      <w:r>
        <w:rPr>
          <w:rFonts w:asciiTheme="minorEastAsia" w:hAnsiTheme="minorEastAsia" w:eastAsiaTheme="minorEastAsia"/>
          <w:color w:val="auto"/>
          <w:sz w:val="24"/>
          <w:highlight w:val="none"/>
        </w:rPr>
        <w:t xml:space="preserve"> </w:t>
      </w:r>
      <w:r>
        <w:rPr>
          <w:rFonts w:hint="eastAsia" w:ascii="宋体" w:hAnsi="宋体" w:cs="宋体"/>
          <w:color w:val="auto"/>
          <w:kern w:val="0"/>
          <w:sz w:val="24"/>
          <w:highlight w:val="none"/>
        </w:rPr>
        <w:t>“</w:t>
      </w:r>
      <w:r>
        <w:rPr>
          <w:rFonts w:hint="eastAsia" w:ascii="宋体" w:hAnsi="宋体" w:cs="宋体"/>
          <w:color w:val="auto"/>
          <w:kern w:val="0"/>
          <w:sz w:val="24"/>
          <w:highlight w:val="none"/>
        </w:rPr>
        <w:sym w:font="Wingdings" w:char="F0FE"/>
      </w:r>
      <w:r>
        <w:rPr>
          <w:rFonts w:hint="eastAsia" w:ascii="宋体" w:hAnsi="宋体" w:cs="宋体"/>
          <w:color w:val="auto"/>
          <w:kern w:val="0"/>
          <w:sz w:val="24"/>
          <w:highlight w:val="none"/>
        </w:rPr>
        <w:t>”</w:t>
      </w:r>
      <w:r>
        <w:rPr>
          <w:rFonts w:hint="eastAsia" w:cs="宋体" w:asciiTheme="minorEastAsia" w:hAnsiTheme="minorEastAsia" w:eastAsiaTheme="minorEastAsia"/>
          <w:color w:val="auto"/>
          <w:sz w:val="24"/>
          <w:highlight w:val="none"/>
        </w:rPr>
        <w:t>系指适用本项目的要求，“□”系指不适用本项目的要求。</w:t>
      </w:r>
    </w:p>
    <w:p w14:paraId="5D741E6C">
      <w:pPr>
        <w:adjustRightInd/>
        <w:spacing w:line="360" w:lineRule="auto"/>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3. 响应有效期</w:t>
      </w:r>
    </w:p>
    <w:p w14:paraId="2CF5901F">
      <w:pPr>
        <w:spacing w:line="360" w:lineRule="auto"/>
        <w:ind w:firstLine="480" w:firstLineChars="200"/>
        <w:rPr>
          <w:rFonts w:cs="仿宋_GB2312" w:asciiTheme="minorEastAsia" w:hAnsiTheme="minorEastAsia" w:eastAsiaTheme="minorEastAsia"/>
          <w:b/>
          <w:color w:val="auto"/>
          <w:sz w:val="24"/>
          <w:szCs w:val="21"/>
          <w:highlight w:val="none"/>
        </w:rPr>
      </w:pPr>
      <w:r>
        <w:rPr>
          <w:rFonts w:hint="eastAsia" w:cs="仿宋_GB2312" w:asciiTheme="minorEastAsia" w:hAnsiTheme="minorEastAsia" w:eastAsiaTheme="minorEastAsia"/>
          <w:color w:val="auto"/>
          <w:sz w:val="24"/>
          <w:szCs w:val="20"/>
          <w:highlight w:val="none"/>
        </w:rPr>
        <w:t>▲3.1</w:t>
      </w:r>
      <w:r>
        <w:rPr>
          <w:rFonts w:hint="eastAsia" w:cs="仿宋_GB2312" w:asciiTheme="minorEastAsia" w:hAnsiTheme="minorEastAsia" w:eastAsiaTheme="minorEastAsia"/>
          <w:color w:val="auto"/>
          <w:sz w:val="24"/>
          <w:szCs w:val="20"/>
          <w:highlight w:val="none"/>
          <w:lang w:val="en-US" w:eastAsia="zh-CN"/>
        </w:rPr>
        <w:t xml:space="preserve"> </w:t>
      </w:r>
      <w:r>
        <w:rPr>
          <w:rFonts w:hint="eastAsia" w:cs="仿宋_GB2312" w:asciiTheme="minorEastAsia" w:hAnsiTheme="minorEastAsia" w:eastAsiaTheme="minorEastAsia"/>
          <w:b/>
          <w:color w:val="auto"/>
          <w:sz w:val="24"/>
          <w:szCs w:val="20"/>
          <w:highlight w:val="none"/>
        </w:rPr>
        <w:t>响应有效期为从提交响应文件的截止之日起60天。供应商的响应文件中承</w:t>
      </w:r>
      <w:r>
        <w:rPr>
          <w:rFonts w:hint="eastAsia" w:cs="仿宋_GB2312" w:asciiTheme="minorEastAsia" w:hAnsiTheme="minorEastAsia" w:eastAsiaTheme="minorEastAsia"/>
          <w:b/>
          <w:color w:val="auto"/>
          <w:sz w:val="24"/>
          <w:szCs w:val="21"/>
          <w:highlight w:val="none"/>
        </w:rPr>
        <w:t>诺的响应有效期少于磋商文件中载明的磋商有效期的，响应无效。</w:t>
      </w:r>
    </w:p>
    <w:p w14:paraId="77247B80">
      <w:pPr>
        <w:pStyle w:val="395"/>
        <w:spacing w:before="0"/>
        <w:ind w:firstLine="480"/>
        <w:rPr>
          <w:rFonts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3.2</w:t>
      </w:r>
      <w:r>
        <w:rPr>
          <w:rFonts w:hint="eastAsia" w:cs="仿宋_GB2312" w:asciiTheme="minorEastAsia" w:hAnsiTheme="minorEastAsia" w:eastAsiaTheme="minorEastAsia"/>
          <w:color w:val="auto"/>
          <w:highlight w:val="none"/>
          <w:lang w:val="en-US" w:eastAsia="zh-CN"/>
        </w:rPr>
        <w:t xml:space="preserve"> </w:t>
      </w:r>
      <w:r>
        <w:rPr>
          <w:rFonts w:hint="eastAsia" w:cs="仿宋_GB2312" w:asciiTheme="minorEastAsia" w:hAnsiTheme="minorEastAsia" w:eastAsiaTheme="minorEastAsia"/>
          <w:color w:val="auto"/>
          <w:highlight w:val="none"/>
        </w:rPr>
        <w:t>响应文件合格提交后，自响应截止日期起，在响应有效期内有效。</w:t>
      </w:r>
    </w:p>
    <w:p w14:paraId="7DC661F5">
      <w:pPr>
        <w:pStyle w:val="395"/>
        <w:spacing w:before="0"/>
        <w:ind w:firstLine="480"/>
        <w:rPr>
          <w:rFonts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3.3</w:t>
      </w:r>
      <w:r>
        <w:rPr>
          <w:rFonts w:hint="eastAsia" w:cs="仿宋_GB2312" w:asciiTheme="minorEastAsia" w:hAnsiTheme="minorEastAsia" w:eastAsiaTheme="minorEastAsia"/>
          <w:color w:val="auto"/>
          <w:highlight w:val="none"/>
          <w:lang w:val="en-US" w:eastAsia="zh-CN"/>
        </w:rPr>
        <w:t xml:space="preserve"> </w:t>
      </w:r>
      <w:r>
        <w:rPr>
          <w:rFonts w:hint="eastAsia" w:cs="仿宋_GB2312" w:asciiTheme="minorEastAsia" w:hAnsiTheme="minorEastAsia" w:eastAsiaTheme="minorEastAsia"/>
          <w:color w:val="auto"/>
          <w:highlight w:val="none"/>
        </w:rPr>
        <w:t>在原定响应有效期满之前，如果出现特殊情况，采购代理机构可以以书面形式通知供应商延长响应有效期。供应商同意延长的，不得要求或被允许修改其响应文件</w:t>
      </w:r>
      <w:r>
        <w:rPr>
          <w:rFonts w:hint="eastAsia" w:cs="仿宋_GB2312" w:asciiTheme="minorEastAsia" w:hAnsiTheme="minorEastAsia" w:eastAsiaTheme="minorEastAsia"/>
          <w:color w:val="auto"/>
          <w:highlight w:val="none"/>
          <w:lang w:eastAsia="zh-CN"/>
        </w:rPr>
        <w:t>；</w:t>
      </w:r>
      <w:r>
        <w:rPr>
          <w:rFonts w:hint="eastAsia" w:cs="仿宋_GB2312" w:asciiTheme="minorEastAsia" w:hAnsiTheme="minorEastAsia" w:eastAsiaTheme="minorEastAsia"/>
          <w:color w:val="auto"/>
          <w:highlight w:val="none"/>
        </w:rPr>
        <w:t>供应商拒绝延长的，其响应无效。</w:t>
      </w:r>
      <w:r>
        <w:rPr>
          <w:rFonts w:hint="eastAsia" w:asciiTheme="minorEastAsia" w:hAnsiTheme="minorEastAsia" w:eastAsiaTheme="minorEastAsia"/>
          <w:color w:val="auto"/>
          <w:szCs w:val="24"/>
          <w:highlight w:val="none"/>
        </w:rPr>
        <w:t>拒绝延长磋商有效期的供应商不得再参与该项目后续采购活动。</w:t>
      </w:r>
    </w:p>
    <w:p w14:paraId="70A3ED1D">
      <w:pPr>
        <w:tabs>
          <w:tab w:val="left" w:pos="3780"/>
        </w:tabs>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w:t>
      </w:r>
      <w:r>
        <w:rPr>
          <w:rFonts w:hint="eastAsia" w:asciiTheme="minorEastAsia" w:hAnsiTheme="minorEastAsia" w:eastAsiaTheme="minorEastAsia"/>
          <w:b/>
          <w:color w:val="auto"/>
          <w:sz w:val="24"/>
          <w:highlight w:val="none"/>
          <w:lang w:val="en-US" w:eastAsia="zh-CN"/>
        </w:rPr>
        <w:t xml:space="preserve"> </w:t>
      </w:r>
      <w:r>
        <w:rPr>
          <w:rFonts w:hint="eastAsia" w:asciiTheme="minorEastAsia" w:hAnsiTheme="minorEastAsia" w:eastAsiaTheme="minorEastAsia"/>
          <w:b/>
          <w:color w:val="auto"/>
          <w:sz w:val="24"/>
          <w:highlight w:val="none"/>
        </w:rPr>
        <w:t>响应费用</w:t>
      </w:r>
    </w:p>
    <w:p w14:paraId="30B38910">
      <w:pPr>
        <w:pStyle w:val="32"/>
        <w:spacing w:line="360" w:lineRule="auto"/>
        <w:ind w:firstLine="480" w:firstLineChars="200"/>
        <w:rPr>
          <w:rFonts w:asciiTheme="minorEastAsia" w:hAnsiTheme="minorEastAsia" w:eastAsiaTheme="minorEastAsia"/>
          <w:color w:val="auto"/>
          <w:sz w:val="24"/>
          <w:highlight w:val="none"/>
          <w:lang w:val="zh-CN"/>
        </w:rPr>
      </w:pPr>
      <w:r>
        <w:rPr>
          <w:rFonts w:hint="eastAsia" w:asciiTheme="minorEastAsia" w:hAnsiTheme="minorEastAsia" w:eastAsiaTheme="minorEastAsia"/>
          <w:color w:val="auto"/>
          <w:sz w:val="24"/>
          <w:highlight w:val="none"/>
        </w:rPr>
        <w:t>供应商需自行承担涉及响应的一切费用</w:t>
      </w:r>
      <w:r>
        <w:rPr>
          <w:rFonts w:hint="eastAsia" w:asciiTheme="minorEastAsia" w:hAnsiTheme="minorEastAsia" w:eastAsiaTheme="minorEastAsia"/>
          <w:color w:val="auto"/>
          <w:sz w:val="24"/>
          <w:highlight w:val="none"/>
          <w:lang w:val="zh-CN"/>
        </w:rPr>
        <w:t>。</w:t>
      </w:r>
    </w:p>
    <w:p w14:paraId="43742EC7">
      <w:pPr>
        <w:spacing w:line="360" w:lineRule="auto"/>
        <w:jc w:val="center"/>
        <w:rPr>
          <w:rFonts w:cs="仿宋_GB2312" w:asciiTheme="minorEastAsia" w:hAnsiTheme="minorEastAsia" w:eastAsiaTheme="minorEastAsia"/>
          <w:b/>
          <w:color w:val="auto"/>
          <w:sz w:val="24"/>
          <w:highlight w:val="none"/>
        </w:rPr>
      </w:pPr>
    </w:p>
    <w:p w14:paraId="29D496D9">
      <w:pPr>
        <w:pStyle w:val="4"/>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三、需要落实的政府采购政策</w:t>
      </w:r>
    </w:p>
    <w:p w14:paraId="40D75479">
      <w:pPr>
        <w:pStyle w:val="395"/>
        <w:spacing w:before="0"/>
        <w:ind w:firstLine="0" w:firstLineChars="0"/>
        <w:rPr>
          <w:rFonts w:hint="eastAsia" w:asciiTheme="minorEastAsia" w:hAnsiTheme="minorEastAsia" w:eastAsiaTheme="minorEastAsia"/>
          <w:b/>
          <w:color w:val="auto"/>
          <w:szCs w:val="24"/>
          <w:highlight w:val="none"/>
        </w:rPr>
      </w:pPr>
      <w:r>
        <w:rPr>
          <w:rFonts w:hint="eastAsia" w:asciiTheme="minorEastAsia" w:hAnsiTheme="minorEastAsia" w:eastAsiaTheme="minorEastAsia"/>
          <w:b/>
          <w:color w:val="auto"/>
          <w:szCs w:val="24"/>
          <w:highlight w:val="none"/>
        </w:rPr>
        <w:t>1.是否允许采购进口产品要求</w:t>
      </w:r>
    </w:p>
    <w:p w14:paraId="39D79E17">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cs="宋体" w:asciiTheme="minorEastAsia" w:hAnsiTheme="minorEastAsia" w:eastAsiaTheme="minorEastAsia"/>
          <w:color w:val="auto"/>
          <w:sz w:val="24"/>
          <w:highlight w:val="none"/>
        </w:rPr>
        <w:t>；</w:t>
      </w:r>
      <w:r>
        <w:rPr>
          <w:rFonts w:hint="eastAsia" w:cs="宋体" w:asciiTheme="minorEastAsia" w:hAnsiTheme="minorEastAsia" w:eastAsiaTheme="minorEastAsia"/>
          <w:color w:val="auto"/>
          <w:kern w:val="0"/>
          <w:sz w:val="24"/>
          <w:highlight w:val="none"/>
        </w:rPr>
        <w:t>优先采购向我国企业转让技术、与我国企业签订消化吸收再创新方案的供应商的进口产品</w:t>
      </w:r>
      <w:r>
        <w:rPr>
          <w:rFonts w:hint="eastAsia" w:asciiTheme="minorEastAsia" w:hAnsiTheme="minorEastAsia" w:eastAsiaTheme="minorEastAsia"/>
          <w:color w:val="auto"/>
          <w:sz w:val="24"/>
          <w:highlight w:val="none"/>
        </w:rPr>
        <w:t>。</w:t>
      </w:r>
    </w:p>
    <w:p w14:paraId="44B239D1">
      <w:pPr>
        <w:pStyle w:val="395"/>
        <w:spacing w:before="0"/>
        <w:ind w:firstLine="0" w:firstLineChars="0"/>
        <w:rPr>
          <w:rFonts w:asciiTheme="minorEastAsia" w:hAnsiTheme="minorEastAsia" w:eastAsiaTheme="minorEastAsia"/>
          <w:b/>
          <w:color w:val="auto"/>
          <w:szCs w:val="24"/>
          <w:highlight w:val="none"/>
        </w:rPr>
      </w:pPr>
      <w:r>
        <w:rPr>
          <w:rFonts w:hint="eastAsia" w:asciiTheme="minorEastAsia" w:hAnsiTheme="minorEastAsia" w:eastAsiaTheme="minorEastAsia"/>
          <w:b/>
          <w:color w:val="auto"/>
          <w:szCs w:val="24"/>
          <w:highlight w:val="none"/>
        </w:rPr>
        <w:t>2.实施本国产品标准及相关政策</w:t>
      </w:r>
    </w:p>
    <w:p w14:paraId="23CF855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 本国产品应当符合以下条件：（一）在中国境内生产；（二）在中国境内生产的组件成本占比达到规定比例；（三）特定产品的关键组件、关键工序符合相关要求。</w:t>
      </w:r>
    </w:p>
    <w:p w14:paraId="0AF9E9C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2.2 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590830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2.3 对本国产品的支持政策：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0BB8E84F">
      <w:pPr>
        <w:spacing w:line="360" w:lineRule="auto"/>
        <w:ind w:firstLine="480" w:firstLineChars="200"/>
        <w:rPr>
          <w:color w:val="auto"/>
          <w:highlight w:val="none"/>
        </w:rPr>
      </w:pPr>
      <w:r>
        <w:rPr>
          <w:rFonts w:hint="eastAsia" w:ascii="宋体" w:hAnsi="宋体" w:cs="宋体"/>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14:paraId="729E3F4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2.4 供应商应提供的证明文件：供应商拟享受该政策的，应当对其提供的产品出具《关于符合本国产品标准的声明函》（样式见附件6）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14:paraId="1128DE73">
      <w:pPr>
        <w:spacing w:line="360" w:lineRule="auto"/>
        <w:ind w:firstLine="480" w:firstLineChars="200"/>
        <w:rPr>
          <w:color w:val="auto"/>
          <w:highlight w:val="none"/>
        </w:rPr>
      </w:pPr>
      <w:r>
        <w:rPr>
          <w:rFonts w:hint="eastAsia" w:ascii="宋体" w:hAnsi="宋体" w:cs="宋体"/>
          <w:color w:val="auto"/>
          <w:sz w:val="24"/>
          <w:highlight w:val="none"/>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样式见附件7）。</w:t>
      </w:r>
    </w:p>
    <w:p w14:paraId="1027AA6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2.5对于未预留份额专门面向中小企业采购的采购项目，以及预留份额项目中的非预留部分采购包，供应商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14:paraId="297F6C43">
      <w:pPr>
        <w:spacing w:line="360" w:lineRule="auto"/>
        <w:ind w:firstLine="480" w:firstLineChars="200"/>
        <w:rPr>
          <w:rFonts w:hint="eastAsia" w:asciiTheme="minorEastAsia" w:hAnsiTheme="minorEastAsia" w:eastAsiaTheme="minorEastAsia"/>
          <w:b/>
          <w:color w:val="auto"/>
          <w:sz w:val="24"/>
          <w:highlight w:val="none"/>
        </w:rPr>
      </w:pPr>
      <w:r>
        <w:rPr>
          <w:rFonts w:hint="eastAsia" w:ascii="宋体" w:hAnsi="宋体" w:cs="宋体"/>
          <w:color w:val="auto"/>
          <w:sz w:val="24"/>
          <w:highlight w:val="none"/>
        </w:rPr>
        <w:t>2.6成交供应商提供的《声明函》或有关证明文件应当随成交结果同时公告。其他未尽事宜按照《国务院办公厅关于在政府采购中实施本国产品标准及相关政策的通知》（国办发〔2025〕34号）执行。</w:t>
      </w:r>
    </w:p>
    <w:p w14:paraId="41AC0335">
      <w:pPr>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3</w:t>
      </w:r>
      <w:r>
        <w:rPr>
          <w:rFonts w:hint="eastAsia" w:asciiTheme="minorEastAsia" w:hAnsiTheme="minorEastAsia" w:eastAsiaTheme="minorEastAsia"/>
          <w:b/>
          <w:color w:val="auto"/>
          <w:sz w:val="24"/>
          <w:highlight w:val="none"/>
        </w:rPr>
        <w:t>.支持绿色发展</w:t>
      </w:r>
    </w:p>
    <w:p w14:paraId="12BD0052">
      <w:pPr>
        <w:spacing w:line="360" w:lineRule="auto"/>
        <w:ind w:firstLine="480" w:firstLineChars="200"/>
        <w:rPr>
          <w:rFonts w:hint="eastAsia" w:cs="宋体" w:asciiTheme="minorEastAsia" w:hAnsiTheme="minorEastAsia" w:eastAsiaTheme="minorEastAsia"/>
          <w:b/>
          <w:color w:val="auto"/>
          <w:sz w:val="24"/>
          <w:highlight w:val="none"/>
        </w:rPr>
      </w:pPr>
      <w:r>
        <w:rPr>
          <w:rFonts w:hint="eastAsia" w:cs="宋体" w:asciiTheme="minorEastAsia" w:hAnsiTheme="minorEastAsia" w:eastAsiaTheme="minorEastAsia"/>
          <w:color w:val="auto"/>
          <w:sz w:val="24"/>
          <w:highlight w:val="none"/>
          <w:lang w:val="en-US" w:eastAsia="zh-CN"/>
        </w:rPr>
        <w:t>3</w:t>
      </w:r>
      <w:r>
        <w:rPr>
          <w:rFonts w:hint="eastAsia" w:cs="宋体" w:asciiTheme="minorEastAsia" w:hAnsiTheme="minorEastAsia" w:eastAsiaTheme="minorEastAsia"/>
          <w:color w:val="auto"/>
          <w:sz w:val="24"/>
          <w:highlight w:val="none"/>
        </w:rPr>
        <w:t>.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磋商文件要求提供相关产品认证证书。</w:t>
      </w:r>
      <w:r>
        <w:rPr>
          <w:rFonts w:hint="eastAsia" w:ascii="宋体" w:hAnsi="宋体" w:cs="宋体"/>
          <w:b/>
          <w:color w:val="auto"/>
          <w:sz w:val="24"/>
          <w:highlight w:val="none"/>
        </w:rPr>
        <w:t>▲采购人拟采购的产品属于政府强制采购的节能产品品目清单范围的，供应商相应的响应产品未获得国家确定的认证机构出具的、处于有效期之内的节能产品认证证书的，响应无效。</w:t>
      </w:r>
    </w:p>
    <w:p w14:paraId="3F190D3F">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3</w:t>
      </w:r>
      <w:r>
        <w:rPr>
          <w:rFonts w:hint="eastAsia" w:cs="宋体" w:asciiTheme="minorEastAsia" w:hAnsiTheme="minorEastAsia" w:eastAsiaTheme="minorEastAsia"/>
          <w:color w:val="auto"/>
          <w:sz w:val="24"/>
          <w:highlight w:val="none"/>
        </w:rPr>
        <w:t>.2</w:t>
      </w:r>
      <w:r>
        <w:rPr>
          <w:rFonts w:hint="eastAsia" w:ascii="宋体" w:hAnsi="宋体" w:cs="宋体"/>
          <w:color w:val="auto"/>
          <w:sz w:val="24"/>
          <w:highlight w:val="none"/>
        </w:rPr>
        <w:t>纳入政府采购管理的修缮、装修类项目采购建材的，鼓励采购人将绿色建材性能、指标等作为实质性条件纳入采购文件和合同，具体性能指标要求参考相关绿色建材政府采购需求标准</w:t>
      </w:r>
      <w:r>
        <w:rPr>
          <w:rFonts w:hint="eastAsia" w:cs="宋体" w:asciiTheme="minorEastAsia" w:hAnsiTheme="minorEastAsia" w:eastAsiaTheme="minorEastAsia"/>
          <w:color w:val="auto"/>
          <w:sz w:val="24"/>
          <w:highlight w:val="none"/>
        </w:rPr>
        <w:t>。</w:t>
      </w:r>
    </w:p>
    <w:p w14:paraId="4AF2F7A2">
      <w:pPr>
        <w:spacing w:line="360" w:lineRule="auto"/>
        <w:ind w:firstLine="480" w:firstLineChars="200"/>
        <w:rPr>
          <w:rFonts w:hint="eastAsia" w:ascii="宋体" w:hAnsi="宋体" w:cs="宋体"/>
          <w:color w:val="auto"/>
          <w:sz w:val="24"/>
          <w:highlight w:val="none"/>
        </w:rPr>
      </w:pPr>
      <w:r>
        <w:rPr>
          <w:rFonts w:hint="eastAsia" w:cs="宋体" w:asciiTheme="minorEastAsia" w:hAnsiTheme="minorEastAsia" w:eastAsiaTheme="minorEastAsia"/>
          <w:color w:val="auto"/>
          <w:sz w:val="24"/>
          <w:highlight w:val="none"/>
          <w:lang w:val="en-US" w:eastAsia="zh-CN"/>
        </w:rPr>
        <w:t>3</w:t>
      </w:r>
      <w:r>
        <w:rPr>
          <w:rFonts w:hint="eastAsia" w:cs="宋体" w:asciiTheme="minorEastAsia" w:hAnsiTheme="minorEastAsia" w:eastAsiaTheme="minorEastAsia"/>
          <w:color w:val="auto"/>
          <w:sz w:val="24"/>
          <w:highlight w:val="none"/>
        </w:rPr>
        <w:t>.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r>
        <w:rPr>
          <w:rFonts w:hint="eastAsia" w:ascii="宋体" w:hAnsi="宋体" w:cs="宋体"/>
          <w:color w:val="auto"/>
          <w:sz w:val="24"/>
          <w:highlight w:val="none"/>
        </w:rPr>
        <w:t>鼓励采购人优先采购秸秆环保板材等资源综合利用产品。鼓励采购人优先采购绿色物流配送服务、提供新能源交通工具的租赁服务。</w:t>
      </w:r>
    </w:p>
    <w:p w14:paraId="573D3C8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 xml:space="preserve">.4 </w:t>
      </w:r>
      <w:r>
        <w:rPr>
          <w:rFonts w:hint="eastAsia" w:ascii="宋体" w:hAnsi="宋体" w:cs="宋体"/>
          <w:color w:val="auto"/>
          <w:sz w:val="24"/>
          <w:highlight w:val="none"/>
        </w:rPr>
        <w:t>鼓励供应商在参加政府采购过程中开展绿色设计、选择绿色材料、打造绿色制造工艺、开展绿色运输、做好废弃产品回收处理，实现产品全周期的绿色环保。鼓励采购人对其提高预付款比例、免收履约保证金。</w:t>
      </w:r>
    </w:p>
    <w:p w14:paraId="714CDB00">
      <w:pPr>
        <w:pStyle w:val="32"/>
        <w:spacing w:line="360" w:lineRule="auto"/>
        <w:rPr>
          <w:rFonts w:hint="eastAsia"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lang w:val="en-US" w:eastAsia="zh-CN"/>
        </w:rPr>
        <w:t>4</w:t>
      </w:r>
      <w:r>
        <w:rPr>
          <w:rFonts w:hint="eastAsia" w:asciiTheme="minorEastAsia" w:hAnsiTheme="minorEastAsia" w:eastAsiaTheme="minorEastAsia"/>
          <w:b/>
          <w:color w:val="auto"/>
          <w:sz w:val="24"/>
          <w:szCs w:val="24"/>
          <w:highlight w:val="none"/>
        </w:rPr>
        <w:t>.支持中小企业发展。</w:t>
      </w:r>
    </w:p>
    <w:p w14:paraId="1191B33D">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4</w:t>
      </w:r>
      <w:r>
        <w:rPr>
          <w:rFonts w:hint="eastAsia" w:cs="宋体" w:asciiTheme="minorEastAsia" w:hAnsiTheme="minorEastAsia" w:eastAsiaTheme="minorEastAsia"/>
          <w:color w:val="auto"/>
          <w:sz w:val="24"/>
          <w:highlight w:val="none"/>
        </w:rPr>
        <w:t>.1中小企业，是指在中华人民共和国境内依法设立，依据国务院批准的中小企业划分标准确定的中型企业、小型企业和微型企业，但与大企业的负责人为同一人，或者与大企业存在直接控股、管理关系的除外。</w:t>
      </w:r>
    </w:p>
    <w:p w14:paraId="5419EB90">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符合中小企业划分标准的个体工商户，在政府采购活动中视同中小企业。</w:t>
      </w:r>
    </w:p>
    <w:p w14:paraId="4A9B246D">
      <w:pPr>
        <w:widowControl/>
        <w:spacing w:line="360" w:lineRule="auto"/>
        <w:ind w:firstLine="480" w:firstLineChars="200"/>
        <w:jc w:val="left"/>
        <w:rPr>
          <w:rFonts w:hint="eastAsia" w:cs="宋体" w:asciiTheme="minorEastAsia" w:hAnsiTheme="minorEastAsia" w:eastAsiaTheme="minorEastAsia"/>
          <w:color w:val="auto"/>
          <w:kern w:val="0"/>
          <w:sz w:val="24"/>
          <w:highlight w:val="none"/>
        </w:rPr>
      </w:pPr>
      <w:r>
        <w:rPr>
          <w:rFonts w:hint="eastAsia" w:cs="宋体" w:asciiTheme="minorEastAsia" w:hAnsiTheme="minorEastAsia" w:eastAsiaTheme="minorEastAsia"/>
          <w:bCs/>
          <w:color w:val="auto"/>
          <w:sz w:val="24"/>
          <w:highlight w:val="none"/>
          <w:lang w:val="en-US" w:eastAsia="zh-CN"/>
        </w:rPr>
        <w:t>4</w:t>
      </w:r>
      <w:r>
        <w:rPr>
          <w:rFonts w:cs="宋体" w:asciiTheme="minorEastAsia" w:hAnsiTheme="minorEastAsia" w:eastAsiaTheme="minorEastAsia"/>
          <w:bCs/>
          <w:color w:val="auto"/>
          <w:sz w:val="24"/>
          <w:highlight w:val="none"/>
        </w:rPr>
        <w:t>.2</w:t>
      </w:r>
      <w:r>
        <w:rPr>
          <w:rFonts w:hint="eastAsia" w:cs="宋体" w:asciiTheme="minorEastAsia" w:hAnsiTheme="minorEastAsia" w:eastAsiaTheme="minorEastAsia"/>
          <w:color w:val="auto"/>
          <w:kern w:val="0"/>
          <w:sz w:val="24"/>
          <w:highlight w:val="none"/>
        </w:rPr>
        <w:t>在政府采购活动中，服务类项目采购，服务由中小企业承接，即提供服务的人员为中小企业依照《中华人民共和国劳动合同法》订立劳动合同的从业人员，</w:t>
      </w:r>
      <w:r>
        <w:rPr>
          <w:rFonts w:hint="eastAsia" w:ascii="宋体" w:hAnsi="宋体" w:cs="宋体"/>
          <w:color w:val="auto"/>
          <w:kern w:val="0"/>
          <w:sz w:val="24"/>
          <w:highlight w:val="none"/>
        </w:rPr>
        <w:t>享受中小企业扶持政策。</w:t>
      </w:r>
    </w:p>
    <w:p w14:paraId="51A5F40B">
      <w:pPr>
        <w:widowControl/>
        <w:spacing w:line="360" w:lineRule="auto"/>
        <w:ind w:firstLine="480" w:firstLineChars="200"/>
        <w:jc w:val="left"/>
        <w:rPr>
          <w:rFonts w:hint="eastAsia"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以联合体形式参加政府采购活动，联合体各方均为中小企业的，联合体视同中小企业。其中，联合体各方均为小微企业的，联合体视同小微企业。</w:t>
      </w:r>
    </w:p>
    <w:p w14:paraId="49919417">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4</w:t>
      </w:r>
      <w:r>
        <w:rPr>
          <w:rFonts w:hint="eastAsia" w:cs="宋体" w:asciiTheme="minorEastAsia" w:hAnsiTheme="minorEastAsia" w:eastAsiaTheme="minorEastAsia"/>
          <w:color w:val="auto"/>
          <w:sz w:val="24"/>
          <w:highlight w:val="none"/>
        </w:rPr>
        <w:t>.3对于未预留份额专门面向中小企业采购的政府采购项目，以及预留份额政府采购项目中的非预留部分标项，对小型和微型企业的最后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6%的扣除，用扣除后的价格参加评审。组成联合体或者接受分包的小微企业与联合体内其他企业、分包企业之间存在直接控股、管理关系的，不享受价格扣除优惠政策。</w:t>
      </w:r>
    </w:p>
    <w:p w14:paraId="5858C705">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4</w:t>
      </w:r>
      <w:r>
        <w:rPr>
          <w:rFonts w:hint="eastAsia" w:cs="宋体" w:asciiTheme="minorEastAsia" w:hAnsiTheme="minorEastAsia" w:eastAsiaTheme="minorEastAsia"/>
          <w:color w:val="auto"/>
          <w:sz w:val="24"/>
          <w:highlight w:val="none"/>
        </w:rPr>
        <w:t>.4符合《关于促进残疾人就业政府采购政策的通知》（财库〔2017〕141号）规定的条件并提供《残疾人福利性单位声明函》（附件</w:t>
      </w:r>
      <w:r>
        <w:rPr>
          <w:rFonts w:cs="宋体" w:asciiTheme="minorEastAsia" w:hAnsiTheme="minorEastAsia" w:eastAsiaTheme="minorEastAsia"/>
          <w:color w:val="auto"/>
          <w:sz w:val="24"/>
          <w:highlight w:val="none"/>
        </w:rPr>
        <w:t>3</w:t>
      </w:r>
      <w:r>
        <w:rPr>
          <w:rFonts w:hint="eastAsia" w:cs="宋体" w:asciiTheme="minorEastAsia" w:hAnsiTheme="minorEastAsia" w:eastAsiaTheme="minorEastAsia"/>
          <w:color w:val="auto"/>
          <w:sz w:val="24"/>
          <w:highlight w:val="none"/>
        </w:rPr>
        <w:t>）的残疾人福利性单位视同小型、微型企业；</w:t>
      </w:r>
    </w:p>
    <w:p w14:paraId="2EE19B10">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4</w:t>
      </w:r>
      <w:r>
        <w:rPr>
          <w:rFonts w:hint="eastAsia" w:cs="宋体" w:asciiTheme="minorEastAsia" w:hAnsiTheme="minorEastAsia" w:eastAsiaTheme="minorEastAsia"/>
          <w:color w:val="auto"/>
          <w:sz w:val="24"/>
          <w:highlight w:val="none"/>
        </w:rPr>
        <w:t>.5符合《关于政府采购支持监狱企业发展有关问题的通知》（财库〔2014〕68号）规定的监狱企业并提供由省级以上监狱管理局、戒毒管理局（含新疆生产建设兵团）出具的属于监狱企业证明文件的，视同为小型、微型企业。</w:t>
      </w:r>
    </w:p>
    <w:p w14:paraId="075E8028">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4</w:t>
      </w:r>
      <w:r>
        <w:rPr>
          <w:rFonts w:hint="eastAsia" w:cs="宋体" w:asciiTheme="minorEastAsia" w:hAnsiTheme="minorEastAsia" w:eastAsiaTheme="minorEastAsia"/>
          <w:color w:val="auto"/>
          <w:sz w:val="24"/>
          <w:highlight w:val="none"/>
        </w:rPr>
        <w:t>.6可享受中小企业扶持政策的供应商应按照磋商文件格式要求提供《中小企业声明函》，供应商提供的《中小企业声明函》与实际情况不符的，不享受中小企业扶持政策。声明内容不实的，属于提供虚假材料谋取中标、成交的，依法承担法律责任。</w:t>
      </w:r>
    </w:p>
    <w:p w14:paraId="2E1A2EE8">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4</w:t>
      </w:r>
      <w:r>
        <w:rPr>
          <w:rFonts w:hint="eastAsia" w:cs="宋体" w:asciiTheme="minorEastAsia" w:hAnsiTheme="minorEastAsia" w:eastAsiaTheme="minorEastAsia"/>
          <w:color w:val="auto"/>
          <w:sz w:val="24"/>
          <w:highlight w:val="none"/>
        </w:rPr>
        <w:t>.7中小企业享受扶持政策获得政府采购合同的，小微企业不得将合同分包给大中型企业，中型企业不得将合同分包给大型企业。</w:t>
      </w:r>
      <w:permStart w:id="1" w:edGrp="everyone"/>
      <w:permEnd w:id="1"/>
      <w:bookmarkStart w:id="170" w:name="_GoBack"/>
      <w:bookmarkEnd w:id="170"/>
    </w:p>
    <w:p w14:paraId="7DC05176">
      <w:pPr>
        <w:spacing w:line="360" w:lineRule="auto"/>
        <w:rPr>
          <w:rFonts w:hint="eastAsia" w:ascii="宋体" w:hAnsi="宋体" w:cs="宋体"/>
          <w:b/>
          <w:color w:val="auto"/>
          <w:sz w:val="24"/>
          <w:highlight w:val="none"/>
        </w:rPr>
      </w:pPr>
      <w:r>
        <w:rPr>
          <w:rFonts w:hint="eastAsia" w:cs="宋体" w:asciiTheme="minorEastAsia" w:hAnsiTheme="minorEastAsia" w:eastAsiaTheme="minorEastAsia"/>
          <w:b/>
          <w:color w:val="auto"/>
          <w:sz w:val="24"/>
          <w:highlight w:val="none"/>
          <w:lang w:val="en-US" w:eastAsia="zh-CN"/>
        </w:rPr>
        <w:t>5</w:t>
      </w:r>
      <w:r>
        <w:rPr>
          <w:rFonts w:hint="eastAsia" w:cs="宋体" w:asciiTheme="minorEastAsia" w:hAnsiTheme="minorEastAsia" w:eastAsiaTheme="minorEastAsia"/>
          <w:b/>
          <w:color w:val="auto"/>
          <w:sz w:val="24"/>
          <w:highlight w:val="none"/>
        </w:rPr>
        <w:t>.</w:t>
      </w:r>
      <w:r>
        <w:rPr>
          <w:rFonts w:hint="eastAsia" w:ascii="宋体" w:hAnsi="宋体" w:cs="宋体"/>
          <w:b/>
          <w:color w:val="auto"/>
          <w:sz w:val="24"/>
          <w:highlight w:val="none"/>
        </w:rPr>
        <w:t>平等对待内外资企业</w:t>
      </w:r>
    </w:p>
    <w:p w14:paraId="6225C64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2EA5315C">
      <w:pPr>
        <w:pStyle w:val="634"/>
        <w:ind w:firstLine="0"/>
        <w:rPr>
          <w:rFonts w:hint="eastAsia"/>
          <w:b/>
          <w:bCs/>
          <w:color w:val="auto"/>
          <w:highlight w:val="none"/>
        </w:rPr>
      </w:pPr>
      <w:r>
        <w:rPr>
          <w:rFonts w:hint="eastAsia" w:cs="宋体" w:asciiTheme="minorEastAsia" w:hAnsiTheme="minorEastAsia" w:eastAsiaTheme="minorEastAsia"/>
          <w:b/>
          <w:color w:val="auto"/>
          <w:highlight w:val="none"/>
          <w:lang w:val="en-US" w:eastAsia="zh-CN"/>
        </w:rPr>
        <w:t>6</w:t>
      </w:r>
      <w:r>
        <w:rPr>
          <w:rFonts w:hint="eastAsia" w:cs="宋体" w:asciiTheme="minorEastAsia" w:hAnsiTheme="minorEastAsia" w:eastAsiaTheme="minorEastAsia"/>
          <w:b/>
          <w:color w:val="auto"/>
          <w:highlight w:val="none"/>
        </w:rPr>
        <w:t>.</w:t>
      </w:r>
      <w:r>
        <w:rPr>
          <w:rFonts w:hint="eastAsia"/>
          <w:b/>
          <w:color w:val="auto"/>
          <w:highlight w:val="none"/>
        </w:rPr>
        <w:t>平等对待符合条件的破产重整企业</w:t>
      </w:r>
    </w:p>
    <w:p w14:paraId="3C5A9714">
      <w:pPr>
        <w:pStyle w:val="634"/>
        <w:rPr>
          <w:rFonts w:hint="eastAsia"/>
          <w:color w:val="auto"/>
          <w:highlight w:val="none"/>
        </w:rPr>
      </w:pPr>
      <w:r>
        <w:rPr>
          <w:rFonts w:hint="eastAsia" w:cs="宋体"/>
          <w:color w:val="auto"/>
          <w:highlight w:val="none"/>
        </w:rPr>
        <w:t>平等对待符合条件的破产重整企业，切实保障企业公平竞争，平等维护企业的合法利益。</w:t>
      </w:r>
    </w:p>
    <w:p w14:paraId="4EF31676">
      <w:pPr>
        <w:spacing w:line="360" w:lineRule="auto"/>
        <w:ind w:firstLine="480" w:firstLineChars="200"/>
        <w:rPr>
          <w:rFonts w:asciiTheme="minorEastAsia" w:hAnsiTheme="minorEastAsia" w:eastAsiaTheme="minorEastAsia"/>
          <w:color w:val="auto"/>
          <w:sz w:val="24"/>
          <w:highlight w:val="none"/>
        </w:rPr>
      </w:pPr>
    </w:p>
    <w:p w14:paraId="04733C9B">
      <w:pPr>
        <w:pStyle w:val="4"/>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四、询问、质疑与投诉</w:t>
      </w:r>
    </w:p>
    <w:p w14:paraId="7BFF7D0E">
      <w:pPr>
        <w:pStyle w:val="32"/>
        <w:spacing w:line="360" w:lineRule="auto"/>
        <w:outlineLvl w:val="9"/>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 xml:space="preserve"> </w:t>
      </w:r>
      <w:r>
        <w:rPr>
          <w:rFonts w:hint="eastAsia" w:asciiTheme="minorEastAsia" w:hAnsiTheme="minorEastAsia" w:eastAsiaTheme="minorEastAsia"/>
          <w:b/>
          <w:color w:val="auto"/>
          <w:sz w:val="24"/>
          <w:highlight w:val="none"/>
        </w:rPr>
        <w:t>在线询问、质疑、投诉</w:t>
      </w:r>
    </w:p>
    <w:p w14:paraId="50242396">
      <w:pPr>
        <w:spacing w:line="360" w:lineRule="auto"/>
        <w:ind w:firstLine="480" w:firstLineChars="200"/>
        <w:outlineLvl w:val="9"/>
        <w:rPr>
          <w:rFonts w:asciiTheme="minorEastAsia" w:hAnsiTheme="minorEastAsia" w:eastAsiaTheme="minorEastAsia"/>
          <w:color w:val="auto"/>
          <w:sz w:val="24"/>
          <w:highlight w:val="none"/>
          <w:lang w:val="zh-CN"/>
        </w:rPr>
      </w:pPr>
      <w:r>
        <w:rPr>
          <w:rFonts w:hint="eastAsia" w:asciiTheme="minorEastAsia" w:hAnsiTheme="minorEastAsia" w:eastAsiaTheme="minorEastAsia"/>
          <w:color w:val="auto"/>
          <w:sz w:val="24"/>
          <w:highlight w:val="none"/>
          <w:lang w:val="zh-CN"/>
        </w:rPr>
        <w:t>根据《北海市财政局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2F669182">
      <w:pPr>
        <w:pStyle w:val="634"/>
        <w:outlineLvl w:val="9"/>
        <w:rPr>
          <w:rFonts w:hint="default" w:eastAsia="宋体"/>
          <w:color w:val="auto"/>
          <w:highlight w:val="none"/>
          <w:lang w:val="en-US" w:eastAsia="zh-CN"/>
        </w:rPr>
      </w:pPr>
      <w:r>
        <w:rPr>
          <w:rFonts w:hint="eastAsia"/>
          <w:color w:val="auto"/>
          <w:highlight w:val="none"/>
        </w:rPr>
        <w:t>询问联系部门</w:t>
      </w:r>
      <w:r>
        <w:rPr>
          <w:rFonts w:hint="eastAsia"/>
          <w:color w:val="auto"/>
          <w:highlight w:val="none"/>
          <w:lang w:eastAsia="zh-CN"/>
        </w:rPr>
        <w:t>：</w:t>
      </w:r>
      <w:r>
        <w:rPr>
          <w:rFonts w:hint="eastAsia"/>
          <w:color w:val="auto"/>
          <w:highlight w:val="none"/>
          <w:lang w:val="en-US" w:eastAsia="zh-CN"/>
        </w:rPr>
        <w:t xml:space="preserve">广西邕政采购代理有限公司   </w:t>
      </w:r>
      <w:r>
        <w:rPr>
          <w:rFonts w:hint="eastAsia"/>
          <w:color w:val="auto"/>
          <w:highlight w:val="none"/>
        </w:rPr>
        <w:t>联系电话</w:t>
      </w:r>
      <w:r>
        <w:rPr>
          <w:rFonts w:hint="eastAsia"/>
          <w:color w:val="auto"/>
          <w:highlight w:val="none"/>
          <w:lang w:eastAsia="zh-CN"/>
        </w:rPr>
        <w:t>：0771-2225338</w:t>
      </w:r>
      <w:r>
        <w:rPr>
          <w:rFonts w:hint="eastAsia"/>
          <w:color w:val="auto"/>
          <w:highlight w:val="none"/>
        </w:rPr>
        <w:t>；联系人</w:t>
      </w:r>
      <w:r>
        <w:rPr>
          <w:rFonts w:hint="eastAsia"/>
          <w:color w:val="auto"/>
          <w:highlight w:val="none"/>
          <w:lang w:eastAsia="zh-CN"/>
        </w:rPr>
        <w:t>：</w:t>
      </w:r>
      <w:r>
        <w:rPr>
          <w:rFonts w:hint="eastAsia"/>
          <w:color w:val="auto"/>
          <w:highlight w:val="none"/>
          <w:lang w:val="en-US" w:eastAsia="zh-CN"/>
        </w:rPr>
        <w:t>黄秋梅、罗霞</w:t>
      </w:r>
      <w:r>
        <w:rPr>
          <w:rFonts w:hint="eastAsia"/>
          <w:color w:val="auto"/>
          <w:highlight w:val="none"/>
        </w:rPr>
        <w:t xml:space="preserve">   地址</w:t>
      </w:r>
      <w:r>
        <w:rPr>
          <w:rFonts w:hint="eastAsia"/>
          <w:color w:val="auto"/>
          <w:highlight w:val="none"/>
          <w:lang w:eastAsia="zh-CN"/>
        </w:rPr>
        <w:t>：</w:t>
      </w:r>
      <w:r>
        <w:rPr>
          <w:rFonts w:hint="eastAsia"/>
          <w:color w:val="auto"/>
          <w:highlight w:val="none"/>
          <w:lang w:val="en-US" w:eastAsia="zh-CN"/>
        </w:rPr>
        <w:t>南宁市青秀区民族大道180号（威壮大厦）22层2210～2217室室。</w:t>
      </w:r>
    </w:p>
    <w:p w14:paraId="77C0E6C1">
      <w:pPr>
        <w:pStyle w:val="634"/>
        <w:outlineLvl w:val="9"/>
        <w:rPr>
          <w:rFonts w:hint="eastAsia"/>
          <w:color w:val="auto"/>
          <w:highlight w:val="none"/>
        </w:rPr>
      </w:pPr>
      <w:r>
        <w:rPr>
          <w:rFonts w:hint="eastAsia"/>
          <w:color w:val="auto"/>
          <w:highlight w:val="none"/>
        </w:rPr>
        <w:t>质疑联系部门</w:t>
      </w:r>
      <w:r>
        <w:rPr>
          <w:rFonts w:hint="eastAsia"/>
          <w:color w:val="auto"/>
          <w:highlight w:val="none"/>
          <w:lang w:eastAsia="zh-CN"/>
        </w:rPr>
        <w:t>：广西邕政采购代理有限公司</w:t>
      </w:r>
      <w:r>
        <w:rPr>
          <w:rFonts w:hint="eastAsia"/>
          <w:color w:val="auto"/>
          <w:highlight w:val="none"/>
        </w:rPr>
        <w:t xml:space="preserve">   联系电话</w:t>
      </w:r>
      <w:r>
        <w:rPr>
          <w:rFonts w:hint="eastAsia"/>
          <w:color w:val="auto"/>
          <w:highlight w:val="none"/>
          <w:lang w:eastAsia="zh-CN"/>
        </w:rPr>
        <w:t>：0771-2225338</w:t>
      </w:r>
      <w:r>
        <w:rPr>
          <w:rFonts w:hint="eastAsia"/>
          <w:color w:val="auto"/>
          <w:highlight w:val="none"/>
        </w:rPr>
        <w:t>；</w:t>
      </w:r>
    </w:p>
    <w:p w14:paraId="5729B8A5">
      <w:pPr>
        <w:pStyle w:val="634"/>
        <w:outlineLvl w:val="9"/>
        <w:rPr>
          <w:rFonts w:hint="eastAsia"/>
          <w:color w:val="auto"/>
          <w:highlight w:val="none"/>
        </w:rPr>
      </w:pPr>
      <w:r>
        <w:rPr>
          <w:rFonts w:hint="eastAsia"/>
          <w:color w:val="auto"/>
          <w:highlight w:val="none"/>
        </w:rPr>
        <w:t>联系人</w:t>
      </w:r>
      <w:r>
        <w:rPr>
          <w:rFonts w:hint="eastAsia"/>
          <w:color w:val="auto"/>
          <w:highlight w:val="none"/>
          <w:lang w:eastAsia="zh-CN"/>
        </w:rPr>
        <w:t>：</w:t>
      </w:r>
      <w:r>
        <w:rPr>
          <w:rFonts w:hint="eastAsia"/>
          <w:color w:val="auto"/>
          <w:highlight w:val="none"/>
          <w:lang w:val="en-US" w:eastAsia="zh-CN"/>
        </w:rPr>
        <w:t>黄秋梅、罗霞</w:t>
      </w:r>
      <w:r>
        <w:rPr>
          <w:rFonts w:hint="eastAsia"/>
          <w:color w:val="auto"/>
          <w:highlight w:val="none"/>
        </w:rPr>
        <w:t xml:space="preserve">     地址</w:t>
      </w:r>
      <w:r>
        <w:rPr>
          <w:rFonts w:hint="eastAsia"/>
          <w:color w:val="auto"/>
          <w:highlight w:val="none"/>
          <w:lang w:eastAsia="zh-CN"/>
        </w:rPr>
        <w:t>：南宁市青秀区民族大道180号（威壮大厦）22层2210～2217室室</w:t>
      </w:r>
      <w:r>
        <w:rPr>
          <w:rFonts w:hint="eastAsia"/>
          <w:color w:val="auto"/>
          <w:highlight w:val="none"/>
        </w:rPr>
        <w:t xml:space="preserve">        </w:t>
      </w:r>
    </w:p>
    <w:p w14:paraId="33F20DB4">
      <w:pPr>
        <w:pStyle w:val="634"/>
        <w:outlineLvl w:val="9"/>
        <w:rPr>
          <w:rFonts w:hint="eastAsia"/>
          <w:color w:val="auto"/>
          <w:highlight w:val="none"/>
        </w:rPr>
      </w:pPr>
      <w:r>
        <w:rPr>
          <w:rFonts w:hint="eastAsia"/>
          <w:color w:val="auto"/>
          <w:highlight w:val="none"/>
        </w:rPr>
        <w:t>投诉联系部门</w:t>
      </w:r>
      <w:r>
        <w:rPr>
          <w:rFonts w:hint="eastAsia"/>
          <w:color w:val="auto"/>
          <w:highlight w:val="none"/>
          <w:lang w:eastAsia="zh-CN"/>
        </w:rPr>
        <w:t>：</w:t>
      </w:r>
      <w:r>
        <w:rPr>
          <w:rFonts w:hint="eastAsia"/>
          <w:color w:val="auto"/>
          <w:highlight w:val="none"/>
        </w:rPr>
        <w:t>北海市财政局政府采购管理科     联系电话</w:t>
      </w:r>
      <w:r>
        <w:rPr>
          <w:rFonts w:hint="eastAsia"/>
          <w:color w:val="auto"/>
          <w:highlight w:val="none"/>
          <w:lang w:eastAsia="zh-CN"/>
        </w:rPr>
        <w:t>：</w:t>
      </w:r>
      <w:r>
        <w:rPr>
          <w:rFonts w:hint="eastAsia"/>
          <w:color w:val="auto"/>
          <w:highlight w:val="none"/>
        </w:rPr>
        <w:t xml:space="preserve">0779-3063975        </w:t>
      </w:r>
    </w:p>
    <w:p w14:paraId="74EB53B0">
      <w:pPr>
        <w:pStyle w:val="634"/>
        <w:outlineLvl w:val="9"/>
        <w:rPr>
          <w:color w:val="auto"/>
          <w:highlight w:val="none"/>
        </w:rPr>
      </w:pPr>
      <w:r>
        <w:rPr>
          <w:rFonts w:hint="eastAsia"/>
          <w:color w:val="auto"/>
          <w:highlight w:val="none"/>
        </w:rPr>
        <w:t>联系人</w:t>
      </w:r>
      <w:r>
        <w:rPr>
          <w:rFonts w:hint="eastAsia"/>
          <w:color w:val="auto"/>
          <w:highlight w:val="none"/>
          <w:lang w:eastAsia="zh-CN"/>
        </w:rPr>
        <w:t>：</w:t>
      </w:r>
      <w:r>
        <w:rPr>
          <w:rFonts w:hint="eastAsia"/>
          <w:color w:val="auto"/>
          <w:highlight w:val="none"/>
          <w:lang w:val="en-US" w:eastAsia="zh-CN"/>
        </w:rPr>
        <w:t>陈科</w:t>
      </w:r>
      <w:r>
        <w:rPr>
          <w:rFonts w:hint="eastAsia"/>
          <w:color w:val="auto"/>
          <w:highlight w:val="none"/>
        </w:rPr>
        <w:t xml:space="preserve">              地址</w:t>
      </w:r>
      <w:r>
        <w:rPr>
          <w:rFonts w:hint="eastAsia"/>
          <w:color w:val="auto"/>
          <w:highlight w:val="none"/>
          <w:lang w:eastAsia="zh-CN"/>
        </w:rPr>
        <w:t>：</w:t>
      </w:r>
      <w:r>
        <w:rPr>
          <w:rFonts w:hint="eastAsia"/>
          <w:color w:val="auto"/>
          <w:highlight w:val="none"/>
        </w:rPr>
        <w:t>北海市海城区北部湾西路19号</w:t>
      </w:r>
    </w:p>
    <w:p w14:paraId="45720DD4">
      <w:pPr>
        <w:spacing w:line="360" w:lineRule="auto"/>
        <w:outlineLvl w:val="9"/>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 供应商询问</w:t>
      </w:r>
    </w:p>
    <w:p w14:paraId="48F57D9A">
      <w:pPr>
        <w:autoSpaceDE w:val="0"/>
        <w:autoSpaceDN w:val="0"/>
        <w:spacing w:line="360" w:lineRule="auto"/>
        <w:ind w:firstLine="480" w:firstLineChars="200"/>
        <w:jc w:val="left"/>
        <w:outlineLvl w:val="9"/>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5A129819">
      <w:pPr>
        <w:spacing w:line="360" w:lineRule="auto"/>
        <w:outlineLvl w:val="9"/>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 供应商质疑</w:t>
      </w:r>
    </w:p>
    <w:p w14:paraId="3D8D24B8">
      <w:pPr>
        <w:pStyle w:val="32"/>
        <w:spacing w:line="360" w:lineRule="auto"/>
        <w:ind w:firstLine="482" w:firstLineChars="200"/>
        <w:outlineLvl w:val="9"/>
        <w:rPr>
          <w:rFonts w:asciiTheme="minorEastAsia" w:hAnsiTheme="minorEastAsia" w:eastAsiaTheme="minorEastAsia"/>
          <w:b/>
          <w:color w:val="auto"/>
          <w:sz w:val="24"/>
          <w:highlight w:val="none"/>
        </w:rPr>
      </w:pPr>
      <w:r>
        <w:rPr>
          <w:rFonts w:hint="eastAsia" w:cs="微软雅黑" w:asciiTheme="minorEastAsia" w:hAnsiTheme="minorEastAsia" w:eastAsiaTheme="minorEastAsia"/>
          <w:b/>
          <w:color w:val="auto"/>
          <w:kern w:val="0"/>
          <w:sz w:val="24"/>
          <w:highlight w:val="none"/>
          <w:lang w:val="zh-CN"/>
        </w:rPr>
        <w:t>3</w:t>
      </w: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 xml:space="preserve"> </w:t>
      </w:r>
      <w:r>
        <w:rPr>
          <w:rFonts w:hint="eastAsia" w:asciiTheme="minorEastAsia" w:hAnsiTheme="minorEastAsia" w:eastAsiaTheme="minorEastAsia"/>
          <w:b/>
          <w:color w:val="auto"/>
          <w:sz w:val="24"/>
          <w:highlight w:val="none"/>
        </w:rPr>
        <w:t>质疑提出时效</w:t>
      </w:r>
    </w:p>
    <w:p w14:paraId="38AA6185">
      <w:pPr>
        <w:pStyle w:val="32"/>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3.1.1</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highlight w:val="none"/>
        </w:rPr>
        <w:t>提出质疑的供应商应当是参与所质疑项目采购活动的供应商。潜在供应商已依法获取其可质疑的采购文件的，可以对该文件提出质疑。</w:t>
      </w:r>
    </w:p>
    <w:p w14:paraId="3E83EC91">
      <w:pPr>
        <w:pStyle w:val="32"/>
        <w:spacing w:line="360" w:lineRule="auto"/>
        <w:ind w:firstLine="480" w:firstLineChars="200"/>
        <w:outlineLvl w:val="9"/>
        <w:rPr>
          <w:rFonts w:hint="eastAsia" w:asciiTheme="minorEastAsia" w:hAnsiTheme="minorEastAsia" w:eastAsiaTheme="minorEastAsia"/>
          <w:color w:val="auto"/>
          <w:sz w:val="24"/>
          <w:highlight w:val="none"/>
          <w:lang w:eastAsia="zh-CN"/>
        </w:rPr>
      </w:pPr>
      <w:r>
        <w:rPr>
          <w:rFonts w:hint="eastAsia" w:cs="微软雅黑" w:asciiTheme="minorEastAsia" w:hAnsiTheme="minorEastAsia" w:eastAsiaTheme="minorEastAsia"/>
          <w:color w:val="auto"/>
          <w:kern w:val="0"/>
          <w:sz w:val="24"/>
          <w:highlight w:val="none"/>
          <w:lang w:val="zh-CN"/>
        </w:rPr>
        <w:t>3</w:t>
      </w:r>
      <w:r>
        <w:rPr>
          <w:rFonts w:hint="eastAsia" w:asciiTheme="minorEastAsia" w:hAnsiTheme="minorEastAsia" w:eastAsiaTheme="minorEastAsia"/>
          <w:color w:val="auto"/>
          <w:sz w:val="24"/>
          <w:highlight w:val="none"/>
        </w:rPr>
        <w:t>.1.2</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highlight w:val="none"/>
        </w:rPr>
        <w:t>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r>
        <w:rPr>
          <w:rFonts w:hint="eastAsia" w:asciiTheme="minorEastAsia" w:hAnsiTheme="minorEastAsia" w:eastAsiaTheme="minorEastAsia"/>
          <w:color w:val="auto"/>
          <w:sz w:val="24"/>
          <w:highlight w:val="none"/>
          <w:lang w:eastAsia="zh-CN"/>
        </w:rPr>
        <w:t>：</w:t>
      </w:r>
    </w:p>
    <w:p w14:paraId="70B04A7E">
      <w:pPr>
        <w:pStyle w:val="16"/>
        <w:spacing w:line="360" w:lineRule="auto"/>
        <w:ind w:firstLine="434" w:firstLineChars="181"/>
        <w:outlineLvl w:val="9"/>
        <w:rPr>
          <w:rFonts w:asciiTheme="minorEastAsia" w:hAnsiTheme="minorEastAsia" w:eastAsiaTheme="minorEastAsia"/>
          <w:color w:val="auto"/>
          <w:kern w:val="2"/>
          <w:sz w:val="24"/>
          <w:highlight w:val="none"/>
        </w:rPr>
      </w:pPr>
      <w:r>
        <w:rPr>
          <w:rFonts w:hint="eastAsia" w:asciiTheme="minorEastAsia" w:hAnsiTheme="minorEastAsia" w:eastAsiaTheme="minorEastAsia"/>
          <w:color w:val="auto"/>
          <w:kern w:val="2"/>
          <w:sz w:val="24"/>
          <w:highlight w:val="none"/>
        </w:rPr>
        <w:t>3.1.2.1</w:t>
      </w:r>
      <w:r>
        <w:rPr>
          <w:rFonts w:hint="eastAsia" w:asciiTheme="minorEastAsia" w:hAnsiTheme="minorEastAsia" w:eastAsiaTheme="minorEastAsia"/>
          <w:color w:val="auto"/>
          <w:kern w:val="2"/>
          <w:sz w:val="24"/>
          <w:highlight w:val="none"/>
          <w:lang w:val="en-US" w:eastAsia="zh-CN"/>
        </w:rPr>
        <w:t xml:space="preserve"> </w:t>
      </w:r>
      <w:r>
        <w:rPr>
          <w:rFonts w:hint="eastAsia" w:asciiTheme="minorEastAsia" w:hAnsiTheme="minorEastAsia" w:eastAsiaTheme="minorEastAsia"/>
          <w:color w:val="auto"/>
          <w:kern w:val="2"/>
          <w:sz w:val="24"/>
          <w:highlight w:val="none"/>
        </w:rPr>
        <w:t>对采购文件提出质疑的，质疑期限为供应商获得采购文件之日或者采购文件公告期限届满之日起计算，采购文件在获取截止之日后获得的，应当自采购文件公告期限届满之日起计算。</w:t>
      </w:r>
    </w:p>
    <w:p w14:paraId="707F1107">
      <w:pPr>
        <w:pStyle w:val="32"/>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3.1.2.2</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highlight w:val="none"/>
        </w:rPr>
        <w:t>对采购过程提出质疑的，质疑期限为各采购程序环节结束之日起计算。</w:t>
      </w:r>
    </w:p>
    <w:p w14:paraId="04102CCA">
      <w:pPr>
        <w:pStyle w:val="32"/>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3.1.2.3</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highlight w:val="none"/>
        </w:rPr>
        <w:t>对采购结果提出质疑的，质疑期限自采购结果公告期限届满之日起计算。</w:t>
      </w:r>
    </w:p>
    <w:p w14:paraId="047DF7FB">
      <w:pPr>
        <w:pStyle w:val="32"/>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3.1.2.4</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highlight w:val="none"/>
        </w:rPr>
        <w:t>对同一采购程序环节的质疑，供应商须一次性提出。</w:t>
      </w:r>
    </w:p>
    <w:p w14:paraId="73B1B9B1">
      <w:pPr>
        <w:pStyle w:val="32"/>
        <w:spacing w:line="360" w:lineRule="auto"/>
        <w:ind w:firstLine="482"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b/>
          <w:color w:val="auto"/>
          <w:sz w:val="24"/>
          <w:highlight w:val="none"/>
        </w:rPr>
        <w:t>3.2</w:t>
      </w:r>
      <w:r>
        <w:rPr>
          <w:rFonts w:hint="eastAsia" w:asciiTheme="minorEastAsia" w:hAnsiTheme="minorEastAsia" w:eastAsiaTheme="minorEastAsia"/>
          <w:b/>
          <w:color w:val="auto"/>
          <w:sz w:val="24"/>
          <w:highlight w:val="none"/>
          <w:lang w:val="en-US" w:eastAsia="zh-CN"/>
        </w:rPr>
        <w:t xml:space="preserve"> </w:t>
      </w:r>
      <w:r>
        <w:rPr>
          <w:rFonts w:hint="eastAsia" w:asciiTheme="minorEastAsia" w:hAnsiTheme="minorEastAsia" w:eastAsiaTheme="minorEastAsia"/>
          <w:b/>
          <w:color w:val="auto"/>
          <w:sz w:val="24"/>
          <w:highlight w:val="none"/>
        </w:rPr>
        <w:t>质疑答复</w:t>
      </w:r>
    </w:p>
    <w:p w14:paraId="17E86077">
      <w:pPr>
        <w:pStyle w:val="32"/>
        <w:spacing w:line="360" w:lineRule="auto"/>
        <w:ind w:firstLine="480" w:firstLineChars="200"/>
        <w:outlineLvl w:val="9"/>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3.2.1</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highlight w:val="none"/>
        </w:rPr>
        <w:t>根据采购人与采购代理机构签订采购委托协议的规定，质疑答复责任主体如下</w:t>
      </w:r>
      <w:r>
        <w:rPr>
          <w:rFonts w:hint="eastAsia" w:asciiTheme="minorEastAsia" w:hAnsiTheme="minorEastAsia" w:eastAsiaTheme="minorEastAsia"/>
          <w:color w:val="auto"/>
          <w:sz w:val="24"/>
          <w:highlight w:val="none"/>
          <w:lang w:eastAsia="zh-CN"/>
        </w:rPr>
        <w:t>：</w:t>
      </w:r>
    </w:p>
    <w:p w14:paraId="14C819F0">
      <w:pPr>
        <w:widowControl/>
        <w:adjustRightInd/>
        <w:jc w:val="center"/>
        <w:outlineLvl w:val="9"/>
        <w:rPr>
          <w:rFonts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rPr>
        <w:t>质疑答复责任主体一览表</w:t>
      </w:r>
    </w:p>
    <w:tbl>
      <w:tblPr>
        <w:tblStyle w:val="63"/>
        <w:tblW w:w="93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8"/>
        <w:gridCol w:w="4592"/>
        <w:gridCol w:w="2259"/>
      </w:tblGrid>
      <w:tr w14:paraId="4B3B5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7140" w:type="dxa"/>
            <w:gridSpan w:val="2"/>
            <w:vAlign w:val="center"/>
          </w:tcPr>
          <w:p w14:paraId="7450BF0D">
            <w:pPr>
              <w:pStyle w:val="32"/>
              <w:spacing w:line="240" w:lineRule="auto"/>
              <w:jc w:val="center"/>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质疑内容</w:t>
            </w:r>
          </w:p>
        </w:tc>
        <w:tc>
          <w:tcPr>
            <w:tcW w:w="2259" w:type="dxa"/>
            <w:vAlign w:val="center"/>
          </w:tcPr>
          <w:p w14:paraId="32B9C541">
            <w:pPr>
              <w:pStyle w:val="32"/>
              <w:spacing w:line="240" w:lineRule="auto"/>
              <w:jc w:val="center"/>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质疑答复责任主体</w:t>
            </w:r>
          </w:p>
        </w:tc>
      </w:tr>
      <w:tr w14:paraId="2405C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2548" w:type="dxa"/>
            <w:vMerge w:val="restart"/>
            <w:vAlign w:val="center"/>
          </w:tcPr>
          <w:p w14:paraId="444A5C0E">
            <w:pPr>
              <w:pStyle w:val="32"/>
              <w:spacing w:line="240" w:lineRule="auto"/>
              <w:jc w:val="center"/>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对采购文件提出质疑</w:t>
            </w:r>
          </w:p>
        </w:tc>
        <w:tc>
          <w:tcPr>
            <w:tcW w:w="4592" w:type="dxa"/>
            <w:vAlign w:val="center"/>
          </w:tcPr>
          <w:p w14:paraId="5B0A48E4">
            <w:pPr>
              <w:pStyle w:val="32"/>
              <w:spacing w:line="240" w:lineRule="auto"/>
              <w:jc w:val="left"/>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对采购文件中特定资格条件、采购需求、评审办法、评审标准提出的质疑</w:t>
            </w:r>
          </w:p>
        </w:tc>
        <w:tc>
          <w:tcPr>
            <w:tcW w:w="2259" w:type="dxa"/>
            <w:vAlign w:val="center"/>
          </w:tcPr>
          <w:p w14:paraId="495E4787">
            <w:pPr>
              <w:pStyle w:val="32"/>
              <w:spacing w:line="240" w:lineRule="auto"/>
              <w:jc w:val="center"/>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w:t>
            </w:r>
          </w:p>
        </w:tc>
      </w:tr>
      <w:tr w14:paraId="03EC1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2548" w:type="dxa"/>
            <w:vMerge w:val="continue"/>
            <w:vAlign w:val="center"/>
          </w:tcPr>
          <w:p w14:paraId="3581F76B">
            <w:pPr>
              <w:pStyle w:val="32"/>
              <w:spacing w:line="240" w:lineRule="auto"/>
              <w:jc w:val="center"/>
              <w:outlineLvl w:val="9"/>
              <w:rPr>
                <w:rFonts w:asciiTheme="minorEastAsia" w:hAnsiTheme="minorEastAsia" w:eastAsiaTheme="minorEastAsia"/>
                <w:color w:val="auto"/>
                <w:sz w:val="24"/>
                <w:highlight w:val="none"/>
              </w:rPr>
            </w:pPr>
          </w:p>
        </w:tc>
        <w:tc>
          <w:tcPr>
            <w:tcW w:w="4592" w:type="dxa"/>
            <w:vAlign w:val="center"/>
          </w:tcPr>
          <w:p w14:paraId="08546BAA">
            <w:pPr>
              <w:pStyle w:val="32"/>
              <w:spacing w:line="240" w:lineRule="auto"/>
              <w:jc w:val="left"/>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对采购文件中其他内容提出的质疑</w:t>
            </w:r>
          </w:p>
        </w:tc>
        <w:tc>
          <w:tcPr>
            <w:tcW w:w="2259" w:type="dxa"/>
            <w:vAlign w:val="center"/>
          </w:tcPr>
          <w:p w14:paraId="690228CA">
            <w:pPr>
              <w:pStyle w:val="32"/>
              <w:spacing w:line="240" w:lineRule="auto"/>
              <w:jc w:val="center"/>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r w14:paraId="59456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2548" w:type="dxa"/>
            <w:vMerge w:val="restart"/>
            <w:vAlign w:val="center"/>
          </w:tcPr>
          <w:p w14:paraId="17CE7E94">
            <w:pPr>
              <w:pStyle w:val="32"/>
              <w:spacing w:line="240" w:lineRule="auto"/>
              <w:jc w:val="center"/>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对采购过程提出质疑</w:t>
            </w:r>
          </w:p>
        </w:tc>
        <w:tc>
          <w:tcPr>
            <w:tcW w:w="4592" w:type="dxa"/>
            <w:vAlign w:val="center"/>
          </w:tcPr>
          <w:p w14:paraId="083144B0">
            <w:pPr>
              <w:pStyle w:val="32"/>
              <w:spacing w:line="240" w:lineRule="auto"/>
              <w:jc w:val="left"/>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有关现场考察或开启响应文件前答疑会事项提出的质疑</w:t>
            </w:r>
          </w:p>
        </w:tc>
        <w:tc>
          <w:tcPr>
            <w:tcW w:w="2259" w:type="dxa"/>
            <w:vAlign w:val="center"/>
          </w:tcPr>
          <w:p w14:paraId="5ECAD52F">
            <w:pPr>
              <w:pStyle w:val="32"/>
              <w:spacing w:line="240" w:lineRule="auto"/>
              <w:jc w:val="center"/>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w:t>
            </w:r>
          </w:p>
        </w:tc>
      </w:tr>
      <w:tr w14:paraId="5C809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2548" w:type="dxa"/>
            <w:vMerge w:val="continue"/>
            <w:vAlign w:val="center"/>
          </w:tcPr>
          <w:p w14:paraId="3F54B223">
            <w:pPr>
              <w:pStyle w:val="32"/>
              <w:spacing w:line="240" w:lineRule="auto"/>
              <w:jc w:val="center"/>
              <w:outlineLvl w:val="9"/>
              <w:rPr>
                <w:rFonts w:asciiTheme="minorEastAsia" w:hAnsiTheme="minorEastAsia" w:eastAsiaTheme="minorEastAsia"/>
                <w:color w:val="auto"/>
                <w:sz w:val="24"/>
                <w:highlight w:val="none"/>
              </w:rPr>
            </w:pPr>
          </w:p>
        </w:tc>
        <w:tc>
          <w:tcPr>
            <w:tcW w:w="4592" w:type="dxa"/>
            <w:vAlign w:val="center"/>
          </w:tcPr>
          <w:p w14:paraId="26515E96">
            <w:pPr>
              <w:pStyle w:val="32"/>
              <w:spacing w:line="240" w:lineRule="auto"/>
              <w:jc w:val="left"/>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对采购过程中其它事项提出的质疑</w:t>
            </w:r>
          </w:p>
        </w:tc>
        <w:tc>
          <w:tcPr>
            <w:tcW w:w="2259" w:type="dxa"/>
            <w:vAlign w:val="center"/>
          </w:tcPr>
          <w:p w14:paraId="016CB841">
            <w:pPr>
              <w:pStyle w:val="32"/>
              <w:spacing w:line="240" w:lineRule="auto"/>
              <w:jc w:val="center"/>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r w14:paraId="32AB6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2548" w:type="dxa"/>
            <w:vAlign w:val="center"/>
          </w:tcPr>
          <w:p w14:paraId="729C08DE">
            <w:pPr>
              <w:pStyle w:val="32"/>
              <w:spacing w:line="240" w:lineRule="auto"/>
              <w:jc w:val="center"/>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对采购结果提出质疑</w:t>
            </w:r>
          </w:p>
        </w:tc>
        <w:tc>
          <w:tcPr>
            <w:tcW w:w="4592" w:type="dxa"/>
            <w:vAlign w:val="center"/>
          </w:tcPr>
          <w:p w14:paraId="29B1D175">
            <w:pPr>
              <w:pStyle w:val="32"/>
              <w:spacing w:line="240" w:lineRule="auto"/>
              <w:jc w:val="left"/>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对采购结果提出的质疑</w:t>
            </w:r>
          </w:p>
        </w:tc>
        <w:tc>
          <w:tcPr>
            <w:tcW w:w="2259" w:type="dxa"/>
            <w:vAlign w:val="center"/>
          </w:tcPr>
          <w:p w14:paraId="489878ED">
            <w:pPr>
              <w:pStyle w:val="32"/>
              <w:spacing w:line="240" w:lineRule="auto"/>
              <w:jc w:val="center"/>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bl>
    <w:p w14:paraId="563CFBA7">
      <w:pPr>
        <w:pStyle w:val="32"/>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采购人或代理机构应当协助质疑答复责任主体及时答复供应商的书面质疑。</w:t>
      </w:r>
    </w:p>
    <w:p w14:paraId="1709CB9D">
      <w:pPr>
        <w:pStyle w:val="32"/>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3.2.2</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highlight w:val="none"/>
        </w:rPr>
        <w:t>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w:t>
      </w:r>
      <w:r>
        <w:rPr>
          <w:rFonts w:hint="eastAsia" w:asciiTheme="minorEastAsia" w:hAnsiTheme="minorEastAsia" w:eastAsiaTheme="minorEastAsia"/>
          <w:color w:val="auto"/>
          <w:sz w:val="24"/>
          <w:highlight w:val="none"/>
          <w:lang w:val="en-US" w:eastAsia="zh-CN"/>
        </w:rPr>
        <w:t>在</w:t>
      </w:r>
      <w:r>
        <w:rPr>
          <w:rFonts w:hint="eastAsia" w:asciiTheme="minorEastAsia" w:hAnsiTheme="minorEastAsia" w:eastAsiaTheme="minorEastAsia"/>
          <w:color w:val="auto"/>
          <w:sz w:val="24"/>
          <w:highlight w:val="none"/>
        </w:rPr>
        <w:t>质疑回复后5个工作日内，在广西政府采购网公开质疑答复，答复内容应当完整。</w:t>
      </w:r>
    </w:p>
    <w:p w14:paraId="2C7DFD33">
      <w:pPr>
        <w:pStyle w:val="32"/>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3.2.3</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highlight w:val="none"/>
        </w:rPr>
        <w:t>询问或者质疑事项可能影响采购结果的，采购人应当暂停签订合同，已经签订合同的，应当中止履行合同。</w:t>
      </w:r>
    </w:p>
    <w:p w14:paraId="1EAECD4F">
      <w:pPr>
        <w:pStyle w:val="32"/>
        <w:spacing w:line="360" w:lineRule="auto"/>
        <w:ind w:firstLine="482" w:firstLineChars="200"/>
        <w:outlineLvl w:val="9"/>
        <w:rPr>
          <w:rFonts w:asciiTheme="minorEastAsia" w:hAnsiTheme="minorEastAsia" w:eastAsiaTheme="minorEastAsia"/>
          <w:color w:val="auto"/>
          <w:sz w:val="24"/>
          <w:highlight w:val="none"/>
        </w:rPr>
      </w:pPr>
      <w:r>
        <w:rPr>
          <w:rFonts w:hint="eastAsia" w:cs="微软雅黑" w:asciiTheme="minorEastAsia" w:hAnsiTheme="minorEastAsia" w:eastAsiaTheme="minorEastAsia"/>
          <w:b/>
          <w:color w:val="auto"/>
          <w:kern w:val="0"/>
          <w:sz w:val="24"/>
          <w:highlight w:val="none"/>
          <w:lang w:val="zh-CN"/>
        </w:rPr>
        <w:t>3.3</w:t>
      </w:r>
      <w:r>
        <w:rPr>
          <w:rFonts w:hint="eastAsia" w:cs="微软雅黑" w:asciiTheme="minorEastAsia" w:hAnsiTheme="minorEastAsia" w:eastAsiaTheme="minorEastAsia"/>
          <w:b/>
          <w:color w:val="auto"/>
          <w:kern w:val="0"/>
          <w:sz w:val="24"/>
          <w:highlight w:val="none"/>
          <w:lang w:val="en-US" w:eastAsia="zh-CN"/>
        </w:rPr>
        <w:t xml:space="preserve"> </w:t>
      </w:r>
      <w:r>
        <w:rPr>
          <w:rFonts w:hint="eastAsia" w:cs="微软雅黑" w:asciiTheme="minorEastAsia" w:hAnsiTheme="minorEastAsia" w:eastAsiaTheme="minorEastAsia"/>
          <w:b/>
          <w:color w:val="auto"/>
          <w:kern w:val="0"/>
          <w:sz w:val="24"/>
          <w:highlight w:val="none"/>
          <w:lang w:val="zh-CN"/>
        </w:rPr>
        <w:t>质疑函</w:t>
      </w:r>
    </w:p>
    <w:p w14:paraId="208BC286">
      <w:pPr>
        <w:pStyle w:val="32"/>
        <w:spacing w:line="360" w:lineRule="auto"/>
        <w:ind w:firstLine="480" w:firstLineChars="200"/>
        <w:outlineLvl w:val="9"/>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3.3.1</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highlight w:val="none"/>
        </w:rPr>
        <w:t>供应商提出质疑应当提交质疑函和必要的证明材料。质疑函应当包括下列内容</w:t>
      </w:r>
      <w:r>
        <w:rPr>
          <w:rFonts w:hint="eastAsia" w:asciiTheme="minorEastAsia" w:hAnsiTheme="minorEastAsia" w:eastAsiaTheme="minorEastAsia"/>
          <w:color w:val="auto"/>
          <w:sz w:val="24"/>
          <w:highlight w:val="none"/>
          <w:lang w:eastAsia="zh-CN"/>
        </w:rPr>
        <w:t>：</w:t>
      </w:r>
    </w:p>
    <w:p w14:paraId="3CCC900D">
      <w:pPr>
        <w:pStyle w:val="32"/>
        <w:tabs>
          <w:tab w:val="left" w:pos="426"/>
          <w:tab w:val="left" w:pos="840"/>
        </w:tabs>
        <w:spacing w:line="360" w:lineRule="auto"/>
        <w:ind w:firstLine="480" w:firstLineChars="200"/>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3.3.1.1</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szCs w:val="24"/>
          <w:highlight w:val="none"/>
        </w:rPr>
        <w:t>供应商的姓名或者名称、地址、邮编、联系人及联系电话；</w:t>
      </w:r>
    </w:p>
    <w:p w14:paraId="7FB4EEFE">
      <w:pPr>
        <w:pStyle w:val="32"/>
        <w:tabs>
          <w:tab w:val="left" w:pos="426"/>
          <w:tab w:val="left" w:pos="840"/>
        </w:tabs>
        <w:spacing w:line="360" w:lineRule="auto"/>
        <w:ind w:firstLine="480" w:firstLineChars="200"/>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3.3.1.2</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szCs w:val="24"/>
          <w:highlight w:val="none"/>
        </w:rPr>
        <w:t>质疑项目的名称、编号；</w:t>
      </w:r>
    </w:p>
    <w:p w14:paraId="1BBFA12D">
      <w:pPr>
        <w:pStyle w:val="32"/>
        <w:tabs>
          <w:tab w:val="left" w:pos="426"/>
          <w:tab w:val="left" w:pos="840"/>
        </w:tabs>
        <w:spacing w:line="360" w:lineRule="auto"/>
        <w:ind w:firstLine="480" w:firstLineChars="200"/>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3.3.1.3</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szCs w:val="24"/>
          <w:highlight w:val="none"/>
        </w:rPr>
        <w:t>具体、明确的质疑事项和与质疑事项相关的请求；</w:t>
      </w:r>
    </w:p>
    <w:p w14:paraId="04CE4B9A">
      <w:pPr>
        <w:pStyle w:val="32"/>
        <w:tabs>
          <w:tab w:val="left" w:pos="426"/>
          <w:tab w:val="left" w:pos="840"/>
        </w:tabs>
        <w:spacing w:line="360" w:lineRule="auto"/>
        <w:ind w:firstLine="480" w:firstLineChars="200"/>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3.3.1.4</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szCs w:val="24"/>
          <w:highlight w:val="none"/>
        </w:rPr>
        <w:t>事实依据；</w:t>
      </w:r>
    </w:p>
    <w:p w14:paraId="2A2F962A">
      <w:pPr>
        <w:pStyle w:val="32"/>
        <w:tabs>
          <w:tab w:val="left" w:pos="426"/>
          <w:tab w:val="left" w:pos="840"/>
        </w:tabs>
        <w:spacing w:line="360" w:lineRule="auto"/>
        <w:ind w:firstLine="480" w:firstLineChars="200"/>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3.3.1.5</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szCs w:val="24"/>
          <w:highlight w:val="none"/>
        </w:rPr>
        <w:t>必要的法律依据；</w:t>
      </w:r>
    </w:p>
    <w:p w14:paraId="2A1602D0">
      <w:pPr>
        <w:pStyle w:val="32"/>
        <w:tabs>
          <w:tab w:val="left" w:pos="426"/>
          <w:tab w:val="left" w:pos="840"/>
        </w:tabs>
        <w:spacing w:line="360" w:lineRule="auto"/>
        <w:ind w:firstLine="480" w:firstLineChars="200"/>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3.3.1.6</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szCs w:val="24"/>
          <w:highlight w:val="none"/>
        </w:rPr>
        <w:t>提出质疑的日期。</w:t>
      </w:r>
    </w:p>
    <w:p w14:paraId="1258F0CE">
      <w:pPr>
        <w:pStyle w:val="32"/>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3.3.1.7</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highlight w:val="none"/>
        </w:rPr>
        <w:t>供应商提交的质疑函需一式三份。供应商为自然人的，应当由本人签字；供应商为法人或者其他组织的，应当由法定代表人、主要负责人，或者其授权代表签字或者盖章，并加盖公章。</w:t>
      </w:r>
    </w:p>
    <w:p w14:paraId="54096F32">
      <w:pPr>
        <w:pStyle w:val="32"/>
        <w:spacing w:line="360" w:lineRule="auto"/>
        <w:ind w:firstLine="482" w:firstLineChars="200"/>
        <w:outlineLvl w:val="9"/>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质疑函范本及制作说明详见附件</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w:t>
      </w:r>
    </w:p>
    <w:p w14:paraId="00E79390">
      <w:pPr>
        <w:spacing w:line="360" w:lineRule="auto"/>
        <w:outlineLvl w:val="9"/>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 xml:space="preserve"> </w:t>
      </w:r>
      <w:r>
        <w:rPr>
          <w:rFonts w:asciiTheme="minorEastAsia" w:hAnsiTheme="minorEastAsia" w:eastAsiaTheme="minorEastAsia"/>
          <w:b/>
          <w:color w:val="auto"/>
          <w:sz w:val="24"/>
          <w:highlight w:val="none"/>
        </w:rPr>
        <w:t>供应商投诉</w:t>
      </w:r>
    </w:p>
    <w:p w14:paraId="4FD80282">
      <w:pPr>
        <w:pStyle w:val="32"/>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 xml:space="preserve"> </w:t>
      </w:r>
      <w:r>
        <w:rPr>
          <w:rFonts w:asciiTheme="minorEastAsia" w:hAnsiTheme="minorEastAsia" w:eastAsiaTheme="minorEastAsia"/>
          <w:color w:val="auto"/>
          <w:sz w:val="24"/>
          <w:highlight w:val="none"/>
        </w:rPr>
        <w:t>质疑供应商对采购人、</w:t>
      </w:r>
      <w:r>
        <w:rPr>
          <w:rFonts w:hint="eastAsia" w:asciiTheme="minorEastAsia" w:hAnsiTheme="minorEastAsia" w:eastAsiaTheme="minorEastAsia"/>
          <w:color w:val="auto"/>
          <w:sz w:val="24"/>
          <w:highlight w:val="none"/>
        </w:rPr>
        <w:t>采购代理机构</w:t>
      </w:r>
      <w:r>
        <w:rPr>
          <w:rFonts w:asciiTheme="minorEastAsia" w:hAnsiTheme="minorEastAsia" w:eastAsiaTheme="minorEastAsia"/>
          <w:color w:val="auto"/>
          <w:sz w:val="24"/>
          <w:highlight w:val="none"/>
        </w:rPr>
        <w:t>的答复不满意或者采购人、</w:t>
      </w:r>
      <w:r>
        <w:rPr>
          <w:rFonts w:hint="eastAsia" w:asciiTheme="minorEastAsia" w:hAnsiTheme="minorEastAsia" w:eastAsiaTheme="minorEastAsia"/>
          <w:color w:val="auto"/>
          <w:sz w:val="24"/>
          <w:highlight w:val="none"/>
        </w:rPr>
        <w:t>采购代理机构</w:t>
      </w:r>
      <w:r>
        <w:rPr>
          <w:rFonts w:asciiTheme="minorEastAsia" w:hAnsiTheme="minorEastAsia" w:eastAsiaTheme="minorEastAsia"/>
          <w:color w:val="auto"/>
          <w:sz w:val="24"/>
          <w:highlight w:val="none"/>
        </w:rPr>
        <w:t>未在规定的时间内</w:t>
      </w:r>
      <w:r>
        <w:rPr>
          <w:rFonts w:hint="eastAsia" w:asciiTheme="minorEastAsia" w:hAnsiTheme="minorEastAsia" w:eastAsiaTheme="minorEastAsia"/>
          <w:color w:val="auto"/>
          <w:sz w:val="24"/>
          <w:highlight w:val="none"/>
        </w:rPr>
        <w:t>作出答复的，可以在答复期满后十五个工作日内向同级政府采购监督管理部门提出投诉。</w:t>
      </w:r>
    </w:p>
    <w:p w14:paraId="589F29DC">
      <w:pPr>
        <w:pStyle w:val="32"/>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 xml:space="preserve"> </w:t>
      </w:r>
      <w:r>
        <w:rPr>
          <w:rFonts w:asciiTheme="minorEastAsia" w:hAnsiTheme="minorEastAsia" w:eastAsiaTheme="minorEastAsia"/>
          <w:color w:val="auto"/>
          <w:sz w:val="24"/>
          <w:highlight w:val="none"/>
        </w:rPr>
        <w:t>供应</w:t>
      </w:r>
      <w:r>
        <w:rPr>
          <w:rFonts w:hint="eastAsia" w:asciiTheme="minorEastAsia" w:hAnsiTheme="minorEastAsia" w:eastAsiaTheme="minorEastAsia"/>
          <w:color w:val="auto"/>
          <w:sz w:val="24"/>
          <w:highlight w:val="none"/>
        </w:rPr>
        <w:t>商投诉的事项不得超出已质疑事项的范围，基于质疑答复内容提出的投诉事项除外。</w:t>
      </w:r>
    </w:p>
    <w:p w14:paraId="04B9793B">
      <w:pPr>
        <w:pStyle w:val="32"/>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lang w:val="en-US" w:eastAsia="zh-CN"/>
        </w:rPr>
        <w:t xml:space="preserve"> </w:t>
      </w:r>
      <w:r>
        <w:rPr>
          <w:rFonts w:asciiTheme="minorEastAsia" w:hAnsiTheme="minorEastAsia" w:eastAsiaTheme="minorEastAsia"/>
          <w:color w:val="auto"/>
          <w:sz w:val="24"/>
          <w:highlight w:val="none"/>
        </w:rPr>
        <w:t>供应</w:t>
      </w:r>
      <w:r>
        <w:rPr>
          <w:rFonts w:hint="eastAsia" w:asciiTheme="minorEastAsia" w:hAnsiTheme="minorEastAsia" w:eastAsiaTheme="minorEastAsia"/>
          <w:color w:val="auto"/>
          <w:sz w:val="24"/>
          <w:highlight w:val="none"/>
        </w:rPr>
        <w:t>商投诉应当有明确的请求和必要的证明材料。</w:t>
      </w:r>
    </w:p>
    <w:p w14:paraId="542E96B4">
      <w:pPr>
        <w:pStyle w:val="32"/>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 xml:space="preserve"> </w:t>
      </w:r>
      <w:r>
        <w:rPr>
          <w:rFonts w:asciiTheme="minorEastAsia" w:hAnsiTheme="minorEastAsia" w:eastAsiaTheme="minorEastAsia"/>
          <w:color w:val="auto"/>
          <w:sz w:val="24"/>
          <w:highlight w:val="none"/>
        </w:rPr>
        <w:t>以联合体形</w:t>
      </w:r>
      <w:r>
        <w:rPr>
          <w:rFonts w:hint="eastAsia" w:asciiTheme="minorEastAsia" w:hAnsiTheme="minorEastAsia" w:eastAsiaTheme="minorEastAsia"/>
          <w:color w:val="auto"/>
          <w:sz w:val="24"/>
          <w:highlight w:val="none"/>
        </w:rPr>
        <w:t>式参加政府采购活动的，其投诉应当由组成联合体的所有供应商共同提出。</w:t>
      </w:r>
    </w:p>
    <w:p w14:paraId="006746E0">
      <w:pPr>
        <w:adjustRightInd/>
        <w:spacing w:line="360" w:lineRule="auto"/>
        <w:jc w:val="center"/>
        <w:outlineLvl w:val="9"/>
        <w:rPr>
          <w:rFonts w:cs="仿宋_GB2312" w:asciiTheme="minorEastAsia" w:hAnsiTheme="minorEastAsia" w:eastAsiaTheme="minorEastAsia"/>
          <w:b/>
          <w:color w:val="auto"/>
          <w:sz w:val="32"/>
          <w:szCs w:val="20"/>
          <w:highlight w:val="none"/>
        </w:rPr>
      </w:pPr>
    </w:p>
    <w:p w14:paraId="1136A1F0">
      <w:pPr>
        <w:pStyle w:val="4"/>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五、磋商文件构成、修改、解释</w:t>
      </w:r>
    </w:p>
    <w:p w14:paraId="622EEC1A">
      <w:pPr>
        <w:autoSpaceDE w:val="0"/>
        <w:autoSpaceDN w:val="0"/>
        <w:spacing w:line="360" w:lineRule="auto"/>
        <w:outlineLvl w:val="9"/>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 xml:space="preserve"> </w:t>
      </w:r>
      <w:r>
        <w:rPr>
          <w:rFonts w:hint="eastAsia" w:asciiTheme="minorEastAsia" w:hAnsiTheme="minorEastAsia" w:eastAsiaTheme="minorEastAsia"/>
          <w:b/>
          <w:color w:val="auto"/>
          <w:sz w:val="24"/>
          <w:highlight w:val="none"/>
        </w:rPr>
        <w:t>磋商文件的构成</w:t>
      </w:r>
    </w:p>
    <w:p w14:paraId="0B8E13B1">
      <w:pPr>
        <w:pStyle w:val="32"/>
        <w:spacing w:line="360" w:lineRule="auto"/>
        <w:ind w:firstLine="480" w:firstLineChars="200"/>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1.1 磋商文件包括下列文件及附件</w:t>
      </w:r>
    </w:p>
    <w:p w14:paraId="1715713E">
      <w:pPr>
        <w:pStyle w:val="32"/>
        <w:tabs>
          <w:tab w:val="left" w:pos="840"/>
        </w:tabs>
        <w:spacing w:line="360" w:lineRule="auto"/>
        <w:ind w:left="1319"/>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第一部分  邀请供应商</w:t>
      </w:r>
    </w:p>
    <w:p w14:paraId="71CBC680">
      <w:pPr>
        <w:pStyle w:val="32"/>
        <w:tabs>
          <w:tab w:val="left" w:pos="840"/>
        </w:tabs>
        <w:spacing w:line="360" w:lineRule="auto"/>
        <w:ind w:left="1319"/>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第二部分  竞争性磋商流程</w:t>
      </w:r>
    </w:p>
    <w:p w14:paraId="594FCADD">
      <w:pPr>
        <w:pStyle w:val="32"/>
        <w:tabs>
          <w:tab w:val="left" w:pos="840"/>
        </w:tabs>
        <w:spacing w:line="360" w:lineRule="auto"/>
        <w:ind w:left="1319"/>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第三部分  供应商须知</w:t>
      </w:r>
    </w:p>
    <w:p w14:paraId="1DF17FB4">
      <w:pPr>
        <w:pStyle w:val="32"/>
        <w:tabs>
          <w:tab w:val="left" w:pos="840"/>
        </w:tabs>
        <w:spacing w:line="360" w:lineRule="auto"/>
        <w:ind w:left="1319"/>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第四部分  采购需求</w:t>
      </w:r>
    </w:p>
    <w:p w14:paraId="7546B4AD">
      <w:pPr>
        <w:pStyle w:val="32"/>
        <w:tabs>
          <w:tab w:val="left" w:pos="840"/>
        </w:tabs>
        <w:spacing w:line="360" w:lineRule="auto"/>
        <w:ind w:left="1319"/>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第五部分  评审方法及评审标准</w:t>
      </w:r>
    </w:p>
    <w:p w14:paraId="6BC81AF0">
      <w:pPr>
        <w:pStyle w:val="32"/>
        <w:tabs>
          <w:tab w:val="left" w:pos="840"/>
        </w:tabs>
        <w:spacing w:line="360" w:lineRule="auto"/>
        <w:ind w:left="1319"/>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第六部分  拟签订的合同文本</w:t>
      </w:r>
    </w:p>
    <w:p w14:paraId="4351CA20">
      <w:pPr>
        <w:pStyle w:val="32"/>
        <w:tabs>
          <w:tab w:val="left" w:pos="840"/>
        </w:tabs>
        <w:spacing w:line="360" w:lineRule="auto"/>
        <w:ind w:left="1319"/>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第七部分  应提交的有关格式范例</w:t>
      </w:r>
    </w:p>
    <w:p w14:paraId="14CA3383">
      <w:pPr>
        <w:pStyle w:val="32"/>
        <w:tabs>
          <w:tab w:val="left" w:pos="840"/>
        </w:tabs>
        <w:spacing w:line="360" w:lineRule="auto"/>
        <w:ind w:left="1319"/>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第八部分  最后报价格式</w:t>
      </w:r>
    </w:p>
    <w:p w14:paraId="4D900E03">
      <w:pPr>
        <w:pStyle w:val="32"/>
        <w:spacing w:line="360" w:lineRule="auto"/>
        <w:ind w:firstLine="480" w:firstLineChars="200"/>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1.2 </w:t>
      </w:r>
      <w:r>
        <w:rPr>
          <w:rFonts w:hint="eastAsia" w:asciiTheme="minorEastAsia" w:hAnsiTheme="minorEastAsia" w:eastAsiaTheme="minorEastAsia"/>
          <w:color w:val="auto"/>
          <w:sz w:val="24"/>
          <w:highlight w:val="none"/>
        </w:rPr>
        <w:t>与本项目有关的</w:t>
      </w:r>
      <w:r>
        <w:rPr>
          <w:rFonts w:hint="eastAsia" w:asciiTheme="minorEastAsia" w:hAnsiTheme="minorEastAsia" w:eastAsiaTheme="minorEastAsia"/>
          <w:bCs/>
          <w:color w:val="auto"/>
          <w:sz w:val="24"/>
          <w:highlight w:val="none"/>
        </w:rPr>
        <w:t>澄清或者修改的内容为磋商文件的组成部分</w:t>
      </w:r>
      <w:r>
        <w:rPr>
          <w:rFonts w:hint="eastAsia" w:cs="仿宋_GB2312" w:asciiTheme="minorEastAsia" w:hAnsiTheme="minorEastAsia" w:eastAsiaTheme="minorEastAsia"/>
          <w:color w:val="auto"/>
          <w:sz w:val="24"/>
          <w:highlight w:val="none"/>
        </w:rPr>
        <w:t>。</w:t>
      </w:r>
    </w:p>
    <w:p w14:paraId="3B0B6E73">
      <w:pPr>
        <w:pStyle w:val="32"/>
        <w:spacing w:line="360" w:lineRule="auto"/>
        <w:outlineLvl w:val="9"/>
        <w:rPr>
          <w:rFonts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2. 磋商文件的</w:t>
      </w:r>
      <w:r>
        <w:rPr>
          <w:rFonts w:hint="eastAsia" w:cs="仿宋_GB2312" w:asciiTheme="minorEastAsia" w:hAnsiTheme="minorEastAsia" w:eastAsiaTheme="minorEastAsia"/>
          <w:b/>
          <w:color w:val="auto"/>
          <w:sz w:val="24"/>
          <w:szCs w:val="24"/>
          <w:highlight w:val="none"/>
        </w:rPr>
        <w:t>澄清、修改</w:t>
      </w:r>
    </w:p>
    <w:p w14:paraId="65ED0ADE">
      <w:pPr>
        <w:pStyle w:val="395"/>
        <w:snapToGrid w:val="0"/>
        <w:spacing w:before="0"/>
        <w:ind w:firstLine="480"/>
        <w:outlineLvl w:val="9"/>
        <w:rPr>
          <w:rFonts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2.1</w:t>
      </w:r>
      <w:r>
        <w:rPr>
          <w:rFonts w:hint="eastAsia" w:cs="仿宋_GB2312" w:asciiTheme="minorEastAsia" w:hAnsiTheme="minorEastAsia" w:eastAsiaTheme="minorEastAsia"/>
          <w:color w:val="auto"/>
          <w:highlight w:val="none"/>
          <w:lang w:val="en-US" w:eastAsia="zh-CN"/>
        </w:rPr>
        <w:t xml:space="preserve"> </w:t>
      </w:r>
      <w:r>
        <w:rPr>
          <w:rFonts w:hint="eastAsia" w:cs="仿宋_GB2312" w:asciiTheme="minorEastAsia" w:hAnsiTheme="minorEastAsia" w:eastAsiaTheme="minorEastAsia"/>
          <w:color w:val="auto"/>
          <w:highlight w:val="none"/>
        </w:rPr>
        <w:t>已获取磋商文件的潜在供应商，若有问题需要澄清，应于提交首次响应文件截止时间前，以书面形式向采购代理机构提出。</w:t>
      </w:r>
    </w:p>
    <w:p w14:paraId="4E48E69A">
      <w:pPr>
        <w:pStyle w:val="395"/>
        <w:snapToGrid w:val="0"/>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2.2</w:t>
      </w:r>
      <w:r>
        <w:rPr>
          <w:rFonts w:hint="eastAsia" w:asciiTheme="minorEastAsia" w:hAnsiTheme="minorEastAsia" w:eastAsiaTheme="minorEastAsia"/>
          <w:color w:val="auto"/>
          <w:highlight w:val="none"/>
          <w:lang w:val="en-US" w:eastAsia="zh-CN"/>
        </w:rPr>
        <w:t xml:space="preserve"> </w:t>
      </w:r>
      <w:r>
        <w:rPr>
          <w:rFonts w:hint="eastAsia" w:cs="宋体" w:asciiTheme="minorEastAsia" w:hAnsiTheme="minorEastAsia" w:eastAsiaTheme="minorEastAsia"/>
          <w:color w:val="auto"/>
          <w:highlight w:val="none"/>
        </w:rPr>
        <w:t>采购代理机构对磋商文件进行澄清或修改的，将同时通过电子交易平台通知已获取磋商文件的供应商。依法应当公告的，将按规定公告，同时视情况延长</w:t>
      </w:r>
      <w:r>
        <w:rPr>
          <w:rFonts w:hint="eastAsia" w:asciiTheme="minorEastAsia" w:hAnsiTheme="minorEastAsia" w:eastAsiaTheme="minorEastAsia"/>
          <w:color w:val="auto"/>
          <w:highlight w:val="none"/>
        </w:rPr>
        <w:t>提交首次</w:t>
      </w:r>
      <w:r>
        <w:rPr>
          <w:rFonts w:hint="eastAsia" w:cs="宋体" w:asciiTheme="minorEastAsia" w:hAnsiTheme="minorEastAsia" w:eastAsiaTheme="minorEastAsia"/>
          <w:color w:val="auto"/>
          <w:highlight w:val="none"/>
        </w:rPr>
        <w:t>响应文件截止时间和响应文件开启时间。该澄清或者修改的内容为磋商文件的组成部分。</w:t>
      </w:r>
    </w:p>
    <w:p w14:paraId="24D15793">
      <w:pPr>
        <w:pStyle w:val="395"/>
        <w:snapToGrid w:val="0"/>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2.3</w:t>
      </w:r>
      <w:r>
        <w:rPr>
          <w:rFonts w:hint="eastAsia" w:asciiTheme="minorEastAsia" w:hAnsiTheme="minorEastAsia" w:eastAsiaTheme="minorEastAsia"/>
          <w:color w:val="auto"/>
          <w:highlight w:val="none"/>
          <w:lang w:val="en-US" w:eastAsia="zh-CN"/>
        </w:rPr>
        <w:t xml:space="preserve"> </w:t>
      </w:r>
      <w:r>
        <w:rPr>
          <w:rFonts w:hint="eastAsia" w:asciiTheme="minorEastAsia" w:hAnsiTheme="minorEastAsia" w:eastAsiaTheme="minorEastAsia"/>
          <w:color w:val="auto"/>
          <w:highlight w:val="none"/>
        </w:rPr>
        <w:t>澄清或者修改的内容可能影响响应文件编制的，采购人、采购代理机构应当在提交首次响应文件截止时间至少5日前，</w:t>
      </w:r>
      <w:r>
        <w:rPr>
          <w:rFonts w:hint="eastAsia" w:cs="宋体" w:asciiTheme="minorEastAsia" w:hAnsiTheme="minorEastAsia" w:eastAsiaTheme="minorEastAsia"/>
          <w:color w:val="auto"/>
          <w:highlight w:val="none"/>
        </w:rPr>
        <w:t>通过电子交易平台</w:t>
      </w:r>
      <w:r>
        <w:rPr>
          <w:rFonts w:hint="eastAsia" w:asciiTheme="minorEastAsia" w:hAnsiTheme="minorEastAsia" w:eastAsiaTheme="minorEastAsia"/>
          <w:color w:val="auto"/>
          <w:highlight w:val="none"/>
        </w:rPr>
        <w:t>通知所有获取磋商文件的供应商；不足5日的，采购人、采购代理机构应当顺延提交首次响应文件截止时间。</w:t>
      </w:r>
    </w:p>
    <w:p w14:paraId="08D2E7FF">
      <w:pPr>
        <w:pStyle w:val="395"/>
        <w:snapToGrid w:val="0"/>
        <w:spacing w:before="0"/>
        <w:ind w:firstLine="482"/>
        <w:outlineLvl w:val="9"/>
        <w:rPr>
          <w:rFonts w:asciiTheme="minorEastAsia" w:hAnsiTheme="minorEastAsia" w:eastAsiaTheme="minorEastAsia"/>
          <w:color w:val="auto"/>
          <w:highlight w:val="none"/>
        </w:rPr>
      </w:pPr>
      <w:r>
        <w:rPr>
          <w:rFonts w:hint="eastAsia" w:asciiTheme="minorEastAsia" w:hAnsiTheme="minorEastAsia" w:eastAsiaTheme="minorEastAsia"/>
          <w:b/>
          <w:color w:val="auto"/>
          <w:highlight w:val="none"/>
        </w:rPr>
        <w:t>▲</w:t>
      </w:r>
      <w:r>
        <w:rPr>
          <w:rFonts w:hint="eastAsia" w:cs="仿宋_GB2312" w:asciiTheme="minorEastAsia" w:hAnsiTheme="minorEastAsia" w:eastAsiaTheme="minorEastAsia"/>
          <w:b/>
          <w:color w:val="auto"/>
          <w:szCs w:val="21"/>
          <w:highlight w:val="none"/>
        </w:rPr>
        <w:t>响应文件未按磋商文件的澄清、修改的内容编制，又不符合实质性要求的，响应无效。</w:t>
      </w:r>
    </w:p>
    <w:p w14:paraId="780AFB89">
      <w:pPr>
        <w:adjustRightInd/>
        <w:spacing w:line="360" w:lineRule="auto"/>
        <w:jc w:val="center"/>
        <w:outlineLvl w:val="9"/>
        <w:rPr>
          <w:rFonts w:hint="eastAsia" w:cs="仿宋_GB2312" w:asciiTheme="minorEastAsia" w:hAnsiTheme="minorEastAsia" w:eastAsiaTheme="minorEastAsia"/>
          <w:b/>
          <w:color w:val="auto"/>
          <w:sz w:val="32"/>
          <w:szCs w:val="20"/>
          <w:highlight w:val="none"/>
        </w:rPr>
      </w:pPr>
    </w:p>
    <w:p w14:paraId="7B1C4178">
      <w:pPr>
        <w:pStyle w:val="4"/>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六、响应文件的编制</w:t>
      </w:r>
    </w:p>
    <w:p w14:paraId="33B2067C">
      <w:pPr>
        <w:pStyle w:val="32"/>
        <w:spacing w:line="360" w:lineRule="auto"/>
        <w:outlineLvl w:val="9"/>
        <w:rPr>
          <w:rFonts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highlight w:val="none"/>
        </w:rPr>
        <w:t>1. 响应文件的语言</w:t>
      </w:r>
    </w:p>
    <w:p w14:paraId="3E6CBAEB">
      <w:pPr>
        <w:pStyle w:val="32"/>
        <w:spacing w:line="360" w:lineRule="auto"/>
        <w:ind w:firstLine="480" w:firstLineChars="200"/>
        <w:outlineLvl w:val="9"/>
        <w:rPr>
          <w:rFonts w:cs="仿宋_GB2312" w:asciiTheme="minorEastAsia" w:hAnsiTheme="minorEastAsia" w:eastAsiaTheme="minorEastAsia"/>
          <w:b/>
          <w:color w:val="auto"/>
          <w:sz w:val="24"/>
          <w:szCs w:val="24"/>
          <w:highlight w:val="none"/>
        </w:rPr>
      </w:pPr>
      <w:r>
        <w:rPr>
          <w:rFonts w:hint="eastAsia" w:asciiTheme="minorEastAsia" w:hAnsiTheme="minorEastAsia" w:eastAsiaTheme="minorEastAsia"/>
          <w:color w:val="auto"/>
          <w:sz w:val="24"/>
          <w:highlight w:val="none"/>
        </w:rPr>
        <w:t>响应文件及供应商与采购有关的来往通知、函件和文件均应使用中文。</w:t>
      </w:r>
    </w:p>
    <w:p w14:paraId="6602C7B8">
      <w:pPr>
        <w:pStyle w:val="32"/>
        <w:spacing w:line="360" w:lineRule="auto"/>
        <w:outlineLvl w:val="9"/>
        <w:rPr>
          <w:rFonts w:hint="eastAsia" w:eastAsia="宋体" w:cs="仿宋_GB2312" w:asciiTheme="minorEastAsia" w:hAnsiTheme="minorEastAsia"/>
          <w:b/>
          <w:color w:val="auto"/>
          <w:sz w:val="24"/>
          <w:szCs w:val="24"/>
          <w:highlight w:val="none"/>
          <w:lang w:eastAsia="zh-CN"/>
        </w:rPr>
      </w:pPr>
      <w:r>
        <w:rPr>
          <w:rFonts w:hint="eastAsia" w:asciiTheme="minorEastAsia" w:hAnsiTheme="minorEastAsia" w:eastAsiaTheme="minorEastAsia"/>
          <w:b/>
          <w:color w:val="auto"/>
          <w:sz w:val="24"/>
          <w:highlight w:val="none"/>
        </w:rPr>
        <w:t>2. 响应文件的组成</w:t>
      </w:r>
      <w:r>
        <w:rPr>
          <w:rFonts w:hint="eastAsia" w:ascii="宋体" w:hAnsi="宋体" w:eastAsia="宋体" w:cs="宋体"/>
          <w:b/>
          <w:color w:val="auto"/>
          <w:sz w:val="24"/>
          <w:highlight w:val="none"/>
        </w:rPr>
        <w:t>(响应文件应当包括以下主要内容(标注“▲”为实质性要求，供应商必须提供，否则磋商无效。相关格式见磋商文件第七部分)</w:t>
      </w:r>
      <w:r>
        <w:rPr>
          <w:rFonts w:hint="eastAsia" w:hAnsi="宋体" w:cs="宋体"/>
          <w:b/>
          <w:color w:val="auto"/>
          <w:sz w:val="24"/>
          <w:highlight w:val="none"/>
          <w:lang w:eastAsia="zh-CN"/>
        </w:rPr>
        <w:t>：</w:t>
      </w:r>
    </w:p>
    <w:p w14:paraId="3C6B295F">
      <w:pPr>
        <w:pStyle w:val="32"/>
        <w:spacing w:line="360" w:lineRule="auto"/>
        <w:ind w:firstLine="480" w:firstLineChars="200"/>
        <w:outlineLvl w:val="9"/>
        <w:rPr>
          <w:rFonts w:hint="eastAsia" w:cs="仿宋_GB2312" w:asciiTheme="minorEastAsia" w:hAnsiTheme="minorEastAsia" w:eastAsiaTheme="minorEastAsia"/>
          <w:b/>
          <w:color w:val="auto"/>
          <w:sz w:val="24"/>
          <w:szCs w:val="24"/>
          <w:highlight w:val="none"/>
          <w:lang w:eastAsia="zh-CN"/>
        </w:rPr>
      </w:pPr>
      <w:r>
        <w:rPr>
          <w:rFonts w:hint="eastAsia" w:asciiTheme="minorEastAsia" w:hAnsiTheme="minorEastAsia" w:eastAsiaTheme="minorEastAsia"/>
          <w:color w:val="auto"/>
          <w:sz w:val="24"/>
          <w:highlight w:val="none"/>
        </w:rPr>
        <w:t>响应文件应当包括以下主要内容</w:t>
      </w:r>
      <w:r>
        <w:rPr>
          <w:rFonts w:hint="eastAsia" w:asciiTheme="minorEastAsia" w:hAnsiTheme="minorEastAsia" w:eastAsiaTheme="minorEastAsia"/>
          <w:color w:val="auto"/>
          <w:sz w:val="24"/>
          <w:highlight w:val="none"/>
          <w:lang w:eastAsia="zh-CN"/>
        </w:rPr>
        <w:t>：</w:t>
      </w:r>
    </w:p>
    <w:p w14:paraId="126C816A">
      <w:pPr>
        <w:pStyle w:val="32"/>
        <w:spacing w:line="360" w:lineRule="auto"/>
        <w:ind w:firstLine="480" w:firstLineChars="200"/>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 价格文件（必须提供的资料，如未提供，磋商小组有权拒绝其竞争性磋商响应文件）</w:t>
      </w:r>
    </w:p>
    <w:p w14:paraId="6A4B47BE">
      <w:pPr>
        <w:pStyle w:val="32"/>
        <w:spacing w:line="360" w:lineRule="auto"/>
        <w:ind w:firstLine="480" w:firstLineChars="200"/>
        <w:outlineLvl w:val="9"/>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w:t>
      </w:r>
      <w:r>
        <w:rPr>
          <w:rFonts w:hint="eastAsia" w:cs="仿宋_GB2312" w:asciiTheme="minorEastAsia" w:hAnsiTheme="minorEastAsia" w:eastAsiaTheme="minorEastAsia"/>
          <w:color w:val="auto"/>
          <w:kern w:val="0"/>
          <w:sz w:val="24"/>
          <w:highlight w:val="none"/>
          <w:lang w:val="zh-CN" w:eastAsia="zh-CN"/>
        </w:rPr>
        <w:t>（</w:t>
      </w:r>
      <w:r>
        <w:rPr>
          <w:rFonts w:hint="eastAsia" w:cs="仿宋_GB2312" w:asciiTheme="minorEastAsia" w:hAnsiTheme="minorEastAsia" w:eastAsiaTheme="minorEastAsia"/>
          <w:color w:val="auto"/>
          <w:kern w:val="0"/>
          <w:sz w:val="24"/>
          <w:highlight w:val="none"/>
          <w:lang w:val="en-US" w:eastAsia="zh-CN"/>
        </w:rPr>
        <w:t>1</w:t>
      </w:r>
      <w:r>
        <w:rPr>
          <w:rFonts w:hint="eastAsia" w:cs="仿宋_GB2312" w:asciiTheme="minorEastAsia" w:hAnsiTheme="minorEastAsia" w:eastAsiaTheme="minorEastAsia"/>
          <w:color w:val="auto"/>
          <w:kern w:val="0"/>
          <w:sz w:val="24"/>
          <w:highlight w:val="none"/>
          <w:lang w:val="zh-CN" w:eastAsia="zh-CN"/>
        </w:rPr>
        <w:t>）</w:t>
      </w:r>
      <w:r>
        <w:rPr>
          <w:rFonts w:hint="eastAsia" w:asciiTheme="minorEastAsia" w:hAnsiTheme="minorEastAsia" w:eastAsiaTheme="minorEastAsia"/>
          <w:color w:val="auto"/>
          <w:sz w:val="24"/>
          <w:highlight w:val="none"/>
        </w:rPr>
        <w:t>报价表（格式见第</w:t>
      </w:r>
      <w:r>
        <w:rPr>
          <w:rFonts w:hint="eastAsia" w:asciiTheme="minorEastAsia" w:hAnsiTheme="minorEastAsia" w:eastAsiaTheme="minorEastAsia"/>
          <w:color w:val="auto"/>
          <w:sz w:val="24"/>
          <w:highlight w:val="none"/>
          <w:lang w:val="en-US" w:eastAsia="zh-CN"/>
        </w:rPr>
        <w:t>七部分</w:t>
      </w:r>
      <w:r>
        <w:rPr>
          <w:rFonts w:hint="eastAsia" w:asciiTheme="minorEastAsia" w:hAnsiTheme="minorEastAsia" w:eastAsiaTheme="minorEastAsia"/>
          <w:color w:val="auto"/>
          <w:sz w:val="24"/>
          <w:highlight w:val="none"/>
        </w:rPr>
        <w:t>，必须提供）</w:t>
      </w:r>
      <w:r>
        <w:rPr>
          <w:rFonts w:hint="eastAsia" w:asciiTheme="minorEastAsia" w:hAnsiTheme="minorEastAsia" w:eastAsiaTheme="minorEastAsia"/>
          <w:color w:val="auto"/>
          <w:sz w:val="24"/>
          <w:highlight w:val="none"/>
          <w:lang w:eastAsia="zh-CN"/>
        </w:rPr>
        <w:t>。</w:t>
      </w:r>
    </w:p>
    <w:p w14:paraId="26C32514">
      <w:pPr>
        <w:pStyle w:val="32"/>
        <w:spacing w:line="360" w:lineRule="auto"/>
        <w:ind w:firstLine="480" w:firstLineChars="200"/>
        <w:outlineLvl w:val="9"/>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zh-CN" w:eastAsia="zh-CN"/>
        </w:rPr>
        <w:t>（</w:t>
      </w:r>
      <w:r>
        <w:rPr>
          <w:rFonts w:hint="eastAsia" w:cs="仿宋_GB2312" w:asciiTheme="minorEastAsia" w:hAnsiTheme="minorEastAsia" w:eastAsiaTheme="minorEastAsia"/>
          <w:color w:val="auto"/>
          <w:kern w:val="0"/>
          <w:sz w:val="24"/>
          <w:highlight w:val="none"/>
          <w:lang w:val="en-US" w:eastAsia="zh-CN"/>
        </w:rPr>
        <w:t>2</w:t>
      </w:r>
      <w:r>
        <w:rPr>
          <w:rFonts w:hint="eastAsia" w:cs="仿宋_GB2312" w:asciiTheme="minorEastAsia" w:hAnsiTheme="minorEastAsia" w:eastAsiaTheme="minorEastAsia"/>
          <w:color w:val="auto"/>
          <w:kern w:val="0"/>
          <w:sz w:val="24"/>
          <w:highlight w:val="none"/>
          <w:lang w:val="zh-CN" w:eastAsia="zh-CN"/>
        </w:rPr>
        <w:t>）磋商供应商认为需要提供的有关资料</w:t>
      </w:r>
      <w:r>
        <w:rPr>
          <w:rFonts w:hint="eastAsia" w:cs="仿宋_GB2312" w:asciiTheme="minorEastAsia" w:hAnsiTheme="minorEastAsia" w:eastAsiaTheme="minorEastAsia"/>
          <w:color w:val="auto"/>
          <w:kern w:val="0"/>
          <w:sz w:val="24"/>
          <w:highlight w:val="none"/>
          <w:lang w:val="en-US" w:eastAsia="zh-CN"/>
        </w:rPr>
        <w:t>。</w:t>
      </w:r>
    </w:p>
    <w:p w14:paraId="58EA324C">
      <w:pPr>
        <w:pStyle w:val="32"/>
        <w:spacing w:line="360" w:lineRule="auto"/>
        <w:ind w:firstLine="480" w:firstLineChars="200"/>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2.2 资格文件（磋商供应商须满足（1）-（9）项资格要求）</w:t>
      </w:r>
    </w:p>
    <w:p w14:paraId="6F2145F1">
      <w:pPr>
        <w:pStyle w:val="32"/>
        <w:spacing w:line="360" w:lineRule="auto"/>
        <w:ind w:firstLine="480" w:firstLineChars="200"/>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（1）具有独立承担民事责任的能力（磋商供应商为法人或者其他组织的具有有效的营业执照或者事业单位法人证书或者执业许可证；供应商为自然人的具有有效身份证）；</w:t>
      </w:r>
    </w:p>
    <w:p w14:paraId="5AD1C05C">
      <w:pPr>
        <w:pStyle w:val="32"/>
        <w:spacing w:line="360" w:lineRule="auto"/>
        <w:ind w:firstLine="480" w:firstLineChars="200"/>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具有良好的商业信誉和健全的财务会计制度</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磋商供应商具有2025年年度经审计的财务报告或者截标时间前半年内至少一个月能反映财务状况的报表或者截标时间前半年内至少一个月的财务情况说明）；</w:t>
      </w:r>
    </w:p>
    <w:p w14:paraId="20086748">
      <w:pPr>
        <w:pStyle w:val="32"/>
        <w:spacing w:line="360" w:lineRule="auto"/>
        <w:ind w:firstLine="480" w:firstLineChars="200"/>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（3）具有履行合同所必需的设备和专业技术能力的证明材料；</w:t>
      </w:r>
    </w:p>
    <w:p w14:paraId="220EEF35">
      <w:pPr>
        <w:pStyle w:val="32"/>
        <w:spacing w:line="360" w:lineRule="auto"/>
        <w:ind w:firstLine="480" w:firstLineChars="200"/>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具有依法缴纳税收的良好记录（磋商供应商具有税款所属时期为2026年2月至首次响应文件提交截止时间止，任意三个月依法缴纳税费记录或依法免缴税费的记录）【从取得营业执照时间起到首次响应文件提交截止时间为止不足要求月数的，至少具有从取得营业执照起任意一个月依法缴纳税收的良好记录】）；</w:t>
      </w:r>
    </w:p>
    <w:p w14:paraId="4B9781CD">
      <w:pPr>
        <w:pStyle w:val="32"/>
        <w:spacing w:line="360" w:lineRule="auto"/>
        <w:ind w:firstLine="480" w:firstLineChars="200"/>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（5）具有社会保障资金的良好记录（磋商供应商具有社保所属时期或缴费起始时间为2026年2月至首次响应文件提交截止时间止，任意三个月</w:t>
      </w:r>
      <w:r>
        <w:rPr>
          <w:rFonts w:hint="eastAsia" w:cs="Times New Roman" w:asciiTheme="minorEastAsia" w:hAnsiTheme="minorEastAsia" w:eastAsiaTheme="minorEastAsia"/>
          <w:color w:val="auto"/>
          <w:sz w:val="24"/>
          <w:highlight w:val="none"/>
          <w:lang w:val="en-US" w:eastAsia="zh-CN"/>
        </w:rPr>
        <w:t>依法</w:t>
      </w:r>
      <w:r>
        <w:rPr>
          <w:rFonts w:hint="eastAsia" w:asciiTheme="minorEastAsia" w:hAnsiTheme="minorEastAsia" w:eastAsiaTheme="minorEastAsia"/>
          <w:color w:val="auto"/>
          <w:sz w:val="24"/>
          <w:highlight w:val="none"/>
          <w:lang w:val="en-US" w:eastAsia="zh-CN"/>
        </w:rPr>
        <w:t>缴纳社保费记录或依法免缴社保费的记录【从取得营业执照时间起到首次响应文件提交截止时间为止不足要求月数的，至少具有从取得营业执照起任意一个月依法缴纳社会保障资金的良好记录】）；</w:t>
      </w:r>
    </w:p>
    <w:p w14:paraId="08A033E5">
      <w:pPr>
        <w:pStyle w:val="32"/>
        <w:spacing w:line="360" w:lineRule="auto"/>
        <w:ind w:firstLine="480" w:firstLineChars="200"/>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（6）参加政府采购活动前三年内，在经营活动中没有重大违法记录；</w:t>
      </w:r>
    </w:p>
    <w:p w14:paraId="0612DBAA">
      <w:pPr>
        <w:pStyle w:val="32"/>
        <w:spacing w:line="360" w:lineRule="auto"/>
        <w:ind w:firstLine="480" w:firstLineChars="200"/>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7</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供应商直接控股股东及出资信息表</w:t>
      </w:r>
      <w:r>
        <w:rPr>
          <w:rFonts w:hint="eastAsia" w:asciiTheme="minorEastAsia" w:hAnsiTheme="minorEastAsia" w:eastAsiaTheme="minorEastAsia"/>
          <w:color w:val="auto"/>
          <w:sz w:val="24"/>
          <w:highlight w:val="none"/>
        </w:rPr>
        <w:t>（格式见第</w:t>
      </w:r>
      <w:r>
        <w:rPr>
          <w:rFonts w:hint="eastAsia" w:asciiTheme="minorEastAsia" w:hAnsiTheme="minorEastAsia" w:eastAsiaTheme="minorEastAsia"/>
          <w:color w:val="auto"/>
          <w:sz w:val="24"/>
          <w:highlight w:val="none"/>
          <w:lang w:val="en-US" w:eastAsia="zh-CN"/>
        </w:rPr>
        <w:t>七部分</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b/>
          <w:bCs/>
          <w:color w:val="auto"/>
          <w:sz w:val="24"/>
          <w:highlight w:val="none"/>
        </w:rPr>
        <w:t>必须提供</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w:t>
      </w:r>
    </w:p>
    <w:p w14:paraId="5900A678">
      <w:pPr>
        <w:pStyle w:val="32"/>
        <w:spacing w:line="360" w:lineRule="auto"/>
        <w:ind w:firstLine="480" w:firstLineChars="200"/>
        <w:outlineLvl w:val="9"/>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（8）供应商直接管理关系信息表</w:t>
      </w:r>
      <w:r>
        <w:rPr>
          <w:rFonts w:hint="eastAsia" w:asciiTheme="minorEastAsia" w:hAnsiTheme="minorEastAsia" w:eastAsiaTheme="minorEastAsia"/>
          <w:color w:val="auto"/>
          <w:sz w:val="24"/>
          <w:highlight w:val="none"/>
        </w:rPr>
        <w:t>（格式见第</w:t>
      </w:r>
      <w:r>
        <w:rPr>
          <w:rFonts w:hint="eastAsia" w:asciiTheme="minorEastAsia" w:hAnsiTheme="minorEastAsia" w:eastAsiaTheme="minorEastAsia"/>
          <w:color w:val="auto"/>
          <w:sz w:val="24"/>
          <w:highlight w:val="none"/>
          <w:lang w:val="en-US" w:eastAsia="zh-CN"/>
        </w:rPr>
        <w:t>七部分</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b/>
          <w:bCs/>
          <w:color w:val="auto"/>
          <w:sz w:val="24"/>
          <w:highlight w:val="none"/>
        </w:rPr>
        <w:t>必须提供</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p>
    <w:p w14:paraId="52BE52A2">
      <w:pPr>
        <w:pStyle w:val="32"/>
        <w:spacing w:line="360" w:lineRule="auto"/>
        <w:ind w:firstLine="480" w:firstLineChars="200"/>
        <w:outlineLvl w:val="9"/>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eastAsia="zh-CN"/>
        </w:rPr>
        <w:t>▲</w:t>
      </w:r>
      <w:r>
        <w:rPr>
          <w:rFonts w:hint="eastAsia" w:cs="Times New Roman" w:asciiTheme="minorEastAsia" w:hAnsiTheme="minorEastAsia" w:eastAsiaTheme="minorEastAsia"/>
          <w:color w:val="auto"/>
          <w:sz w:val="24"/>
          <w:highlight w:val="none"/>
          <w:lang w:val="en-US" w:eastAsia="zh-CN"/>
        </w:rPr>
        <w:t>（9）中小企业声明函或者残疾人福利性单位声明函或者供应商属于监狱企业的证明材料（格式见第七部分，</w:t>
      </w:r>
      <w:r>
        <w:rPr>
          <w:rFonts w:hint="eastAsia" w:cs="Times New Roman" w:asciiTheme="minorEastAsia" w:hAnsiTheme="minorEastAsia" w:eastAsiaTheme="minorEastAsia"/>
          <w:b/>
          <w:bCs/>
          <w:color w:val="auto"/>
          <w:sz w:val="24"/>
          <w:highlight w:val="none"/>
          <w:lang w:val="en-US" w:eastAsia="zh-CN"/>
        </w:rPr>
        <w:t>必须提供</w:t>
      </w:r>
      <w:r>
        <w:rPr>
          <w:rFonts w:hint="eastAsia" w:cs="Times New Roman" w:asciiTheme="minorEastAsia" w:hAnsiTheme="minorEastAsia" w:eastAsiaTheme="minorEastAsia"/>
          <w:color w:val="auto"/>
          <w:sz w:val="24"/>
          <w:highlight w:val="none"/>
          <w:lang w:val="en-US" w:eastAsia="zh-CN"/>
        </w:rPr>
        <w:t>）。</w:t>
      </w:r>
    </w:p>
    <w:p w14:paraId="2ACD9F7E">
      <w:pPr>
        <w:pStyle w:val="32"/>
        <w:spacing w:line="360" w:lineRule="auto"/>
        <w:ind w:firstLine="480" w:firstLineChars="200"/>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10</w:t>
      </w:r>
      <w:r>
        <w:rPr>
          <w:rFonts w:hint="eastAsia" w:asciiTheme="minorEastAsia" w:hAnsiTheme="minorEastAsia" w:eastAsiaTheme="minorEastAsia"/>
          <w:color w:val="auto"/>
          <w:sz w:val="24"/>
          <w:highlight w:val="none"/>
          <w:lang w:eastAsia="zh-CN"/>
        </w:rPr>
        <w:t>）特定资质：</w:t>
      </w:r>
      <w:r>
        <w:rPr>
          <w:rFonts w:hint="eastAsia" w:cs="Times New Roman" w:asciiTheme="minorEastAsia" w:hAnsiTheme="minorEastAsia" w:eastAsiaTheme="minorEastAsia"/>
          <w:color w:val="auto"/>
          <w:sz w:val="24"/>
          <w:highlight w:val="none"/>
          <w:lang w:val="en-US" w:eastAsia="zh-CN"/>
        </w:rPr>
        <w:t>具备有效的省级或省级以上行政主管部门颁发的检验检测机构资质认定证书和农产品质量安全检测机构考核合格证书（</w:t>
      </w:r>
      <w:r>
        <w:rPr>
          <w:rFonts w:hint="eastAsia" w:asciiTheme="minorEastAsia" w:hAnsiTheme="minorEastAsia" w:eastAsiaTheme="minorEastAsia"/>
          <w:b/>
          <w:bCs/>
          <w:color w:val="auto"/>
          <w:sz w:val="24"/>
          <w:highlight w:val="none"/>
        </w:rPr>
        <w:t>必须提供</w:t>
      </w:r>
      <w:r>
        <w:rPr>
          <w:rFonts w:hint="eastAsia" w:cs="Times New Roman" w:asciiTheme="minorEastAsia" w:hAnsiTheme="minorEastAsia" w:eastAsiaTheme="minorEastAsia"/>
          <w:color w:val="auto"/>
          <w:sz w:val="24"/>
          <w:highlight w:val="none"/>
          <w:lang w:val="en-US" w:eastAsia="zh-CN"/>
        </w:rPr>
        <w:t>）</w:t>
      </w:r>
      <w:r>
        <w:rPr>
          <w:rFonts w:hint="eastAsia" w:asciiTheme="minorEastAsia" w:hAnsiTheme="minorEastAsia" w:eastAsiaTheme="minorEastAsia"/>
          <w:color w:val="auto"/>
          <w:sz w:val="24"/>
          <w:highlight w:val="none"/>
          <w:lang w:eastAsia="zh-CN"/>
        </w:rPr>
        <w:t>。</w:t>
      </w:r>
    </w:p>
    <w:p w14:paraId="0C096C92">
      <w:pPr>
        <w:pStyle w:val="32"/>
        <w:spacing w:line="360" w:lineRule="auto"/>
        <w:ind w:firstLine="480" w:firstLineChars="200"/>
        <w:outlineLvl w:val="9"/>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zh-CN" w:eastAsia="zh-CN"/>
        </w:rPr>
        <w:t>（</w:t>
      </w:r>
      <w:r>
        <w:rPr>
          <w:rFonts w:hint="eastAsia" w:cs="仿宋_GB2312" w:asciiTheme="minorEastAsia" w:hAnsiTheme="minorEastAsia" w:eastAsiaTheme="minorEastAsia"/>
          <w:color w:val="auto"/>
          <w:kern w:val="0"/>
          <w:sz w:val="24"/>
          <w:highlight w:val="none"/>
          <w:lang w:val="en-US" w:eastAsia="zh-CN"/>
        </w:rPr>
        <w:t>11</w:t>
      </w:r>
      <w:r>
        <w:rPr>
          <w:rFonts w:hint="eastAsia" w:cs="仿宋_GB2312" w:asciiTheme="minorEastAsia" w:hAnsiTheme="minorEastAsia" w:eastAsiaTheme="minorEastAsia"/>
          <w:color w:val="auto"/>
          <w:kern w:val="0"/>
          <w:sz w:val="24"/>
          <w:highlight w:val="none"/>
          <w:lang w:val="zh-CN" w:eastAsia="zh-CN"/>
        </w:rPr>
        <w:t>）磋商供应商认为需要提供的有关资料</w:t>
      </w:r>
      <w:r>
        <w:rPr>
          <w:rFonts w:hint="eastAsia" w:cs="仿宋_GB2312" w:asciiTheme="minorEastAsia" w:hAnsiTheme="minorEastAsia" w:eastAsiaTheme="minorEastAsia"/>
          <w:color w:val="auto"/>
          <w:kern w:val="0"/>
          <w:sz w:val="24"/>
          <w:highlight w:val="none"/>
          <w:lang w:val="en-US" w:eastAsia="zh-CN"/>
        </w:rPr>
        <w:t>。</w:t>
      </w:r>
    </w:p>
    <w:p w14:paraId="1DAE982D">
      <w:pPr>
        <w:pStyle w:val="32"/>
        <w:spacing w:line="360" w:lineRule="auto"/>
        <w:ind w:firstLine="482" w:firstLineChars="200"/>
        <w:outlineLvl w:val="9"/>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注：1.1.（1）-（6）项材料，磋商供应商制作响应文件时资格证明文件可以书面信用承诺函（格式见第七部分）的形式进行响应或提供符合采购文件要求的证明材料；以承诺函形式进行响应的，无需提供证明材料。磋商供应商若提供证明材料，提供的所有复印件必须加盖电子公章，否则磋商无效。磋商供应商未按要求提供材料或提供的证明材料不齐全或提供的承诺函不符合采购文件要求的或不如实填写承诺函的，磋商无效。（7）-（9）项材料按要求提供证明材料并加盖电子公章，第七部分提供了格式要求的，必须按格式内容进行填写、签章，不提供或者不按要求填写、签章的，磋商无效。</w:t>
      </w:r>
    </w:p>
    <w:p w14:paraId="363B8126">
      <w:pPr>
        <w:pStyle w:val="32"/>
        <w:spacing w:line="360" w:lineRule="auto"/>
        <w:ind w:firstLine="482" w:firstLineChars="200"/>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2.磋商供应商应当遵守诚实信用原则，如实承诺，否则属于提供虚假材料谋取中标（成交），将上报财政监管部门，按照《中华人民共和国政府采购法》第七十七条相关规定进行处罚。</w:t>
      </w:r>
    </w:p>
    <w:p w14:paraId="309E02D0">
      <w:pPr>
        <w:pStyle w:val="32"/>
        <w:spacing w:line="360" w:lineRule="auto"/>
        <w:ind w:firstLine="480" w:firstLineChars="200"/>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2.3 商务及技术文件（必须提供的资料，如未提供，磋商小组有权拒绝其竞争性磋商响应文件）</w:t>
      </w:r>
    </w:p>
    <w:p w14:paraId="2FC9A7DC">
      <w:pPr>
        <w:pStyle w:val="32"/>
        <w:spacing w:line="360" w:lineRule="auto"/>
        <w:ind w:firstLine="480" w:firstLineChars="200"/>
        <w:outlineLvl w:val="9"/>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▲（1）响应函</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格式见第七部分，必须提供</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color w:val="auto"/>
          <w:sz w:val="24"/>
          <w:highlight w:val="none"/>
          <w:lang w:eastAsia="zh-CN"/>
        </w:rPr>
        <w:t>；</w:t>
      </w:r>
    </w:p>
    <w:p w14:paraId="06156B79">
      <w:pPr>
        <w:pStyle w:val="32"/>
        <w:spacing w:line="360" w:lineRule="auto"/>
        <w:ind w:firstLine="480" w:firstLineChars="200"/>
        <w:outlineLvl w:val="9"/>
        <w:rPr>
          <w:rFonts w:cs="仿宋_GB2312" w:asciiTheme="minorEastAsia" w:hAnsiTheme="minorEastAsia" w:eastAsiaTheme="minorEastAsia"/>
          <w:color w:val="auto"/>
          <w:kern w:val="0"/>
          <w:sz w:val="24"/>
          <w:highlight w:val="none"/>
          <w:lang w:val="zh-CN"/>
        </w:rPr>
      </w:pPr>
      <w:r>
        <w:rPr>
          <w:rFonts w:hint="eastAsia" w:asciiTheme="minorEastAsia" w:hAnsiTheme="minorEastAsia" w:eastAsiaTheme="minorEastAsia"/>
          <w:color w:val="auto"/>
          <w:sz w:val="24"/>
          <w:highlight w:val="none"/>
        </w:rPr>
        <w:t>▲（2）</w:t>
      </w:r>
      <w:r>
        <w:rPr>
          <w:rFonts w:hint="eastAsia" w:cs="仿宋_GB2312" w:asciiTheme="minorEastAsia" w:hAnsiTheme="minorEastAsia" w:eastAsiaTheme="minorEastAsia"/>
          <w:color w:val="auto"/>
          <w:kern w:val="0"/>
          <w:sz w:val="24"/>
          <w:highlight w:val="none"/>
          <w:lang w:val="zh-CN"/>
        </w:rPr>
        <w:t>政府采购供应商廉洁自律承诺书</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格式见第七部分，必须提供</w:t>
      </w:r>
      <w:r>
        <w:rPr>
          <w:rFonts w:hint="eastAsia" w:asciiTheme="minorEastAsia" w:hAnsiTheme="minorEastAsia" w:eastAsiaTheme="minorEastAsia"/>
          <w:b/>
          <w:bCs/>
          <w:color w:val="auto"/>
          <w:sz w:val="24"/>
          <w:highlight w:val="none"/>
          <w:lang w:eastAsia="zh-CN"/>
        </w:rPr>
        <w:t>）</w:t>
      </w:r>
      <w:r>
        <w:rPr>
          <w:rFonts w:hint="eastAsia" w:cs="仿宋_GB2312" w:asciiTheme="minorEastAsia" w:hAnsiTheme="minorEastAsia" w:eastAsiaTheme="minorEastAsia"/>
          <w:color w:val="auto"/>
          <w:kern w:val="0"/>
          <w:sz w:val="24"/>
          <w:highlight w:val="none"/>
          <w:lang w:val="zh-CN"/>
        </w:rPr>
        <w:t>；</w:t>
      </w:r>
    </w:p>
    <w:p w14:paraId="22AA57C2">
      <w:pPr>
        <w:pStyle w:val="32"/>
        <w:spacing w:line="360" w:lineRule="auto"/>
        <w:ind w:firstLine="480" w:firstLineChars="200"/>
        <w:outlineLvl w:val="9"/>
        <w:rPr>
          <w:rFonts w:hint="eastAsia" w:cs="仿宋_GB2312" w:asciiTheme="minorEastAsia" w:hAnsiTheme="minorEastAsia" w:eastAsiaTheme="minorEastAsia"/>
          <w:color w:val="auto"/>
          <w:kern w:val="0"/>
          <w:sz w:val="24"/>
          <w:highlight w:val="none"/>
          <w:lang w:val="zh-CN"/>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lang w:val="en-US" w:eastAsia="zh-CN"/>
        </w:rPr>
        <w:t>3</w:t>
      </w:r>
      <w:r>
        <w:rPr>
          <w:rFonts w:hint="eastAsia" w:asciiTheme="minorEastAsia" w:hAnsiTheme="minorEastAsia" w:eastAsiaTheme="minorEastAsia"/>
          <w:color w:val="auto"/>
          <w:sz w:val="24"/>
          <w:szCs w:val="24"/>
          <w:highlight w:val="none"/>
        </w:rPr>
        <w:t>）</w:t>
      </w:r>
      <w:r>
        <w:rPr>
          <w:rFonts w:hint="eastAsia" w:cs="仿宋_GB2312" w:asciiTheme="minorEastAsia" w:hAnsiTheme="minorEastAsia" w:eastAsiaTheme="minorEastAsia"/>
          <w:color w:val="auto"/>
          <w:kern w:val="0"/>
          <w:sz w:val="24"/>
          <w:highlight w:val="none"/>
          <w:lang w:val="zh-CN"/>
        </w:rPr>
        <w:t>承诺函</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格式见第七部分，必须提供</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color w:val="auto"/>
          <w:sz w:val="24"/>
          <w:highlight w:val="none"/>
          <w:lang w:eastAsia="zh-CN"/>
        </w:rPr>
        <w:t>；</w:t>
      </w:r>
    </w:p>
    <w:p w14:paraId="44EC107F">
      <w:pPr>
        <w:pStyle w:val="32"/>
        <w:spacing w:line="360" w:lineRule="auto"/>
        <w:ind w:firstLine="480" w:firstLineChars="200"/>
        <w:outlineLvl w:val="9"/>
        <w:rPr>
          <w:rFonts w:hint="eastAsia" w:cs="仿宋_GB2312" w:asciiTheme="minorEastAsia" w:hAnsiTheme="minorEastAsia" w:eastAsiaTheme="minorEastAsia"/>
          <w:color w:val="auto"/>
          <w:kern w:val="0"/>
          <w:sz w:val="24"/>
          <w:highlight w:val="none"/>
          <w:lang w:val="zh-CN"/>
        </w:rPr>
      </w:pPr>
      <w:r>
        <w:rPr>
          <w:rFonts w:hint="eastAsia" w:asciiTheme="minorEastAsia" w:hAnsiTheme="minorEastAsia" w:eastAsiaTheme="minorEastAsia"/>
          <w:color w:val="auto"/>
          <w:sz w:val="24"/>
          <w:highlight w:val="none"/>
        </w:rPr>
        <w:t>▲</w:t>
      </w:r>
      <w:r>
        <w:rPr>
          <w:rFonts w:hint="eastAsia" w:cs="仿宋_GB2312" w:asciiTheme="minorEastAsia" w:hAnsiTheme="minorEastAsia" w:eastAsiaTheme="minorEastAsia"/>
          <w:color w:val="auto"/>
          <w:kern w:val="0"/>
          <w:sz w:val="24"/>
          <w:highlight w:val="none"/>
          <w:lang w:val="zh-CN"/>
        </w:rPr>
        <w:t>（</w:t>
      </w:r>
      <w:r>
        <w:rPr>
          <w:rFonts w:hint="eastAsia" w:cs="仿宋_GB2312" w:asciiTheme="minorEastAsia" w:hAnsiTheme="minorEastAsia" w:eastAsiaTheme="minorEastAsia"/>
          <w:color w:val="auto"/>
          <w:kern w:val="0"/>
          <w:sz w:val="24"/>
          <w:highlight w:val="none"/>
          <w:lang w:val="en-US" w:eastAsia="zh-CN"/>
        </w:rPr>
        <w:t>4</w:t>
      </w:r>
      <w:r>
        <w:rPr>
          <w:rFonts w:hint="eastAsia" w:cs="仿宋_GB2312" w:asciiTheme="minorEastAsia" w:hAnsiTheme="minorEastAsia" w:eastAsiaTheme="minorEastAsia"/>
          <w:color w:val="auto"/>
          <w:kern w:val="0"/>
          <w:sz w:val="24"/>
          <w:highlight w:val="none"/>
          <w:lang w:val="zh-CN"/>
        </w:rPr>
        <w:t>）技术服务、商务偏离情况说明表</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格式见第七部分，必须提供</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color w:val="auto"/>
          <w:sz w:val="24"/>
          <w:highlight w:val="none"/>
          <w:lang w:eastAsia="zh-CN"/>
        </w:rPr>
        <w:t>；</w:t>
      </w:r>
    </w:p>
    <w:p w14:paraId="3ABFB9DA">
      <w:pPr>
        <w:pStyle w:val="32"/>
        <w:spacing w:line="360" w:lineRule="auto"/>
        <w:ind w:firstLine="480" w:firstLineChars="200"/>
        <w:outlineLvl w:val="9"/>
        <w:rPr>
          <w:rFonts w:hint="eastAsia" w:cs="仿宋_GB2312" w:asciiTheme="minorEastAsia" w:hAnsiTheme="minorEastAsia" w:eastAsiaTheme="minorEastAsia"/>
          <w:color w:val="auto"/>
          <w:kern w:val="0"/>
          <w:sz w:val="24"/>
          <w:highlight w:val="none"/>
          <w:lang w:val="zh-CN"/>
        </w:rPr>
      </w:pPr>
      <w:r>
        <w:rPr>
          <w:rFonts w:hint="eastAsia" w:asciiTheme="minorEastAsia" w:hAnsiTheme="minorEastAsia" w:eastAsiaTheme="minorEastAsia"/>
          <w:color w:val="auto"/>
          <w:sz w:val="24"/>
          <w:highlight w:val="none"/>
        </w:rPr>
        <w:t>▲</w:t>
      </w:r>
      <w:r>
        <w:rPr>
          <w:rFonts w:hint="eastAsia" w:cs="仿宋_GB2312" w:asciiTheme="minorEastAsia" w:hAnsiTheme="minorEastAsia" w:eastAsiaTheme="minorEastAsia"/>
          <w:color w:val="auto"/>
          <w:kern w:val="0"/>
          <w:sz w:val="24"/>
          <w:highlight w:val="none"/>
          <w:lang w:val="zh-CN"/>
        </w:rPr>
        <w:t>（</w:t>
      </w:r>
      <w:r>
        <w:rPr>
          <w:rFonts w:hint="eastAsia" w:cs="仿宋_GB2312" w:asciiTheme="minorEastAsia" w:hAnsiTheme="minorEastAsia" w:eastAsiaTheme="minorEastAsia"/>
          <w:color w:val="auto"/>
          <w:kern w:val="0"/>
          <w:sz w:val="24"/>
          <w:highlight w:val="none"/>
          <w:lang w:val="en-US" w:eastAsia="zh-CN"/>
        </w:rPr>
        <w:t>5</w:t>
      </w:r>
      <w:r>
        <w:rPr>
          <w:rFonts w:hint="eastAsia" w:cs="仿宋_GB2312" w:asciiTheme="minorEastAsia" w:hAnsiTheme="minorEastAsia" w:eastAsiaTheme="minorEastAsia"/>
          <w:color w:val="auto"/>
          <w:kern w:val="0"/>
          <w:sz w:val="24"/>
          <w:highlight w:val="none"/>
          <w:lang w:val="zh-CN"/>
        </w:rPr>
        <w:t>）法定代表人（负责人）身份证明书（附营业执照或事业单位法人证书或执业许可证及法定代表人（负责人）身份证复印件）</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格式见第七部分，必须提供</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color w:val="auto"/>
          <w:sz w:val="24"/>
          <w:highlight w:val="none"/>
          <w:lang w:eastAsia="zh-CN"/>
        </w:rPr>
        <w:t>；</w:t>
      </w:r>
    </w:p>
    <w:p w14:paraId="3D374A5E">
      <w:pPr>
        <w:pStyle w:val="24"/>
        <w:ind w:firstLine="480" w:firstLineChars="200"/>
        <w:outlineLvl w:val="9"/>
        <w:rPr>
          <w:rFonts w:hint="eastAsia" w:cs="仿宋_GB2312" w:asciiTheme="minorEastAsia" w:hAnsiTheme="minorEastAsia" w:eastAsiaTheme="minorEastAsia"/>
          <w:color w:val="auto"/>
          <w:kern w:val="0"/>
          <w:sz w:val="24"/>
          <w:highlight w:val="none"/>
          <w:lang w:val="zh-CN"/>
        </w:rPr>
      </w:pPr>
      <w:r>
        <w:rPr>
          <w:rFonts w:hint="eastAsia" w:asciiTheme="minorEastAsia" w:hAnsiTheme="minorEastAsia" w:eastAsiaTheme="minorEastAsia"/>
          <w:color w:val="auto"/>
          <w:sz w:val="24"/>
          <w:highlight w:val="none"/>
        </w:rPr>
        <w:t>▲</w:t>
      </w:r>
      <w:r>
        <w:rPr>
          <w:rFonts w:hint="eastAsia" w:cs="仿宋_GB2312" w:asciiTheme="minorEastAsia" w:hAnsiTheme="minorEastAsia" w:eastAsiaTheme="minorEastAsia"/>
          <w:color w:val="auto"/>
          <w:kern w:val="0"/>
          <w:sz w:val="24"/>
          <w:highlight w:val="none"/>
          <w:lang w:val="zh-CN"/>
        </w:rPr>
        <w:t>（</w:t>
      </w:r>
      <w:r>
        <w:rPr>
          <w:rFonts w:hint="eastAsia" w:cs="仿宋_GB2312" w:asciiTheme="minorEastAsia" w:hAnsiTheme="minorEastAsia" w:eastAsiaTheme="minorEastAsia"/>
          <w:color w:val="auto"/>
          <w:kern w:val="0"/>
          <w:sz w:val="24"/>
          <w:highlight w:val="none"/>
          <w:lang w:val="en-US" w:eastAsia="zh-CN"/>
        </w:rPr>
        <w:t>6</w:t>
      </w:r>
      <w:r>
        <w:rPr>
          <w:rFonts w:hint="eastAsia" w:cs="仿宋_GB2312" w:asciiTheme="minorEastAsia" w:hAnsiTheme="minorEastAsia" w:eastAsiaTheme="minorEastAsia"/>
          <w:color w:val="auto"/>
          <w:kern w:val="0"/>
          <w:sz w:val="24"/>
          <w:highlight w:val="none"/>
          <w:lang w:val="zh-CN"/>
        </w:rPr>
        <w:t>）法定代表人（负责人）授权委托书和委托代理人身份证复印件</w:t>
      </w:r>
      <w:r>
        <w:rPr>
          <w:rFonts w:hint="eastAsia" w:cs="仿宋_GB2312" w:asciiTheme="minorEastAsia" w:hAnsiTheme="minorEastAsia" w:eastAsiaTheme="minorEastAsia"/>
          <w:b/>
          <w:bCs/>
          <w:color w:val="auto"/>
          <w:kern w:val="0"/>
          <w:sz w:val="24"/>
          <w:highlight w:val="none"/>
          <w:lang w:val="zh-CN"/>
        </w:rPr>
        <w:t>（格式见</w:t>
      </w:r>
      <w:r>
        <w:rPr>
          <w:rFonts w:hint="eastAsia" w:cs="仿宋_GB2312" w:asciiTheme="minorEastAsia" w:hAnsiTheme="minorEastAsia" w:eastAsiaTheme="minorEastAsia"/>
          <w:b/>
          <w:bCs/>
          <w:color w:val="auto"/>
          <w:kern w:val="0"/>
          <w:sz w:val="24"/>
          <w:highlight w:val="none"/>
          <w:lang w:val="en-US" w:eastAsia="zh-CN"/>
        </w:rPr>
        <w:t>第七部分</w:t>
      </w:r>
      <w:r>
        <w:rPr>
          <w:rFonts w:hint="eastAsia" w:cs="仿宋_GB2312" w:asciiTheme="minorEastAsia" w:hAnsiTheme="minorEastAsia" w:eastAsiaTheme="minorEastAsia"/>
          <w:b/>
          <w:bCs/>
          <w:color w:val="auto"/>
          <w:kern w:val="0"/>
          <w:sz w:val="24"/>
          <w:highlight w:val="none"/>
          <w:lang w:val="zh-CN"/>
        </w:rPr>
        <w:t>,委托代理时必须提供）</w:t>
      </w:r>
      <w:r>
        <w:rPr>
          <w:rFonts w:hint="eastAsia" w:cs="仿宋_GB2312" w:asciiTheme="minorEastAsia" w:hAnsiTheme="minorEastAsia" w:eastAsiaTheme="minorEastAsia"/>
          <w:color w:val="auto"/>
          <w:kern w:val="0"/>
          <w:sz w:val="24"/>
          <w:highlight w:val="none"/>
          <w:lang w:val="zh-CN"/>
        </w:rPr>
        <w:t>；</w:t>
      </w:r>
    </w:p>
    <w:p w14:paraId="01F929B1">
      <w:pPr>
        <w:pStyle w:val="60"/>
        <w:outlineLvl w:val="9"/>
        <w:rPr>
          <w:rFonts w:hint="eastAsia" w:cs="仿宋_GB2312" w:asciiTheme="minorEastAsia" w:hAnsiTheme="minorEastAsia" w:eastAsiaTheme="minorEastAsia"/>
          <w:color w:val="auto"/>
          <w:kern w:val="0"/>
          <w:sz w:val="24"/>
          <w:highlight w:val="none"/>
          <w:lang w:val="en-US" w:eastAsia="zh-CN"/>
        </w:rPr>
      </w:pPr>
      <w:r>
        <w:rPr>
          <w:rFonts w:hint="eastAsia" w:asciiTheme="minorEastAsia" w:hAnsiTheme="minorEastAsia" w:eastAsiaTheme="minorEastAsia"/>
          <w:color w:val="auto"/>
          <w:sz w:val="24"/>
          <w:highlight w:val="none"/>
        </w:rPr>
        <w:t>▲</w:t>
      </w:r>
      <w:r>
        <w:rPr>
          <w:rFonts w:hint="eastAsia" w:cs="仿宋_GB2312" w:asciiTheme="minorEastAsia" w:hAnsiTheme="minorEastAsia" w:eastAsiaTheme="minorEastAsia"/>
          <w:color w:val="auto"/>
          <w:kern w:val="0"/>
          <w:sz w:val="24"/>
          <w:highlight w:val="none"/>
          <w:lang w:val="zh-CN"/>
        </w:rPr>
        <w:t>（</w:t>
      </w:r>
      <w:r>
        <w:rPr>
          <w:rFonts w:hint="eastAsia" w:cs="仿宋_GB2312" w:asciiTheme="minorEastAsia" w:hAnsiTheme="minorEastAsia" w:eastAsiaTheme="minorEastAsia"/>
          <w:color w:val="auto"/>
          <w:kern w:val="0"/>
          <w:sz w:val="24"/>
          <w:highlight w:val="none"/>
          <w:lang w:val="en-US" w:eastAsia="zh-CN"/>
        </w:rPr>
        <w:t>7</w:t>
      </w:r>
      <w:r>
        <w:rPr>
          <w:rFonts w:hint="eastAsia" w:cs="仿宋_GB2312" w:asciiTheme="minorEastAsia" w:hAnsiTheme="minorEastAsia" w:eastAsiaTheme="minorEastAsia"/>
          <w:color w:val="auto"/>
          <w:kern w:val="0"/>
          <w:sz w:val="24"/>
          <w:highlight w:val="none"/>
          <w:lang w:val="zh-CN"/>
        </w:rPr>
        <w:t>）</w:t>
      </w:r>
      <w:r>
        <w:rPr>
          <w:rFonts w:hint="eastAsia" w:cs="仿宋_GB2312" w:asciiTheme="minorEastAsia" w:hAnsiTheme="minorEastAsia" w:eastAsiaTheme="minorEastAsia"/>
          <w:color w:val="auto"/>
          <w:kern w:val="0"/>
          <w:sz w:val="24"/>
          <w:highlight w:val="none"/>
          <w:lang w:val="en-US" w:eastAsia="zh-CN"/>
        </w:rPr>
        <w:t>服务承诺</w:t>
      </w:r>
      <w:r>
        <w:rPr>
          <w:rFonts w:hint="eastAsia" w:cs="仿宋_GB2312" w:asciiTheme="minorEastAsia" w:hAnsiTheme="minorEastAsia" w:eastAsiaTheme="minorEastAsia"/>
          <w:b/>
          <w:bCs/>
          <w:color w:val="auto"/>
          <w:kern w:val="0"/>
          <w:sz w:val="24"/>
          <w:highlight w:val="none"/>
          <w:lang w:val="en-US" w:eastAsia="zh-CN"/>
        </w:rPr>
        <w:t>（格式自拟，必须提供）</w:t>
      </w:r>
      <w:r>
        <w:rPr>
          <w:rFonts w:hint="eastAsia" w:cs="仿宋_GB2312" w:asciiTheme="minorEastAsia" w:hAnsiTheme="minorEastAsia" w:eastAsiaTheme="minorEastAsia"/>
          <w:color w:val="auto"/>
          <w:kern w:val="0"/>
          <w:sz w:val="24"/>
          <w:highlight w:val="none"/>
          <w:lang w:val="en-US" w:eastAsia="zh-CN"/>
        </w:rPr>
        <w:t>；</w:t>
      </w:r>
    </w:p>
    <w:p w14:paraId="75EEF08D">
      <w:pPr>
        <w:pStyle w:val="32"/>
        <w:spacing w:line="360" w:lineRule="auto"/>
        <w:ind w:firstLine="480" w:firstLineChars="200"/>
        <w:outlineLvl w:val="9"/>
        <w:rPr>
          <w:rFonts w:hint="eastAsia" w:cs="仿宋_GB2312" w:asciiTheme="minorEastAsia" w:hAnsiTheme="minorEastAsia" w:eastAsiaTheme="minorEastAsia"/>
          <w:color w:val="auto"/>
          <w:kern w:val="0"/>
          <w:sz w:val="24"/>
          <w:highlight w:val="none"/>
          <w:lang w:val="zh-CN" w:eastAsia="zh-CN"/>
        </w:rPr>
      </w:pPr>
      <w:r>
        <w:rPr>
          <w:rFonts w:hint="eastAsia" w:cs="仿宋_GB2312" w:asciiTheme="minorEastAsia" w:hAnsiTheme="minorEastAsia" w:eastAsiaTheme="minorEastAsia"/>
          <w:color w:val="auto"/>
          <w:kern w:val="0"/>
          <w:sz w:val="24"/>
          <w:highlight w:val="none"/>
          <w:lang w:val="zh-CN" w:eastAsia="zh-CN"/>
        </w:rPr>
        <w:t>（</w:t>
      </w:r>
      <w:r>
        <w:rPr>
          <w:rFonts w:hint="eastAsia" w:cs="仿宋_GB2312" w:asciiTheme="minorEastAsia" w:hAnsiTheme="minorEastAsia" w:eastAsiaTheme="minorEastAsia"/>
          <w:color w:val="auto"/>
          <w:kern w:val="0"/>
          <w:sz w:val="24"/>
          <w:highlight w:val="none"/>
          <w:lang w:val="en-US" w:eastAsia="zh-CN"/>
        </w:rPr>
        <w:t>8</w:t>
      </w:r>
      <w:r>
        <w:rPr>
          <w:rFonts w:hint="eastAsia" w:cs="仿宋_GB2312" w:asciiTheme="minorEastAsia" w:hAnsiTheme="minorEastAsia" w:eastAsiaTheme="minorEastAsia"/>
          <w:color w:val="auto"/>
          <w:kern w:val="0"/>
          <w:sz w:val="24"/>
          <w:highlight w:val="none"/>
          <w:lang w:val="zh-CN" w:eastAsia="zh-CN"/>
        </w:rPr>
        <w:t>）项目实施人员一览表（格式见第七部分）；</w:t>
      </w:r>
    </w:p>
    <w:p w14:paraId="331E11C5">
      <w:pPr>
        <w:pStyle w:val="32"/>
        <w:spacing w:line="360" w:lineRule="auto"/>
        <w:ind w:firstLine="480" w:firstLineChars="200"/>
        <w:outlineLvl w:val="9"/>
        <w:rPr>
          <w:rFonts w:hint="eastAsia" w:cs="仿宋_GB2312" w:asciiTheme="minorEastAsia" w:hAnsiTheme="minorEastAsia" w:eastAsiaTheme="minorEastAsia"/>
          <w:color w:val="auto"/>
          <w:kern w:val="0"/>
          <w:sz w:val="24"/>
          <w:highlight w:val="none"/>
          <w:lang w:val="zh-CN" w:eastAsia="zh-CN"/>
        </w:rPr>
      </w:pPr>
      <w:r>
        <w:rPr>
          <w:rFonts w:hint="eastAsia" w:cs="仿宋_GB2312" w:asciiTheme="minorEastAsia" w:hAnsiTheme="minorEastAsia" w:eastAsiaTheme="minorEastAsia"/>
          <w:color w:val="auto"/>
          <w:kern w:val="0"/>
          <w:sz w:val="24"/>
          <w:highlight w:val="none"/>
          <w:lang w:val="zh-CN" w:eastAsia="zh-CN"/>
        </w:rPr>
        <w:t>（</w:t>
      </w:r>
      <w:r>
        <w:rPr>
          <w:rFonts w:hint="eastAsia" w:cs="仿宋_GB2312" w:asciiTheme="minorEastAsia" w:hAnsiTheme="minorEastAsia" w:eastAsiaTheme="minorEastAsia"/>
          <w:color w:val="auto"/>
          <w:kern w:val="0"/>
          <w:sz w:val="24"/>
          <w:highlight w:val="none"/>
          <w:lang w:val="en-US" w:eastAsia="zh-CN"/>
        </w:rPr>
        <w:t>9</w:t>
      </w:r>
      <w:r>
        <w:rPr>
          <w:rFonts w:hint="eastAsia" w:cs="仿宋_GB2312" w:asciiTheme="minorEastAsia" w:hAnsiTheme="minorEastAsia" w:eastAsiaTheme="minorEastAsia"/>
          <w:color w:val="auto"/>
          <w:kern w:val="0"/>
          <w:sz w:val="24"/>
          <w:highlight w:val="none"/>
          <w:lang w:val="zh-CN" w:eastAsia="zh-CN"/>
        </w:rPr>
        <w:t>）</w:t>
      </w:r>
      <w:r>
        <w:rPr>
          <w:rFonts w:hint="eastAsia" w:cs="仿宋_GB2312" w:asciiTheme="minorEastAsia" w:hAnsiTheme="minorEastAsia" w:eastAsiaTheme="minorEastAsia"/>
          <w:color w:val="auto"/>
          <w:kern w:val="0"/>
          <w:sz w:val="24"/>
          <w:highlight w:val="none"/>
          <w:lang w:val="en-US" w:eastAsia="zh-CN"/>
        </w:rPr>
        <w:t>项目实施方案等评审标准要求的有关材料</w:t>
      </w:r>
      <w:r>
        <w:rPr>
          <w:rFonts w:hint="eastAsia" w:cs="仿宋_GB2312" w:asciiTheme="minorEastAsia" w:hAnsiTheme="minorEastAsia" w:eastAsiaTheme="minorEastAsia"/>
          <w:color w:val="auto"/>
          <w:kern w:val="0"/>
          <w:sz w:val="24"/>
          <w:highlight w:val="none"/>
          <w:lang w:val="zh-CN" w:eastAsia="zh-CN"/>
        </w:rPr>
        <w:t>；</w:t>
      </w:r>
    </w:p>
    <w:p w14:paraId="67616097">
      <w:pPr>
        <w:pStyle w:val="32"/>
        <w:spacing w:line="360" w:lineRule="auto"/>
        <w:ind w:firstLine="480" w:firstLineChars="200"/>
        <w:outlineLvl w:val="9"/>
        <w:rPr>
          <w:rFonts w:hint="eastAsia" w:cs="仿宋_GB2312" w:asciiTheme="minorEastAsia" w:hAnsiTheme="minorEastAsia" w:eastAsiaTheme="minorEastAsia"/>
          <w:color w:val="auto"/>
          <w:kern w:val="0"/>
          <w:sz w:val="24"/>
          <w:highlight w:val="none"/>
          <w:lang w:val="zh-CN" w:eastAsia="zh-CN"/>
        </w:rPr>
      </w:pPr>
      <w:r>
        <w:rPr>
          <w:rFonts w:hint="eastAsia" w:cs="仿宋_GB2312" w:asciiTheme="minorEastAsia" w:hAnsiTheme="minorEastAsia" w:eastAsiaTheme="minorEastAsia"/>
          <w:color w:val="auto"/>
          <w:kern w:val="0"/>
          <w:sz w:val="24"/>
          <w:highlight w:val="none"/>
          <w:lang w:val="zh-CN" w:eastAsia="zh-CN"/>
        </w:rPr>
        <w:t>（</w:t>
      </w:r>
      <w:r>
        <w:rPr>
          <w:rFonts w:hint="eastAsia" w:cs="仿宋_GB2312" w:asciiTheme="minorEastAsia" w:hAnsiTheme="minorEastAsia" w:eastAsiaTheme="minorEastAsia"/>
          <w:color w:val="auto"/>
          <w:kern w:val="0"/>
          <w:sz w:val="24"/>
          <w:highlight w:val="none"/>
          <w:lang w:val="en-US" w:eastAsia="zh-CN"/>
        </w:rPr>
        <w:t>10</w:t>
      </w:r>
      <w:r>
        <w:rPr>
          <w:rFonts w:hint="eastAsia" w:cs="仿宋_GB2312" w:asciiTheme="minorEastAsia" w:hAnsiTheme="minorEastAsia" w:eastAsiaTheme="minorEastAsia"/>
          <w:color w:val="auto"/>
          <w:kern w:val="0"/>
          <w:sz w:val="24"/>
          <w:highlight w:val="none"/>
          <w:lang w:val="zh-CN" w:eastAsia="zh-CN"/>
        </w:rPr>
        <w:t>）采购项目需求中要求必须提供的材料等（</w:t>
      </w:r>
      <w:r>
        <w:rPr>
          <w:rFonts w:hint="eastAsia" w:cs="仿宋_GB2312" w:asciiTheme="minorEastAsia" w:hAnsiTheme="minorEastAsia" w:eastAsiaTheme="minorEastAsia"/>
          <w:color w:val="auto"/>
          <w:kern w:val="0"/>
          <w:sz w:val="24"/>
          <w:highlight w:val="none"/>
          <w:lang w:val="en-US" w:eastAsia="zh-CN"/>
        </w:rPr>
        <w:t>如有要求，</w:t>
      </w:r>
      <w:r>
        <w:rPr>
          <w:rFonts w:hint="eastAsia" w:cs="仿宋_GB2312" w:asciiTheme="minorEastAsia" w:hAnsiTheme="minorEastAsia" w:eastAsiaTheme="minorEastAsia"/>
          <w:color w:val="auto"/>
          <w:kern w:val="0"/>
          <w:sz w:val="24"/>
          <w:highlight w:val="none"/>
          <w:lang w:val="zh-CN" w:eastAsia="zh-CN"/>
        </w:rPr>
        <w:t>必须提供）；</w:t>
      </w:r>
    </w:p>
    <w:p w14:paraId="468990D4">
      <w:pPr>
        <w:pStyle w:val="32"/>
        <w:spacing w:line="360" w:lineRule="auto"/>
        <w:ind w:firstLine="480" w:firstLineChars="200"/>
        <w:outlineLvl w:val="9"/>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zh-CN" w:eastAsia="zh-CN"/>
        </w:rPr>
        <w:t>（</w:t>
      </w:r>
      <w:r>
        <w:rPr>
          <w:rFonts w:hint="eastAsia" w:cs="仿宋_GB2312" w:asciiTheme="minorEastAsia" w:hAnsiTheme="minorEastAsia" w:eastAsiaTheme="minorEastAsia"/>
          <w:color w:val="auto"/>
          <w:kern w:val="0"/>
          <w:sz w:val="24"/>
          <w:highlight w:val="none"/>
          <w:lang w:val="en-US" w:eastAsia="zh-CN"/>
        </w:rPr>
        <w:t>11</w:t>
      </w:r>
      <w:r>
        <w:rPr>
          <w:rFonts w:hint="eastAsia" w:cs="仿宋_GB2312" w:asciiTheme="minorEastAsia" w:hAnsiTheme="minorEastAsia" w:eastAsiaTheme="minorEastAsia"/>
          <w:color w:val="auto"/>
          <w:kern w:val="0"/>
          <w:sz w:val="24"/>
          <w:highlight w:val="none"/>
          <w:lang w:val="zh-CN" w:eastAsia="zh-CN"/>
        </w:rPr>
        <w:t>）磋商供应商认为需要提供的有关资料</w:t>
      </w:r>
      <w:r>
        <w:rPr>
          <w:rFonts w:hint="eastAsia" w:cs="仿宋_GB2312" w:asciiTheme="minorEastAsia" w:hAnsiTheme="minorEastAsia" w:eastAsiaTheme="minorEastAsia"/>
          <w:color w:val="auto"/>
          <w:kern w:val="0"/>
          <w:sz w:val="24"/>
          <w:highlight w:val="none"/>
          <w:lang w:val="en-US" w:eastAsia="zh-CN"/>
        </w:rPr>
        <w:t>。</w:t>
      </w:r>
    </w:p>
    <w:p w14:paraId="3DE6B3A1">
      <w:pPr>
        <w:pStyle w:val="32"/>
        <w:spacing w:line="360" w:lineRule="auto"/>
        <w:ind w:firstLine="482" w:firstLineChars="200"/>
        <w:outlineLvl w:val="9"/>
        <w:rPr>
          <w:rFonts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3. 响应文件的编制和签署</w:t>
      </w:r>
    </w:p>
    <w:p w14:paraId="24A1C0B2">
      <w:pPr>
        <w:spacing w:line="360" w:lineRule="auto"/>
        <w:ind w:firstLine="480" w:firstLineChars="200"/>
        <w:outlineLvl w:val="9"/>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color w:val="auto"/>
          <w:kern w:val="0"/>
          <w:sz w:val="24"/>
          <w:highlight w:val="none"/>
          <w:lang w:val="zh-CN"/>
        </w:rPr>
        <w:t>3.1</w:t>
      </w:r>
      <w:r>
        <w:rPr>
          <w:rFonts w:hint="eastAsia" w:cs="仿宋_GB2312" w:asciiTheme="minorEastAsia" w:hAnsiTheme="minorEastAsia" w:eastAsiaTheme="minorEastAsia"/>
          <w:color w:val="auto"/>
          <w:kern w:val="0"/>
          <w:sz w:val="24"/>
          <w:highlight w:val="none"/>
          <w:lang w:val="en-US" w:eastAsia="zh-CN"/>
        </w:rPr>
        <w:t xml:space="preserve"> </w:t>
      </w:r>
      <w:r>
        <w:rPr>
          <w:rFonts w:hint="eastAsia" w:cs="仿宋_GB2312" w:asciiTheme="minorEastAsia" w:hAnsiTheme="minorEastAsia" w:eastAsiaTheme="minorEastAsia"/>
          <w:color w:val="auto"/>
          <w:kern w:val="0"/>
          <w:sz w:val="24"/>
          <w:highlight w:val="none"/>
          <w:lang w:val="zh-CN"/>
        </w:rPr>
        <w:t>各供应商在编制响应文件时请按照磋商文件第七部分规定的格式进行，混乱的编排导致响应文件被误读或磋商小组查找不到有效文件是供应商的风险。</w:t>
      </w:r>
    </w:p>
    <w:p w14:paraId="5CB46776">
      <w:pPr>
        <w:spacing w:line="360" w:lineRule="auto"/>
        <w:ind w:firstLine="480" w:firstLineChars="200"/>
        <w:outlineLvl w:val="9"/>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3.2</w:t>
      </w:r>
      <w:r>
        <w:rPr>
          <w:rFonts w:hint="eastAsia" w:cs="仿宋_GB2312" w:asciiTheme="minorEastAsia" w:hAnsiTheme="minorEastAsia" w:eastAsiaTheme="minorEastAsia"/>
          <w:color w:val="auto"/>
          <w:kern w:val="0"/>
          <w:sz w:val="24"/>
          <w:highlight w:val="none"/>
          <w:lang w:val="en-US" w:eastAsia="zh-CN"/>
        </w:rPr>
        <w:t xml:space="preserve"> </w:t>
      </w:r>
      <w:r>
        <w:rPr>
          <w:rFonts w:hint="eastAsia" w:cs="仿宋_GB2312" w:asciiTheme="minorEastAsia" w:hAnsiTheme="minorEastAsia" w:eastAsiaTheme="minorEastAsia"/>
          <w:color w:val="auto"/>
          <w:kern w:val="0"/>
          <w:sz w:val="24"/>
          <w:highlight w:val="none"/>
          <w:lang w:val="zh-CN"/>
        </w:rPr>
        <w:t>供应商进行电子交易应安装客户端软件—“广西政府采购云平台电子交易客户端”，并按照磋商文件和电子交易平台的要求编制并加密响应文件。供应商未按规定加密的响应文件，电子交易平台将拒收并提示。</w:t>
      </w:r>
    </w:p>
    <w:p w14:paraId="2466A417">
      <w:pPr>
        <w:spacing w:line="360" w:lineRule="auto"/>
        <w:ind w:firstLine="480" w:firstLineChars="200"/>
        <w:outlineLvl w:val="9"/>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3.3</w:t>
      </w:r>
      <w:r>
        <w:rPr>
          <w:rFonts w:hint="eastAsia" w:cs="仿宋_GB2312" w:asciiTheme="minorEastAsia" w:hAnsiTheme="minorEastAsia" w:eastAsiaTheme="minorEastAsia"/>
          <w:color w:val="auto"/>
          <w:kern w:val="0"/>
          <w:sz w:val="24"/>
          <w:highlight w:val="none"/>
          <w:lang w:val="en-US" w:eastAsia="zh-CN"/>
        </w:rPr>
        <w:t xml:space="preserve"> </w:t>
      </w:r>
      <w:r>
        <w:rPr>
          <w:rFonts w:hint="eastAsia" w:cs="仿宋_GB2312" w:asciiTheme="minorEastAsia" w:hAnsiTheme="minorEastAsia" w:eastAsiaTheme="minorEastAsia"/>
          <w:color w:val="auto"/>
          <w:kern w:val="0"/>
          <w:sz w:val="24"/>
          <w:highlight w:val="none"/>
          <w:lang w:val="zh-CN"/>
        </w:rPr>
        <w:t>使用“广西政府采购云平台电子交易客户端”需要提前申领CA数字证书，申领流程请自行前往“</w:t>
      </w:r>
      <w:r>
        <w:rPr>
          <w:rFonts w:hint="eastAsia" w:ascii="宋体" w:hAnsi="宋体" w:cs="宋体"/>
          <w:color w:val="auto"/>
          <w:sz w:val="24"/>
          <w:highlight w:val="none"/>
        </w:rPr>
        <w:t>广西政府采购网（http</w:t>
      </w:r>
      <w:r>
        <w:rPr>
          <w:rFonts w:hint="eastAsia" w:ascii="宋体" w:hAnsi="宋体" w:cs="宋体"/>
          <w:color w:val="auto"/>
          <w:sz w:val="24"/>
          <w:highlight w:val="none"/>
          <w:lang w:eastAsia="zh-CN"/>
        </w:rPr>
        <w:t>：</w:t>
      </w:r>
      <w:r>
        <w:rPr>
          <w:rFonts w:hint="eastAsia" w:ascii="宋体" w:hAnsi="宋体" w:cs="宋体"/>
          <w:color w:val="auto"/>
          <w:sz w:val="24"/>
          <w:highlight w:val="none"/>
        </w:rPr>
        <w:t>//zfcg.gxzf.gov.cn/）—办事服务—下载专区</w:t>
      </w:r>
      <w:r>
        <w:rPr>
          <w:rFonts w:hint="eastAsia" w:ascii="宋体" w:hAnsi="宋体" w:cs="宋体"/>
          <w:color w:val="auto"/>
          <w:kern w:val="0"/>
          <w:sz w:val="24"/>
          <w:highlight w:val="none"/>
          <w:lang w:val="zh-CN"/>
        </w:rPr>
        <w:t>”进行查阅</w:t>
      </w:r>
    </w:p>
    <w:p w14:paraId="2F3DAFB7">
      <w:pPr>
        <w:pStyle w:val="395"/>
        <w:snapToGrid w:val="0"/>
        <w:spacing w:before="0"/>
        <w:ind w:firstLine="480"/>
        <w:outlineLvl w:val="9"/>
        <w:rPr>
          <w:rFonts w:cs="仿宋_GB2312" w:asciiTheme="minorEastAsia" w:hAnsiTheme="minorEastAsia" w:eastAsiaTheme="minorEastAsia"/>
          <w:b/>
          <w:color w:val="auto"/>
          <w:highlight w:val="none"/>
        </w:rPr>
      </w:pPr>
      <w:r>
        <w:rPr>
          <w:rFonts w:hint="eastAsia" w:cs="仿宋_GB2312" w:asciiTheme="minorEastAsia" w:hAnsiTheme="minorEastAsia" w:eastAsiaTheme="minorEastAsia"/>
          <w:color w:val="auto"/>
          <w:szCs w:val="24"/>
          <w:highlight w:val="none"/>
        </w:rPr>
        <w:t>3.4</w:t>
      </w:r>
      <w:r>
        <w:rPr>
          <w:rFonts w:hint="eastAsia" w:cs="仿宋_GB2312" w:asciiTheme="minorEastAsia" w:hAnsiTheme="minorEastAsia" w:eastAsiaTheme="minorEastAsia"/>
          <w:color w:val="auto"/>
          <w:szCs w:val="24"/>
          <w:highlight w:val="none"/>
          <w:lang w:val="en-US" w:eastAsia="zh-CN"/>
        </w:rPr>
        <w:t xml:space="preserve"> </w:t>
      </w:r>
      <w:r>
        <w:rPr>
          <w:rFonts w:hint="eastAsia" w:cs="仿宋_GB2312" w:asciiTheme="minorEastAsia" w:hAnsiTheme="minorEastAsia" w:eastAsiaTheme="minorEastAsia"/>
          <w:color w:val="auto"/>
          <w:szCs w:val="24"/>
          <w:highlight w:val="none"/>
        </w:rPr>
        <w:t>响应文件按照磋商文件第七部分格式要</w:t>
      </w:r>
      <w:r>
        <w:rPr>
          <w:rFonts w:hint="eastAsia" w:cs="仿宋_GB2312" w:asciiTheme="minorEastAsia" w:hAnsiTheme="minorEastAsia" w:eastAsiaTheme="minorEastAsia"/>
          <w:color w:val="auto"/>
          <w:highlight w:val="none"/>
        </w:rPr>
        <w:t>求进行签署、盖章。</w:t>
      </w:r>
      <w:r>
        <w:rPr>
          <w:rFonts w:hint="eastAsia" w:asciiTheme="minorEastAsia" w:hAnsiTheme="minorEastAsia" w:eastAsiaTheme="minorEastAsia"/>
          <w:b/>
          <w:color w:val="auto"/>
          <w:highlight w:val="none"/>
        </w:rPr>
        <w:t>▲</w:t>
      </w:r>
      <w:r>
        <w:rPr>
          <w:rFonts w:hint="eastAsia" w:cs="仿宋_GB2312" w:asciiTheme="minorEastAsia" w:hAnsiTheme="minorEastAsia" w:eastAsiaTheme="minorEastAsia"/>
          <w:b/>
          <w:color w:val="auto"/>
          <w:highlight w:val="none"/>
        </w:rPr>
        <w:t>供应商的响应文件未按照磋商文件要求签署、盖章的，其响应无效</w:t>
      </w:r>
      <w:r>
        <w:rPr>
          <w:rFonts w:hint="eastAsia" w:cs="仿宋_GB2312" w:asciiTheme="minorEastAsia" w:hAnsiTheme="minorEastAsia" w:eastAsiaTheme="minorEastAsia"/>
          <w:color w:val="auto"/>
          <w:szCs w:val="24"/>
          <w:highlight w:val="none"/>
        </w:rPr>
        <w:t>。</w:t>
      </w:r>
    </w:p>
    <w:p w14:paraId="04B8DA5E">
      <w:pPr>
        <w:pStyle w:val="395"/>
        <w:snapToGrid w:val="0"/>
        <w:spacing w:before="0"/>
        <w:ind w:firstLine="480"/>
        <w:outlineLvl w:val="9"/>
        <w:rPr>
          <w:rFonts w:cs="宋体" w:asciiTheme="minorEastAsia" w:hAnsiTheme="minorEastAsia" w:eastAsiaTheme="minorEastAsia"/>
          <w:color w:val="auto"/>
          <w:highlight w:val="none"/>
        </w:rPr>
      </w:pPr>
      <w:r>
        <w:rPr>
          <w:rFonts w:hint="eastAsia" w:cs="仿宋_GB2312" w:asciiTheme="minorEastAsia" w:hAnsiTheme="minorEastAsia" w:eastAsiaTheme="minorEastAsia"/>
          <w:color w:val="auto"/>
          <w:szCs w:val="24"/>
          <w:highlight w:val="none"/>
        </w:rPr>
        <w:t>3.5</w:t>
      </w:r>
      <w:r>
        <w:rPr>
          <w:rFonts w:hint="eastAsia" w:cs="仿宋_GB2312" w:asciiTheme="minorEastAsia" w:hAnsiTheme="minorEastAsia" w:eastAsiaTheme="minorEastAsia"/>
          <w:color w:val="auto"/>
          <w:szCs w:val="24"/>
          <w:highlight w:val="none"/>
          <w:lang w:val="en-US" w:eastAsia="zh-CN"/>
        </w:rPr>
        <w:t xml:space="preserve"> </w:t>
      </w:r>
      <w:r>
        <w:rPr>
          <w:rFonts w:hint="eastAsia" w:cs="仿宋_GB2312" w:asciiTheme="minorEastAsia" w:hAnsiTheme="minorEastAsia" w:eastAsiaTheme="minorEastAsia"/>
          <w:color w:val="auto"/>
          <w:szCs w:val="24"/>
          <w:highlight w:val="none"/>
        </w:rPr>
        <w:t>为确保网上操作合法、有效和安全，供应商应当在响应截止时间前完成在“广西政府采购云平台”的身份认证，确保在电子交易过程中能够对相关数据电文进行加密和使用电子签名。</w:t>
      </w:r>
    </w:p>
    <w:p w14:paraId="1C54F38F">
      <w:pPr>
        <w:pStyle w:val="395"/>
        <w:snapToGrid w:val="0"/>
        <w:spacing w:before="0"/>
        <w:ind w:firstLine="480"/>
        <w:outlineLvl w:val="9"/>
        <w:rPr>
          <w:rFonts w:cs="宋体" w:asciiTheme="minorEastAsia" w:hAnsiTheme="minorEastAsia" w:eastAsiaTheme="minorEastAsia"/>
          <w:color w:val="auto"/>
          <w:szCs w:val="24"/>
          <w:highlight w:val="none"/>
        </w:rPr>
      </w:pPr>
      <w:r>
        <w:rPr>
          <w:rFonts w:hint="eastAsia" w:cs="宋体" w:asciiTheme="minorEastAsia" w:hAnsiTheme="minorEastAsia" w:eastAsiaTheme="minorEastAsia"/>
          <w:color w:val="auto"/>
          <w:highlight w:val="none"/>
        </w:rPr>
        <w:t>3.6</w:t>
      </w:r>
      <w:r>
        <w:rPr>
          <w:rFonts w:hint="eastAsia" w:cs="宋体" w:asciiTheme="minorEastAsia" w:hAnsiTheme="minorEastAsia" w:eastAsiaTheme="minorEastAsia"/>
          <w:color w:val="auto"/>
          <w:highlight w:val="none"/>
          <w:lang w:val="en-US" w:eastAsia="zh-CN"/>
        </w:rPr>
        <w:t xml:space="preserve"> </w:t>
      </w:r>
      <w:r>
        <w:rPr>
          <w:rFonts w:hint="eastAsia" w:cs="宋体" w:asciiTheme="minorEastAsia" w:hAnsiTheme="minorEastAsia" w:eastAsiaTheme="minorEastAsia"/>
          <w:color w:val="auto"/>
          <w:highlight w:val="none"/>
        </w:rPr>
        <w:t>磋商文件对响应文件签</w:t>
      </w:r>
      <w:r>
        <w:rPr>
          <w:rFonts w:hint="eastAsia" w:ascii="宋体" w:hAnsi="宋体" w:cs="宋体"/>
          <w:color w:val="auto"/>
          <w:highlight w:val="none"/>
        </w:rPr>
        <w:t>署、盖章的要求适用于电子签名、CA签章以及</w:t>
      </w:r>
      <w:r>
        <w:rPr>
          <w:rFonts w:hint="eastAsia" w:cs="宋体" w:asciiTheme="minorEastAsia" w:hAnsiTheme="minorEastAsia" w:eastAsiaTheme="minorEastAsia"/>
          <w:color w:val="auto"/>
          <w:highlight w:val="none"/>
        </w:rPr>
        <w:t>磋商</w:t>
      </w:r>
      <w:r>
        <w:rPr>
          <w:rFonts w:hint="eastAsia" w:ascii="宋体" w:hAnsi="宋体" w:cs="宋体"/>
          <w:color w:val="auto"/>
          <w:highlight w:val="none"/>
        </w:rPr>
        <w:t>文件明确允许的其他方式。</w:t>
      </w:r>
    </w:p>
    <w:p w14:paraId="63F76B1F">
      <w:pPr>
        <w:pStyle w:val="32"/>
        <w:spacing w:line="360" w:lineRule="auto"/>
        <w:ind w:firstLine="480" w:firstLineChars="200"/>
        <w:outlineLvl w:val="9"/>
        <w:rPr>
          <w:rFonts w:cs="仿宋_GB2312" w:asciiTheme="minorEastAsia" w:hAnsiTheme="minorEastAsia" w:eastAsiaTheme="minorEastAsia"/>
          <w:color w:val="auto"/>
          <w:sz w:val="24"/>
          <w:szCs w:val="24"/>
          <w:highlight w:val="none"/>
        </w:rPr>
      </w:pPr>
    </w:p>
    <w:p w14:paraId="36FEFEA6">
      <w:pPr>
        <w:pStyle w:val="4"/>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七、响应文件的提交和备份</w:t>
      </w:r>
    </w:p>
    <w:p w14:paraId="31C1860E">
      <w:pPr>
        <w:pStyle w:val="395"/>
        <w:spacing w:before="0"/>
        <w:ind w:firstLine="0" w:firstLineChars="0"/>
        <w:outlineLvl w:val="9"/>
        <w:rPr>
          <w:rFonts w:cs="仿宋_GB2312" w:asciiTheme="minorEastAsia" w:hAnsiTheme="minorEastAsia" w:eastAsiaTheme="minorEastAsia"/>
          <w:b/>
          <w:color w:val="auto"/>
          <w:szCs w:val="24"/>
          <w:highlight w:val="none"/>
        </w:rPr>
      </w:pPr>
      <w:r>
        <w:rPr>
          <w:rFonts w:hint="eastAsia" w:cs="仿宋_GB2312" w:asciiTheme="minorEastAsia" w:hAnsiTheme="minorEastAsia" w:eastAsiaTheme="minorEastAsia"/>
          <w:b/>
          <w:color w:val="auto"/>
          <w:szCs w:val="24"/>
          <w:highlight w:val="none"/>
        </w:rPr>
        <w:t>1.</w:t>
      </w:r>
      <w:r>
        <w:rPr>
          <w:rFonts w:hint="eastAsia" w:cs="仿宋_GB2312" w:asciiTheme="minorEastAsia" w:hAnsiTheme="minorEastAsia" w:eastAsiaTheme="minorEastAsia"/>
          <w:b/>
          <w:color w:val="auto"/>
          <w:szCs w:val="24"/>
          <w:highlight w:val="none"/>
          <w:lang w:val="en-US" w:eastAsia="zh-CN"/>
        </w:rPr>
        <w:t xml:space="preserve"> </w:t>
      </w:r>
      <w:r>
        <w:rPr>
          <w:rFonts w:hint="eastAsia" w:cs="仿宋_GB2312" w:asciiTheme="minorEastAsia" w:hAnsiTheme="minorEastAsia" w:eastAsiaTheme="minorEastAsia"/>
          <w:b/>
          <w:color w:val="auto"/>
          <w:szCs w:val="24"/>
          <w:highlight w:val="none"/>
        </w:rPr>
        <w:t>响应文件的提交、补充、修改、撤回</w:t>
      </w:r>
    </w:p>
    <w:p w14:paraId="62904E56">
      <w:pPr>
        <w:pStyle w:val="395"/>
        <w:ind w:firstLine="480"/>
        <w:outlineLvl w:val="9"/>
        <w:rPr>
          <w:rFonts w:cs="仿宋_GB2312" w:asciiTheme="minorEastAsia" w:hAnsiTheme="minorEastAsia" w:eastAsiaTheme="minorEastAsia"/>
          <w:color w:val="auto"/>
          <w:szCs w:val="24"/>
          <w:highlight w:val="none"/>
        </w:rPr>
      </w:pPr>
      <w:r>
        <w:rPr>
          <w:rFonts w:hint="eastAsia" w:cs="仿宋_GB2312" w:asciiTheme="minorEastAsia" w:hAnsiTheme="minorEastAsia" w:eastAsiaTheme="minorEastAsia"/>
          <w:color w:val="auto"/>
          <w:szCs w:val="24"/>
          <w:highlight w:val="none"/>
        </w:rPr>
        <w:t>1.1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14:paraId="33619EC1">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1.2 在响应截止时间以后，不能补充、修改响应文件。</w:t>
      </w:r>
    </w:p>
    <w:p w14:paraId="519E2CB6">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 在提交“最后报价”后，供应商不能退出磋商。</w:t>
      </w:r>
    </w:p>
    <w:p w14:paraId="5CF70319">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1.4 电子交易平台收到响应文件，将妥善保存并即时向供应商发出确认回执通知。在响应截止时间前，除供应商补充、修改或者撤回响应文件外，任何单位和个人不得解密或提取响应文件。</w:t>
      </w:r>
    </w:p>
    <w:p w14:paraId="078F0AC9">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 采购代理机构可以视情况延长提交响应文件的截止时间。在上述情况下，采购代理机构与供应商以前在响应截止期方面的全部权利、责任和义务，将适用于延长至新的响应截止期。</w:t>
      </w:r>
    </w:p>
    <w:p w14:paraId="47A3E391">
      <w:pPr>
        <w:pStyle w:val="32"/>
        <w:spacing w:line="360" w:lineRule="auto"/>
        <w:outlineLvl w:val="9"/>
        <w:rPr>
          <w:rFonts w:hint="default" w:cs="仿宋_GB2312" w:asciiTheme="minorEastAsia" w:hAnsiTheme="minorEastAsia" w:eastAsiaTheme="minorEastAsia"/>
          <w:color w:val="auto"/>
          <w:sz w:val="24"/>
          <w:szCs w:val="24"/>
          <w:highlight w:val="none"/>
          <w:lang w:val="en-US" w:eastAsia="zh-CN"/>
        </w:rPr>
      </w:pPr>
      <w:r>
        <w:rPr>
          <w:rFonts w:hint="eastAsia" w:cs="仿宋_GB2312" w:asciiTheme="minorEastAsia" w:hAnsiTheme="minorEastAsia" w:eastAsiaTheme="minorEastAsia"/>
          <w:b/>
          <w:color w:val="auto"/>
          <w:sz w:val="24"/>
          <w:szCs w:val="24"/>
          <w:highlight w:val="none"/>
        </w:rPr>
        <w:t>2.</w:t>
      </w:r>
      <w:r>
        <w:rPr>
          <w:rFonts w:hint="eastAsia" w:cs="仿宋_GB2312" w:asciiTheme="minorEastAsia" w:hAnsiTheme="minorEastAsia" w:eastAsiaTheme="minorEastAsia"/>
          <w:b/>
          <w:color w:val="auto"/>
          <w:sz w:val="24"/>
          <w:szCs w:val="24"/>
          <w:highlight w:val="none"/>
          <w:lang w:val="en-US" w:eastAsia="zh-CN"/>
        </w:rPr>
        <w:t xml:space="preserve"> </w:t>
      </w:r>
      <w:r>
        <w:rPr>
          <w:rFonts w:hint="eastAsia" w:cs="仿宋_GB2312" w:asciiTheme="minorEastAsia" w:hAnsiTheme="minorEastAsia" w:eastAsiaTheme="minorEastAsia"/>
          <w:b/>
          <w:color w:val="auto"/>
          <w:sz w:val="24"/>
          <w:szCs w:val="24"/>
          <w:highlight w:val="none"/>
        </w:rPr>
        <w:t>备份响应文件</w:t>
      </w:r>
    </w:p>
    <w:p w14:paraId="7CF1F14D">
      <w:pPr>
        <w:pStyle w:val="32"/>
        <w:spacing w:line="360" w:lineRule="auto"/>
        <w:ind w:firstLine="480" w:firstLineChars="200"/>
        <w:outlineLvl w:val="9"/>
        <w:rPr>
          <w:rFonts w:hint="eastAsia" w:cs="仿宋_GB2312" w:asciiTheme="minorEastAsia" w:hAnsiTheme="minorEastAsia" w:eastAsiaTheme="minorEastAsia"/>
          <w:b w:val="0"/>
          <w:bCs w:val="0"/>
          <w:color w:val="auto"/>
          <w:sz w:val="24"/>
          <w:szCs w:val="24"/>
          <w:highlight w:val="none"/>
        </w:rPr>
      </w:pPr>
      <w:r>
        <w:rPr>
          <w:rFonts w:hint="eastAsia" w:cs="仿宋_GB2312" w:asciiTheme="minorEastAsia" w:hAnsiTheme="minorEastAsia" w:eastAsiaTheme="minorEastAsia"/>
          <w:color w:val="auto"/>
          <w:sz w:val="24"/>
          <w:szCs w:val="24"/>
          <w:highlight w:val="none"/>
        </w:rPr>
        <w:t>2.1 供应商在电子交易平台传输提交响应文件后，还可以在响应截止时间前直接提交或者以邮政快递方式递交备份响应文件</w:t>
      </w:r>
      <w:r>
        <w:rPr>
          <w:rFonts w:hint="eastAsia" w:cs="仿宋_GB2312" w:asciiTheme="minorEastAsia" w:hAnsiTheme="minorEastAsia" w:eastAsiaTheme="minorEastAsia"/>
          <w:b w:val="0"/>
          <w:bCs w:val="0"/>
          <w:color w:val="auto"/>
          <w:sz w:val="24"/>
          <w:szCs w:val="24"/>
          <w:highlight w:val="none"/>
        </w:rPr>
        <w:t>1份</w:t>
      </w:r>
      <w:r>
        <w:rPr>
          <w:rFonts w:hint="eastAsia" w:cs="仿宋_GB2312" w:asciiTheme="minorEastAsia" w:hAnsiTheme="minorEastAsia" w:eastAsiaTheme="minorEastAsia"/>
          <w:b w:val="0"/>
          <w:bCs w:val="0"/>
          <w:color w:val="auto"/>
          <w:sz w:val="24"/>
          <w:szCs w:val="24"/>
          <w:highlight w:val="none"/>
          <w:lang w:eastAsia="zh-CN"/>
        </w:rPr>
        <w:t>（具体详见第三部分  供应商须知“前附表13”）</w:t>
      </w:r>
      <w:r>
        <w:rPr>
          <w:rFonts w:hint="eastAsia" w:cs="仿宋_GB2312" w:asciiTheme="minorEastAsia" w:hAnsiTheme="minorEastAsia" w:eastAsiaTheme="minorEastAsia"/>
          <w:b w:val="0"/>
          <w:bCs w:val="0"/>
          <w:color w:val="auto"/>
          <w:sz w:val="24"/>
          <w:szCs w:val="24"/>
          <w:highlight w:val="none"/>
        </w:rPr>
        <w:t>。</w:t>
      </w:r>
    </w:p>
    <w:p w14:paraId="23EC6E76">
      <w:pPr>
        <w:pStyle w:val="32"/>
        <w:spacing w:line="360" w:lineRule="auto"/>
        <w:ind w:firstLine="480" w:firstLineChars="200"/>
        <w:outlineLvl w:val="9"/>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color w:val="auto"/>
          <w:sz w:val="24"/>
          <w:szCs w:val="24"/>
          <w:highlight w:val="none"/>
        </w:rPr>
        <w:t>2.2 备份响应文件须在“广西政府采购云平台投标客户端”制作生成，并储存在不可修改的</w:t>
      </w:r>
      <w:r>
        <w:rPr>
          <w:rFonts w:hint="eastAsia" w:asciiTheme="minorEastAsia" w:hAnsiTheme="minorEastAsia" w:eastAsiaTheme="minorEastAsia"/>
          <w:b/>
          <w:color w:val="auto"/>
          <w:sz w:val="24"/>
          <w:highlight w:val="none"/>
        </w:rPr>
        <w:t>电子光盘等存储介质</w:t>
      </w:r>
      <w:r>
        <w:rPr>
          <w:rFonts w:hint="eastAsia" w:cs="仿宋_GB2312" w:asciiTheme="minorEastAsia" w:hAnsiTheme="minorEastAsia" w:eastAsiaTheme="minorEastAsia"/>
          <w:color w:val="auto"/>
          <w:sz w:val="24"/>
          <w:szCs w:val="24"/>
          <w:highlight w:val="none"/>
        </w:rPr>
        <w:t>中。备份响应文件应当密封包装并在包装上加盖公章并注明响应项目名称，供应商名称(联合体响应的，包装物封面需注明联合体响应，并注明联合体成员各方的名称和联合体协议中约定的牵头人的名称)。</w:t>
      </w:r>
      <w:r>
        <w:rPr>
          <w:rFonts w:hint="eastAsia" w:asciiTheme="minorEastAsia" w:hAnsiTheme="minorEastAsia" w:eastAsiaTheme="minorEastAsia"/>
          <w:b/>
          <w:color w:val="auto"/>
          <w:sz w:val="24"/>
          <w:highlight w:val="none"/>
        </w:rPr>
        <w:t>▲不符合上述制作、</w:t>
      </w:r>
      <w:r>
        <w:rPr>
          <w:rFonts w:hint="eastAsia" w:cs="仿宋_GB2312" w:asciiTheme="minorEastAsia" w:hAnsiTheme="minorEastAsia" w:eastAsiaTheme="minorEastAsia"/>
          <w:b/>
          <w:color w:val="auto"/>
          <w:sz w:val="24"/>
          <w:szCs w:val="24"/>
          <w:highlight w:val="none"/>
        </w:rPr>
        <w:t>存储、密封规定的备份响应文件将被视为无效或者被拒绝接收。</w:t>
      </w:r>
    </w:p>
    <w:p w14:paraId="05041125">
      <w:pPr>
        <w:pStyle w:val="32"/>
        <w:spacing w:line="360" w:lineRule="auto"/>
        <w:ind w:firstLine="480" w:firstLineChars="200"/>
        <w:outlineLvl w:val="9"/>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2.3 直接提交备份响应文件的，供应商应于响应截止时间前在磋商公告中载明的开启响应文件的地点将备份响应文件提交给采购代理机构，采购代理机构将拒绝接受逾期送达的备份响应文件。</w:t>
      </w:r>
    </w:p>
    <w:p w14:paraId="225536CE">
      <w:pPr>
        <w:pStyle w:val="32"/>
        <w:spacing w:line="360" w:lineRule="auto"/>
        <w:ind w:firstLine="480" w:firstLineChars="200"/>
        <w:outlineLvl w:val="9"/>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2.4 以邮政快递方式递交备份响应文件的，供应商应先将备份响应文件按要求密封和标记，再进行邮政快递包装后邮寄。备份响应文件须在提交响应文件截止时间之前送达</w:t>
      </w:r>
      <w:r>
        <w:rPr>
          <w:rFonts w:hint="eastAsia" w:cs="宋体" w:asciiTheme="minorEastAsia" w:hAnsiTheme="minorEastAsia" w:eastAsiaTheme="minorEastAsia"/>
          <w:color w:val="auto"/>
          <w:sz w:val="24"/>
          <w:szCs w:val="24"/>
          <w:highlight w:val="none"/>
        </w:rPr>
        <w:t>磋商文件第三部分供应商须知前附表规定的备份响应文件送达地点</w:t>
      </w:r>
      <w:r>
        <w:rPr>
          <w:rFonts w:hint="eastAsia" w:cs="仿宋_GB2312" w:asciiTheme="minorEastAsia" w:hAnsiTheme="minorEastAsia" w:eastAsiaTheme="minorEastAsia"/>
          <w:color w:val="auto"/>
          <w:sz w:val="24"/>
          <w:szCs w:val="24"/>
          <w:highlight w:val="none"/>
        </w:rPr>
        <w:t>；送达时间以签收人签收时间为准。采购代理机构将拒绝接受逾期送达的备份响应文件。邮寄过程中，电子备份响应文件发生泄露、遗失、损坏或延期送达等情况的，由供应商自行负责。</w:t>
      </w:r>
    </w:p>
    <w:p w14:paraId="7EC23EC4">
      <w:pPr>
        <w:pStyle w:val="32"/>
        <w:spacing w:line="360" w:lineRule="auto"/>
        <w:ind w:firstLine="482" w:firstLineChars="200"/>
        <w:outlineLvl w:val="9"/>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 xml:space="preserve">2.5 </w:t>
      </w:r>
      <w:r>
        <w:rPr>
          <w:rFonts w:hint="eastAsia" w:asciiTheme="minorEastAsia" w:hAnsiTheme="minorEastAsia" w:eastAsiaTheme="minorEastAsia"/>
          <w:b/>
          <w:color w:val="auto"/>
          <w:sz w:val="24"/>
          <w:highlight w:val="none"/>
        </w:rPr>
        <w:t>▲</w:t>
      </w:r>
      <w:r>
        <w:rPr>
          <w:rFonts w:hint="eastAsia" w:cs="仿宋_GB2312" w:asciiTheme="minorEastAsia" w:hAnsiTheme="minorEastAsia" w:eastAsiaTheme="minorEastAsia"/>
          <w:b/>
          <w:color w:val="auto"/>
          <w:sz w:val="24"/>
          <w:szCs w:val="24"/>
          <w:highlight w:val="none"/>
        </w:rPr>
        <w:t>供应商仅提交备份响应文件，未在电子交易平台传输提交响应文件的，响应无效。</w:t>
      </w:r>
    </w:p>
    <w:p w14:paraId="45EFBF4B">
      <w:pPr>
        <w:spacing w:line="360" w:lineRule="auto"/>
        <w:outlineLvl w:val="9"/>
        <w:rPr>
          <w:rFonts w:ascii="宋体" w:hAnsi="宋体" w:cs="宋体"/>
          <w:b/>
          <w:snapToGrid w:val="0"/>
          <w:color w:val="auto"/>
          <w:highlight w:val="none"/>
        </w:rPr>
      </w:pPr>
      <w:r>
        <w:rPr>
          <w:rFonts w:hint="eastAsia" w:cs="仿宋_GB2312" w:asciiTheme="minorEastAsia" w:hAnsiTheme="minorEastAsia" w:eastAsiaTheme="minorEastAsia"/>
          <w:b/>
          <w:color w:val="auto"/>
          <w:sz w:val="24"/>
          <w:highlight w:val="none"/>
        </w:rPr>
        <w:t>3.</w:t>
      </w:r>
      <w:r>
        <w:rPr>
          <w:rFonts w:hint="eastAsia" w:cs="仿宋_GB2312" w:asciiTheme="minorEastAsia" w:hAnsiTheme="minorEastAsia" w:eastAsiaTheme="minorEastAsia"/>
          <w:b/>
          <w:color w:val="auto"/>
          <w:sz w:val="24"/>
          <w:highlight w:val="none"/>
          <w:lang w:val="en-US" w:eastAsia="zh-CN"/>
        </w:rPr>
        <w:t xml:space="preserve"> </w:t>
      </w:r>
      <w:r>
        <w:rPr>
          <w:rFonts w:hint="eastAsia" w:ascii="宋体" w:hAnsi="宋体" w:cs="宋体"/>
          <w:b/>
          <w:snapToGrid w:val="0"/>
          <w:color w:val="auto"/>
          <w:kern w:val="28"/>
          <w:sz w:val="24"/>
          <w:highlight w:val="none"/>
        </w:rPr>
        <w:t>磋商保证金</w:t>
      </w:r>
    </w:p>
    <w:p w14:paraId="0DA438EE">
      <w:pPr>
        <w:adjustRightInd/>
        <w:spacing w:line="360" w:lineRule="auto"/>
        <w:ind w:firstLine="480" w:firstLineChars="200"/>
        <w:jc w:val="both"/>
        <w:outlineLvl w:val="9"/>
        <w:rPr>
          <w:rFonts w:hint="eastAsia" w:cs="仿宋_GB2312" w:asciiTheme="minorEastAsia" w:hAnsiTheme="minorEastAsia" w:eastAsiaTheme="minorEastAsia"/>
          <w:color w:val="auto"/>
          <w:kern w:val="2"/>
          <w:sz w:val="24"/>
          <w:szCs w:val="24"/>
          <w:highlight w:val="none"/>
          <w:lang w:val="en-US" w:eastAsia="zh-CN" w:bidi="ar-SA"/>
        </w:rPr>
      </w:pPr>
      <w:r>
        <w:rPr>
          <w:rFonts w:hint="eastAsia" w:ascii="宋体" w:hAnsi="宋体" w:cs="宋体"/>
          <w:color w:val="auto"/>
          <w:kern w:val="0"/>
          <w:sz w:val="24"/>
          <w:highlight w:val="none"/>
        </w:rPr>
        <w:t>本项目不收取</w:t>
      </w:r>
      <w:r>
        <w:rPr>
          <w:rFonts w:hint="eastAsia" w:ascii="宋体" w:hAnsi="宋体" w:cs="宋体"/>
          <w:color w:val="auto"/>
          <w:kern w:val="0"/>
          <w:sz w:val="24"/>
          <w:highlight w:val="none"/>
          <w:lang w:val="en-US" w:eastAsia="zh-CN"/>
        </w:rPr>
        <w:t>磋商</w:t>
      </w:r>
      <w:r>
        <w:rPr>
          <w:rFonts w:hint="eastAsia" w:ascii="宋体" w:hAnsi="宋体" w:cs="宋体"/>
          <w:color w:val="auto"/>
          <w:kern w:val="0"/>
          <w:sz w:val="24"/>
          <w:highlight w:val="none"/>
        </w:rPr>
        <w:t>保证金</w:t>
      </w:r>
      <w:r>
        <w:rPr>
          <w:rFonts w:hint="eastAsia" w:cs="仿宋_GB2312" w:asciiTheme="minorEastAsia" w:hAnsiTheme="minorEastAsia" w:eastAsiaTheme="minorEastAsia"/>
          <w:color w:val="auto"/>
          <w:kern w:val="2"/>
          <w:sz w:val="24"/>
          <w:szCs w:val="24"/>
          <w:highlight w:val="none"/>
          <w:lang w:val="en-US" w:eastAsia="zh-CN" w:bidi="ar-SA"/>
        </w:rPr>
        <w:t>。</w:t>
      </w:r>
    </w:p>
    <w:p w14:paraId="71F244FC">
      <w:pPr>
        <w:adjustRightInd/>
        <w:spacing w:line="360" w:lineRule="auto"/>
        <w:ind w:firstLine="480" w:firstLineChars="200"/>
        <w:jc w:val="both"/>
        <w:outlineLvl w:val="9"/>
        <w:rPr>
          <w:rFonts w:hint="eastAsia" w:cs="仿宋_GB2312" w:asciiTheme="minorEastAsia" w:hAnsiTheme="minorEastAsia" w:eastAsiaTheme="minorEastAsia"/>
          <w:color w:val="auto"/>
          <w:kern w:val="2"/>
          <w:sz w:val="24"/>
          <w:szCs w:val="24"/>
          <w:highlight w:val="none"/>
          <w:lang w:val="en-US" w:eastAsia="zh-CN" w:bidi="ar-SA"/>
        </w:rPr>
      </w:pPr>
    </w:p>
    <w:p w14:paraId="71AB9C19">
      <w:pPr>
        <w:pStyle w:val="4"/>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八、开启响应文件与信用信息查询</w:t>
      </w:r>
    </w:p>
    <w:p w14:paraId="07AF2C88">
      <w:pPr>
        <w:pStyle w:val="32"/>
        <w:spacing w:line="360" w:lineRule="auto"/>
        <w:outlineLvl w:val="9"/>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1. 开启响应文件</w:t>
      </w:r>
    </w:p>
    <w:p w14:paraId="332238C0">
      <w:pPr>
        <w:pStyle w:val="32"/>
        <w:spacing w:line="360" w:lineRule="auto"/>
        <w:ind w:firstLine="480" w:firstLineChars="200"/>
        <w:outlineLvl w:val="9"/>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1.1 采购代理机构按照磋商文件规定的时间通过电子交易平台组织响应文件开启，所有供应商均应当准时在线参加。</w:t>
      </w:r>
      <w:r>
        <w:rPr>
          <w:rFonts w:hint="eastAsia" w:cs="仿宋_GB2312" w:asciiTheme="minorEastAsia" w:hAnsiTheme="minorEastAsia" w:eastAsiaTheme="minorEastAsia"/>
          <w:b/>
          <w:color w:val="auto"/>
          <w:sz w:val="24"/>
          <w:szCs w:val="24"/>
          <w:highlight w:val="none"/>
        </w:rPr>
        <w:t>供应商数量不符合规定的，不得开启响应文件。</w:t>
      </w:r>
    </w:p>
    <w:p w14:paraId="1070BA40">
      <w:pPr>
        <w:pStyle w:val="32"/>
        <w:spacing w:line="360" w:lineRule="auto"/>
        <w:ind w:firstLine="480" w:firstLineChars="200"/>
        <w:outlineLvl w:val="9"/>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1.2</w:t>
      </w:r>
      <w:r>
        <w:rPr>
          <w:rFonts w:hint="eastAsia" w:cs="仿宋_GB2312" w:asciiTheme="minorEastAsia" w:hAnsiTheme="minorEastAsia" w:eastAsiaTheme="minorEastAsia"/>
          <w:color w:val="auto"/>
          <w:sz w:val="24"/>
          <w:szCs w:val="24"/>
          <w:highlight w:val="none"/>
          <w:lang w:val="en-US" w:eastAsia="zh-CN"/>
        </w:rPr>
        <w:t xml:space="preserve"> </w:t>
      </w:r>
      <w:r>
        <w:rPr>
          <w:rFonts w:hint="eastAsia" w:cs="仿宋_GB2312" w:asciiTheme="minorEastAsia" w:hAnsiTheme="minorEastAsia" w:eastAsiaTheme="minorEastAsia"/>
          <w:color w:val="auto"/>
          <w:sz w:val="24"/>
          <w:szCs w:val="24"/>
          <w:highlight w:val="none"/>
        </w:rPr>
        <w:t>开启响应文件时，电子交易平台按开启响应文件时间自动提取所有响应文件。采购代理机构依托电子交易平台发起开始解密指令，供应商按照平台提示和磋商文件的规定在半小时内完成在线解密。</w:t>
      </w:r>
    </w:p>
    <w:p w14:paraId="1DD139EE">
      <w:pPr>
        <w:pStyle w:val="32"/>
        <w:spacing w:line="360" w:lineRule="auto"/>
        <w:ind w:firstLine="482" w:firstLineChars="200"/>
        <w:outlineLvl w:val="9"/>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1.3</w:t>
      </w:r>
      <w:r>
        <w:rPr>
          <w:rFonts w:hint="eastAsia" w:cs="仿宋_GB2312" w:asciiTheme="minorEastAsia" w:hAnsiTheme="minorEastAsia" w:eastAsiaTheme="minorEastAsia"/>
          <w:b/>
          <w:color w:val="auto"/>
          <w:sz w:val="24"/>
          <w:szCs w:val="24"/>
          <w:highlight w:val="none"/>
          <w:lang w:val="en-US" w:eastAsia="zh-CN"/>
        </w:rPr>
        <w:t xml:space="preserve"> </w:t>
      </w:r>
      <w:r>
        <w:rPr>
          <w:rFonts w:hint="eastAsia" w:cs="仿宋_GB2312" w:asciiTheme="minorEastAsia" w:hAnsiTheme="minorEastAsia" w:eastAsiaTheme="minorEastAsia"/>
          <w:b/>
          <w:color w:val="auto"/>
          <w:sz w:val="24"/>
          <w:szCs w:val="24"/>
          <w:highlight w:val="none"/>
        </w:rPr>
        <w:t>响应文件未在规定时间内成功解密的供应商，如提交了备份响应文件的，以备份响应文件作为依据，否则视为响应文件撤回。响应文件解密成功的供应商，其备份响应文件自动失效。</w:t>
      </w:r>
    </w:p>
    <w:p w14:paraId="76F14B73">
      <w:pPr>
        <w:pStyle w:val="395"/>
        <w:spacing w:before="0"/>
        <w:ind w:firstLine="0" w:firstLineChars="0"/>
        <w:outlineLvl w:val="9"/>
        <w:rPr>
          <w:rFonts w:cs="仿宋_GB2312" w:asciiTheme="minorEastAsia" w:hAnsiTheme="minorEastAsia" w:eastAsiaTheme="minorEastAsia"/>
          <w:b/>
          <w:color w:val="auto"/>
          <w:szCs w:val="24"/>
          <w:highlight w:val="none"/>
        </w:rPr>
      </w:pPr>
      <w:r>
        <w:rPr>
          <w:rFonts w:hint="eastAsia" w:cs="仿宋_GB2312" w:asciiTheme="minorEastAsia" w:hAnsiTheme="minorEastAsia" w:eastAsiaTheme="minorEastAsia"/>
          <w:b/>
          <w:color w:val="auto"/>
          <w:szCs w:val="24"/>
          <w:highlight w:val="none"/>
        </w:rPr>
        <w:t>2.</w:t>
      </w:r>
      <w:r>
        <w:rPr>
          <w:rFonts w:hint="eastAsia" w:cs="仿宋_GB2312" w:asciiTheme="minorEastAsia" w:hAnsiTheme="minorEastAsia" w:eastAsiaTheme="minorEastAsia"/>
          <w:b/>
          <w:color w:val="auto"/>
          <w:szCs w:val="24"/>
          <w:highlight w:val="none"/>
          <w:lang w:val="en-US" w:eastAsia="zh-CN"/>
        </w:rPr>
        <w:t xml:space="preserve"> </w:t>
      </w:r>
      <w:r>
        <w:rPr>
          <w:rFonts w:hint="eastAsia" w:cs="仿宋_GB2312" w:asciiTheme="minorEastAsia" w:hAnsiTheme="minorEastAsia" w:eastAsiaTheme="minorEastAsia"/>
          <w:b/>
          <w:color w:val="auto"/>
          <w:szCs w:val="24"/>
          <w:highlight w:val="none"/>
        </w:rPr>
        <w:t>信用信息查询</w:t>
      </w:r>
    </w:p>
    <w:p w14:paraId="13E84D7A">
      <w:pPr>
        <w:pStyle w:val="395"/>
        <w:spacing w:before="0"/>
        <w:ind w:firstLine="480"/>
        <w:outlineLvl w:val="9"/>
        <w:rPr>
          <w:rFonts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2.1</w:t>
      </w:r>
      <w:r>
        <w:rPr>
          <w:rFonts w:hint="eastAsia" w:cs="Arial" w:asciiTheme="minorEastAsia" w:hAnsiTheme="minorEastAsia" w:eastAsiaTheme="minorEastAsia"/>
          <w:color w:val="auto"/>
          <w:kern w:val="0"/>
          <w:szCs w:val="24"/>
          <w:highlight w:val="none"/>
          <w:lang w:val="en-US" w:eastAsia="zh-CN"/>
        </w:rPr>
        <w:t xml:space="preserve"> </w:t>
      </w:r>
      <w:r>
        <w:rPr>
          <w:rFonts w:hint="eastAsia" w:cs="Arial" w:asciiTheme="minorEastAsia" w:hAnsiTheme="minorEastAsia" w:eastAsiaTheme="minorEastAsia"/>
          <w:color w:val="auto"/>
          <w:kern w:val="0"/>
          <w:szCs w:val="24"/>
          <w:highlight w:val="none"/>
        </w:rPr>
        <w:t>信用信息查询渠道及截止时间</w:t>
      </w:r>
      <w:r>
        <w:rPr>
          <w:rFonts w:hint="eastAsia" w:cs="Arial" w:asciiTheme="minorEastAsia" w:hAnsiTheme="minorEastAsia" w:eastAsiaTheme="minorEastAsia"/>
          <w:color w:val="auto"/>
          <w:kern w:val="0"/>
          <w:szCs w:val="24"/>
          <w:highlight w:val="none"/>
          <w:lang w:eastAsia="zh-CN"/>
        </w:rPr>
        <w:t>：</w:t>
      </w:r>
      <w:r>
        <w:rPr>
          <w:rFonts w:hint="eastAsia" w:cs="Arial" w:asciiTheme="minorEastAsia" w:hAnsiTheme="minorEastAsia" w:eastAsiaTheme="minorEastAsia"/>
          <w:color w:val="auto"/>
          <w:kern w:val="0"/>
          <w:szCs w:val="24"/>
          <w:highlight w:val="none"/>
        </w:rPr>
        <w:t>采购人或采购代理机构将通过“信用中国”网站(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70"/>
          <w:rFonts w:hint="eastAsia" w:asciiTheme="minorEastAsia" w:hAnsiTheme="minorEastAsia" w:eastAsiaTheme="minorEastAsia"/>
          <w:color w:val="auto"/>
          <w:sz w:val="24"/>
          <w:szCs w:val="24"/>
          <w:highlight w:val="none"/>
        </w:rPr>
        <w:t>www.creditchina.gov.cn</w:t>
      </w:r>
      <w:r>
        <w:rPr>
          <w:rStyle w:val="70"/>
          <w:rFonts w:hint="eastAsia" w:asciiTheme="minorEastAsia" w:hAnsiTheme="minorEastAsia" w:eastAsiaTheme="minorEastAsia"/>
          <w:color w:val="auto"/>
          <w:sz w:val="24"/>
          <w:szCs w:val="24"/>
          <w:highlight w:val="none"/>
        </w:rPr>
        <w:fldChar w:fldCharType="end"/>
      </w:r>
      <w:r>
        <w:rPr>
          <w:rFonts w:hint="eastAsia" w:cs="Arial" w:asciiTheme="minorEastAsia" w:hAnsiTheme="minorEastAsia" w:eastAsiaTheme="minorEastAsia"/>
          <w:color w:val="auto"/>
          <w:kern w:val="0"/>
          <w:szCs w:val="24"/>
          <w:highlight w:val="none"/>
        </w:rPr>
        <w:t>)、中国政府采购网(www.ccgp.gov.cn)渠道查询供应商响应截止时间前的信用记录。</w:t>
      </w:r>
    </w:p>
    <w:p w14:paraId="402BAE72">
      <w:pPr>
        <w:pStyle w:val="395"/>
        <w:spacing w:before="0"/>
        <w:ind w:firstLine="480"/>
        <w:outlineLvl w:val="9"/>
        <w:rPr>
          <w:rFonts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2.2</w:t>
      </w:r>
      <w:r>
        <w:rPr>
          <w:rFonts w:hint="eastAsia" w:cs="Arial" w:asciiTheme="minorEastAsia" w:hAnsiTheme="minorEastAsia" w:eastAsiaTheme="minorEastAsia"/>
          <w:color w:val="auto"/>
          <w:kern w:val="0"/>
          <w:szCs w:val="24"/>
          <w:highlight w:val="none"/>
          <w:lang w:val="en-US" w:eastAsia="zh-CN"/>
        </w:rPr>
        <w:t xml:space="preserve"> </w:t>
      </w:r>
      <w:r>
        <w:rPr>
          <w:rFonts w:hint="eastAsia" w:cs="Arial" w:asciiTheme="minorEastAsia" w:hAnsiTheme="minorEastAsia" w:eastAsiaTheme="minorEastAsia"/>
          <w:color w:val="auto"/>
          <w:kern w:val="0"/>
          <w:szCs w:val="24"/>
          <w:highlight w:val="none"/>
        </w:rPr>
        <w:t>信用信息查询记录和证据留存的具体方式</w:t>
      </w:r>
      <w:r>
        <w:rPr>
          <w:rFonts w:hint="eastAsia" w:cs="Arial" w:asciiTheme="minorEastAsia" w:hAnsiTheme="minorEastAsia" w:eastAsiaTheme="minorEastAsia"/>
          <w:color w:val="auto"/>
          <w:kern w:val="0"/>
          <w:szCs w:val="24"/>
          <w:highlight w:val="none"/>
          <w:lang w:eastAsia="zh-CN"/>
        </w:rPr>
        <w:t>：</w:t>
      </w:r>
      <w:r>
        <w:rPr>
          <w:rFonts w:hint="eastAsia" w:cs="Arial" w:asciiTheme="minorEastAsia" w:hAnsiTheme="minorEastAsia" w:eastAsiaTheme="minorEastAsia"/>
          <w:color w:val="auto"/>
          <w:kern w:val="0"/>
          <w:szCs w:val="24"/>
          <w:highlight w:val="none"/>
        </w:rPr>
        <w:t>现场查询的供应商的信用记录、查询结果经确认后存档。</w:t>
      </w:r>
    </w:p>
    <w:p w14:paraId="065DC886">
      <w:pPr>
        <w:pStyle w:val="395"/>
        <w:spacing w:before="0"/>
        <w:ind w:firstLine="480"/>
        <w:outlineLvl w:val="9"/>
        <w:rPr>
          <w:rFonts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2.3</w:t>
      </w:r>
      <w:r>
        <w:rPr>
          <w:rFonts w:hint="eastAsia" w:cs="Arial" w:asciiTheme="minorEastAsia" w:hAnsiTheme="minorEastAsia" w:eastAsiaTheme="minorEastAsia"/>
          <w:color w:val="auto"/>
          <w:kern w:val="0"/>
          <w:szCs w:val="24"/>
          <w:highlight w:val="none"/>
          <w:lang w:val="en-US" w:eastAsia="zh-CN"/>
        </w:rPr>
        <w:t xml:space="preserve"> </w:t>
      </w:r>
      <w:r>
        <w:rPr>
          <w:rFonts w:hint="eastAsia" w:cs="Arial" w:asciiTheme="minorEastAsia" w:hAnsiTheme="minorEastAsia" w:eastAsiaTheme="minorEastAsia"/>
          <w:color w:val="auto"/>
          <w:kern w:val="0"/>
          <w:szCs w:val="24"/>
          <w:highlight w:val="none"/>
        </w:rPr>
        <w:t>信用信息的使用规则</w:t>
      </w:r>
      <w:r>
        <w:rPr>
          <w:rFonts w:hint="eastAsia" w:cs="Arial" w:asciiTheme="minorEastAsia" w:hAnsiTheme="minorEastAsia" w:eastAsiaTheme="minorEastAsia"/>
          <w:color w:val="auto"/>
          <w:kern w:val="0"/>
          <w:szCs w:val="24"/>
          <w:highlight w:val="none"/>
          <w:lang w:eastAsia="zh-CN"/>
        </w:rPr>
        <w:t>：</w:t>
      </w:r>
      <w:r>
        <w:rPr>
          <w:rFonts w:hint="eastAsia" w:cs="Arial" w:asciiTheme="minorEastAsia" w:hAnsiTheme="minorEastAsia" w:eastAsiaTheme="minorEastAsia"/>
          <w:color w:val="auto"/>
          <w:kern w:val="0"/>
          <w:szCs w:val="24"/>
          <w:highlight w:val="none"/>
        </w:rPr>
        <w:t>经查询列入失信被执行人名单、重大税收违法案件当事人名单、政府采购严重违法失信行为记录名单的供应商将被拒绝参与政府采购活动。</w:t>
      </w:r>
    </w:p>
    <w:p w14:paraId="65B9A8F8">
      <w:pPr>
        <w:pStyle w:val="395"/>
        <w:spacing w:before="0"/>
        <w:ind w:firstLine="480"/>
        <w:outlineLvl w:val="9"/>
        <w:rPr>
          <w:rFonts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2.4</w:t>
      </w:r>
      <w:r>
        <w:rPr>
          <w:rFonts w:hint="eastAsia" w:cs="Arial" w:asciiTheme="minorEastAsia" w:hAnsiTheme="minorEastAsia" w:eastAsiaTheme="minorEastAsia"/>
          <w:color w:val="auto"/>
          <w:kern w:val="0"/>
          <w:szCs w:val="24"/>
          <w:highlight w:val="none"/>
          <w:lang w:val="en-US" w:eastAsia="zh-CN"/>
        </w:rPr>
        <w:t xml:space="preserve"> </w:t>
      </w:r>
      <w:r>
        <w:rPr>
          <w:rFonts w:hint="eastAsia" w:cs="Arial" w:asciiTheme="minorEastAsia" w:hAnsiTheme="minorEastAsia" w:eastAsiaTheme="minorEastAsia"/>
          <w:color w:val="auto"/>
          <w:kern w:val="0"/>
          <w:szCs w:val="24"/>
          <w:highlight w:val="none"/>
        </w:rPr>
        <w:t>联合体信用信息查询</w:t>
      </w:r>
      <w:r>
        <w:rPr>
          <w:rFonts w:hint="eastAsia" w:cs="Arial" w:asciiTheme="minorEastAsia" w:hAnsiTheme="minorEastAsia" w:eastAsiaTheme="minorEastAsia"/>
          <w:color w:val="auto"/>
          <w:kern w:val="0"/>
          <w:szCs w:val="24"/>
          <w:highlight w:val="none"/>
          <w:lang w:eastAsia="zh-CN"/>
        </w:rPr>
        <w:t>：</w:t>
      </w:r>
      <w:r>
        <w:rPr>
          <w:rFonts w:hint="eastAsia" w:cs="Arial" w:asciiTheme="minorEastAsia" w:hAnsiTheme="minorEastAsia" w:eastAsiaTheme="minorEastAsia"/>
          <w:color w:val="auto"/>
          <w:kern w:val="0"/>
          <w:szCs w:val="24"/>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DE58451">
      <w:pPr>
        <w:pStyle w:val="32"/>
        <w:spacing w:line="360" w:lineRule="auto"/>
        <w:outlineLvl w:val="9"/>
        <w:rPr>
          <w:rFonts w:cs="仿宋_GB2312" w:asciiTheme="minorEastAsia" w:hAnsiTheme="minorEastAsia" w:eastAsiaTheme="minorEastAsia"/>
          <w:b/>
          <w:color w:val="auto"/>
          <w:sz w:val="24"/>
          <w:szCs w:val="24"/>
          <w:highlight w:val="none"/>
        </w:rPr>
      </w:pPr>
    </w:p>
    <w:p w14:paraId="31F3C0A2">
      <w:pPr>
        <w:pStyle w:val="4"/>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九、提交最后报价</w:t>
      </w:r>
    </w:p>
    <w:p w14:paraId="6E2D3CEE">
      <w:pPr>
        <w:snapToGrid w:val="0"/>
        <w:spacing w:line="360" w:lineRule="auto"/>
        <w:outlineLvl w:val="9"/>
        <w:rPr>
          <w:rFonts w:hint="eastAsia" w:cs="仿宋_GB2312" w:asciiTheme="minorEastAsia" w:hAnsiTheme="minorEastAsia" w:eastAsiaTheme="minorEastAsia"/>
          <w:color w:val="auto"/>
          <w:sz w:val="24"/>
          <w:highlight w:val="none"/>
          <w:u w:val="single"/>
          <w:lang w:val="zh-CN" w:eastAsia="zh-CN"/>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 xml:space="preserve"> </w:t>
      </w:r>
      <w:r>
        <w:rPr>
          <w:rFonts w:hint="eastAsia" w:cs="仿宋_GB2312" w:asciiTheme="minorEastAsia" w:hAnsiTheme="minorEastAsia" w:eastAsiaTheme="minorEastAsia"/>
          <w:color w:val="auto"/>
          <w:sz w:val="24"/>
          <w:highlight w:val="none"/>
        </w:rPr>
        <w:t>供应商的</w:t>
      </w:r>
      <w:r>
        <w:rPr>
          <w:rFonts w:hint="eastAsia" w:cs="仿宋_GB2312" w:asciiTheme="minorEastAsia" w:hAnsiTheme="minorEastAsia" w:eastAsiaTheme="minorEastAsia"/>
          <w:b/>
          <w:color w:val="auto"/>
          <w:sz w:val="24"/>
          <w:highlight w:val="none"/>
        </w:rPr>
        <w:t>最后报价文件</w:t>
      </w:r>
      <w:r>
        <w:rPr>
          <w:rFonts w:hint="eastAsia" w:cs="仿宋_GB2312" w:asciiTheme="minorEastAsia" w:hAnsiTheme="minorEastAsia" w:eastAsiaTheme="minorEastAsia"/>
          <w:color w:val="auto"/>
          <w:sz w:val="24"/>
          <w:highlight w:val="none"/>
        </w:rPr>
        <w:t>应包括以下内容</w:t>
      </w:r>
      <w:r>
        <w:rPr>
          <w:rFonts w:hint="eastAsia" w:cs="仿宋_GB2312" w:asciiTheme="minorEastAsia" w:hAnsiTheme="minorEastAsia" w:eastAsiaTheme="minorEastAsia"/>
          <w:color w:val="auto"/>
          <w:sz w:val="24"/>
          <w:highlight w:val="none"/>
          <w:lang w:eastAsia="zh-CN"/>
        </w:rPr>
        <w:t>：</w:t>
      </w:r>
    </w:p>
    <w:p w14:paraId="5F4A012F">
      <w:pPr>
        <w:pStyle w:val="32"/>
        <w:snapToGrid w:val="0"/>
        <w:spacing w:line="360" w:lineRule="auto"/>
        <w:ind w:firstLine="480" w:firstLineChars="200"/>
        <w:outlineLvl w:val="9"/>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1.1</w:t>
      </w:r>
      <w:r>
        <w:rPr>
          <w:rFonts w:hint="eastAsia" w:cs="仿宋_GB2312" w:asciiTheme="minorEastAsia" w:hAnsiTheme="minorEastAsia" w:eastAsiaTheme="minorEastAsia"/>
          <w:color w:val="auto"/>
          <w:sz w:val="24"/>
          <w:szCs w:val="24"/>
          <w:highlight w:val="none"/>
          <w:lang w:val="en-US" w:eastAsia="zh-CN"/>
        </w:rPr>
        <w:t xml:space="preserve"> </w:t>
      </w:r>
      <w:r>
        <w:rPr>
          <w:rFonts w:hint="eastAsia" w:cs="仿宋_GB2312" w:asciiTheme="minorEastAsia" w:hAnsiTheme="minorEastAsia" w:eastAsiaTheme="minorEastAsia"/>
          <w:color w:val="auto"/>
          <w:sz w:val="24"/>
          <w:szCs w:val="24"/>
          <w:highlight w:val="none"/>
        </w:rPr>
        <w:t>最后报价一览表；</w:t>
      </w:r>
    </w:p>
    <w:p w14:paraId="598985E4">
      <w:pPr>
        <w:pStyle w:val="32"/>
        <w:snapToGrid w:val="0"/>
        <w:spacing w:line="360" w:lineRule="auto"/>
        <w:ind w:firstLine="480" w:firstLineChars="200"/>
        <w:outlineLvl w:val="9"/>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1.2</w:t>
      </w:r>
      <w:r>
        <w:rPr>
          <w:rFonts w:hint="eastAsia" w:cs="仿宋_GB2312" w:asciiTheme="minorEastAsia" w:hAnsiTheme="minorEastAsia" w:eastAsiaTheme="minorEastAsia"/>
          <w:color w:val="auto"/>
          <w:sz w:val="24"/>
          <w:szCs w:val="24"/>
          <w:highlight w:val="none"/>
          <w:lang w:val="en-US" w:eastAsia="zh-CN"/>
        </w:rPr>
        <w:t xml:space="preserve"> 磋商时需要提供的附件</w:t>
      </w:r>
      <w:r>
        <w:rPr>
          <w:rFonts w:hint="eastAsia" w:cs="仿宋_GB2312" w:asciiTheme="minorEastAsia" w:hAnsiTheme="minorEastAsia" w:eastAsiaTheme="minorEastAsia"/>
          <w:color w:val="auto"/>
          <w:sz w:val="24"/>
          <w:szCs w:val="24"/>
          <w:highlight w:val="none"/>
        </w:rPr>
        <w:t>（如果有）。</w:t>
      </w:r>
    </w:p>
    <w:p w14:paraId="0653391A">
      <w:pPr>
        <w:adjustRightInd/>
        <w:spacing w:line="360" w:lineRule="auto"/>
        <w:jc w:val="center"/>
        <w:outlineLvl w:val="9"/>
        <w:rPr>
          <w:rFonts w:cs="仿宋_GB2312" w:asciiTheme="minorEastAsia" w:hAnsiTheme="minorEastAsia" w:eastAsiaTheme="minorEastAsia"/>
          <w:b/>
          <w:color w:val="auto"/>
          <w:sz w:val="32"/>
          <w:szCs w:val="20"/>
          <w:highlight w:val="none"/>
        </w:rPr>
      </w:pPr>
    </w:p>
    <w:p w14:paraId="44ED1742">
      <w:pPr>
        <w:pStyle w:val="4"/>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十、评审</w:t>
      </w:r>
    </w:p>
    <w:p w14:paraId="27D41640">
      <w:pPr>
        <w:pStyle w:val="395"/>
        <w:spacing w:before="0"/>
        <w:ind w:firstLine="0" w:firstLineChars="0"/>
        <w:outlineLvl w:val="9"/>
        <w:rPr>
          <w:rFonts w:cs="仿宋_GB2312" w:asciiTheme="minorEastAsia" w:hAnsiTheme="minorEastAsia" w:eastAsiaTheme="minorEastAsia"/>
          <w:b/>
          <w:color w:val="auto"/>
          <w:highlight w:val="none"/>
        </w:rPr>
      </w:pPr>
      <w:r>
        <w:rPr>
          <w:rFonts w:hint="eastAsia" w:asciiTheme="minorEastAsia" w:hAnsiTheme="minorEastAsia" w:eastAsiaTheme="minorEastAsia"/>
          <w:b/>
          <w:color w:val="auto"/>
          <w:szCs w:val="24"/>
          <w:highlight w:val="none"/>
        </w:rPr>
        <w:t>1.</w:t>
      </w:r>
      <w:r>
        <w:rPr>
          <w:rFonts w:hint="eastAsia" w:cs="仿宋_GB2312" w:asciiTheme="minorEastAsia" w:hAnsiTheme="minorEastAsia" w:eastAsiaTheme="minorEastAsia"/>
          <w:b/>
          <w:color w:val="auto"/>
          <w:highlight w:val="none"/>
        </w:rPr>
        <w:t xml:space="preserve"> 评审方法</w:t>
      </w:r>
      <w:r>
        <w:rPr>
          <w:rFonts w:hint="eastAsia" w:cs="仿宋_GB2312" w:asciiTheme="minorEastAsia" w:hAnsiTheme="minorEastAsia" w:eastAsiaTheme="minorEastAsia"/>
          <w:b/>
          <w:color w:val="auto"/>
          <w:highlight w:val="none"/>
          <w:lang w:eastAsia="zh-CN"/>
        </w:rPr>
        <w:t>：</w:t>
      </w:r>
      <w:r>
        <w:rPr>
          <w:rFonts w:hint="eastAsia" w:cs="仿宋_GB2312" w:asciiTheme="minorEastAsia" w:hAnsiTheme="minorEastAsia" w:eastAsiaTheme="minorEastAsia"/>
          <w:color w:val="auto"/>
          <w:highlight w:val="none"/>
        </w:rPr>
        <w:t>综合评分法。</w:t>
      </w:r>
    </w:p>
    <w:p w14:paraId="74D02E8F">
      <w:pPr>
        <w:pStyle w:val="395"/>
        <w:spacing w:before="0"/>
        <w:ind w:firstLine="0" w:firstLineChars="0"/>
        <w:outlineLvl w:val="9"/>
        <w:rPr>
          <w:rFonts w:cs="仿宋_GB2312" w:asciiTheme="minorEastAsia" w:hAnsiTheme="minorEastAsia" w:eastAsiaTheme="minorEastAsia"/>
          <w:b/>
          <w:color w:val="auto"/>
          <w:highlight w:val="none"/>
        </w:rPr>
      </w:pPr>
      <w:r>
        <w:rPr>
          <w:rFonts w:hint="eastAsia" w:cs="仿宋_GB2312" w:asciiTheme="minorEastAsia" w:hAnsiTheme="minorEastAsia" w:eastAsiaTheme="minorEastAsia"/>
          <w:b/>
          <w:color w:val="auto"/>
          <w:highlight w:val="none"/>
        </w:rPr>
        <w:t>2. 价格分计算方法</w:t>
      </w:r>
      <w:r>
        <w:rPr>
          <w:rFonts w:hint="eastAsia" w:cs="仿宋_GB2312" w:asciiTheme="minorEastAsia" w:hAnsiTheme="minorEastAsia" w:eastAsiaTheme="minorEastAsia"/>
          <w:b/>
          <w:color w:val="auto"/>
          <w:highlight w:val="none"/>
          <w:lang w:eastAsia="zh-CN"/>
        </w:rPr>
        <w:t>：</w:t>
      </w:r>
      <w:r>
        <w:rPr>
          <w:rFonts w:hint="eastAsia" w:cs="仿宋_GB2312" w:asciiTheme="minorEastAsia" w:hAnsiTheme="minorEastAsia" w:eastAsiaTheme="minorEastAsia"/>
          <w:color w:val="auto"/>
          <w:highlight w:val="none"/>
        </w:rPr>
        <w:t>低价优先法。</w:t>
      </w:r>
    </w:p>
    <w:p w14:paraId="526198F4">
      <w:pPr>
        <w:pStyle w:val="395"/>
        <w:spacing w:before="0"/>
        <w:ind w:firstLine="0" w:firstLineChars="0"/>
        <w:outlineLvl w:val="9"/>
        <w:rPr>
          <w:rFonts w:asciiTheme="minorEastAsia" w:hAnsiTheme="minorEastAsia" w:eastAsiaTheme="minorEastAsia"/>
          <w:color w:val="auto"/>
          <w:szCs w:val="24"/>
          <w:highlight w:val="none"/>
        </w:rPr>
      </w:pPr>
      <w:r>
        <w:rPr>
          <w:rFonts w:hint="eastAsia" w:cs="仿宋_GB2312" w:asciiTheme="minorEastAsia" w:hAnsiTheme="minorEastAsia" w:eastAsiaTheme="minorEastAsia"/>
          <w:b/>
          <w:color w:val="auto"/>
          <w:highlight w:val="none"/>
        </w:rPr>
        <w:t>3. 评审要求</w:t>
      </w:r>
      <w:r>
        <w:rPr>
          <w:rFonts w:hint="eastAsia" w:cs="仿宋_GB2312" w:asciiTheme="minorEastAsia" w:hAnsiTheme="minorEastAsia" w:eastAsiaTheme="minorEastAsia"/>
          <w:b/>
          <w:color w:val="auto"/>
          <w:highlight w:val="none"/>
          <w:lang w:eastAsia="zh-CN"/>
        </w:rPr>
        <w:t>：</w:t>
      </w:r>
      <w:r>
        <w:rPr>
          <w:rFonts w:hint="eastAsia" w:cs="仿宋_GB2312" w:asciiTheme="minorEastAsia" w:hAnsiTheme="minorEastAsia" w:eastAsiaTheme="minorEastAsia"/>
          <w:color w:val="auto"/>
          <w:highlight w:val="none"/>
        </w:rPr>
        <w:t>详见磋商文件第五部分“评审方法及评审标准”。</w:t>
      </w:r>
    </w:p>
    <w:p w14:paraId="1057CAD9">
      <w:pPr>
        <w:adjustRightInd/>
        <w:spacing w:line="360" w:lineRule="auto"/>
        <w:jc w:val="center"/>
        <w:rPr>
          <w:rFonts w:cs="仿宋_GB2312" w:asciiTheme="minorEastAsia" w:hAnsiTheme="minorEastAsia" w:eastAsiaTheme="minorEastAsia"/>
          <w:color w:val="auto"/>
          <w:sz w:val="24"/>
          <w:highlight w:val="none"/>
        </w:rPr>
      </w:pPr>
    </w:p>
    <w:p w14:paraId="00ED65F5">
      <w:pPr>
        <w:pStyle w:val="4"/>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十一、成交</w:t>
      </w:r>
    </w:p>
    <w:p w14:paraId="02AC9689">
      <w:pPr>
        <w:pStyle w:val="32"/>
        <w:spacing w:line="360" w:lineRule="auto"/>
        <w:outlineLvl w:val="9"/>
        <w:rPr>
          <w:rFonts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highlight w:val="none"/>
        </w:rPr>
        <w:t>1. 推荐成交候选供应商</w:t>
      </w:r>
    </w:p>
    <w:p w14:paraId="02384E0F">
      <w:pPr>
        <w:spacing w:line="360" w:lineRule="auto"/>
        <w:ind w:firstLine="465" w:firstLineChars="194"/>
        <w:outlineLvl w:val="9"/>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磋商小组将根据综合评分情况，按照评审得分由高到低顺序推荐3名以上成交候选供应商，并编写评审报告。符合财政部门规定情形的，可以推荐2家成交候选供应商。评审得分相同的，按照最后报价由低到高的顺序推荐。评审得分且最后报价相同的，按照技术指标优劣顺序推荐。</w:t>
      </w:r>
    </w:p>
    <w:p w14:paraId="314B233D">
      <w:pPr>
        <w:pStyle w:val="32"/>
        <w:spacing w:line="360" w:lineRule="auto"/>
        <w:outlineLvl w:val="9"/>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 确定成交供应商</w:t>
      </w:r>
    </w:p>
    <w:p w14:paraId="7A410FA4">
      <w:pPr>
        <w:spacing w:line="360" w:lineRule="auto"/>
        <w:ind w:firstLine="480" w:firstLineChars="200"/>
        <w:outlineLvl w:val="9"/>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政府采购项目实行全流程电子化，评审报告送交、采购结果确定和结果公告均在线完成。为进一步提升采购结果确定效率，采购代理机构应当依法及时将评审报告在线送交采购人。采购人应当自收到评审报告之日起2个工作日内在线确定成交供应商。成交通知书和成交结果公告应当在规定时间内同时发出。</w:t>
      </w:r>
    </w:p>
    <w:p w14:paraId="4BBD5D81">
      <w:pPr>
        <w:tabs>
          <w:tab w:val="left" w:pos="0"/>
        </w:tabs>
        <w:spacing w:line="360" w:lineRule="auto"/>
        <w:outlineLvl w:val="9"/>
        <w:rPr>
          <w:rFonts w:cs="Helvetica" w:asciiTheme="minorEastAsia" w:hAnsiTheme="minorEastAsia" w:eastAsiaTheme="minorEastAsia"/>
          <w:color w:val="auto"/>
          <w:kern w:val="0"/>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 xml:space="preserve"> </w:t>
      </w:r>
      <w:r>
        <w:rPr>
          <w:rFonts w:hint="eastAsia" w:asciiTheme="minorEastAsia" w:hAnsiTheme="minorEastAsia" w:eastAsiaTheme="minorEastAsia"/>
          <w:b/>
          <w:color w:val="auto"/>
          <w:sz w:val="24"/>
          <w:highlight w:val="none"/>
        </w:rPr>
        <w:t>成交通知及成交结果公告</w:t>
      </w:r>
    </w:p>
    <w:p w14:paraId="26A9AA9C">
      <w:pPr>
        <w:spacing w:line="360" w:lineRule="auto"/>
        <w:ind w:firstLine="480" w:firstLineChars="200"/>
        <w:outlineLvl w:val="9"/>
        <w:rPr>
          <w:rFonts w:ascii="宋体" w:hAnsi="宋体" w:cs="宋体"/>
          <w:color w:val="auto"/>
          <w:sz w:val="24"/>
          <w:highlight w:val="none"/>
        </w:rPr>
      </w:pPr>
      <w:r>
        <w:rPr>
          <w:rFonts w:hint="eastAsia" w:asciiTheme="minorEastAsia" w:hAnsiTheme="minorEastAsia" w:eastAsiaTheme="minorEastAsia"/>
          <w:color w:val="auto"/>
          <w:sz w:val="24"/>
          <w:szCs w:val="21"/>
          <w:highlight w:val="none"/>
        </w:rPr>
        <w:t>3.1</w:t>
      </w:r>
      <w:r>
        <w:rPr>
          <w:rFonts w:hint="eastAsia" w:asciiTheme="minorEastAsia" w:hAnsiTheme="minorEastAsia" w:eastAsiaTheme="minorEastAsia"/>
          <w:color w:val="auto"/>
          <w:sz w:val="24"/>
          <w:szCs w:val="21"/>
          <w:highlight w:val="none"/>
          <w:lang w:val="en-US" w:eastAsia="zh-CN"/>
        </w:rPr>
        <w:t xml:space="preserve"> </w:t>
      </w:r>
      <w:r>
        <w:rPr>
          <w:rFonts w:hint="eastAsia" w:asciiTheme="minorEastAsia" w:hAnsiTheme="minorEastAsia" w:eastAsiaTheme="minorEastAsia"/>
          <w:color w:val="auto"/>
          <w:sz w:val="24"/>
          <w:szCs w:val="21"/>
          <w:highlight w:val="none"/>
        </w:rPr>
        <w:t>自成交人确定之日起2个工作日内，采购代理机构通过电子交易平台向成交人发出成交通知书，</w:t>
      </w:r>
      <w:r>
        <w:rPr>
          <w:rFonts w:hint="eastAsia" w:cs="宋体" w:asciiTheme="minorEastAsia" w:hAnsiTheme="minorEastAsia" w:eastAsiaTheme="minorEastAsia"/>
          <w:color w:val="auto"/>
          <w:sz w:val="24"/>
          <w:highlight w:val="none"/>
        </w:rPr>
        <w:t>同时编制发布采购</w:t>
      </w:r>
      <w:r>
        <w:rPr>
          <w:rFonts w:hint="eastAsia" w:asciiTheme="minorEastAsia" w:hAnsiTheme="minorEastAsia" w:eastAsiaTheme="minorEastAsia"/>
          <w:color w:val="auto"/>
          <w:sz w:val="24"/>
          <w:szCs w:val="21"/>
          <w:highlight w:val="none"/>
        </w:rPr>
        <w:t>成交结果公告。</w:t>
      </w:r>
    </w:p>
    <w:p w14:paraId="1323AAA1">
      <w:pPr>
        <w:spacing w:line="360" w:lineRule="auto"/>
        <w:ind w:firstLine="480" w:firstLineChars="200"/>
        <w:outlineLvl w:val="9"/>
        <w:rPr>
          <w:rFonts w:asciiTheme="minorEastAsia" w:hAnsiTheme="minorEastAsia" w:eastAsiaTheme="minorEastAsia"/>
          <w:color w:val="auto"/>
          <w:sz w:val="24"/>
          <w:szCs w:val="21"/>
          <w:highlight w:val="none"/>
        </w:rPr>
      </w:pPr>
      <w:r>
        <w:rPr>
          <w:rFonts w:hint="eastAsia" w:ascii="宋体" w:hAnsi="宋体" w:cs="宋体"/>
          <w:color w:val="auto"/>
          <w:sz w:val="24"/>
          <w:highlight w:val="none"/>
        </w:rPr>
        <w:t>3.2</w:t>
      </w:r>
      <w:r>
        <w:rPr>
          <w:rFonts w:hint="eastAsia" w:ascii="宋体" w:hAnsi="宋体" w:cs="宋体"/>
          <w:color w:val="auto"/>
          <w:sz w:val="24"/>
          <w:highlight w:val="none"/>
          <w:lang w:val="en-US" w:eastAsia="zh-CN"/>
        </w:rPr>
        <w:t xml:space="preserve"> </w:t>
      </w:r>
      <w:r>
        <w:rPr>
          <w:rFonts w:hint="eastAsia" w:asciiTheme="minorEastAsia" w:hAnsiTheme="minorEastAsia" w:eastAsiaTheme="minorEastAsia"/>
          <w:color w:val="auto"/>
          <w:sz w:val="24"/>
          <w:szCs w:val="21"/>
          <w:highlight w:val="none"/>
        </w:rPr>
        <w:t>成交</w:t>
      </w:r>
      <w:r>
        <w:rPr>
          <w:rFonts w:hint="eastAsia" w:cs="仿宋_GB2312" w:asciiTheme="minorEastAsia" w:hAnsiTheme="minorEastAsia" w:eastAsiaTheme="minorEastAsia"/>
          <w:color w:val="auto"/>
          <w:sz w:val="24"/>
          <w:highlight w:val="none"/>
        </w:rPr>
        <w:t>结果公告内容包括</w:t>
      </w:r>
      <w:r>
        <w:rPr>
          <w:rFonts w:hint="eastAsia" w:cs="宋体" w:asciiTheme="minorEastAsia" w:hAnsiTheme="minorEastAsia" w:eastAsiaTheme="minorEastAsia"/>
          <w:color w:val="auto"/>
          <w:sz w:val="24"/>
          <w:highlight w:val="none"/>
        </w:rPr>
        <w:t>采购人及其委托的采购代理机构的名称、地址、联系方式，项目名称和项目编号，成交人名称、地址和成交金额，主要成交标的的名称、规格型号、数量、单价、服务要求，</w:t>
      </w:r>
      <w:bookmarkStart w:id="42" w:name="_Hlk101184471"/>
      <w:r>
        <w:rPr>
          <w:rFonts w:hint="eastAsia" w:cs="宋体" w:asciiTheme="minorEastAsia" w:hAnsiTheme="minorEastAsia" w:eastAsiaTheme="minorEastAsia"/>
          <w:color w:val="auto"/>
          <w:sz w:val="24"/>
          <w:highlight w:val="none"/>
        </w:rPr>
        <w:t>评审专家抽取规则、</w:t>
      </w:r>
      <w:bookmarkEnd w:id="42"/>
      <w:r>
        <w:rPr>
          <w:rFonts w:hint="eastAsia" w:cs="宋体" w:asciiTheme="minorEastAsia" w:hAnsiTheme="minorEastAsia" w:eastAsiaTheme="minorEastAsia"/>
          <w:color w:val="auto"/>
          <w:sz w:val="24"/>
          <w:highlight w:val="none"/>
        </w:rPr>
        <w:t>未成交情况说明、成交公告期限以及评审专家名单、成交供应商和未成交供应商的评审总得分及排名。</w:t>
      </w:r>
    </w:p>
    <w:p w14:paraId="399E466B">
      <w:pPr>
        <w:spacing w:line="360" w:lineRule="auto"/>
        <w:ind w:firstLine="480" w:firstLineChars="200"/>
        <w:outlineLvl w:val="9"/>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3.3</w:t>
      </w:r>
      <w:r>
        <w:rPr>
          <w:rFonts w:hint="eastAsia" w:asciiTheme="minorEastAsia" w:hAnsiTheme="minorEastAsia" w:eastAsiaTheme="minorEastAsia"/>
          <w:color w:val="auto"/>
          <w:sz w:val="24"/>
          <w:szCs w:val="21"/>
          <w:highlight w:val="none"/>
          <w:lang w:val="en-US" w:eastAsia="zh-CN"/>
        </w:rPr>
        <w:t xml:space="preserve"> </w:t>
      </w:r>
      <w:r>
        <w:rPr>
          <w:rFonts w:hint="eastAsia" w:asciiTheme="minorEastAsia" w:hAnsiTheme="minorEastAsia" w:eastAsiaTheme="minorEastAsia"/>
          <w:color w:val="auto"/>
          <w:sz w:val="24"/>
          <w:szCs w:val="21"/>
          <w:highlight w:val="none"/>
        </w:rPr>
        <w:t>公告期限为1个工作日。</w:t>
      </w:r>
    </w:p>
    <w:p w14:paraId="1ECD5483">
      <w:pPr>
        <w:snapToGrid w:val="0"/>
        <w:spacing w:line="360" w:lineRule="auto"/>
        <w:jc w:val="center"/>
        <w:outlineLvl w:val="9"/>
        <w:rPr>
          <w:rFonts w:cs="仿宋_GB2312" w:asciiTheme="minorEastAsia" w:hAnsiTheme="minorEastAsia" w:eastAsiaTheme="minorEastAsia"/>
          <w:b/>
          <w:color w:val="auto"/>
          <w:sz w:val="36"/>
          <w:szCs w:val="36"/>
          <w:highlight w:val="none"/>
        </w:rPr>
      </w:pPr>
    </w:p>
    <w:p w14:paraId="40F9AC92">
      <w:pPr>
        <w:pStyle w:val="4"/>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十二、合同</w:t>
      </w:r>
    </w:p>
    <w:p w14:paraId="3B806746">
      <w:pPr>
        <w:tabs>
          <w:tab w:val="left" w:pos="0"/>
        </w:tabs>
        <w:spacing w:line="360" w:lineRule="auto"/>
        <w:outlineLvl w:val="9"/>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 xml:space="preserve"> </w:t>
      </w:r>
      <w:r>
        <w:rPr>
          <w:rFonts w:hint="eastAsia" w:asciiTheme="minorEastAsia" w:hAnsiTheme="minorEastAsia" w:eastAsiaTheme="minorEastAsia"/>
          <w:b/>
          <w:color w:val="auto"/>
          <w:sz w:val="24"/>
          <w:highlight w:val="none"/>
        </w:rPr>
        <w:t>合同主要条款</w:t>
      </w:r>
      <w:r>
        <w:rPr>
          <w:rFonts w:hint="eastAsia" w:asciiTheme="minorEastAsia" w:hAnsiTheme="minorEastAsia" w:eastAsiaTheme="minorEastAsia"/>
          <w:b/>
          <w:color w:val="auto"/>
          <w:sz w:val="24"/>
          <w:highlight w:val="none"/>
          <w:lang w:eastAsia="zh-CN"/>
        </w:rPr>
        <w:t>：</w:t>
      </w:r>
      <w:r>
        <w:rPr>
          <w:rFonts w:hint="eastAsia" w:asciiTheme="minorEastAsia" w:hAnsiTheme="minorEastAsia" w:eastAsiaTheme="minorEastAsia"/>
          <w:color w:val="auto"/>
          <w:sz w:val="24"/>
          <w:highlight w:val="none"/>
        </w:rPr>
        <w:t>详见“第六部分拟签订的合同文本”。</w:t>
      </w:r>
    </w:p>
    <w:p w14:paraId="693D5AA3">
      <w:pPr>
        <w:tabs>
          <w:tab w:val="left" w:pos="0"/>
        </w:tabs>
        <w:spacing w:line="360" w:lineRule="auto"/>
        <w:outlineLvl w:val="9"/>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 xml:space="preserve"> </w:t>
      </w:r>
      <w:r>
        <w:rPr>
          <w:rFonts w:hint="eastAsia" w:asciiTheme="minorEastAsia" w:hAnsiTheme="minorEastAsia" w:eastAsiaTheme="minorEastAsia"/>
          <w:b/>
          <w:color w:val="auto"/>
          <w:sz w:val="24"/>
          <w:highlight w:val="none"/>
        </w:rPr>
        <w:t>合同的签订</w:t>
      </w:r>
    </w:p>
    <w:p w14:paraId="552A3D08">
      <w:pPr>
        <w:pStyle w:val="395"/>
        <w:snapToGrid w:val="0"/>
        <w:spacing w:before="0"/>
        <w:ind w:firstLine="480"/>
        <w:outlineLvl w:val="9"/>
        <w:rPr>
          <w:rFonts w:hint="eastAsia" w:cs="宋体" w:asciiTheme="minorEastAsia" w:hAnsiTheme="minorEastAsia" w:eastAsiaTheme="minorEastAsia"/>
          <w:color w:val="auto"/>
          <w:kern w:val="0"/>
          <w:highlight w:val="none"/>
          <w:lang w:val="zh-CN" w:eastAsia="zh-CN"/>
        </w:rPr>
      </w:pPr>
      <w:r>
        <w:rPr>
          <w:rFonts w:hint="eastAsia" w:cs="宋体" w:asciiTheme="minorEastAsia" w:hAnsiTheme="minorEastAsia" w:eastAsiaTheme="minorEastAsia"/>
          <w:color w:val="auto"/>
          <w:kern w:val="0"/>
          <w:highlight w:val="none"/>
          <w:lang w:val="zh-CN" w:eastAsia="zh-CN"/>
        </w:rPr>
        <w:t>2.1</w:t>
      </w:r>
      <w:r>
        <w:rPr>
          <w:rFonts w:hint="eastAsia" w:cs="宋体" w:asciiTheme="minorEastAsia" w:hAnsiTheme="minorEastAsia" w:eastAsiaTheme="minorEastAsia"/>
          <w:color w:val="auto"/>
          <w:kern w:val="0"/>
          <w:highlight w:val="none"/>
          <w:lang w:val="en-US" w:eastAsia="zh-CN"/>
        </w:rPr>
        <w:t xml:space="preserve"> </w:t>
      </w:r>
      <w:r>
        <w:rPr>
          <w:rFonts w:hint="eastAsia" w:cs="宋体" w:asciiTheme="minorEastAsia" w:hAnsiTheme="minorEastAsia" w:eastAsiaTheme="minorEastAsia"/>
          <w:color w:val="auto"/>
          <w:kern w:val="0"/>
          <w:highlight w:val="none"/>
          <w:lang w:val="zh-CN" w:eastAsia="zh-CN"/>
        </w:rPr>
        <w:t>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2377C68C">
      <w:pPr>
        <w:pStyle w:val="395"/>
        <w:snapToGrid w:val="0"/>
        <w:spacing w:before="0"/>
        <w:ind w:firstLine="480"/>
        <w:outlineLvl w:val="9"/>
        <w:rPr>
          <w:rFonts w:cs="宋体" w:asciiTheme="minorEastAsia" w:hAnsiTheme="minorEastAsia" w:eastAsiaTheme="minorEastAsia"/>
          <w:color w:val="auto"/>
          <w:kern w:val="0"/>
          <w:highlight w:val="none"/>
        </w:rPr>
      </w:pPr>
      <w:r>
        <w:rPr>
          <w:rFonts w:hint="eastAsia" w:cs="宋体" w:asciiTheme="minorEastAsia" w:hAnsiTheme="minorEastAsia" w:eastAsiaTheme="minorEastAsia"/>
          <w:color w:val="auto"/>
          <w:kern w:val="0"/>
          <w:highlight w:val="none"/>
          <w:lang w:val="zh-CN"/>
        </w:rPr>
        <w:t>2.2</w:t>
      </w:r>
      <w:r>
        <w:rPr>
          <w:rFonts w:hint="eastAsia" w:cs="宋体" w:asciiTheme="minorEastAsia" w:hAnsiTheme="minorEastAsia" w:eastAsiaTheme="minorEastAsia"/>
          <w:color w:val="auto"/>
          <w:kern w:val="0"/>
          <w:highlight w:val="none"/>
          <w:lang w:val="en-US" w:eastAsia="zh-CN"/>
        </w:rPr>
        <w:t xml:space="preserve"> </w:t>
      </w:r>
      <w:r>
        <w:rPr>
          <w:rFonts w:hint="eastAsia" w:cs="宋体" w:asciiTheme="minorEastAsia" w:hAnsiTheme="minorEastAsia" w:eastAsiaTheme="minorEastAsia"/>
          <w:color w:val="auto"/>
          <w:kern w:val="0"/>
          <w:highlight w:val="none"/>
          <w:lang w:val="zh-CN"/>
        </w:rPr>
        <w:t>成交人按规定的日期、时间、地点，由法定代表人或其授权代表与采购人代表签订合同。如成交人为联合体的，由联合体成员各方法定代表人或其授权代表与采购人代表签订合同。</w:t>
      </w:r>
    </w:p>
    <w:p w14:paraId="4E362359">
      <w:pPr>
        <w:spacing w:line="360" w:lineRule="auto"/>
        <w:ind w:firstLine="465" w:firstLineChars="194"/>
        <w:outlineLvl w:val="9"/>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2.3</w:t>
      </w:r>
      <w:r>
        <w:rPr>
          <w:rFonts w:hint="eastAsia" w:asciiTheme="minorEastAsia" w:hAnsiTheme="minorEastAsia" w:eastAsiaTheme="minorEastAsia"/>
          <w:color w:val="auto"/>
          <w:sz w:val="24"/>
          <w:szCs w:val="21"/>
          <w:highlight w:val="none"/>
          <w:lang w:val="en-US" w:eastAsia="zh-CN"/>
        </w:rPr>
        <w:t xml:space="preserve"> </w:t>
      </w:r>
      <w:r>
        <w:rPr>
          <w:rFonts w:hint="eastAsia" w:asciiTheme="minorEastAsia" w:hAnsiTheme="minorEastAsia" w:eastAsiaTheme="minorEastAsia"/>
          <w:color w:val="auto"/>
          <w:sz w:val="24"/>
          <w:szCs w:val="21"/>
          <w:highlight w:val="none"/>
        </w:rPr>
        <w:t>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14:paraId="0290AC74">
      <w:pPr>
        <w:spacing w:line="360" w:lineRule="auto"/>
        <w:ind w:firstLine="465" w:firstLineChars="194"/>
        <w:outlineLvl w:val="9"/>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2.4</w:t>
      </w:r>
      <w:r>
        <w:rPr>
          <w:rFonts w:hint="eastAsia" w:asciiTheme="minorEastAsia" w:hAnsiTheme="minorEastAsia" w:eastAsiaTheme="minorEastAsia"/>
          <w:color w:val="auto"/>
          <w:sz w:val="24"/>
          <w:szCs w:val="21"/>
          <w:highlight w:val="none"/>
          <w:lang w:val="en-US" w:eastAsia="zh-CN"/>
        </w:rPr>
        <w:t xml:space="preserve"> </w:t>
      </w:r>
      <w:r>
        <w:rPr>
          <w:rFonts w:hint="eastAsia" w:asciiTheme="minorEastAsia" w:hAnsiTheme="minorEastAsia" w:eastAsiaTheme="minorEastAsia"/>
          <w:color w:val="auto"/>
          <w:sz w:val="24"/>
          <w:szCs w:val="21"/>
          <w:highlight w:val="none"/>
        </w:rPr>
        <w:t>成交供应商拒绝签订政府采购合同的，采购人可以按照《政府采购竞争性磋商采购方式管理暂行办法》第二十八条第二款规定的原则确定其他供应商作为成交供应商并签订政府采购合同，也可以重新开展采购活动。拒绝签订政府采购合同的成交供应商不得参加对该项目重新开展的采购活动。</w:t>
      </w:r>
    </w:p>
    <w:p w14:paraId="579C61CB">
      <w:pPr>
        <w:spacing w:line="360" w:lineRule="auto"/>
        <w:ind w:firstLine="465" w:firstLineChars="194"/>
        <w:outlineLvl w:val="9"/>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2.5</w:t>
      </w:r>
      <w:r>
        <w:rPr>
          <w:rFonts w:hint="eastAsia" w:asciiTheme="minorEastAsia" w:hAnsiTheme="minorEastAsia" w:eastAsiaTheme="minorEastAsia"/>
          <w:color w:val="auto"/>
          <w:sz w:val="24"/>
          <w:szCs w:val="21"/>
          <w:highlight w:val="none"/>
          <w:lang w:val="en-US" w:eastAsia="zh-CN"/>
        </w:rPr>
        <w:t xml:space="preserve"> </w:t>
      </w:r>
      <w:r>
        <w:rPr>
          <w:rFonts w:hint="eastAsia" w:asciiTheme="minorEastAsia" w:hAnsiTheme="minorEastAsia" w:eastAsiaTheme="minorEastAsia"/>
          <w:color w:val="auto"/>
          <w:sz w:val="24"/>
          <w:szCs w:val="21"/>
          <w:highlight w:val="none"/>
        </w:rPr>
        <w:t>如签订合同并生效后，供应商无故拒绝或延期，除按照合同条款处理外，列入不良行为记录一次，并给予通报。</w:t>
      </w:r>
    </w:p>
    <w:p w14:paraId="108D068C">
      <w:pPr>
        <w:pStyle w:val="395"/>
        <w:snapToGrid w:val="0"/>
        <w:spacing w:before="0" w:after="120"/>
        <w:ind w:firstLine="480"/>
        <w:outlineLvl w:val="9"/>
        <w:rPr>
          <w:rFonts w:cs="仿宋_GB2312" w:asciiTheme="minorEastAsia" w:hAnsiTheme="minorEastAsia" w:eastAsiaTheme="minorEastAsia"/>
          <w:color w:val="auto"/>
          <w:highlight w:val="none"/>
        </w:rPr>
      </w:pPr>
      <w:r>
        <w:rPr>
          <w:rFonts w:cs="仿宋_GB2312" w:asciiTheme="minorEastAsia" w:hAnsiTheme="minorEastAsia" w:eastAsiaTheme="minorEastAsia"/>
          <w:color w:val="auto"/>
          <w:highlight w:val="none"/>
        </w:rPr>
        <w:t>2.</w:t>
      </w:r>
      <w:r>
        <w:rPr>
          <w:rFonts w:hint="eastAsia" w:cs="仿宋_GB2312" w:asciiTheme="minorEastAsia" w:hAnsiTheme="minorEastAsia" w:eastAsiaTheme="minorEastAsia"/>
          <w:color w:val="auto"/>
          <w:highlight w:val="none"/>
        </w:rPr>
        <w:t>6</w:t>
      </w:r>
      <w:r>
        <w:rPr>
          <w:rFonts w:hint="eastAsia" w:cs="仿宋_GB2312" w:asciiTheme="minorEastAsia" w:hAnsiTheme="minorEastAsia" w:eastAsiaTheme="minorEastAsia"/>
          <w:color w:val="auto"/>
          <w:highlight w:val="none"/>
          <w:lang w:val="en-US" w:eastAsia="zh-CN"/>
        </w:rPr>
        <w:t xml:space="preserve"> </w:t>
      </w:r>
      <w:r>
        <w:rPr>
          <w:rFonts w:cs="仿宋_GB2312" w:asciiTheme="minorEastAsia" w:hAnsiTheme="minorEastAsia" w:eastAsiaTheme="minorEastAsia"/>
          <w:color w:val="auto"/>
          <w:highlight w:val="none"/>
        </w:rPr>
        <w:t>采购合同由采购人与</w:t>
      </w:r>
      <w:r>
        <w:rPr>
          <w:rFonts w:hint="eastAsia" w:cs="仿宋_GB2312" w:asciiTheme="minorEastAsia" w:hAnsiTheme="minorEastAsia" w:eastAsiaTheme="minorEastAsia"/>
          <w:color w:val="auto"/>
          <w:highlight w:val="none"/>
        </w:rPr>
        <w:t>成交</w:t>
      </w:r>
      <w:r>
        <w:rPr>
          <w:rFonts w:cs="仿宋_GB2312" w:asciiTheme="minorEastAsia" w:hAnsiTheme="minorEastAsia" w:eastAsiaTheme="minorEastAsia"/>
          <w:color w:val="auto"/>
          <w:highlight w:val="none"/>
        </w:rPr>
        <w:t>供应商根据</w:t>
      </w:r>
      <w:r>
        <w:rPr>
          <w:rFonts w:hint="eastAsia" w:cs="仿宋_GB2312" w:asciiTheme="minorEastAsia" w:hAnsiTheme="minorEastAsia" w:eastAsiaTheme="minorEastAsia"/>
          <w:color w:val="auto"/>
          <w:highlight w:val="none"/>
        </w:rPr>
        <w:t>磋商文件、响应文件等内容通过政府采购电子交易平台在线签订，自动备案。</w:t>
      </w:r>
    </w:p>
    <w:p w14:paraId="347E7F75">
      <w:pPr>
        <w:pStyle w:val="395"/>
        <w:snapToGrid w:val="0"/>
        <w:spacing w:before="0"/>
        <w:ind w:firstLine="480"/>
        <w:outlineLvl w:val="9"/>
        <w:rPr>
          <w:rFonts w:ascii="宋体" w:hAnsi="宋体" w:cs="宋体"/>
          <w:color w:val="auto"/>
          <w:highlight w:val="none"/>
        </w:rPr>
      </w:pPr>
      <w:r>
        <w:rPr>
          <w:rFonts w:hint="eastAsia" w:ascii="宋体" w:hAnsi="宋体" w:cs="宋体"/>
          <w:color w:val="auto"/>
          <w:highlight w:val="none"/>
        </w:rPr>
        <w:t>2.7</w:t>
      </w:r>
      <w:r>
        <w:rPr>
          <w:rFonts w:hint="eastAsia" w:ascii="宋体" w:hAnsi="宋体" w:cs="宋体"/>
          <w:color w:val="auto"/>
          <w:highlight w:val="none"/>
          <w:lang w:val="en-US" w:eastAsia="zh-CN"/>
        </w:rPr>
        <w:t xml:space="preserve"> </w:t>
      </w:r>
      <w:r>
        <w:rPr>
          <w:rFonts w:hint="eastAsia" w:ascii="宋体" w:hAnsi="宋体" w:cs="宋体"/>
          <w:color w:val="auto"/>
          <w:highlight w:val="none"/>
        </w:rPr>
        <w:t>政采贷</w:t>
      </w:r>
    </w:p>
    <w:p w14:paraId="254F273E">
      <w:pPr>
        <w:snapToGrid w:val="0"/>
        <w:spacing w:line="360" w:lineRule="auto"/>
        <w:ind w:firstLine="480" w:firstLineChars="200"/>
        <w:outlineLvl w:val="9"/>
        <w:rPr>
          <w:rFonts w:hint="eastAsia" w:ascii="宋体" w:hAnsi="宋体" w:eastAsia="宋体" w:cs="宋体"/>
          <w:color w:val="auto"/>
          <w:sz w:val="24"/>
          <w:szCs w:val="20"/>
          <w:highlight w:val="none"/>
          <w:lang w:eastAsia="zh-CN"/>
        </w:rPr>
      </w:pPr>
      <w:r>
        <w:rPr>
          <w:rFonts w:hint="eastAsia" w:ascii="宋体" w:hAnsi="宋体" w:cs="宋体"/>
          <w:color w:val="auto"/>
          <w:sz w:val="24"/>
          <w:szCs w:val="20"/>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r>
        <w:rPr>
          <w:rFonts w:hint="eastAsia" w:ascii="宋体" w:hAnsi="宋体" w:cs="宋体"/>
          <w:color w:val="auto"/>
          <w:sz w:val="24"/>
          <w:szCs w:val="20"/>
          <w:highlight w:val="none"/>
          <w:lang w:eastAsia="zh-CN"/>
        </w:rPr>
        <w:t>：</w:t>
      </w:r>
    </w:p>
    <w:p w14:paraId="1E802005">
      <w:pPr>
        <w:snapToGrid w:val="0"/>
        <w:spacing w:line="360" w:lineRule="auto"/>
        <w:ind w:firstLine="480" w:firstLineChars="200"/>
        <w:outlineLvl w:val="9"/>
        <w:rPr>
          <w:rFonts w:ascii="宋体" w:hAnsi="宋体" w:cs="宋体"/>
          <w:color w:val="auto"/>
          <w:sz w:val="24"/>
          <w:szCs w:val="20"/>
          <w:highlight w:val="none"/>
        </w:rPr>
      </w:pPr>
      <w:r>
        <w:rPr>
          <w:rFonts w:hint="eastAsia" w:ascii="宋体" w:hAnsi="宋体" w:cs="宋体"/>
          <w:color w:val="auto"/>
          <w:sz w:val="24"/>
          <w:szCs w:val="20"/>
          <w:highlight w:val="none"/>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552A0827">
      <w:pPr>
        <w:snapToGrid w:val="0"/>
        <w:spacing w:line="360" w:lineRule="auto"/>
        <w:ind w:firstLine="480" w:firstLineChars="200"/>
        <w:outlineLvl w:val="9"/>
        <w:rPr>
          <w:rFonts w:ascii="宋体" w:hAnsi="宋体" w:cs="宋体"/>
          <w:color w:val="auto"/>
          <w:sz w:val="24"/>
          <w:szCs w:val="20"/>
          <w:highlight w:val="none"/>
        </w:rPr>
      </w:pPr>
      <w:r>
        <w:rPr>
          <w:rFonts w:hint="eastAsia" w:ascii="宋体" w:hAnsi="宋体" w:cs="宋体"/>
          <w:color w:val="auto"/>
          <w:sz w:val="24"/>
          <w:szCs w:val="20"/>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65B8C7CB">
      <w:pPr>
        <w:snapToGrid w:val="0"/>
        <w:spacing w:line="360" w:lineRule="auto"/>
        <w:ind w:firstLine="480" w:firstLineChars="200"/>
        <w:outlineLvl w:val="9"/>
        <w:rPr>
          <w:rFonts w:ascii="宋体" w:hAnsi="宋体" w:cs="宋体"/>
          <w:color w:val="auto"/>
          <w:sz w:val="24"/>
          <w:szCs w:val="20"/>
          <w:highlight w:val="none"/>
        </w:rPr>
      </w:pPr>
      <w:r>
        <w:rPr>
          <w:rFonts w:hint="eastAsia" w:ascii="宋体" w:hAnsi="宋体" w:cs="宋体"/>
          <w:color w:val="auto"/>
          <w:sz w:val="24"/>
          <w:szCs w:val="20"/>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62CC51C3">
      <w:pPr>
        <w:snapToGrid w:val="0"/>
        <w:spacing w:line="360" w:lineRule="auto"/>
        <w:ind w:firstLine="480" w:firstLineChars="200"/>
        <w:outlineLvl w:val="9"/>
        <w:rPr>
          <w:rFonts w:ascii="宋体" w:hAnsi="宋体" w:cs="宋体"/>
          <w:color w:val="auto"/>
          <w:sz w:val="24"/>
          <w:szCs w:val="20"/>
          <w:highlight w:val="none"/>
        </w:rPr>
      </w:pPr>
      <w:r>
        <w:rPr>
          <w:rFonts w:hint="eastAsia" w:ascii="宋体" w:hAnsi="宋体" w:cs="宋体"/>
          <w:color w:val="auto"/>
          <w:sz w:val="24"/>
          <w:szCs w:val="20"/>
          <w:highlight w:val="none"/>
        </w:rPr>
        <w:t>（四）贷款发放。贷款金融机构根据贷款协议向供应商发放贷款。</w:t>
      </w:r>
    </w:p>
    <w:p w14:paraId="0F29E26C">
      <w:pPr>
        <w:snapToGrid w:val="0"/>
        <w:spacing w:line="360" w:lineRule="auto"/>
        <w:ind w:firstLine="480" w:firstLineChars="200"/>
        <w:outlineLvl w:val="9"/>
        <w:rPr>
          <w:rFonts w:ascii="宋体" w:hAnsi="宋体" w:cs="宋体"/>
          <w:color w:val="auto"/>
          <w:sz w:val="24"/>
          <w:szCs w:val="20"/>
          <w:highlight w:val="none"/>
        </w:rPr>
      </w:pPr>
      <w:r>
        <w:rPr>
          <w:rFonts w:hint="eastAsia" w:ascii="宋体" w:hAnsi="宋体" w:cs="宋体"/>
          <w:color w:val="auto"/>
          <w:sz w:val="24"/>
          <w:szCs w:val="20"/>
          <w:highlight w:val="none"/>
        </w:rPr>
        <w:t>（五）按期还款。供应商获得贷款后应自觉履行政府采购合同，合同履行完毕后，采购单位根据合同约定时间和账户信息，严格按照财政资金管理的相关规定，及时将资金支付到采购合同收款账户。</w:t>
      </w:r>
    </w:p>
    <w:p w14:paraId="68FC8B07">
      <w:pPr>
        <w:snapToGrid w:val="0"/>
        <w:spacing w:line="360" w:lineRule="auto"/>
        <w:ind w:firstLine="480" w:firstLineChars="200"/>
        <w:outlineLvl w:val="9"/>
        <w:rPr>
          <w:rFonts w:ascii="宋体" w:hAnsi="宋体" w:cs="宋体"/>
          <w:color w:val="auto"/>
          <w:sz w:val="24"/>
          <w:szCs w:val="20"/>
          <w:highlight w:val="none"/>
        </w:rPr>
      </w:pPr>
      <w:r>
        <w:rPr>
          <w:rFonts w:hint="eastAsia" w:ascii="宋体" w:hAnsi="宋体" w:cs="宋体"/>
          <w:color w:val="auto"/>
          <w:sz w:val="24"/>
          <w:szCs w:val="20"/>
          <w:highlight w:val="none"/>
        </w:rPr>
        <w:t>（六）业务终止。贷款偿清后，贷款金融机构或北海市小微企业融资担保有限公司及时办理应收账款质押注销登记，业务终止。</w:t>
      </w:r>
    </w:p>
    <w:p w14:paraId="6381C0D7">
      <w:pPr>
        <w:snapToGrid w:val="0"/>
        <w:spacing w:line="360" w:lineRule="auto"/>
        <w:ind w:firstLine="480" w:firstLineChars="200"/>
        <w:outlineLvl w:val="9"/>
        <w:rPr>
          <w:rFonts w:ascii="宋体" w:hAnsi="宋体" w:cs="宋体"/>
          <w:color w:val="auto"/>
          <w:sz w:val="24"/>
          <w:szCs w:val="20"/>
          <w:highlight w:val="none"/>
        </w:rPr>
      </w:pPr>
      <w:r>
        <w:rPr>
          <w:rFonts w:hint="eastAsia" w:ascii="宋体" w:hAnsi="宋体" w:cs="宋体"/>
          <w:color w:val="auto"/>
          <w:sz w:val="24"/>
          <w:szCs w:val="20"/>
          <w:highlight w:val="none"/>
        </w:rPr>
        <w:t>注</w:t>
      </w:r>
      <w:r>
        <w:rPr>
          <w:rFonts w:hint="eastAsia" w:ascii="宋体" w:hAnsi="宋体" w:cs="宋体"/>
          <w:color w:val="auto"/>
          <w:sz w:val="24"/>
          <w:szCs w:val="20"/>
          <w:highlight w:val="none"/>
          <w:lang w:eastAsia="zh-CN"/>
        </w:rPr>
        <w:t>：</w:t>
      </w:r>
      <w:r>
        <w:rPr>
          <w:rFonts w:hint="eastAsia" w:ascii="宋体" w:hAnsi="宋体" w:cs="宋体"/>
          <w:color w:val="auto"/>
          <w:sz w:val="24"/>
          <w:szCs w:val="20"/>
          <w:highlight w:val="none"/>
        </w:rPr>
        <w:t>相关合作银行的具体操作流程详见北海市政府采购中心首页“政采贷”板块。</w:t>
      </w:r>
    </w:p>
    <w:p w14:paraId="13C253F5">
      <w:pPr>
        <w:pStyle w:val="634"/>
        <w:outlineLvl w:val="9"/>
        <w:rPr>
          <w:color w:val="auto"/>
          <w:highlight w:val="none"/>
        </w:rPr>
      </w:pPr>
      <w:r>
        <w:rPr>
          <w:rFonts w:hint="eastAsia" w:cs="宋体"/>
          <w:color w:val="auto"/>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14:paraId="742BD937">
      <w:pPr>
        <w:autoSpaceDE w:val="0"/>
        <w:autoSpaceDN w:val="0"/>
        <w:adjustRightInd/>
        <w:snapToGrid w:val="0"/>
        <w:spacing w:line="360" w:lineRule="auto"/>
        <w:ind w:firstLine="480" w:firstLineChars="200"/>
        <w:textAlignment w:val="bottom"/>
        <w:outlineLvl w:val="9"/>
        <w:rPr>
          <w:rFonts w:hint="eastAsia" w:ascii="宋体" w:hAnsi="宋体" w:eastAsia="宋体" w:cs="宋体"/>
          <w:color w:val="auto"/>
          <w:sz w:val="24"/>
          <w:szCs w:val="20"/>
          <w:highlight w:val="none"/>
          <w:lang w:eastAsia="zh-CN"/>
        </w:rPr>
      </w:pPr>
      <w:r>
        <w:rPr>
          <w:rFonts w:hint="eastAsia" w:ascii="宋体" w:hAnsi="宋体" w:cs="宋体"/>
          <w:color w:val="auto"/>
          <w:sz w:val="24"/>
          <w:szCs w:val="20"/>
          <w:highlight w:val="none"/>
        </w:rPr>
        <w:t>供应商成交后可在“广西政府采购云”平台申请政采贷</w:t>
      </w:r>
      <w:r>
        <w:rPr>
          <w:rFonts w:hint="eastAsia" w:ascii="宋体" w:hAnsi="宋体" w:cs="宋体"/>
          <w:color w:val="auto"/>
          <w:sz w:val="24"/>
          <w:szCs w:val="20"/>
          <w:highlight w:val="none"/>
          <w:lang w:eastAsia="zh-CN"/>
        </w:rPr>
        <w:t>：</w:t>
      </w:r>
      <w:r>
        <w:rPr>
          <w:rFonts w:hint="eastAsia" w:ascii="宋体" w:hAnsi="宋体" w:cs="宋体"/>
          <w:color w:val="auto"/>
          <w:sz w:val="24"/>
          <w:szCs w:val="20"/>
          <w:highlight w:val="none"/>
        </w:rPr>
        <w:t>操作路径</w:t>
      </w:r>
      <w:r>
        <w:rPr>
          <w:rFonts w:hint="eastAsia" w:ascii="宋体" w:hAnsi="宋体" w:cs="宋体"/>
          <w:color w:val="auto"/>
          <w:sz w:val="24"/>
          <w:szCs w:val="20"/>
          <w:highlight w:val="none"/>
          <w:lang w:eastAsia="zh-CN"/>
        </w:rPr>
        <w:t>：</w:t>
      </w:r>
      <w:r>
        <w:rPr>
          <w:rFonts w:hint="eastAsia" w:ascii="宋体" w:hAnsi="宋体" w:cs="宋体"/>
          <w:color w:val="auto"/>
          <w:sz w:val="24"/>
          <w:szCs w:val="20"/>
          <w:highlight w:val="none"/>
        </w:rPr>
        <w:t>登录广西政府采购云平台-金融服务中心-【融资服务】，可在热门申请中选择产品直接申请。详见如下</w:t>
      </w:r>
      <w:r>
        <w:rPr>
          <w:rFonts w:hint="eastAsia" w:ascii="宋体" w:hAnsi="宋体" w:cs="宋体"/>
          <w:color w:val="auto"/>
          <w:sz w:val="24"/>
          <w:szCs w:val="20"/>
          <w:highlight w:val="none"/>
          <w:lang w:eastAsia="zh-CN"/>
        </w:rPr>
        <w:t>：</w:t>
      </w:r>
    </w:p>
    <w:p w14:paraId="4E6CD17E">
      <w:pPr>
        <w:snapToGrid w:val="0"/>
        <w:spacing w:line="360" w:lineRule="auto"/>
        <w:ind w:firstLine="482"/>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1.</w:t>
      </w:r>
      <w:r>
        <w:rPr>
          <w:rFonts w:hint="eastAsia" w:ascii="宋体" w:hAnsi="宋体"/>
          <w:color w:val="auto"/>
          <w:kern w:val="0"/>
          <w:sz w:val="24"/>
          <w:szCs w:val="20"/>
          <w:highlight w:val="none"/>
          <w:lang w:val="en-US" w:eastAsia="zh-CN"/>
        </w:rPr>
        <w:t xml:space="preserve"> </w:t>
      </w:r>
      <w:r>
        <w:rPr>
          <w:rFonts w:hint="eastAsia" w:ascii="宋体" w:hAnsi="宋体"/>
          <w:color w:val="auto"/>
          <w:kern w:val="0"/>
          <w:sz w:val="24"/>
          <w:szCs w:val="20"/>
          <w:highlight w:val="none"/>
        </w:rPr>
        <w:t>有贷款需求的供应商可以访问“广西政府采购云平台-金融服务-融资服务”栏目办理有关业务（链接</w:t>
      </w:r>
      <w:r>
        <w:rPr>
          <w:rFonts w:hint="eastAsia" w:ascii="宋体" w:hAnsi="宋体"/>
          <w:color w:val="auto"/>
          <w:kern w:val="0"/>
          <w:sz w:val="24"/>
          <w:szCs w:val="20"/>
          <w:highlight w:val="none"/>
          <w:lang w:eastAsia="zh-CN"/>
        </w:rPr>
        <w:t>：</w:t>
      </w:r>
      <w:r>
        <w:rPr>
          <w:color w:val="auto"/>
          <w:highlight w:val="none"/>
        </w:rPr>
        <w:fldChar w:fldCharType="begin"/>
      </w:r>
      <w:r>
        <w:rPr>
          <w:color w:val="auto"/>
          <w:highlight w:val="none"/>
        </w:rPr>
        <w:instrText xml:space="preserve"> HYPERLINK "https://jinrong.gcy.zfcg.gxzf.gov.cn/finance/loan/gx" </w:instrText>
      </w:r>
      <w:r>
        <w:rPr>
          <w:color w:val="auto"/>
          <w:highlight w:val="none"/>
        </w:rPr>
        <w:fldChar w:fldCharType="separate"/>
      </w:r>
      <w:r>
        <w:rPr>
          <w:rFonts w:ascii="宋体" w:hAnsi="宋体"/>
          <w:color w:val="auto"/>
          <w:kern w:val="0"/>
          <w:sz w:val="24"/>
          <w:szCs w:val="20"/>
          <w:highlight w:val="none"/>
        </w:rPr>
        <w:t>https</w:t>
      </w:r>
      <w:r>
        <w:rPr>
          <w:rFonts w:hint="eastAsia" w:ascii="宋体" w:hAnsi="宋体"/>
          <w:color w:val="auto"/>
          <w:kern w:val="0"/>
          <w:sz w:val="24"/>
          <w:szCs w:val="20"/>
          <w:highlight w:val="none"/>
          <w:lang w:eastAsia="zh-CN"/>
        </w:rPr>
        <w:t>：</w:t>
      </w:r>
      <w:r>
        <w:rPr>
          <w:rFonts w:ascii="宋体" w:hAnsi="宋体"/>
          <w:color w:val="auto"/>
          <w:kern w:val="0"/>
          <w:sz w:val="24"/>
          <w:szCs w:val="20"/>
          <w:highlight w:val="none"/>
        </w:rPr>
        <w:t>//jinrong.gcy.zfcg.gxzf.gov.cn/finance/loan/gx</w:t>
      </w:r>
      <w:r>
        <w:rPr>
          <w:rFonts w:ascii="宋体" w:hAnsi="宋体"/>
          <w:color w:val="auto"/>
          <w:kern w:val="0"/>
          <w:sz w:val="24"/>
          <w:szCs w:val="20"/>
          <w:highlight w:val="none"/>
        </w:rPr>
        <w:fldChar w:fldCharType="end"/>
      </w:r>
      <w:r>
        <w:rPr>
          <w:rFonts w:hint="eastAsia" w:ascii="宋体" w:hAnsi="宋体"/>
          <w:color w:val="auto"/>
          <w:kern w:val="0"/>
          <w:sz w:val="24"/>
          <w:szCs w:val="20"/>
          <w:highlight w:val="none"/>
        </w:rPr>
        <w:t>）</w:t>
      </w:r>
    </w:p>
    <w:p w14:paraId="339DC18D">
      <w:pPr>
        <w:snapToGrid w:val="0"/>
        <w:spacing w:line="360" w:lineRule="auto"/>
        <w:ind w:firstLine="482"/>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2.</w:t>
      </w:r>
      <w:r>
        <w:rPr>
          <w:rFonts w:hint="eastAsia" w:ascii="宋体" w:hAnsi="宋体"/>
          <w:color w:val="auto"/>
          <w:kern w:val="0"/>
          <w:sz w:val="24"/>
          <w:szCs w:val="20"/>
          <w:highlight w:val="none"/>
          <w:lang w:val="en-US" w:eastAsia="zh-CN"/>
        </w:rPr>
        <w:t xml:space="preserve"> </w:t>
      </w:r>
      <w:r>
        <w:rPr>
          <w:rFonts w:hint="eastAsia" w:ascii="宋体" w:hAnsi="宋体"/>
          <w:color w:val="auto"/>
          <w:kern w:val="0"/>
          <w:sz w:val="24"/>
          <w:szCs w:val="20"/>
          <w:highlight w:val="none"/>
        </w:rPr>
        <w:t>合作银行咨询办理</w:t>
      </w:r>
    </w:p>
    <w:tbl>
      <w:tblPr>
        <w:tblStyle w:val="636"/>
        <w:tblW w:w="94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7"/>
        <w:gridCol w:w="1665"/>
        <w:gridCol w:w="1050"/>
        <w:gridCol w:w="1249"/>
        <w:gridCol w:w="1121"/>
        <w:gridCol w:w="3156"/>
      </w:tblGrid>
      <w:tr w14:paraId="3AF38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77" w:type="dxa"/>
            <w:vAlign w:val="center"/>
          </w:tcPr>
          <w:p w14:paraId="43352968">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银行名称</w:t>
            </w:r>
          </w:p>
        </w:tc>
        <w:tc>
          <w:tcPr>
            <w:tcW w:w="1665" w:type="dxa"/>
            <w:vAlign w:val="center"/>
          </w:tcPr>
          <w:p w14:paraId="5A9528B4">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联系电话</w:t>
            </w:r>
          </w:p>
        </w:tc>
        <w:tc>
          <w:tcPr>
            <w:tcW w:w="1050" w:type="dxa"/>
            <w:vAlign w:val="center"/>
          </w:tcPr>
          <w:p w14:paraId="3EFD2700">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最高授信金额</w:t>
            </w:r>
          </w:p>
        </w:tc>
        <w:tc>
          <w:tcPr>
            <w:tcW w:w="1249" w:type="dxa"/>
            <w:vAlign w:val="center"/>
          </w:tcPr>
          <w:p w14:paraId="00FC17A3">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最长授信期限</w:t>
            </w:r>
          </w:p>
        </w:tc>
        <w:tc>
          <w:tcPr>
            <w:tcW w:w="1121" w:type="dxa"/>
            <w:vAlign w:val="center"/>
          </w:tcPr>
          <w:p w14:paraId="7585008D">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最低利率</w:t>
            </w:r>
          </w:p>
        </w:tc>
        <w:tc>
          <w:tcPr>
            <w:tcW w:w="3156" w:type="dxa"/>
            <w:vAlign w:val="center"/>
          </w:tcPr>
          <w:p w14:paraId="3CD98DCD">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流程简介</w:t>
            </w:r>
          </w:p>
        </w:tc>
      </w:tr>
      <w:tr w14:paraId="79E97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77" w:type="dxa"/>
            <w:vAlign w:val="center"/>
          </w:tcPr>
          <w:p w14:paraId="2DB0B277">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建设银行</w:t>
            </w:r>
          </w:p>
        </w:tc>
        <w:tc>
          <w:tcPr>
            <w:tcW w:w="1665" w:type="dxa"/>
            <w:vAlign w:val="center"/>
          </w:tcPr>
          <w:p w14:paraId="255FDBAF">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13077729988</w:t>
            </w:r>
          </w:p>
        </w:tc>
        <w:tc>
          <w:tcPr>
            <w:tcW w:w="1050" w:type="dxa"/>
            <w:vAlign w:val="center"/>
          </w:tcPr>
          <w:p w14:paraId="6EB34429">
            <w:pPr>
              <w:snapToGrid w:val="0"/>
              <w:spacing w:line="240" w:lineRule="auto"/>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最高3千万</w:t>
            </w:r>
          </w:p>
        </w:tc>
        <w:tc>
          <w:tcPr>
            <w:tcW w:w="1249" w:type="dxa"/>
            <w:vAlign w:val="center"/>
          </w:tcPr>
          <w:p w14:paraId="502F3037">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1121" w:type="dxa"/>
            <w:vAlign w:val="center"/>
          </w:tcPr>
          <w:p w14:paraId="55191F11">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4%</w:t>
            </w:r>
          </w:p>
        </w:tc>
        <w:tc>
          <w:tcPr>
            <w:tcW w:w="3156" w:type="dxa"/>
            <w:vAlign w:val="center"/>
          </w:tcPr>
          <w:p w14:paraId="55B2D5FD">
            <w:pPr>
              <w:snapToGrid w:val="0"/>
              <w:spacing w:line="240" w:lineRule="auto"/>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开设账号，线下提供申请材料，进入贷款审批流程，贷款审批通过后可自主用款，银行官方网银可自主还款。</w:t>
            </w:r>
          </w:p>
        </w:tc>
      </w:tr>
      <w:tr w14:paraId="4AD6E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77" w:type="dxa"/>
            <w:vAlign w:val="center"/>
          </w:tcPr>
          <w:p w14:paraId="2BFD9B3E">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中国银行</w:t>
            </w:r>
          </w:p>
        </w:tc>
        <w:tc>
          <w:tcPr>
            <w:tcW w:w="1665" w:type="dxa"/>
            <w:vAlign w:val="center"/>
          </w:tcPr>
          <w:p w14:paraId="4AA22F24">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0779-3997084</w:t>
            </w:r>
          </w:p>
        </w:tc>
        <w:tc>
          <w:tcPr>
            <w:tcW w:w="1050" w:type="dxa"/>
            <w:vAlign w:val="center"/>
          </w:tcPr>
          <w:p w14:paraId="61D83507">
            <w:pPr>
              <w:snapToGrid w:val="0"/>
              <w:spacing w:line="240" w:lineRule="auto"/>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1249" w:type="dxa"/>
            <w:vAlign w:val="center"/>
          </w:tcPr>
          <w:p w14:paraId="03E609E5">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3年</w:t>
            </w:r>
          </w:p>
        </w:tc>
        <w:tc>
          <w:tcPr>
            <w:tcW w:w="1121" w:type="dxa"/>
            <w:vAlign w:val="center"/>
          </w:tcPr>
          <w:p w14:paraId="114D7AB2">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1.93%</w:t>
            </w:r>
          </w:p>
        </w:tc>
        <w:tc>
          <w:tcPr>
            <w:tcW w:w="3156" w:type="dxa"/>
            <w:vAlign w:val="center"/>
          </w:tcPr>
          <w:p w14:paraId="01BE326D">
            <w:pPr>
              <w:snapToGrid w:val="0"/>
              <w:spacing w:line="240" w:lineRule="auto"/>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在银行开户，线上申请，上传所需材料，等待审批，审批通过后可直接在手机银行提款。</w:t>
            </w:r>
          </w:p>
        </w:tc>
      </w:tr>
      <w:tr w14:paraId="69E06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77" w:type="dxa"/>
            <w:vAlign w:val="center"/>
          </w:tcPr>
          <w:p w14:paraId="31ABE690">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兴业银行</w:t>
            </w:r>
          </w:p>
        </w:tc>
        <w:tc>
          <w:tcPr>
            <w:tcW w:w="1665" w:type="dxa"/>
            <w:vAlign w:val="center"/>
          </w:tcPr>
          <w:p w14:paraId="3D523663">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0779-3158330</w:t>
            </w:r>
          </w:p>
        </w:tc>
        <w:tc>
          <w:tcPr>
            <w:tcW w:w="1050" w:type="dxa"/>
            <w:vAlign w:val="center"/>
          </w:tcPr>
          <w:p w14:paraId="1B995680">
            <w:pPr>
              <w:snapToGrid w:val="0"/>
              <w:spacing w:line="240" w:lineRule="auto"/>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最高1千万（单笔提款金额达合同金额70%）</w:t>
            </w:r>
          </w:p>
        </w:tc>
        <w:tc>
          <w:tcPr>
            <w:tcW w:w="1249" w:type="dxa"/>
            <w:vAlign w:val="center"/>
          </w:tcPr>
          <w:p w14:paraId="01A91E9B">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1121" w:type="dxa"/>
            <w:vAlign w:val="center"/>
          </w:tcPr>
          <w:p w14:paraId="041F3709">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3.70%</w:t>
            </w:r>
          </w:p>
        </w:tc>
        <w:tc>
          <w:tcPr>
            <w:tcW w:w="3156" w:type="dxa"/>
            <w:vAlign w:val="center"/>
          </w:tcPr>
          <w:p w14:paraId="5CC1B7F2">
            <w:pPr>
              <w:snapToGrid w:val="0"/>
              <w:spacing w:line="240" w:lineRule="auto"/>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全流程线上，初次申请开立账户，提供营业执照、采购合同、信用材料等，申请复审，签订合同，提交单笔贷款使用需求，贷款到账后受托使用。</w:t>
            </w:r>
          </w:p>
        </w:tc>
      </w:tr>
      <w:tr w14:paraId="4FC96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77" w:type="dxa"/>
            <w:vAlign w:val="center"/>
          </w:tcPr>
          <w:p w14:paraId="5D85D30F">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工商银行</w:t>
            </w:r>
          </w:p>
        </w:tc>
        <w:tc>
          <w:tcPr>
            <w:tcW w:w="1665" w:type="dxa"/>
            <w:vAlign w:val="center"/>
          </w:tcPr>
          <w:p w14:paraId="6940409C">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0779-3050645</w:t>
            </w:r>
          </w:p>
        </w:tc>
        <w:tc>
          <w:tcPr>
            <w:tcW w:w="1050" w:type="dxa"/>
            <w:vAlign w:val="center"/>
          </w:tcPr>
          <w:p w14:paraId="4F4DDC31">
            <w:pPr>
              <w:snapToGrid w:val="0"/>
              <w:spacing w:line="240" w:lineRule="auto"/>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最高1千万且不超过合同金额70%</w:t>
            </w:r>
          </w:p>
        </w:tc>
        <w:tc>
          <w:tcPr>
            <w:tcW w:w="1249" w:type="dxa"/>
            <w:vAlign w:val="center"/>
          </w:tcPr>
          <w:p w14:paraId="4F54E8C1">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货物类1年</w:t>
            </w:r>
          </w:p>
          <w:p w14:paraId="51931054">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服务类3年</w:t>
            </w:r>
          </w:p>
          <w:p w14:paraId="0F84AB1C">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工程类5年</w:t>
            </w:r>
          </w:p>
        </w:tc>
        <w:tc>
          <w:tcPr>
            <w:tcW w:w="1121" w:type="dxa"/>
            <w:vAlign w:val="center"/>
          </w:tcPr>
          <w:p w14:paraId="3BD913EA">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3.45%</w:t>
            </w:r>
          </w:p>
        </w:tc>
        <w:tc>
          <w:tcPr>
            <w:tcW w:w="3156" w:type="dxa"/>
            <w:vAlign w:val="center"/>
          </w:tcPr>
          <w:p w14:paraId="26B6978D">
            <w:pPr>
              <w:snapToGrid w:val="0"/>
              <w:spacing w:line="240" w:lineRule="auto"/>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为中征系统白名单企业，提供相关要求材料，内部审批后放款自主借还。</w:t>
            </w:r>
          </w:p>
        </w:tc>
      </w:tr>
      <w:tr w14:paraId="7CBC9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77" w:type="dxa"/>
            <w:vAlign w:val="center"/>
          </w:tcPr>
          <w:p w14:paraId="498F7832">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国民村镇银行</w:t>
            </w:r>
          </w:p>
        </w:tc>
        <w:tc>
          <w:tcPr>
            <w:tcW w:w="1665" w:type="dxa"/>
            <w:vAlign w:val="center"/>
          </w:tcPr>
          <w:p w14:paraId="03ABA330">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0779-2668801</w:t>
            </w:r>
          </w:p>
        </w:tc>
        <w:tc>
          <w:tcPr>
            <w:tcW w:w="1050" w:type="dxa"/>
            <w:vAlign w:val="center"/>
          </w:tcPr>
          <w:p w14:paraId="39A3662D">
            <w:pPr>
              <w:snapToGrid w:val="0"/>
              <w:spacing w:line="240" w:lineRule="auto"/>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最高500万</w:t>
            </w:r>
          </w:p>
        </w:tc>
        <w:tc>
          <w:tcPr>
            <w:tcW w:w="1249" w:type="dxa"/>
            <w:vAlign w:val="center"/>
          </w:tcPr>
          <w:p w14:paraId="22D5F86C">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5年</w:t>
            </w:r>
          </w:p>
        </w:tc>
        <w:tc>
          <w:tcPr>
            <w:tcW w:w="1121" w:type="dxa"/>
            <w:vAlign w:val="center"/>
          </w:tcPr>
          <w:p w14:paraId="05E01A84">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2.80%</w:t>
            </w:r>
          </w:p>
        </w:tc>
        <w:tc>
          <w:tcPr>
            <w:tcW w:w="3156" w:type="dxa"/>
            <w:vAlign w:val="center"/>
          </w:tcPr>
          <w:p w14:paraId="660D4DAA">
            <w:pPr>
              <w:snapToGrid w:val="0"/>
              <w:spacing w:line="240" w:lineRule="auto"/>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银行开户，线下申请并提供材料，信用良好企业最快1天获批即可提款</w:t>
            </w:r>
          </w:p>
        </w:tc>
      </w:tr>
      <w:tr w14:paraId="278D2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77" w:type="dxa"/>
            <w:vAlign w:val="center"/>
          </w:tcPr>
          <w:p w14:paraId="2F3B4BA9">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桂林银行</w:t>
            </w:r>
          </w:p>
        </w:tc>
        <w:tc>
          <w:tcPr>
            <w:tcW w:w="1665" w:type="dxa"/>
            <w:vAlign w:val="center"/>
          </w:tcPr>
          <w:p w14:paraId="6C141FB6">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18577993959</w:t>
            </w:r>
          </w:p>
        </w:tc>
        <w:tc>
          <w:tcPr>
            <w:tcW w:w="1050" w:type="dxa"/>
            <w:vAlign w:val="center"/>
          </w:tcPr>
          <w:p w14:paraId="3174FA42">
            <w:pPr>
              <w:snapToGrid w:val="0"/>
              <w:spacing w:line="240" w:lineRule="auto"/>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1249" w:type="dxa"/>
            <w:vAlign w:val="center"/>
          </w:tcPr>
          <w:p w14:paraId="1559A175">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1121" w:type="dxa"/>
            <w:vAlign w:val="center"/>
          </w:tcPr>
          <w:p w14:paraId="271DD42C">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3.45%</w:t>
            </w:r>
          </w:p>
        </w:tc>
        <w:tc>
          <w:tcPr>
            <w:tcW w:w="3156" w:type="dxa"/>
            <w:vAlign w:val="center"/>
          </w:tcPr>
          <w:p w14:paraId="45ADF553">
            <w:pPr>
              <w:snapToGrid w:val="0"/>
              <w:spacing w:line="240" w:lineRule="auto"/>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线下申请，材料齐全最快1周内即可放款。</w:t>
            </w:r>
          </w:p>
        </w:tc>
      </w:tr>
      <w:tr w14:paraId="65D1D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77" w:type="dxa"/>
            <w:vAlign w:val="center"/>
          </w:tcPr>
          <w:p w14:paraId="391D3A30">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中小微商务服务公司</w:t>
            </w:r>
          </w:p>
        </w:tc>
        <w:tc>
          <w:tcPr>
            <w:tcW w:w="1665" w:type="dxa"/>
            <w:vAlign w:val="center"/>
          </w:tcPr>
          <w:p w14:paraId="301ECE56">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19907799988</w:t>
            </w:r>
          </w:p>
        </w:tc>
        <w:tc>
          <w:tcPr>
            <w:tcW w:w="1050" w:type="dxa"/>
            <w:vAlign w:val="center"/>
          </w:tcPr>
          <w:p w14:paraId="60BFCC25">
            <w:pPr>
              <w:snapToGrid w:val="0"/>
              <w:spacing w:line="240" w:lineRule="auto"/>
              <w:jc w:val="left"/>
              <w:outlineLvl w:val="9"/>
              <w:rPr>
                <w:rFonts w:ascii="宋体" w:hAnsi="宋体"/>
                <w:color w:val="auto"/>
                <w:kern w:val="0"/>
                <w:sz w:val="24"/>
                <w:szCs w:val="20"/>
                <w:highlight w:val="none"/>
              </w:rPr>
            </w:pPr>
          </w:p>
        </w:tc>
        <w:tc>
          <w:tcPr>
            <w:tcW w:w="1249" w:type="dxa"/>
            <w:vAlign w:val="center"/>
          </w:tcPr>
          <w:p w14:paraId="2A3932E3">
            <w:pPr>
              <w:snapToGrid w:val="0"/>
              <w:spacing w:line="240" w:lineRule="auto"/>
              <w:jc w:val="center"/>
              <w:outlineLvl w:val="9"/>
              <w:rPr>
                <w:rFonts w:ascii="宋体" w:hAnsi="宋体"/>
                <w:color w:val="auto"/>
                <w:kern w:val="0"/>
                <w:sz w:val="24"/>
                <w:szCs w:val="20"/>
                <w:highlight w:val="none"/>
              </w:rPr>
            </w:pPr>
          </w:p>
        </w:tc>
        <w:tc>
          <w:tcPr>
            <w:tcW w:w="1121" w:type="dxa"/>
            <w:vAlign w:val="center"/>
          </w:tcPr>
          <w:p w14:paraId="1C18A7C6">
            <w:pPr>
              <w:snapToGrid w:val="0"/>
              <w:spacing w:line="240" w:lineRule="auto"/>
              <w:jc w:val="center"/>
              <w:outlineLvl w:val="9"/>
              <w:rPr>
                <w:rFonts w:ascii="宋体" w:hAnsi="宋体"/>
                <w:color w:val="auto"/>
                <w:kern w:val="0"/>
                <w:sz w:val="24"/>
                <w:szCs w:val="20"/>
                <w:highlight w:val="none"/>
              </w:rPr>
            </w:pPr>
          </w:p>
        </w:tc>
        <w:tc>
          <w:tcPr>
            <w:tcW w:w="3156" w:type="dxa"/>
            <w:vAlign w:val="center"/>
          </w:tcPr>
          <w:p w14:paraId="0B19959A">
            <w:pPr>
              <w:snapToGrid w:val="0"/>
              <w:spacing w:line="240" w:lineRule="auto"/>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具体业务可电话咨询。</w:t>
            </w:r>
          </w:p>
        </w:tc>
      </w:tr>
    </w:tbl>
    <w:p w14:paraId="3F02EE0D">
      <w:pPr>
        <w:pStyle w:val="634"/>
        <w:outlineLvl w:val="9"/>
        <w:rPr>
          <w:color w:val="auto"/>
          <w:highlight w:val="none"/>
        </w:rPr>
      </w:pPr>
      <w:r>
        <w:rPr>
          <w:rFonts w:hint="eastAsia"/>
          <w:color w:val="auto"/>
          <w:highlight w:val="none"/>
        </w:rPr>
        <w:t>注</w:t>
      </w:r>
      <w:r>
        <w:rPr>
          <w:rFonts w:hint="eastAsia"/>
          <w:color w:val="auto"/>
          <w:highlight w:val="none"/>
          <w:lang w:eastAsia="zh-CN"/>
        </w:rPr>
        <w:t>：</w:t>
      </w:r>
      <w:r>
        <w:rPr>
          <w:rFonts w:hint="eastAsia"/>
          <w:color w:val="auto"/>
          <w:highlight w:val="none"/>
        </w:rPr>
        <w:t>表中联系电话、授信金额、授信期限、最低利率等信息可能动态更新，仅供参考，具体以办理时相关银行公布的为准。</w:t>
      </w:r>
    </w:p>
    <w:p w14:paraId="719040FE">
      <w:pPr>
        <w:tabs>
          <w:tab w:val="left" w:pos="0"/>
        </w:tabs>
        <w:spacing w:line="360" w:lineRule="auto"/>
        <w:outlineLvl w:val="9"/>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 xml:space="preserve"> </w:t>
      </w:r>
      <w:r>
        <w:rPr>
          <w:rFonts w:hint="eastAsia" w:asciiTheme="minorEastAsia" w:hAnsiTheme="minorEastAsia" w:eastAsiaTheme="minorEastAsia"/>
          <w:b/>
          <w:color w:val="auto"/>
          <w:sz w:val="24"/>
          <w:highlight w:val="none"/>
        </w:rPr>
        <w:t>履约保证金</w:t>
      </w:r>
    </w:p>
    <w:p w14:paraId="62FD49F1">
      <w:pPr>
        <w:pStyle w:val="634"/>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rPr>
        <w:t>26.1</w:t>
      </w:r>
      <w:r>
        <w:rPr>
          <w:rFonts w:hint="eastAsia" w:ascii="宋体" w:hAnsi="宋体" w:cs="宋体"/>
          <w:color w:val="auto"/>
          <w:kern w:val="0"/>
          <w:sz w:val="24"/>
          <w:highlight w:val="none"/>
          <w:lang w:val="en-US" w:eastAsia="zh-CN"/>
        </w:rPr>
        <w:t xml:space="preserve"> </w:t>
      </w:r>
    </w:p>
    <w:p w14:paraId="30C453A4">
      <w:pPr>
        <w:pStyle w:val="634"/>
        <w:rPr>
          <w:rFonts w:hint="eastAsia" w:ascii="宋体" w:hAnsi="宋体" w:cs="宋体"/>
          <w:color w:val="auto"/>
          <w:kern w:val="0"/>
          <w:sz w:val="24"/>
          <w:highlight w:val="none"/>
          <w:lang w:val="en-US" w:eastAsia="zh-CN"/>
        </w:rPr>
      </w:pPr>
      <w:sdt>
        <w:sdtPr>
          <w:rPr>
            <w:rFonts w:hint="eastAsia" w:cs="宋体" w:asciiTheme="minorEastAsia" w:hAnsiTheme="minorEastAsia" w:eastAsiaTheme="minorEastAsia"/>
            <w:color w:val="auto"/>
            <w:kern w:val="0"/>
            <w:sz w:val="24"/>
            <w:highlight w:val="none"/>
          </w:rPr>
          <w:id w:val="147462771"/>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Wingdings" w:hAnsi="Wingdings" w:eastAsia="MS Gothic" w:cs="宋体"/>
              <w:color w:val="auto"/>
              <w:kern w:val="0"/>
              <w:sz w:val="24"/>
              <w:szCs w:val="24"/>
              <w:highlight w:val="none"/>
              <w:lang w:val="en-US" w:eastAsia="zh-CN" w:bidi="ar-SA"/>
            </w:rPr>
            <w:t>þ</w:t>
          </w:r>
        </w:sdtContent>
      </w:sdt>
      <w:r>
        <w:rPr>
          <w:rFonts w:hint="eastAsia" w:cs="宋体"/>
          <w:color w:val="auto"/>
          <w:kern w:val="0"/>
          <w:sz w:val="24"/>
          <w:highlight w:val="none"/>
          <w:lang w:eastAsia="zh-CN"/>
        </w:rPr>
        <w:t>本项目不收取履约保证金。成交供应商未按合同约定履行合同义务，给采购人造成损失的，按实际损失进行赔偿。</w:t>
      </w:r>
    </w:p>
    <w:p w14:paraId="2885C18E">
      <w:pPr>
        <w:tabs>
          <w:tab w:val="left" w:pos="0"/>
        </w:tabs>
        <w:spacing w:line="360" w:lineRule="auto"/>
        <w:ind w:firstLine="482"/>
        <w:outlineLvl w:val="9"/>
        <w:rPr>
          <w:rFonts w:ascii="宋体" w:hAnsi="宋体" w:cs="宋体"/>
          <w:color w:val="auto"/>
          <w:sz w:val="24"/>
          <w:highlight w:val="none"/>
        </w:rPr>
      </w:pPr>
      <w:sdt>
        <w:sdtPr>
          <w:rPr>
            <w:rFonts w:hint="eastAsia" w:cs="宋体" w:asciiTheme="minorEastAsia" w:hAnsiTheme="minorEastAsia" w:eastAsiaTheme="minorEastAsia"/>
            <w:color w:val="auto"/>
            <w:kern w:val="0"/>
            <w:sz w:val="24"/>
            <w:highlight w:val="none"/>
          </w:rPr>
          <w:id w:val="147455612"/>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MS Gothic" w:hAnsi="MS Gothic" w:eastAsia="MS Gothic" w:cs="宋体"/>
              <w:color w:val="auto"/>
              <w:kern w:val="0"/>
              <w:sz w:val="24"/>
              <w:szCs w:val="24"/>
              <w:highlight w:val="none"/>
              <w:lang w:val="en-US" w:eastAsia="zh-CN" w:bidi="ar-SA"/>
            </w:rPr>
            <w:t>☐</w:t>
          </w:r>
        </w:sdtContent>
      </w:sdt>
      <w:r>
        <w:rPr>
          <w:rFonts w:hint="eastAsia" w:ascii="宋体" w:hAnsi="宋体" w:cs="宋体"/>
          <w:color w:val="auto"/>
          <w:kern w:val="0"/>
          <w:sz w:val="24"/>
          <w:highlight w:val="none"/>
        </w:rPr>
        <w:t>拟签订的合同文本要求成交供应商提交履约保证金的，供应商应当以支票、汇票、本票或者金融机构、担保机构出具的保函等非现金形式提交</w:t>
      </w:r>
      <w:r>
        <w:rPr>
          <w:rFonts w:hint="eastAsia" w:ascii="宋体" w:hAnsi="宋体" w:cs="宋体"/>
          <w:color w:val="auto"/>
          <w:sz w:val="24"/>
          <w:highlight w:val="none"/>
        </w:rPr>
        <w:t>。履约保证金数额不得超过政府采购合同金额的5%；加大对中小企业发展的扶持力度，对中小企业收取的履约保证金数额不得超过政府采购合同金额的2%。</w:t>
      </w:r>
      <w:r>
        <w:rPr>
          <w:rFonts w:hint="eastAsia" w:ascii="宋体" w:hAnsi="宋体" w:cs="宋体"/>
          <w:color w:val="auto"/>
          <w:kern w:val="0"/>
          <w:sz w:val="24"/>
          <w:highlight w:val="none"/>
        </w:rPr>
        <w:t>成交</w:t>
      </w:r>
      <w:r>
        <w:rPr>
          <w:rFonts w:hint="eastAsia" w:ascii="宋体" w:hAnsi="宋体" w:cs="宋体"/>
          <w:color w:val="auto"/>
          <w:sz w:val="24"/>
          <w:highlight w:val="none"/>
        </w:rPr>
        <w:t>供应商的磋商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w:t>
      </w:r>
      <w:r>
        <w:rPr>
          <w:rFonts w:ascii="宋体" w:hAnsi="宋体" w:cs="宋体"/>
          <w:color w:val="auto"/>
          <w:sz w:val="24"/>
          <w:highlight w:val="none"/>
        </w:rPr>
        <w:t>延迟退还的，应当按照合同约定和法律规定承担相应的赔偿责任</w:t>
      </w:r>
      <w:r>
        <w:rPr>
          <w:rFonts w:hint="eastAsia" w:ascii="宋体" w:hAnsi="宋体" w:cs="宋体"/>
          <w:color w:val="auto"/>
          <w:sz w:val="24"/>
          <w:highlight w:val="none"/>
        </w:rPr>
        <w:t>。</w:t>
      </w:r>
    </w:p>
    <w:p w14:paraId="4F9DA5BB">
      <w:pPr>
        <w:tabs>
          <w:tab w:val="left" w:pos="0"/>
        </w:tabs>
        <w:spacing w:line="360" w:lineRule="auto"/>
        <w:ind w:firstLine="482"/>
        <w:outlineLvl w:val="9"/>
        <w:rPr>
          <w:rFonts w:ascii="宋体" w:hAnsi="宋体" w:eastAsia="宋体" w:cs="宋体"/>
          <w:color w:val="auto"/>
          <w:sz w:val="24"/>
          <w:highlight w:val="none"/>
        </w:rPr>
      </w:pPr>
      <w:r>
        <w:rPr>
          <w:rFonts w:hint="eastAsia" w:ascii="宋体" w:hAnsi="宋体" w:eastAsia="宋体" w:cs="宋体"/>
          <w:color w:val="auto"/>
          <w:sz w:val="24"/>
          <w:highlight w:val="none"/>
        </w:rPr>
        <w:t>履约保证金收取银行账户</w:t>
      </w:r>
    </w:p>
    <w:p w14:paraId="577E168C">
      <w:pPr>
        <w:tabs>
          <w:tab w:val="left" w:pos="0"/>
        </w:tabs>
        <w:spacing w:line="360" w:lineRule="auto"/>
        <w:ind w:firstLine="482"/>
        <w:outlineLvl w:val="9"/>
        <w:rPr>
          <w:rFonts w:ascii="宋体" w:hAnsi="宋体" w:eastAsia="宋体" w:cs="宋体"/>
          <w:color w:val="auto"/>
          <w:sz w:val="24"/>
          <w:highlight w:val="none"/>
        </w:rPr>
      </w:pPr>
      <w:r>
        <w:rPr>
          <w:rFonts w:hint="eastAsia" w:ascii="宋体" w:hAnsi="宋体" w:eastAsia="宋体" w:cs="宋体"/>
          <w:color w:val="auto"/>
          <w:sz w:val="24"/>
          <w:highlight w:val="none"/>
        </w:rPr>
        <w:t>开户名称</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 xml:space="preserve"> </w:t>
      </w:r>
    </w:p>
    <w:p w14:paraId="78C847EE">
      <w:pPr>
        <w:tabs>
          <w:tab w:val="left" w:pos="0"/>
        </w:tabs>
        <w:spacing w:line="360" w:lineRule="auto"/>
        <w:ind w:firstLine="482"/>
        <w:outlineLvl w:val="9"/>
        <w:rPr>
          <w:rFonts w:ascii="宋体" w:hAnsi="宋体" w:eastAsia="宋体" w:cs="宋体"/>
          <w:color w:val="auto"/>
          <w:sz w:val="24"/>
          <w:highlight w:val="none"/>
        </w:rPr>
      </w:pPr>
      <w:r>
        <w:rPr>
          <w:rFonts w:hint="eastAsia" w:ascii="宋体" w:hAnsi="宋体" w:eastAsia="宋体" w:cs="宋体"/>
          <w:color w:val="auto"/>
          <w:sz w:val="24"/>
          <w:highlight w:val="none"/>
        </w:rPr>
        <w:t>开户银行</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 xml:space="preserve"> </w:t>
      </w:r>
    </w:p>
    <w:p w14:paraId="630027D5">
      <w:pPr>
        <w:tabs>
          <w:tab w:val="left" w:pos="0"/>
        </w:tabs>
        <w:spacing w:line="360" w:lineRule="auto"/>
        <w:ind w:firstLine="482"/>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银行账号</w:t>
      </w:r>
      <w:r>
        <w:rPr>
          <w:rFonts w:hint="eastAsia" w:ascii="宋体" w:hAnsi="宋体" w:eastAsia="宋体" w:cs="宋体"/>
          <w:color w:val="auto"/>
          <w:sz w:val="24"/>
          <w:highlight w:val="none"/>
          <w:lang w:eastAsia="zh-CN"/>
        </w:rPr>
        <w:t>：</w:t>
      </w:r>
    </w:p>
    <w:p w14:paraId="1EC8CF3F">
      <w:pPr>
        <w:pStyle w:val="634"/>
        <w:ind w:firstLine="480" w:firstLineChars="200"/>
        <w:outlineLvl w:val="9"/>
        <w:rPr>
          <w:snapToGrid w:val="0"/>
          <w:color w:val="auto"/>
          <w:highlight w:val="none"/>
        </w:rPr>
      </w:pPr>
      <w:r>
        <w:rPr>
          <w:rFonts w:hint="eastAsia"/>
          <w:snapToGrid w:val="0"/>
          <w:color w:val="auto"/>
          <w:highlight w:val="none"/>
        </w:rPr>
        <w:t>26.2</w:t>
      </w:r>
      <w:r>
        <w:rPr>
          <w:rFonts w:hint="eastAsia"/>
          <w:snapToGrid w:val="0"/>
          <w:color w:val="auto"/>
          <w:highlight w:val="none"/>
          <w:lang w:val="en-US" w:eastAsia="zh-CN"/>
        </w:rPr>
        <w:t xml:space="preserve"> </w:t>
      </w:r>
      <w:r>
        <w:rPr>
          <w:rFonts w:hint="eastAsia"/>
          <w:snapToGrid w:val="0"/>
          <w:color w:val="auto"/>
          <w:highlight w:val="none"/>
        </w:rPr>
        <w:t>积极推广电子保函，支持供应商使用电子保函替代保证金。供应商可登录广西政府采购云平台-【金融服务】—【我的项目】—【已备案合同】以保函形式提供</w:t>
      </w:r>
      <w:r>
        <w:rPr>
          <w:rFonts w:hint="eastAsia"/>
          <w:snapToGrid w:val="0"/>
          <w:color w:val="auto"/>
          <w:highlight w:val="none"/>
          <w:lang w:eastAsia="zh-CN"/>
        </w:rPr>
        <w:t>：</w:t>
      </w:r>
      <w:r>
        <w:rPr>
          <w:rFonts w:hint="eastAsia"/>
          <w:snapToGrid w:val="0"/>
          <w:color w:val="auto"/>
          <w:highlight w:val="none"/>
        </w:rPr>
        <w:t>1、供应商在合同列表选择需要投保的合同，点击[保函推荐]。2、在弹框里查看推荐的保函产品，供应商自行选择保函产品，点击[立即申请]。3、在弹框里填写保函申请信息。具体步骤</w:t>
      </w:r>
      <w:r>
        <w:rPr>
          <w:rFonts w:hint="eastAsia"/>
          <w:snapToGrid w:val="0"/>
          <w:color w:val="auto"/>
          <w:highlight w:val="none"/>
          <w:lang w:eastAsia="zh-CN"/>
        </w:rPr>
        <w:t>：</w:t>
      </w:r>
      <w:r>
        <w:rPr>
          <w:rFonts w:hint="eastAsia"/>
          <w:snapToGrid w:val="0"/>
          <w:color w:val="auto"/>
          <w:highlight w:val="none"/>
        </w:rPr>
        <w:t>选择产品—填写供应商信息—选择中标项目—确认信息—等待保险/保函受理—确认保单—支付保费—成功出单。广西政府采购云平台金融专线400-903-9583。</w:t>
      </w:r>
    </w:p>
    <w:p w14:paraId="42F9DE0B">
      <w:pPr>
        <w:pStyle w:val="634"/>
        <w:outlineLvl w:val="9"/>
        <w:rPr>
          <w:color w:val="auto"/>
          <w:highlight w:val="none"/>
        </w:rPr>
      </w:pPr>
      <w:r>
        <w:rPr>
          <w:rFonts w:hint="eastAsia"/>
          <w:color w:val="auto"/>
          <w:highlight w:val="none"/>
        </w:rPr>
        <w:t>26.3</w:t>
      </w:r>
      <w:r>
        <w:rPr>
          <w:rFonts w:hint="eastAsia"/>
          <w:color w:val="auto"/>
          <w:highlight w:val="none"/>
          <w:lang w:val="en-US" w:eastAsia="zh-CN"/>
        </w:rPr>
        <w:t xml:space="preserve"> </w:t>
      </w:r>
      <w:r>
        <w:rPr>
          <w:rFonts w:hint="eastAsia"/>
          <w:color w:val="auto"/>
          <w:highlight w:val="none"/>
        </w:rPr>
        <w:t>履约保证金的退还。验收合格的政府采购项目，采购人应当按照合同约定的退还方式，在5个工作日内办理履约保证金退还手续。</w:t>
      </w:r>
    </w:p>
    <w:p w14:paraId="1C786716">
      <w:pPr>
        <w:tabs>
          <w:tab w:val="left" w:pos="0"/>
        </w:tabs>
        <w:spacing w:line="360" w:lineRule="auto"/>
        <w:outlineLvl w:val="9"/>
        <w:rPr>
          <w:rFonts w:hint="eastAsia" w:cs="Times New Roman" w:asciiTheme="minorEastAsia" w:hAnsiTheme="minorEastAsia" w:eastAsiaTheme="minorEastAsia"/>
          <w:b/>
          <w:color w:val="auto"/>
          <w:sz w:val="24"/>
          <w:highlight w:val="none"/>
        </w:rPr>
      </w:pPr>
      <w:r>
        <w:rPr>
          <w:rFonts w:hint="eastAsia" w:cs="Times New Roman" w:asciiTheme="minorEastAsia" w:hAnsiTheme="minorEastAsia" w:eastAsiaTheme="minorEastAsia"/>
          <w:b/>
          <w:color w:val="auto"/>
          <w:sz w:val="24"/>
          <w:highlight w:val="none"/>
        </w:rPr>
        <w:t>4.</w:t>
      </w:r>
      <w:r>
        <w:rPr>
          <w:rFonts w:hint="eastAsia" w:cs="Times New Roman" w:asciiTheme="minorEastAsia" w:hAnsiTheme="minorEastAsia" w:eastAsiaTheme="minorEastAsia"/>
          <w:b/>
          <w:color w:val="auto"/>
          <w:sz w:val="24"/>
          <w:highlight w:val="none"/>
          <w:lang w:val="en-US" w:eastAsia="zh-CN"/>
        </w:rPr>
        <w:t xml:space="preserve"> </w:t>
      </w:r>
      <w:r>
        <w:rPr>
          <w:rFonts w:hint="eastAsia" w:cs="Times New Roman" w:asciiTheme="minorEastAsia" w:hAnsiTheme="minorEastAsia" w:eastAsiaTheme="minorEastAsia"/>
          <w:b/>
          <w:color w:val="auto"/>
          <w:sz w:val="24"/>
          <w:highlight w:val="none"/>
        </w:rPr>
        <w:t>预付款</w:t>
      </w:r>
    </w:p>
    <w:p w14:paraId="08B211E3">
      <w:pPr>
        <w:adjustRightInd/>
        <w:spacing w:line="360" w:lineRule="auto"/>
        <w:ind w:firstLine="480" w:firstLineChars="200"/>
        <w:outlineLvl w:val="9"/>
        <w:rPr>
          <w:rFonts w:ascii="宋体" w:hAnsi="宋体"/>
          <w:color w:val="auto"/>
          <w:sz w:val="24"/>
          <w:highlight w:val="none"/>
        </w:rPr>
      </w:pPr>
      <w:r>
        <w:rPr>
          <w:rFonts w:hint="eastAsia" w:ascii="宋体" w:hAnsi="宋体"/>
          <w:color w:val="auto"/>
          <w:sz w:val="24"/>
          <w:highlight w:val="none"/>
        </w:rPr>
        <w:t>采购单位应当在政府采购合同中约定预付款，对中小企业合同预付款比例原则上不低于合同金额的3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0%；项目分年安排预算的，每年预付款比例</w:t>
      </w:r>
      <w:r>
        <w:rPr>
          <w:rFonts w:hint="eastAsia" w:ascii="宋体" w:hAnsi="宋体"/>
          <w:color w:val="auto"/>
          <w:sz w:val="24"/>
          <w:highlight w:val="none"/>
        </w:rPr>
        <w:t>不低于</w:t>
      </w:r>
      <w:r>
        <w:rPr>
          <w:rFonts w:ascii="宋体" w:hAnsi="宋体"/>
          <w:color w:val="auto"/>
          <w:sz w:val="24"/>
          <w:highlight w:val="none"/>
        </w:rPr>
        <w:t>项目年度计划支付资金额的</w:t>
      </w:r>
      <w:r>
        <w:rPr>
          <w:rFonts w:hint="eastAsia" w:ascii="宋体" w:hAnsi="宋体"/>
          <w:color w:val="auto"/>
          <w:sz w:val="24"/>
          <w:highlight w:val="none"/>
        </w:rPr>
        <w:t>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0%；采购项目实施以人工投入为主的，</w:t>
      </w:r>
      <w:r>
        <w:rPr>
          <w:rFonts w:hint="eastAsia" w:ascii="宋体" w:hAnsi="宋体"/>
          <w:color w:val="auto"/>
          <w:sz w:val="24"/>
          <w:highlight w:val="none"/>
        </w:rPr>
        <w:t>可适当降低预付款比例，但不得低于1</w:t>
      </w:r>
      <w:r>
        <w:rPr>
          <w:rFonts w:ascii="宋体" w:hAnsi="宋体"/>
          <w:color w:val="auto"/>
          <w:sz w:val="24"/>
          <w:highlight w:val="none"/>
        </w:rPr>
        <w:t>0%。对供应商为大型企业的项目或者以人工投入为主且实行按月定期结算支付款项的项目，预付款可低于上述比例或者不约定预付款。在签订合同时，</w:t>
      </w:r>
      <w:r>
        <w:rPr>
          <w:rFonts w:hint="eastAsia" w:ascii="宋体" w:hAnsi="宋体"/>
          <w:color w:val="auto"/>
          <w:sz w:val="24"/>
          <w:highlight w:val="none"/>
        </w:rPr>
        <w:t>供应商</w:t>
      </w:r>
      <w:r>
        <w:rPr>
          <w:rFonts w:ascii="宋体" w:hAnsi="宋体"/>
          <w:color w:val="auto"/>
          <w:sz w:val="24"/>
          <w:highlight w:val="none"/>
        </w:rPr>
        <w:t>明确表示无需预付款或者主动要求降低预付款比例的，</w:t>
      </w:r>
      <w:r>
        <w:rPr>
          <w:rFonts w:hint="eastAsia" w:ascii="宋体" w:hAnsi="宋体"/>
          <w:color w:val="auto"/>
          <w:sz w:val="24"/>
          <w:highlight w:val="none"/>
        </w:rPr>
        <w:t>采购单位</w:t>
      </w:r>
      <w:r>
        <w:rPr>
          <w:rFonts w:ascii="宋体" w:hAnsi="宋体"/>
          <w:color w:val="auto"/>
          <w:sz w:val="24"/>
          <w:highlight w:val="none"/>
        </w:rPr>
        <w:t>可不适用前述规定。</w:t>
      </w:r>
      <w:r>
        <w:rPr>
          <w:rFonts w:hint="eastAsia" w:ascii="宋体" w:hAnsi="宋体"/>
          <w:color w:val="auto"/>
          <w:sz w:val="24"/>
          <w:highlight w:val="none"/>
        </w:rPr>
        <w:t>采购单位</w:t>
      </w:r>
      <w:r>
        <w:rPr>
          <w:rFonts w:ascii="宋体" w:hAnsi="宋体"/>
          <w:color w:val="auto"/>
          <w:sz w:val="24"/>
          <w:highlight w:val="none"/>
        </w:rPr>
        <w:t>根据项目特点、供应商诚信等因素，可以要求</w:t>
      </w:r>
      <w:r>
        <w:rPr>
          <w:rFonts w:hint="eastAsia" w:ascii="宋体" w:hAnsi="宋体"/>
          <w:color w:val="auto"/>
          <w:sz w:val="24"/>
          <w:highlight w:val="none"/>
        </w:rPr>
        <w:t>供应商</w:t>
      </w:r>
      <w:r>
        <w:rPr>
          <w:rFonts w:ascii="宋体" w:hAnsi="宋体"/>
          <w:color w:val="auto"/>
          <w:sz w:val="24"/>
          <w:highlight w:val="none"/>
        </w:rPr>
        <w:t>提交银行、保险公司等金融机构出具的预付款保函或其他担保措施。政府采购预付款应在合同生效以及具备实施条件后</w:t>
      </w:r>
      <w:r>
        <w:rPr>
          <w:rFonts w:hint="eastAsia" w:ascii="宋体" w:hAnsi="宋体"/>
          <w:color w:val="auto"/>
          <w:sz w:val="24"/>
          <w:highlight w:val="none"/>
        </w:rPr>
        <w:t>5</w:t>
      </w:r>
      <w:r>
        <w:rPr>
          <w:rFonts w:ascii="宋体" w:hAnsi="宋体"/>
          <w:color w:val="auto"/>
          <w:sz w:val="24"/>
          <w:highlight w:val="none"/>
        </w:rPr>
        <w:t>个工作日内支付。</w:t>
      </w:r>
      <w:r>
        <w:rPr>
          <w:rFonts w:hint="eastAsia" w:ascii="宋体" w:hAnsi="宋体"/>
          <w:color w:val="auto"/>
          <w:sz w:val="24"/>
          <w:highlight w:val="none"/>
        </w:rPr>
        <w:t>政府采购工程以及与工程建设有关的货物、服务，采用招标方式采购的，预付款从其相关规定。</w:t>
      </w:r>
    </w:p>
    <w:p w14:paraId="34ACC2D5">
      <w:pPr>
        <w:tabs>
          <w:tab w:val="left" w:pos="0"/>
        </w:tabs>
        <w:spacing w:line="360" w:lineRule="auto"/>
        <w:ind w:firstLine="480" w:firstLineChars="200"/>
        <w:outlineLvl w:val="9"/>
        <w:rPr>
          <w:rFonts w:cs="宋体" w:asciiTheme="minorEastAsia" w:hAnsiTheme="minorEastAsia" w:eastAsiaTheme="minorEastAsia"/>
          <w:snapToGrid w:val="0"/>
          <w:color w:val="auto"/>
          <w:kern w:val="28"/>
          <w:sz w:val="24"/>
          <w:highlight w:val="none"/>
        </w:rPr>
      </w:pPr>
      <w:r>
        <w:rPr>
          <w:rFonts w:hint="eastAsia" w:ascii="宋体" w:hAnsi="宋体"/>
          <w:color w:val="auto"/>
          <w:sz w:val="24"/>
          <w:highlight w:val="none"/>
        </w:rPr>
        <w:t>供应商可登录广西政府采购云平台前台大厅选择金融服务</w:t>
      </w:r>
      <w:r>
        <w:rPr>
          <w:rFonts w:ascii="宋体" w:hAnsi="宋体"/>
          <w:color w:val="auto"/>
          <w:sz w:val="24"/>
          <w:highlight w:val="none"/>
        </w:rPr>
        <w:t xml:space="preserve"> - </w:t>
      </w:r>
      <w:r>
        <w:rPr>
          <w:rFonts w:hint="eastAsia" w:ascii="宋体" w:hAnsi="宋体"/>
          <w:color w:val="auto"/>
          <w:sz w:val="24"/>
          <w:highlight w:val="none"/>
        </w:rPr>
        <w:t>【保函保险服务】出具预付款保函，具体步骤</w:t>
      </w:r>
      <w:r>
        <w:rPr>
          <w:rFonts w:hint="eastAsia" w:ascii="宋体" w:hAnsi="宋体"/>
          <w:color w:val="auto"/>
          <w:sz w:val="24"/>
          <w:highlight w:val="none"/>
          <w:lang w:eastAsia="zh-CN"/>
        </w:rPr>
        <w:t>：</w:t>
      </w:r>
      <w:r>
        <w:rPr>
          <w:rFonts w:hint="eastAsia" w:ascii="宋体" w:hAnsi="宋体"/>
          <w:color w:val="auto"/>
          <w:sz w:val="24"/>
          <w:highlight w:val="none"/>
        </w:rPr>
        <w:t>选择产品—填写供应商信息—选择中标项目—确认信息—等待保险</w:t>
      </w:r>
      <w:r>
        <w:rPr>
          <w:rFonts w:ascii="宋体" w:hAnsi="宋体"/>
          <w:color w:val="auto"/>
          <w:sz w:val="24"/>
          <w:highlight w:val="none"/>
        </w:rPr>
        <w:t>/保函受理—确认保单—支付保费—成功出单。广西政府采购云平台</w:t>
      </w:r>
      <w:r>
        <w:rPr>
          <w:rFonts w:hint="eastAsia" w:ascii="宋体" w:hAnsi="宋体"/>
          <w:color w:val="auto"/>
          <w:sz w:val="24"/>
          <w:highlight w:val="none"/>
        </w:rPr>
        <w:t>金融专线</w:t>
      </w:r>
      <w:r>
        <w:rPr>
          <w:rFonts w:ascii="宋体" w:hAnsi="宋体"/>
          <w:color w:val="auto"/>
          <w:sz w:val="24"/>
          <w:highlight w:val="none"/>
        </w:rPr>
        <w:t>400-903-9583。</w:t>
      </w:r>
    </w:p>
    <w:p w14:paraId="5651F023">
      <w:pPr>
        <w:snapToGrid w:val="0"/>
        <w:spacing w:line="360" w:lineRule="auto"/>
        <w:jc w:val="center"/>
        <w:outlineLvl w:val="9"/>
        <w:rPr>
          <w:rFonts w:cs="仿宋_GB2312" w:asciiTheme="minorEastAsia" w:hAnsiTheme="minorEastAsia" w:eastAsiaTheme="minorEastAsia"/>
          <w:b/>
          <w:color w:val="auto"/>
          <w:sz w:val="36"/>
          <w:szCs w:val="36"/>
          <w:highlight w:val="none"/>
        </w:rPr>
      </w:pPr>
    </w:p>
    <w:p w14:paraId="5DC8D6C3">
      <w:pPr>
        <w:pStyle w:val="4"/>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十三、验收</w:t>
      </w:r>
    </w:p>
    <w:p w14:paraId="1FE2EC87">
      <w:pPr>
        <w:pStyle w:val="21"/>
        <w:spacing w:line="360" w:lineRule="auto"/>
        <w:ind w:firstLine="0" w:firstLineChars="0"/>
        <w:outlineLvl w:val="9"/>
        <w:rPr>
          <w:rFonts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1.</w:t>
      </w:r>
      <w:r>
        <w:rPr>
          <w:rFonts w:hint="eastAsia" w:asciiTheme="minorEastAsia" w:hAnsiTheme="minorEastAsia" w:eastAsiaTheme="minorEastAsia"/>
          <w:b/>
          <w:color w:val="auto"/>
          <w:highlight w:val="none"/>
          <w:lang w:val="en-US" w:eastAsia="zh-CN"/>
        </w:rPr>
        <w:t xml:space="preserve"> </w:t>
      </w:r>
      <w:r>
        <w:rPr>
          <w:rFonts w:hint="eastAsia" w:asciiTheme="minorEastAsia" w:hAnsiTheme="minorEastAsia" w:eastAsiaTheme="minorEastAsia"/>
          <w:b/>
          <w:color w:val="auto"/>
          <w:highlight w:val="none"/>
        </w:rPr>
        <w:t>验收</w:t>
      </w:r>
    </w:p>
    <w:p w14:paraId="7F209816">
      <w:pPr>
        <w:tabs>
          <w:tab w:val="left" w:pos="0"/>
        </w:tabs>
        <w:spacing w:line="360" w:lineRule="auto"/>
        <w:ind w:firstLine="480"/>
        <w:outlineLvl w:val="9"/>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1.1</w:t>
      </w:r>
      <w:r>
        <w:rPr>
          <w:rFonts w:hint="eastAsia" w:cs="Helvetica" w:asciiTheme="minorEastAsia" w:hAnsiTheme="minorEastAsia" w:eastAsiaTheme="minorEastAsia"/>
          <w:color w:val="auto"/>
          <w:kern w:val="0"/>
          <w:sz w:val="24"/>
          <w:highlight w:val="none"/>
          <w:lang w:val="en-US" w:eastAsia="zh-CN"/>
        </w:rPr>
        <w:t xml:space="preserve"> </w:t>
      </w:r>
      <w:r>
        <w:rPr>
          <w:rFonts w:hint="eastAsia" w:cs="Helvetica" w:asciiTheme="minorEastAsia" w:hAnsiTheme="minorEastAsia" w:eastAsiaTheme="minorEastAsia"/>
          <w:color w:val="auto"/>
          <w:kern w:val="0"/>
          <w:sz w:val="24"/>
          <w:highlight w:val="none"/>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64848108">
      <w:pPr>
        <w:tabs>
          <w:tab w:val="left" w:pos="0"/>
        </w:tabs>
        <w:spacing w:line="360" w:lineRule="auto"/>
        <w:ind w:firstLine="480"/>
        <w:outlineLvl w:val="9"/>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1.2</w:t>
      </w:r>
      <w:r>
        <w:rPr>
          <w:rFonts w:hint="eastAsia" w:cs="Helvetica" w:asciiTheme="minorEastAsia" w:hAnsiTheme="minorEastAsia" w:eastAsiaTheme="minorEastAsia"/>
          <w:color w:val="auto"/>
          <w:kern w:val="0"/>
          <w:sz w:val="24"/>
          <w:highlight w:val="none"/>
          <w:lang w:val="en-US" w:eastAsia="zh-CN"/>
        </w:rPr>
        <w:t xml:space="preserve"> </w:t>
      </w:r>
      <w:r>
        <w:rPr>
          <w:rFonts w:hint="eastAsia" w:cs="Helvetica" w:asciiTheme="minorEastAsia" w:hAnsiTheme="minorEastAsia" w:eastAsiaTheme="minorEastAsia"/>
          <w:color w:val="auto"/>
          <w:kern w:val="0"/>
          <w:sz w:val="24"/>
          <w:highlight w:val="none"/>
        </w:rPr>
        <w:t>采购人可以邀请参加本项目的其他供应商或者第三方机构参与验收。参与验收的供应商或者第三方机构的意见作为验收书的参考资料一并存档。</w:t>
      </w:r>
    </w:p>
    <w:p w14:paraId="253E289B">
      <w:pPr>
        <w:tabs>
          <w:tab w:val="left" w:pos="0"/>
        </w:tabs>
        <w:spacing w:line="360" w:lineRule="auto"/>
        <w:ind w:firstLine="480"/>
        <w:outlineLvl w:val="9"/>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1.3</w:t>
      </w:r>
      <w:r>
        <w:rPr>
          <w:rFonts w:hint="eastAsia" w:cs="Helvetica" w:asciiTheme="minorEastAsia" w:hAnsiTheme="minorEastAsia" w:eastAsiaTheme="minorEastAsia"/>
          <w:color w:val="auto"/>
          <w:kern w:val="0"/>
          <w:sz w:val="24"/>
          <w:highlight w:val="none"/>
          <w:lang w:val="en-US" w:eastAsia="zh-CN"/>
        </w:rPr>
        <w:t xml:space="preserve"> </w:t>
      </w:r>
      <w:r>
        <w:rPr>
          <w:rFonts w:hint="eastAsia" w:cs="Helvetica" w:asciiTheme="minorEastAsia" w:hAnsiTheme="minorEastAsia" w:eastAsiaTheme="minorEastAsia"/>
          <w:color w:val="auto"/>
          <w:kern w:val="0"/>
          <w:sz w:val="24"/>
          <w:highlight w:val="none"/>
        </w:rPr>
        <w:t>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2DE22F57">
      <w:pPr>
        <w:tabs>
          <w:tab w:val="left" w:pos="0"/>
        </w:tabs>
        <w:spacing w:line="360" w:lineRule="auto"/>
        <w:ind w:firstLine="480"/>
        <w:outlineLvl w:val="9"/>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1.4</w:t>
      </w:r>
      <w:r>
        <w:rPr>
          <w:rFonts w:hint="eastAsia" w:cs="Helvetica" w:asciiTheme="minorEastAsia" w:hAnsiTheme="minorEastAsia" w:eastAsiaTheme="minorEastAsia"/>
          <w:color w:val="auto"/>
          <w:kern w:val="0"/>
          <w:sz w:val="24"/>
          <w:highlight w:val="none"/>
          <w:lang w:val="en-US" w:eastAsia="zh-CN"/>
        </w:rPr>
        <w:t xml:space="preserve"> </w:t>
      </w:r>
      <w:r>
        <w:rPr>
          <w:rFonts w:hint="eastAsia" w:cs="Helvetica" w:asciiTheme="minorEastAsia" w:hAnsiTheme="minorEastAsia" w:eastAsiaTheme="minorEastAsia"/>
          <w:color w:val="auto"/>
          <w:kern w:val="0"/>
          <w:sz w:val="24"/>
          <w:highlight w:val="none"/>
        </w:rPr>
        <w:t>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D723177">
      <w:pPr>
        <w:snapToGrid w:val="0"/>
        <w:spacing w:line="360" w:lineRule="auto"/>
        <w:jc w:val="center"/>
        <w:outlineLvl w:val="9"/>
        <w:rPr>
          <w:rFonts w:cs="仿宋_GB2312" w:asciiTheme="minorEastAsia" w:hAnsiTheme="minorEastAsia" w:eastAsiaTheme="minorEastAsia"/>
          <w:b/>
          <w:color w:val="auto"/>
          <w:sz w:val="36"/>
          <w:szCs w:val="36"/>
          <w:highlight w:val="none"/>
        </w:rPr>
      </w:pPr>
    </w:p>
    <w:p w14:paraId="1F71803B">
      <w:pPr>
        <w:pStyle w:val="4"/>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十四、电子交易活动的中止</w:t>
      </w:r>
    </w:p>
    <w:p w14:paraId="6B33BD0C">
      <w:pPr>
        <w:tabs>
          <w:tab w:val="left" w:pos="0"/>
        </w:tabs>
        <w:spacing w:line="360" w:lineRule="auto"/>
        <w:outlineLvl w:val="9"/>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 xml:space="preserve"> </w:t>
      </w:r>
      <w:r>
        <w:rPr>
          <w:rFonts w:hint="eastAsia" w:asciiTheme="minorEastAsia" w:hAnsiTheme="minorEastAsia" w:eastAsiaTheme="minorEastAsia"/>
          <w:b/>
          <w:color w:val="auto"/>
          <w:sz w:val="24"/>
          <w:highlight w:val="none"/>
        </w:rPr>
        <w:t>电子交易活动的中止</w:t>
      </w:r>
    </w:p>
    <w:p w14:paraId="171917AC">
      <w:pPr>
        <w:tabs>
          <w:tab w:val="left" w:pos="0"/>
        </w:tabs>
        <w:spacing w:line="360" w:lineRule="auto"/>
        <w:ind w:firstLine="480"/>
        <w:outlineLvl w:val="9"/>
        <w:rPr>
          <w:rFonts w:hint="eastAsia" w:cs="Helvetica" w:asciiTheme="minorEastAsia" w:hAnsiTheme="minorEastAsia" w:eastAsiaTheme="minorEastAsia"/>
          <w:color w:val="auto"/>
          <w:kern w:val="0"/>
          <w:sz w:val="24"/>
          <w:highlight w:val="none"/>
          <w:lang w:eastAsia="zh-CN"/>
        </w:rPr>
      </w:pPr>
      <w:r>
        <w:rPr>
          <w:rFonts w:hint="eastAsia" w:cs="Helvetica" w:asciiTheme="minorEastAsia" w:hAnsiTheme="minorEastAsia" w:eastAsiaTheme="minorEastAsia"/>
          <w:color w:val="auto"/>
          <w:kern w:val="0"/>
          <w:sz w:val="24"/>
          <w:highlight w:val="none"/>
        </w:rPr>
        <w:t>采购过程中出现以下情形，导致电子交易平台无法正常运行，或者无法保证电子交易的公平、公正和安全时，采购代理机构可中止电子交易活动</w:t>
      </w:r>
      <w:r>
        <w:rPr>
          <w:rFonts w:hint="eastAsia" w:cs="Helvetica" w:asciiTheme="minorEastAsia" w:hAnsiTheme="minorEastAsia" w:eastAsiaTheme="minorEastAsia"/>
          <w:color w:val="auto"/>
          <w:kern w:val="0"/>
          <w:sz w:val="24"/>
          <w:highlight w:val="none"/>
          <w:lang w:eastAsia="zh-CN"/>
        </w:rPr>
        <w:t>：</w:t>
      </w:r>
    </w:p>
    <w:p w14:paraId="6355D49E">
      <w:pPr>
        <w:tabs>
          <w:tab w:val="left" w:pos="0"/>
        </w:tabs>
        <w:spacing w:line="360" w:lineRule="auto"/>
        <w:ind w:firstLine="480"/>
        <w:outlineLvl w:val="9"/>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1.1</w:t>
      </w:r>
      <w:r>
        <w:rPr>
          <w:rFonts w:hint="eastAsia" w:cs="Helvetica" w:asciiTheme="minorEastAsia" w:hAnsiTheme="minorEastAsia" w:eastAsiaTheme="minorEastAsia"/>
          <w:color w:val="auto"/>
          <w:kern w:val="0"/>
          <w:sz w:val="24"/>
          <w:highlight w:val="none"/>
          <w:lang w:val="en-US" w:eastAsia="zh-CN"/>
        </w:rPr>
        <w:t xml:space="preserve"> </w:t>
      </w:r>
      <w:r>
        <w:rPr>
          <w:rFonts w:hint="eastAsia" w:cs="Helvetica" w:asciiTheme="minorEastAsia" w:hAnsiTheme="minorEastAsia" w:eastAsiaTheme="minorEastAsia"/>
          <w:color w:val="auto"/>
          <w:kern w:val="0"/>
          <w:sz w:val="24"/>
          <w:highlight w:val="none"/>
        </w:rPr>
        <w:t xml:space="preserve">电子交易平台发生故障而无法登录访问的； </w:t>
      </w:r>
    </w:p>
    <w:p w14:paraId="446D966B">
      <w:pPr>
        <w:tabs>
          <w:tab w:val="left" w:pos="0"/>
        </w:tabs>
        <w:spacing w:line="360" w:lineRule="auto"/>
        <w:ind w:firstLine="480"/>
        <w:outlineLvl w:val="9"/>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1.2</w:t>
      </w:r>
      <w:r>
        <w:rPr>
          <w:rFonts w:hint="eastAsia" w:cs="Helvetica" w:asciiTheme="minorEastAsia" w:hAnsiTheme="minorEastAsia" w:eastAsiaTheme="minorEastAsia"/>
          <w:color w:val="auto"/>
          <w:kern w:val="0"/>
          <w:sz w:val="24"/>
          <w:highlight w:val="none"/>
          <w:lang w:val="en-US" w:eastAsia="zh-CN"/>
        </w:rPr>
        <w:t xml:space="preserve"> </w:t>
      </w:r>
      <w:r>
        <w:rPr>
          <w:rFonts w:hint="eastAsia" w:cs="Helvetica" w:asciiTheme="minorEastAsia" w:hAnsiTheme="minorEastAsia" w:eastAsiaTheme="minorEastAsia"/>
          <w:color w:val="auto"/>
          <w:kern w:val="0"/>
          <w:sz w:val="24"/>
          <w:highlight w:val="none"/>
        </w:rPr>
        <w:t>电子交易平台应用或数据库出现错误，不能进行正常操作的；</w:t>
      </w:r>
    </w:p>
    <w:p w14:paraId="45569275">
      <w:pPr>
        <w:tabs>
          <w:tab w:val="left" w:pos="0"/>
        </w:tabs>
        <w:spacing w:line="360" w:lineRule="auto"/>
        <w:ind w:firstLine="480"/>
        <w:outlineLvl w:val="9"/>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1.3</w:t>
      </w:r>
      <w:r>
        <w:rPr>
          <w:rFonts w:hint="eastAsia" w:cs="Helvetica" w:asciiTheme="minorEastAsia" w:hAnsiTheme="minorEastAsia" w:eastAsiaTheme="minorEastAsia"/>
          <w:color w:val="auto"/>
          <w:kern w:val="0"/>
          <w:sz w:val="24"/>
          <w:highlight w:val="none"/>
          <w:lang w:val="en-US" w:eastAsia="zh-CN"/>
        </w:rPr>
        <w:t xml:space="preserve"> </w:t>
      </w:r>
      <w:r>
        <w:rPr>
          <w:rFonts w:hint="eastAsia" w:cs="Helvetica" w:asciiTheme="minorEastAsia" w:hAnsiTheme="minorEastAsia" w:eastAsiaTheme="minorEastAsia"/>
          <w:color w:val="auto"/>
          <w:kern w:val="0"/>
          <w:sz w:val="24"/>
          <w:highlight w:val="none"/>
        </w:rPr>
        <w:t>电子交易平台发现严重安全漏洞，有潜在泄密危险的；</w:t>
      </w:r>
    </w:p>
    <w:p w14:paraId="16B67488">
      <w:pPr>
        <w:tabs>
          <w:tab w:val="left" w:pos="0"/>
        </w:tabs>
        <w:spacing w:line="360" w:lineRule="auto"/>
        <w:ind w:firstLine="480"/>
        <w:outlineLvl w:val="9"/>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1.4</w:t>
      </w:r>
      <w:r>
        <w:rPr>
          <w:rFonts w:hint="eastAsia" w:cs="Helvetica" w:asciiTheme="minorEastAsia" w:hAnsiTheme="minorEastAsia" w:eastAsiaTheme="minorEastAsia"/>
          <w:color w:val="auto"/>
          <w:kern w:val="0"/>
          <w:sz w:val="24"/>
          <w:highlight w:val="none"/>
          <w:lang w:val="en-US" w:eastAsia="zh-CN"/>
        </w:rPr>
        <w:t xml:space="preserve"> </w:t>
      </w:r>
      <w:r>
        <w:rPr>
          <w:rFonts w:hint="eastAsia" w:cs="Helvetica" w:asciiTheme="minorEastAsia" w:hAnsiTheme="minorEastAsia" w:eastAsiaTheme="minorEastAsia"/>
          <w:color w:val="auto"/>
          <w:kern w:val="0"/>
          <w:sz w:val="24"/>
          <w:highlight w:val="none"/>
        </w:rPr>
        <w:t xml:space="preserve">病毒发作导致不能进行正常操作的； </w:t>
      </w:r>
    </w:p>
    <w:p w14:paraId="7ED367EC">
      <w:pPr>
        <w:tabs>
          <w:tab w:val="left" w:pos="0"/>
        </w:tabs>
        <w:spacing w:line="360" w:lineRule="auto"/>
        <w:ind w:firstLine="480"/>
        <w:outlineLvl w:val="9"/>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1.5</w:t>
      </w:r>
      <w:r>
        <w:rPr>
          <w:rFonts w:hint="eastAsia" w:cs="Helvetica" w:asciiTheme="minorEastAsia" w:hAnsiTheme="minorEastAsia" w:eastAsiaTheme="minorEastAsia"/>
          <w:color w:val="auto"/>
          <w:kern w:val="0"/>
          <w:sz w:val="24"/>
          <w:highlight w:val="none"/>
          <w:lang w:val="en-US" w:eastAsia="zh-CN"/>
        </w:rPr>
        <w:t xml:space="preserve"> </w:t>
      </w:r>
      <w:r>
        <w:rPr>
          <w:rFonts w:hint="eastAsia" w:cs="Helvetica" w:asciiTheme="minorEastAsia" w:hAnsiTheme="minorEastAsia" w:eastAsiaTheme="minorEastAsia"/>
          <w:color w:val="auto"/>
          <w:kern w:val="0"/>
          <w:sz w:val="24"/>
          <w:highlight w:val="none"/>
        </w:rPr>
        <w:t>其他无法保证电子交易的公平、公正和安全的情况。</w:t>
      </w:r>
    </w:p>
    <w:p w14:paraId="0C171200">
      <w:pPr>
        <w:tabs>
          <w:tab w:val="left" w:pos="0"/>
        </w:tabs>
        <w:spacing w:line="360" w:lineRule="auto"/>
        <w:outlineLvl w:val="9"/>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b/>
          <w:color w:val="auto"/>
          <w:kern w:val="0"/>
          <w:sz w:val="24"/>
          <w:highlight w:val="none"/>
        </w:rPr>
        <w:t>2.</w:t>
      </w:r>
      <w:r>
        <w:rPr>
          <w:rFonts w:hint="eastAsia" w:cs="Helvetica" w:asciiTheme="minorEastAsia" w:hAnsiTheme="minorEastAsia" w:eastAsiaTheme="minorEastAsia"/>
          <w:b/>
          <w:color w:val="auto"/>
          <w:kern w:val="0"/>
          <w:sz w:val="24"/>
          <w:highlight w:val="none"/>
          <w:lang w:val="en-US" w:eastAsia="zh-CN"/>
        </w:rPr>
        <w:t xml:space="preserve"> </w:t>
      </w:r>
      <w:r>
        <w:rPr>
          <w:rFonts w:hint="eastAsia" w:cs="Helvetica" w:asciiTheme="minorEastAsia" w:hAnsiTheme="minorEastAsia" w:eastAsiaTheme="minorEastAsia"/>
          <w:color w:val="auto"/>
          <w:kern w:val="0"/>
          <w:sz w:val="24"/>
          <w:highlight w:val="none"/>
        </w:rPr>
        <w:t>出现以上情形，不影响采购公平、公正性的，采购组织机构可以待上述情形消除后继续组织电子交易活动，也可以决定某些环节以纸质形式进行；影响或可能影响采购公平、公正性的，应当重新采购。</w:t>
      </w:r>
      <w:bookmarkEnd w:id="8"/>
      <w:bookmarkStart w:id="43" w:name="_Hlt68057669"/>
      <w:bookmarkEnd w:id="43"/>
      <w:bookmarkStart w:id="44" w:name="_Hlt75236011"/>
      <w:bookmarkEnd w:id="44"/>
      <w:bookmarkStart w:id="45" w:name="_Hlt75236101"/>
      <w:bookmarkEnd w:id="45"/>
      <w:bookmarkStart w:id="46" w:name="_Hlt68072990"/>
      <w:bookmarkEnd w:id="46"/>
      <w:bookmarkStart w:id="47" w:name="_Hlt74730295"/>
      <w:bookmarkEnd w:id="47"/>
      <w:bookmarkStart w:id="48" w:name="_Hlt75236290"/>
      <w:bookmarkEnd w:id="48"/>
      <w:bookmarkStart w:id="49" w:name="_Hlt74707468"/>
      <w:bookmarkEnd w:id="49"/>
      <w:bookmarkStart w:id="50" w:name="_Hlt74729768"/>
      <w:bookmarkEnd w:id="50"/>
      <w:bookmarkStart w:id="51" w:name="_Hlt74714665"/>
      <w:bookmarkEnd w:id="51"/>
      <w:bookmarkStart w:id="52" w:name="_Toc164416483"/>
      <w:bookmarkStart w:id="53" w:name="第三部分"/>
    </w:p>
    <w:p w14:paraId="509A94EA">
      <w:pPr>
        <w:tabs>
          <w:tab w:val="left" w:pos="0"/>
        </w:tabs>
        <w:spacing w:line="360" w:lineRule="auto"/>
        <w:outlineLvl w:val="9"/>
        <w:rPr>
          <w:rFonts w:hint="eastAsia" w:cs="Helvetica" w:asciiTheme="minorEastAsia" w:hAnsiTheme="minorEastAsia" w:eastAsiaTheme="minorEastAsia"/>
          <w:color w:val="auto"/>
          <w:kern w:val="0"/>
          <w:sz w:val="24"/>
          <w:highlight w:val="none"/>
        </w:rPr>
      </w:pPr>
    </w:p>
    <w:p w14:paraId="618C146C">
      <w:pPr>
        <w:pStyle w:val="4"/>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十五、代理费用的收取标准和方式</w:t>
      </w:r>
    </w:p>
    <w:p w14:paraId="01DD48EB">
      <w:pPr>
        <w:pStyle w:val="21"/>
        <w:spacing w:line="360" w:lineRule="auto"/>
        <w:ind w:firstLine="0" w:firstLineChars="0"/>
        <w:outlineLvl w:val="9"/>
        <w:rPr>
          <w:rFonts w:cs="宋体"/>
          <w:b/>
          <w:color w:val="auto"/>
          <w:highlight w:val="none"/>
        </w:rPr>
      </w:pPr>
      <w:r>
        <w:rPr>
          <w:rFonts w:hint="eastAsia" w:cs="宋体"/>
          <w:b/>
          <w:color w:val="auto"/>
          <w:highlight w:val="none"/>
        </w:rPr>
        <w:t>1.</w:t>
      </w:r>
      <w:r>
        <w:rPr>
          <w:rFonts w:hint="eastAsia" w:cs="宋体"/>
          <w:b/>
          <w:color w:val="auto"/>
          <w:highlight w:val="none"/>
          <w:lang w:val="en-US" w:eastAsia="zh-CN"/>
        </w:rPr>
        <w:t xml:space="preserve"> </w:t>
      </w:r>
      <w:r>
        <w:rPr>
          <w:rFonts w:hint="eastAsia" w:cs="宋体"/>
          <w:b/>
          <w:color w:val="auto"/>
          <w:highlight w:val="none"/>
        </w:rPr>
        <w:t>代理费用的收取标准和方式（适用于有权收取代理费用的采购代理机构）</w:t>
      </w:r>
    </w:p>
    <w:p w14:paraId="63A8EE18">
      <w:pPr>
        <w:pStyle w:val="634"/>
        <w:ind w:firstLine="480" w:firstLineChars="200"/>
        <w:outlineLvl w:val="9"/>
        <w:rPr>
          <w:rFonts w:hint="eastAsia" w:eastAsia="宋体" w:cs="宋体"/>
          <w:color w:val="auto"/>
          <w:kern w:val="2"/>
          <w:szCs w:val="24"/>
          <w:highlight w:val="none"/>
          <w:lang w:eastAsia="zh-CN"/>
        </w:rPr>
      </w:pPr>
      <w:r>
        <w:rPr>
          <w:rFonts w:hint="eastAsia" w:cs="宋体"/>
          <w:color w:val="auto"/>
          <w:kern w:val="2"/>
          <w:szCs w:val="24"/>
          <w:highlight w:val="none"/>
        </w:rPr>
        <w:t>1.1</w:t>
      </w:r>
      <w:r>
        <w:rPr>
          <w:rFonts w:hint="eastAsia" w:cs="宋体"/>
          <w:color w:val="auto"/>
          <w:kern w:val="2"/>
          <w:szCs w:val="24"/>
          <w:highlight w:val="none"/>
          <w:lang w:val="en-US" w:eastAsia="zh-CN"/>
        </w:rPr>
        <w:t xml:space="preserve"> </w:t>
      </w:r>
      <w:r>
        <w:rPr>
          <w:rFonts w:hint="eastAsia" w:cs="宋体"/>
          <w:color w:val="auto"/>
          <w:kern w:val="2"/>
          <w:szCs w:val="24"/>
          <w:highlight w:val="none"/>
        </w:rPr>
        <w:t>采购代理费支付方式</w:t>
      </w:r>
      <w:r>
        <w:rPr>
          <w:rFonts w:hint="eastAsia" w:cs="宋体"/>
          <w:color w:val="auto"/>
          <w:kern w:val="2"/>
          <w:szCs w:val="24"/>
          <w:highlight w:val="none"/>
          <w:lang w:eastAsia="zh-CN"/>
        </w:rPr>
        <w:t>：</w:t>
      </w:r>
    </w:p>
    <w:p w14:paraId="63AFABB5">
      <w:pPr>
        <w:pStyle w:val="634"/>
        <w:ind w:firstLine="480" w:firstLineChars="200"/>
        <w:outlineLvl w:val="9"/>
        <w:rPr>
          <w:rFonts w:hint="eastAsia" w:eastAsia="宋体" w:cs="宋体"/>
          <w:color w:val="auto"/>
          <w:kern w:val="2"/>
          <w:szCs w:val="24"/>
          <w:highlight w:val="none"/>
          <w:lang w:eastAsia="zh-CN"/>
        </w:rPr>
      </w:pPr>
      <w:r>
        <w:rPr>
          <w:rFonts w:hint="eastAsia" w:ascii="MS Mincho" w:hAnsi="MS Mincho" w:eastAsia="MS Mincho" w:cs="宋体"/>
          <w:color w:val="auto"/>
          <w:kern w:val="2"/>
          <w:szCs w:val="24"/>
          <w:highlight w:val="none"/>
        </w:rPr>
        <w:t>☑</w:t>
      </w:r>
      <w:r>
        <w:rPr>
          <w:rFonts w:hint="eastAsia" w:cs="宋体"/>
          <w:color w:val="auto"/>
          <w:kern w:val="2"/>
          <w:szCs w:val="24"/>
          <w:highlight w:val="none"/>
        </w:rPr>
        <w:t>本项目代理服务费由成交供应商一次性向采购代理机构支付。(代理服务费不支持因合同终止及服务期限变更退还</w:t>
      </w:r>
      <w:r>
        <w:rPr>
          <w:rFonts w:hint="eastAsia" w:cs="宋体"/>
          <w:color w:val="auto"/>
          <w:kern w:val="2"/>
          <w:szCs w:val="24"/>
          <w:highlight w:val="none"/>
          <w:lang w:eastAsia="zh-CN"/>
        </w:rPr>
        <w:t>）</w:t>
      </w:r>
    </w:p>
    <w:p w14:paraId="5BD3B1D2">
      <w:pPr>
        <w:pStyle w:val="634"/>
        <w:ind w:firstLine="480" w:firstLineChars="200"/>
        <w:outlineLvl w:val="9"/>
        <w:rPr>
          <w:rFonts w:cs="宋体"/>
          <w:color w:val="auto"/>
          <w:kern w:val="2"/>
          <w:szCs w:val="24"/>
          <w:highlight w:val="none"/>
        </w:rPr>
      </w:pPr>
      <w:r>
        <w:rPr>
          <w:rFonts w:hint="eastAsia" w:cs="宋体"/>
          <w:color w:val="auto"/>
          <w:kern w:val="2"/>
          <w:szCs w:val="24"/>
          <w:highlight w:val="none"/>
        </w:rPr>
        <w:t>□采购人支付。</w:t>
      </w:r>
    </w:p>
    <w:p w14:paraId="26D96707">
      <w:pPr>
        <w:pStyle w:val="634"/>
        <w:ind w:firstLine="480" w:firstLineChars="200"/>
        <w:outlineLvl w:val="9"/>
        <w:rPr>
          <w:rFonts w:hint="eastAsia" w:eastAsia="宋体" w:cs="宋体"/>
          <w:color w:val="auto"/>
          <w:kern w:val="2"/>
          <w:szCs w:val="24"/>
          <w:highlight w:val="none"/>
          <w:lang w:eastAsia="zh-CN"/>
        </w:rPr>
      </w:pPr>
      <w:r>
        <w:rPr>
          <w:rFonts w:hint="eastAsia" w:cs="宋体"/>
          <w:color w:val="auto"/>
          <w:kern w:val="2"/>
          <w:szCs w:val="24"/>
          <w:highlight w:val="none"/>
        </w:rPr>
        <w:t>1.2</w:t>
      </w:r>
      <w:r>
        <w:rPr>
          <w:rFonts w:hint="eastAsia" w:cs="宋体"/>
          <w:color w:val="auto"/>
          <w:kern w:val="2"/>
          <w:szCs w:val="24"/>
          <w:highlight w:val="none"/>
          <w:lang w:val="en-US" w:eastAsia="zh-CN"/>
        </w:rPr>
        <w:t xml:space="preserve"> </w:t>
      </w:r>
      <w:r>
        <w:rPr>
          <w:rFonts w:hint="eastAsia" w:cs="宋体"/>
          <w:color w:val="auto"/>
          <w:kern w:val="2"/>
          <w:szCs w:val="24"/>
          <w:highlight w:val="none"/>
        </w:rPr>
        <w:t>采购代理费收取标准</w:t>
      </w:r>
      <w:r>
        <w:rPr>
          <w:rFonts w:hint="eastAsia" w:cs="宋体"/>
          <w:color w:val="auto"/>
          <w:kern w:val="2"/>
          <w:szCs w:val="24"/>
          <w:highlight w:val="none"/>
          <w:lang w:eastAsia="zh-CN"/>
        </w:rPr>
        <w:t>：</w:t>
      </w:r>
    </w:p>
    <w:p w14:paraId="7103D3E2">
      <w:pPr>
        <w:pStyle w:val="634"/>
        <w:ind w:firstLine="480" w:firstLineChars="200"/>
        <w:outlineLvl w:val="9"/>
        <w:rPr>
          <w:rFonts w:cs="宋体"/>
          <w:color w:val="auto"/>
          <w:kern w:val="2"/>
          <w:szCs w:val="24"/>
          <w:highlight w:val="none"/>
        </w:rPr>
      </w:pPr>
      <w:r>
        <w:rPr>
          <w:rFonts w:hint="eastAsia" w:ascii="MS Mincho" w:hAnsi="MS Mincho" w:eastAsia="MS Mincho" w:cs="宋体"/>
          <w:color w:val="auto"/>
          <w:kern w:val="2"/>
          <w:szCs w:val="24"/>
          <w:highlight w:val="none"/>
        </w:rPr>
        <w:t>☑</w:t>
      </w:r>
      <w:r>
        <w:rPr>
          <w:rFonts w:hint="eastAsia" w:cs="宋体"/>
          <w:color w:val="auto"/>
          <w:kern w:val="2"/>
          <w:szCs w:val="24"/>
          <w:highlight w:val="none"/>
        </w:rPr>
        <w:t>以分标（</w:t>
      </w:r>
      <w:r>
        <w:rPr>
          <w:rFonts w:hint="eastAsia" w:ascii="MS Mincho" w:hAnsi="MS Mincho" w:cs="宋体"/>
          <w:color w:val="auto"/>
          <w:kern w:val="2"/>
          <w:szCs w:val="24"/>
          <w:highlight w:val="none"/>
          <w:lang w:eastAsia="zh-CN"/>
        </w:rPr>
        <w:t>☑</w:t>
      </w:r>
      <w:r>
        <w:rPr>
          <w:rFonts w:hint="eastAsia" w:cs="宋体"/>
          <w:color w:val="auto"/>
          <w:kern w:val="2"/>
          <w:szCs w:val="24"/>
          <w:highlight w:val="none"/>
        </w:rPr>
        <w:t>成交金额</w:t>
      </w:r>
      <w:r>
        <w:rPr>
          <w:rFonts w:cs="宋体"/>
          <w:color w:val="auto"/>
          <w:kern w:val="2"/>
          <w:szCs w:val="24"/>
          <w:highlight w:val="none"/>
        </w:rPr>
        <w:t>/</w:t>
      </w:r>
      <w:r>
        <w:rPr>
          <w:rFonts w:hint="eastAsia" w:cs="宋体"/>
          <w:color w:val="auto"/>
          <w:kern w:val="2"/>
          <w:szCs w:val="24"/>
          <w:highlight w:val="none"/>
          <w:lang w:eastAsia="zh-CN"/>
        </w:rPr>
        <w:t>□</w:t>
      </w:r>
      <w:r>
        <w:rPr>
          <w:rFonts w:hint="eastAsia" w:cs="宋体"/>
          <w:color w:val="auto"/>
          <w:kern w:val="2"/>
          <w:szCs w:val="24"/>
          <w:highlight w:val="none"/>
        </w:rPr>
        <w:t>采购预算</w:t>
      </w:r>
      <w:r>
        <w:rPr>
          <w:rFonts w:cs="宋体"/>
          <w:color w:val="auto"/>
          <w:kern w:val="2"/>
          <w:szCs w:val="24"/>
          <w:highlight w:val="none"/>
        </w:rPr>
        <w:t>/</w:t>
      </w:r>
      <w:r>
        <w:rPr>
          <w:rFonts w:hint="eastAsia" w:cs="宋体"/>
          <w:color w:val="auto"/>
          <w:kern w:val="2"/>
          <w:szCs w:val="24"/>
          <w:highlight w:val="none"/>
        </w:rPr>
        <w:t>□暂定成交金额</w:t>
      </w:r>
      <w:r>
        <w:rPr>
          <w:rFonts w:cs="宋体"/>
          <w:color w:val="auto"/>
          <w:kern w:val="2"/>
          <w:szCs w:val="24"/>
          <w:highlight w:val="none"/>
        </w:rPr>
        <w:t>/</w:t>
      </w:r>
      <w:r>
        <w:rPr>
          <w:rFonts w:hint="eastAsia" w:cs="宋体"/>
          <w:color w:val="auto"/>
          <w:kern w:val="2"/>
          <w:szCs w:val="24"/>
          <w:highlight w:val="none"/>
        </w:rPr>
        <w:t>□其他）为计费额，代理服务</w:t>
      </w:r>
      <w:r>
        <w:rPr>
          <w:rFonts w:hint="eastAsia" w:cs="宋体"/>
          <w:color w:val="auto"/>
          <w:kern w:val="2"/>
          <w:szCs w:val="24"/>
          <w:highlight w:val="none"/>
          <w:lang w:val="en-US" w:eastAsia="zh-CN"/>
        </w:rPr>
        <w:t>费</w:t>
      </w:r>
      <w:r>
        <w:rPr>
          <w:rFonts w:hint="eastAsia" w:ascii="宋体" w:hAnsi="宋体" w:eastAsia="宋体" w:cs="宋体"/>
          <w:color w:val="auto"/>
          <w:kern w:val="2"/>
          <w:szCs w:val="24"/>
          <w:highlight w:val="none"/>
          <w:lang w:val="en-US" w:eastAsia="zh-CN"/>
        </w:rPr>
        <w:t>参</w:t>
      </w:r>
      <w:r>
        <w:rPr>
          <w:rFonts w:hint="default" w:ascii="宋体" w:hAnsi="宋体" w:eastAsia="宋体" w:cs="宋体"/>
          <w:color w:val="auto"/>
          <w:kern w:val="2"/>
          <w:szCs w:val="24"/>
          <w:highlight w:val="none"/>
          <w:lang w:val="en-US" w:eastAsia="zh-CN"/>
        </w:rPr>
        <w:t>照原《国家计委关于印发〈招标代理服务收费管理暂行办法〉的通知》（计价格〔2002〕1980号）、《国家发展改革委办公厅关于招标代理服务收费有关问题的通知》（发改办价格〔2003〕857号）、《国家发展改革委关于降低部分建设项目收费标准规范收费行为等有关问题的通知》（发改价格〔2011〕534号）</w:t>
      </w:r>
      <w:r>
        <w:rPr>
          <w:rFonts w:hint="eastAsia" w:ascii="宋体" w:hAnsi="宋体" w:eastAsia="宋体" w:cs="宋体"/>
          <w:color w:val="auto"/>
          <w:kern w:val="2"/>
          <w:szCs w:val="24"/>
          <w:highlight w:val="none"/>
        </w:rPr>
        <w:t>收费标</w:t>
      </w:r>
      <w:r>
        <w:rPr>
          <w:rFonts w:hint="eastAsia" w:cs="宋体"/>
          <w:color w:val="auto"/>
          <w:kern w:val="2"/>
          <w:szCs w:val="24"/>
          <w:highlight w:val="none"/>
        </w:rPr>
        <w:t>准（□货物类</w:t>
      </w:r>
      <w:r>
        <w:rPr>
          <w:rFonts w:cs="宋体"/>
          <w:color w:val="auto"/>
          <w:kern w:val="2"/>
          <w:szCs w:val="24"/>
          <w:highlight w:val="none"/>
        </w:rPr>
        <w:t>/</w:t>
      </w:r>
      <w:r>
        <w:rPr>
          <w:rFonts w:hint="eastAsia" w:ascii="MS Mincho" w:hAnsi="MS Mincho" w:eastAsia="MS Mincho" w:cs="宋体"/>
          <w:color w:val="auto"/>
          <w:kern w:val="2"/>
          <w:szCs w:val="24"/>
          <w:highlight w:val="none"/>
        </w:rPr>
        <w:t>☑</w:t>
      </w:r>
      <w:r>
        <w:rPr>
          <w:rFonts w:hint="eastAsia" w:cs="宋体"/>
          <w:color w:val="auto"/>
          <w:kern w:val="2"/>
          <w:szCs w:val="24"/>
          <w:highlight w:val="none"/>
        </w:rPr>
        <w:t>服务类</w:t>
      </w:r>
      <w:r>
        <w:rPr>
          <w:rFonts w:cs="宋体"/>
          <w:color w:val="auto"/>
          <w:kern w:val="2"/>
          <w:szCs w:val="24"/>
          <w:highlight w:val="none"/>
        </w:rPr>
        <w:t>/</w:t>
      </w:r>
      <w:r>
        <w:rPr>
          <w:rFonts w:hint="eastAsia" w:cs="宋体"/>
          <w:color w:val="auto"/>
          <w:kern w:val="2"/>
          <w:szCs w:val="24"/>
          <w:highlight w:val="none"/>
        </w:rPr>
        <w:t>□工程类）采用差额定率累进法计算出收费基准价格，采购代理收费以（</w:t>
      </w:r>
      <w:r>
        <w:rPr>
          <w:rFonts w:hint="eastAsia" w:cs="宋体"/>
          <w:color w:val="auto"/>
          <w:kern w:val="2"/>
          <w:szCs w:val="24"/>
          <w:highlight w:val="none"/>
          <w:lang w:eastAsia="zh-CN"/>
        </w:rPr>
        <w:t>□</w:t>
      </w:r>
      <w:r>
        <w:rPr>
          <w:rFonts w:hint="eastAsia" w:cs="宋体"/>
          <w:color w:val="auto"/>
          <w:kern w:val="2"/>
          <w:szCs w:val="24"/>
          <w:highlight w:val="none"/>
        </w:rPr>
        <w:t>收费基准价格</w:t>
      </w:r>
      <w:r>
        <w:rPr>
          <w:rFonts w:cs="宋体"/>
          <w:color w:val="auto"/>
          <w:kern w:val="2"/>
          <w:szCs w:val="24"/>
          <w:highlight w:val="none"/>
        </w:rPr>
        <w:t>/</w:t>
      </w:r>
      <w:r>
        <w:rPr>
          <w:rFonts w:hint="eastAsia" w:ascii="MS Mincho" w:hAnsi="MS Mincho" w:cs="宋体"/>
          <w:color w:val="auto"/>
          <w:kern w:val="2"/>
          <w:szCs w:val="24"/>
          <w:highlight w:val="none"/>
          <w:lang w:eastAsia="zh-CN"/>
        </w:rPr>
        <w:t>☑</w:t>
      </w:r>
      <w:r>
        <w:rPr>
          <w:rFonts w:hint="eastAsia" w:cs="宋体"/>
          <w:color w:val="auto"/>
          <w:kern w:val="2"/>
          <w:szCs w:val="24"/>
          <w:highlight w:val="none"/>
        </w:rPr>
        <w:t>收费基准价格下浮</w:t>
      </w:r>
      <w:r>
        <w:rPr>
          <w:rFonts w:hint="eastAsia" w:cs="宋体"/>
          <w:color w:val="auto"/>
          <w:kern w:val="2"/>
          <w:szCs w:val="24"/>
          <w:highlight w:val="none"/>
          <w:lang w:val="en-US" w:eastAsia="zh-CN"/>
        </w:rPr>
        <w:t>20</w:t>
      </w:r>
      <w:r>
        <w:rPr>
          <w:rFonts w:cs="宋体"/>
          <w:color w:val="auto"/>
          <w:kern w:val="2"/>
          <w:szCs w:val="24"/>
          <w:highlight w:val="none"/>
        </w:rPr>
        <w:t>%/</w:t>
      </w:r>
      <w:r>
        <w:rPr>
          <w:rFonts w:hint="eastAsia" w:cs="宋体"/>
          <w:color w:val="auto"/>
          <w:kern w:val="2"/>
          <w:szCs w:val="24"/>
          <w:highlight w:val="none"/>
        </w:rPr>
        <w:t>□收费基准价格上浮</w:t>
      </w:r>
      <w:r>
        <w:rPr>
          <w:rFonts w:cs="宋体"/>
          <w:color w:val="auto"/>
          <w:kern w:val="2"/>
          <w:szCs w:val="24"/>
          <w:highlight w:val="none"/>
        </w:rPr>
        <w:t xml:space="preserve"> /%</w:t>
      </w:r>
      <w:r>
        <w:rPr>
          <w:rFonts w:hint="eastAsia" w:cs="宋体"/>
          <w:color w:val="auto"/>
          <w:kern w:val="2"/>
          <w:szCs w:val="24"/>
          <w:highlight w:val="none"/>
        </w:rPr>
        <w:t>）收取。</w:t>
      </w:r>
    </w:p>
    <w:p w14:paraId="533D8BB5">
      <w:pPr>
        <w:pStyle w:val="634"/>
        <w:ind w:firstLine="480" w:firstLineChars="200"/>
        <w:outlineLvl w:val="9"/>
        <w:rPr>
          <w:rFonts w:cs="宋体"/>
          <w:color w:val="auto"/>
          <w:kern w:val="2"/>
          <w:szCs w:val="24"/>
          <w:highlight w:val="none"/>
        </w:rPr>
      </w:pPr>
      <w:r>
        <w:rPr>
          <w:rFonts w:hint="eastAsia" w:cs="宋体"/>
          <w:color w:val="auto"/>
          <w:kern w:val="2"/>
          <w:szCs w:val="24"/>
          <w:highlight w:val="none"/>
        </w:rPr>
        <w:t>□固定采购代理收费。</w:t>
      </w:r>
    </w:p>
    <w:p w14:paraId="7816752B">
      <w:pPr>
        <w:pStyle w:val="634"/>
        <w:ind w:firstLine="480" w:firstLineChars="200"/>
        <w:outlineLvl w:val="9"/>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1.3</w:t>
      </w:r>
      <w:r>
        <w:rPr>
          <w:rFonts w:hint="eastAsia" w:cs="宋体"/>
          <w:color w:val="auto"/>
          <w:kern w:val="2"/>
          <w:szCs w:val="24"/>
          <w:highlight w:val="none"/>
          <w:lang w:val="en-US" w:eastAsia="zh-CN"/>
        </w:rPr>
        <w:t xml:space="preserve"> </w:t>
      </w:r>
      <w:r>
        <w:rPr>
          <w:rFonts w:hint="eastAsia" w:ascii="宋体" w:hAnsi="宋体" w:eastAsia="宋体" w:cs="宋体"/>
          <w:color w:val="auto"/>
          <w:kern w:val="2"/>
          <w:szCs w:val="24"/>
          <w:highlight w:val="none"/>
        </w:rPr>
        <w:t>采购代理费收取银行账户</w:t>
      </w:r>
    </w:p>
    <w:p w14:paraId="52B055CC">
      <w:pPr>
        <w:pStyle w:val="634"/>
        <w:ind w:firstLine="480" w:firstLineChars="200"/>
        <w:outlineLvl w:val="9"/>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账户名称：广西邕政采购代理有限公司</w:t>
      </w:r>
    </w:p>
    <w:p w14:paraId="1258E441">
      <w:pPr>
        <w:pStyle w:val="634"/>
        <w:ind w:firstLine="480" w:firstLineChars="200"/>
        <w:outlineLvl w:val="9"/>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开户银行：交通银行南宁东葛西支行</w:t>
      </w:r>
    </w:p>
    <w:p w14:paraId="51D43BB0">
      <w:pPr>
        <w:pStyle w:val="634"/>
        <w:ind w:firstLine="480" w:firstLineChars="200"/>
        <w:outlineLvl w:val="9"/>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 xml:space="preserve">银行账号：4510 6070 1018 1602 32818 </w:t>
      </w:r>
    </w:p>
    <w:p w14:paraId="41F33163">
      <w:pPr>
        <w:pStyle w:val="634"/>
        <w:ind w:firstLine="480" w:firstLineChars="200"/>
        <w:outlineLvl w:val="9"/>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 xml:space="preserve">开户行行号：301611000718 </w:t>
      </w:r>
    </w:p>
    <w:p w14:paraId="174F14A2">
      <w:pPr>
        <w:pStyle w:val="634"/>
        <w:ind w:firstLine="480" w:firstLineChars="200"/>
        <w:outlineLvl w:val="9"/>
        <w:rPr>
          <w:rFonts w:hint="eastAsia" w:ascii="宋体" w:hAnsi="宋体" w:eastAsia="宋体" w:cs="宋体"/>
          <w:color w:val="auto"/>
          <w:kern w:val="2"/>
          <w:szCs w:val="24"/>
          <w:highlight w:val="none"/>
          <w:lang w:eastAsia="zh-CN"/>
        </w:rPr>
      </w:pPr>
      <w:r>
        <w:rPr>
          <w:rFonts w:hint="eastAsia" w:ascii="宋体" w:hAnsi="宋体" w:eastAsia="宋体" w:cs="宋体"/>
          <w:color w:val="auto"/>
          <w:kern w:val="2"/>
          <w:szCs w:val="24"/>
          <w:highlight w:val="none"/>
        </w:rPr>
        <w:t>1.4</w:t>
      </w:r>
      <w:r>
        <w:rPr>
          <w:rFonts w:hint="eastAsia" w:cs="宋体"/>
          <w:color w:val="auto"/>
          <w:kern w:val="2"/>
          <w:szCs w:val="24"/>
          <w:highlight w:val="none"/>
          <w:lang w:val="en-US" w:eastAsia="zh-CN"/>
        </w:rPr>
        <w:t xml:space="preserve"> </w:t>
      </w:r>
      <w:r>
        <w:rPr>
          <w:rFonts w:hint="eastAsia" w:ascii="宋体" w:hAnsi="宋体" w:eastAsia="宋体" w:cs="宋体"/>
          <w:color w:val="auto"/>
          <w:kern w:val="2"/>
          <w:szCs w:val="24"/>
          <w:highlight w:val="none"/>
        </w:rPr>
        <w:t>代理服务收费标准</w:t>
      </w:r>
      <w:r>
        <w:rPr>
          <w:rFonts w:hint="eastAsia" w:ascii="宋体" w:hAnsi="宋体" w:eastAsia="宋体" w:cs="宋体"/>
          <w:color w:val="auto"/>
          <w:kern w:val="2"/>
          <w:szCs w:val="24"/>
          <w:highlight w:val="none"/>
          <w:lang w:eastAsia="zh-CN"/>
        </w:rPr>
        <w:t>：</w:t>
      </w:r>
    </w:p>
    <w:tbl>
      <w:tblPr>
        <w:tblStyle w:val="62"/>
        <w:tblW w:w="8477"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79845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vAlign w:val="top"/>
          </w:tcPr>
          <w:p w14:paraId="742CA617">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费率</w:t>
            </w:r>
          </w:p>
          <w:p w14:paraId="15685698">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中标金额</w:t>
            </w:r>
          </w:p>
        </w:tc>
        <w:tc>
          <w:tcPr>
            <w:tcW w:w="1659" w:type="dxa"/>
            <w:vAlign w:val="center"/>
          </w:tcPr>
          <w:p w14:paraId="1B4E6391">
            <w:pPr>
              <w:spacing w:line="360" w:lineRule="auto"/>
              <w:ind w:firstLine="120" w:firstLineChars="50"/>
              <w:jc w:val="center"/>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货物招标</w:t>
            </w:r>
          </w:p>
        </w:tc>
        <w:tc>
          <w:tcPr>
            <w:tcW w:w="1687" w:type="dxa"/>
            <w:vAlign w:val="center"/>
          </w:tcPr>
          <w:p w14:paraId="7C16B362">
            <w:pPr>
              <w:spacing w:line="360" w:lineRule="auto"/>
              <w:jc w:val="center"/>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服务招标</w:t>
            </w:r>
          </w:p>
        </w:tc>
        <w:tc>
          <w:tcPr>
            <w:tcW w:w="1659" w:type="dxa"/>
            <w:vAlign w:val="center"/>
          </w:tcPr>
          <w:p w14:paraId="6E2EF6EF">
            <w:pPr>
              <w:spacing w:line="360" w:lineRule="auto"/>
              <w:jc w:val="center"/>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工程招标</w:t>
            </w:r>
          </w:p>
        </w:tc>
      </w:tr>
      <w:tr w14:paraId="0EAD6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4022FF05">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100万元以下</w:t>
            </w:r>
          </w:p>
        </w:tc>
        <w:tc>
          <w:tcPr>
            <w:tcW w:w="1659" w:type="dxa"/>
            <w:vAlign w:val="top"/>
          </w:tcPr>
          <w:p w14:paraId="7FE59A9F">
            <w:pPr>
              <w:spacing w:line="360" w:lineRule="auto"/>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 xml:space="preserve">  1.5%                </w:t>
            </w:r>
          </w:p>
        </w:tc>
        <w:tc>
          <w:tcPr>
            <w:tcW w:w="1687" w:type="dxa"/>
            <w:vAlign w:val="top"/>
          </w:tcPr>
          <w:p w14:paraId="08050750">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1.5%</w:t>
            </w:r>
          </w:p>
        </w:tc>
        <w:tc>
          <w:tcPr>
            <w:tcW w:w="1659" w:type="dxa"/>
            <w:vAlign w:val="top"/>
          </w:tcPr>
          <w:p w14:paraId="7428B2E5">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 xml:space="preserve">1.0% </w:t>
            </w:r>
          </w:p>
        </w:tc>
      </w:tr>
      <w:tr w14:paraId="3B45C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7C11B450">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100～500万元</w:t>
            </w:r>
          </w:p>
        </w:tc>
        <w:tc>
          <w:tcPr>
            <w:tcW w:w="1659" w:type="dxa"/>
            <w:vAlign w:val="top"/>
          </w:tcPr>
          <w:p w14:paraId="5EAB52AF">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 xml:space="preserve">1.1%                 </w:t>
            </w:r>
          </w:p>
        </w:tc>
        <w:tc>
          <w:tcPr>
            <w:tcW w:w="1687" w:type="dxa"/>
            <w:vAlign w:val="top"/>
          </w:tcPr>
          <w:p w14:paraId="1ED4CC99">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0.8%</w:t>
            </w:r>
          </w:p>
        </w:tc>
        <w:tc>
          <w:tcPr>
            <w:tcW w:w="1659" w:type="dxa"/>
            <w:vAlign w:val="top"/>
          </w:tcPr>
          <w:p w14:paraId="23E83EE4">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 xml:space="preserve">0.7% </w:t>
            </w:r>
          </w:p>
        </w:tc>
      </w:tr>
      <w:tr w14:paraId="5825C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4FFA5252">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500～1000万元</w:t>
            </w:r>
          </w:p>
        </w:tc>
        <w:tc>
          <w:tcPr>
            <w:tcW w:w="1659" w:type="dxa"/>
            <w:vAlign w:val="top"/>
          </w:tcPr>
          <w:p w14:paraId="41C094AB">
            <w:pPr>
              <w:spacing w:line="360" w:lineRule="auto"/>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 xml:space="preserve">  0.8%                </w:t>
            </w:r>
          </w:p>
        </w:tc>
        <w:tc>
          <w:tcPr>
            <w:tcW w:w="1687" w:type="dxa"/>
            <w:vAlign w:val="top"/>
          </w:tcPr>
          <w:p w14:paraId="2D1D3CC2">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0.45%</w:t>
            </w:r>
          </w:p>
        </w:tc>
        <w:tc>
          <w:tcPr>
            <w:tcW w:w="1659" w:type="dxa"/>
            <w:vAlign w:val="top"/>
          </w:tcPr>
          <w:p w14:paraId="1EE361A5">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0.55%</w:t>
            </w:r>
          </w:p>
        </w:tc>
      </w:tr>
      <w:tr w14:paraId="07AA6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35CDCEEA">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1000～5000万元</w:t>
            </w:r>
          </w:p>
        </w:tc>
        <w:tc>
          <w:tcPr>
            <w:tcW w:w="1659" w:type="dxa"/>
            <w:vAlign w:val="top"/>
          </w:tcPr>
          <w:p w14:paraId="730EA2C1">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 xml:space="preserve">0.5%                </w:t>
            </w:r>
          </w:p>
        </w:tc>
        <w:tc>
          <w:tcPr>
            <w:tcW w:w="1687" w:type="dxa"/>
            <w:vAlign w:val="top"/>
          </w:tcPr>
          <w:p w14:paraId="767CBFA3">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0.25%</w:t>
            </w:r>
          </w:p>
        </w:tc>
        <w:tc>
          <w:tcPr>
            <w:tcW w:w="1659" w:type="dxa"/>
            <w:vAlign w:val="top"/>
          </w:tcPr>
          <w:p w14:paraId="1BBD1CCF">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 xml:space="preserve">0.35% </w:t>
            </w:r>
          </w:p>
        </w:tc>
      </w:tr>
      <w:tr w14:paraId="471BD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41FD469B">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5000万元～1亿元</w:t>
            </w:r>
          </w:p>
        </w:tc>
        <w:tc>
          <w:tcPr>
            <w:tcW w:w="1659" w:type="dxa"/>
            <w:vAlign w:val="top"/>
          </w:tcPr>
          <w:p w14:paraId="7E65DC0A">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 xml:space="preserve">0.25%                 </w:t>
            </w:r>
          </w:p>
        </w:tc>
        <w:tc>
          <w:tcPr>
            <w:tcW w:w="1687" w:type="dxa"/>
            <w:vAlign w:val="top"/>
          </w:tcPr>
          <w:p w14:paraId="2F00AA08">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0.1%</w:t>
            </w:r>
          </w:p>
        </w:tc>
        <w:tc>
          <w:tcPr>
            <w:tcW w:w="1659" w:type="dxa"/>
            <w:vAlign w:val="top"/>
          </w:tcPr>
          <w:p w14:paraId="4718EE95">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0.2%</w:t>
            </w:r>
          </w:p>
        </w:tc>
      </w:tr>
      <w:tr w14:paraId="100A0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6BFB0A0B">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1～5亿元</w:t>
            </w:r>
          </w:p>
        </w:tc>
        <w:tc>
          <w:tcPr>
            <w:tcW w:w="1659" w:type="dxa"/>
            <w:vAlign w:val="top"/>
          </w:tcPr>
          <w:p w14:paraId="5C9B0EA4">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0.05%</w:t>
            </w:r>
          </w:p>
        </w:tc>
        <w:tc>
          <w:tcPr>
            <w:tcW w:w="1687" w:type="dxa"/>
            <w:vAlign w:val="top"/>
          </w:tcPr>
          <w:p w14:paraId="7BF16997">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0.05%</w:t>
            </w:r>
          </w:p>
        </w:tc>
        <w:tc>
          <w:tcPr>
            <w:tcW w:w="1659" w:type="dxa"/>
            <w:vAlign w:val="top"/>
          </w:tcPr>
          <w:p w14:paraId="1613E8AA">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0.05%</w:t>
            </w:r>
          </w:p>
        </w:tc>
      </w:tr>
      <w:tr w14:paraId="2DCDC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06DE627C">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5～10亿元</w:t>
            </w:r>
          </w:p>
        </w:tc>
        <w:tc>
          <w:tcPr>
            <w:tcW w:w="1659" w:type="dxa"/>
            <w:vAlign w:val="top"/>
          </w:tcPr>
          <w:p w14:paraId="1EDBAEBE">
            <w:pPr>
              <w:spacing w:line="360" w:lineRule="auto"/>
              <w:ind w:firstLine="120" w:firstLineChars="5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0.035%</w:t>
            </w:r>
          </w:p>
        </w:tc>
        <w:tc>
          <w:tcPr>
            <w:tcW w:w="1687" w:type="dxa"/>
            <w:vAlign w:val="top"/>
          </w:tcPr>
          <w:p w14:paraId="70B1917A">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0.035%</w:t>
            </w:r>
          </w:p>
        </w:tc>
        <w:tc>
          <w:tcPr>
            <w:tcW w:w="1659" w:type="dxa"/>
            <w:vAlign w:val="top"/>
          </w:tcPr>
          <w:p w14:paraId="24661388">
            <w:pPr>
              <w:spacing w:line="360" w:lineRule="auto"/>
              <w:ind w:firstLine="120" w:firstLineChars="5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0.035%</w:t>
            </w:r>
          </w:p>
        </w:tc>
      </w:tr>
      <w:tr w14:paraId="480CF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2226B287">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10～50亿元</w:t>
            </w:r>
          </w:p>
        </w:tc>
        <w:tc>
          <w:tcPr>
            <w:tcW w:w="1659" w:type="dxa"/>
            <w:vAlign w:val="top"/>
          </w:tcPr>
          <w:p w14:paraId="72061F83">
            <w:pPr>
              <w:spacing w:line="360" w:lineRule="auto"/>
              <w:ind w:firstLine="120" w:firstLineChars="5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0.008%</w:t>
            </w:r>
          </w:p>
        </w:tc>
        <w:tc>
          <w:tcPr>
            <w:tcW w:w="1687" w:type="dxa"/>
            <w:vAlign w:val="top"/>
          </w:tcPr>
          <w:p w14:paraId="690426BF">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0.008%</w:t>
            </w:r>
          </w:p>
        </w:tc>
        <w:tc>
          <w:tcPr>
            <w:tcW w:w="1659" w:type="dxa"/>
            <w:vAlign w:val="top"/>
          </w:tcPr>
          <w:p w14:paraId="4CB45FA9">
            <w:pPr>
              <w:spacing w:line="360" w:lineRule="auto"/>
              <w:ind w:firstLine="120" w:firstLineChars="5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0.008%</w:t>
            </w:r>
          </w:p>
        </w:tc>
      </w:tr>
      <w:tr w14:paraId="2CD2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5D5F0601">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50～100亿元</w:t>
            </w:r>
          </w:p>
        </w:tc>
        <w:tc>
          <w:tcPr>
            <w:tcW w:w="1659" w:type="dxa"/>
            <w:vAlign w:val="top"/>
          </w:tcPr>
          <w:p w14:paraId="349C4B4A">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0.006%</w:t>
            </w:r>
          </w:p>
        </w:tc>
        <w:tc>
          <w:tcPr>
            <w:tcW w:w="1687" w:type="dxa"/>
            <w:vAlign w:val="top"/>
          </w:tcPr>
          <w:p w14:paraId="0A3146F4">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0.006%</w:t>
            </w:r>
          </w:p>
        </w:tc>
        <w:tc>
          <w:tcPr>
            <w:tcW w:w="1659" w:type="dxa"/>
            <w:vAlign w:val="top"/>
          </w:tcPr>
          <w:p w14:paraId="5AD59B60">
            <w:pPr>
              <w:spacing w:line="360" w:lineRule="auto"/>
              <w:ind w:firstLine="120" w:firstLineChars="5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0.006%</w:t>
            </w:r>
          </w:p>
        </w:tc>
      </w:tr>
      <w:tr w14:paraId="50CFD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712F1238">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100亿以上</w:t>
            </w:r>
          </w:p>
        </w:tc>
        <w:tc>
          <w:tcPr>
            <w:tcW w:w="1659" w:type="dxa"/>
            <w:vAlign w:val="top"/>
          </w:tcPr>
          <w:p w14:paraId="0D081B66">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0.004%</w:t>
            </w:r>
          </w:p>
        </w:tc>
        <w:tc>
          <w:tcPr>
            <w:tcW w:w="1687" w:type="dxa"/>
            <w:vAlign w:val="top"/>
          </w:tcPr>
          <w:p w14:paraId="398010A8">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0.004%</w:t>
            </w:r>
          </w:p>
        </w:tc>
        <w:tc>
          <w:tcPr>
            <w:tcW w:w="1659" w:type="dxa"/>
            <w:vAlign w:val="top"/>
          </w:tcPr>
          <w:p w14:paraId="07A2CD1C">
            <w:pPr>
              <w:spacing w:line="360" w:lineRule="auto"/>
              <w:ind w:firstLine="120" w:firstLineChars="5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0.004%</w:t>
            </w:r>
          </w:p>
        </w:tc>
      </w:tr>
    </w:tbl>
    <w:p w14:paraId="145D48BF">
      <w:pPr>
        <w:spacing w:line="360" w:lineRule="auto"/>
        <w:ind w:firstLine="480" w:firstLineChars="20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注</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w:t>
      </w:r>
    </w:p>
    <w:p w14:paraId="67995858">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（1）按本表费率计算的收费为采购代理的收费基准价格；</w:t>
      </w:r>
    </w:p>
    <w:p w14:paraId="39228D33">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（2）采购代理收费按差额定率累进法计算。</w:t>
      </w:r>
    </w:p>
    <w:p w14:paraId="483173E0">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例如</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某服务采购代理业务中标金额或者暂定价为200万元，计算采购代理收费额如下</w:t>
      </w:r>
      <w:r>
        <w:rPr>
          <w:rFonts w:hint="eastAsia" w:ascii="宋体" w:hAnsi="宋体" w:cs="宋体"/>
          <w:color w:val="auto"/>
          <w:sz w:val="24"/>
          <w:szCs w:val="24"/>
          <w:highlight w:val="none"/>
          <w:lang w:eastAsia="zh-CN"/>
        </w:rPr>
        <w:t>：</w:t>
      </w:r>
    </w:p>
    <w:p w14:paraId="5415B288">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100万元×l.5％＝1.5万元</w:t>
      </w:r>
    </w:p>
    <w:p w14:paraId="5EFD999F">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（200－100）万元×0.8％＝0.8万元</w:t>
      </w:r>
    </w:p>
    <w:p w14:paraId="6AF14367">
      <w:pPr>
        <w:snapToGrid w:val="0"/>
        <w:spacing w:line="360" w:lineRule="auto"/>
        <w:ind w:firstLine="480" w:firstLineChars="200"/>
        <w:rPr>
          <w:rFonts w:cs="仿宋_GB2312" w:asciiTheme="minorEastAsia" w:hAnsiTheme="minorEastAsia" w:eastAsiaTheme="minorEastAsia"/>
          <w:b/>
          <w:color w:val="auto"/>
          <w:sz w:val="36"/>
          <w:szCs w:val="36"/>
          <w:highlight w:val="none"/>
        </w:rPr>
      </w:pPr>
      <w:r>
        <w:rPr>
          <w:rFonts w:hint="eastAsia" w:hAnsi="宋体" w:cs="宋体"/>
          <w:color w:val="auto"/>
          <w:sz w:val="24"/>
          <w:szCs w:val="24"/>
          <w:highlight w:val="none"/>
        </w:rPr>
        <w:t>合计</w:t>
      </w:r>
      <w:r>
        <w:rPr>
          <w:rFonts w:hint="eastAsia" w:ascii="宋体" w:hAnsi="宋体" w:eastAsia="宋体" w:cs="宋体"/>
          <w:color w:val="auto"/>
          <w:sz w:val="24"/>
          <w:szCs w:val="24"/>
          <w:highlight w:val="none"/>
        </w:rPr>
        <w:t>收费＝1.5+0.8＝</w:t>
      </w:r>
      <w:r>
        <w:rPr>
          <w:rFonts w:hint="eastAsia" w:ascii="宋体" w:hAnsi="宋体" w:eastAsia="宋体" w:cs="宋体"/>
          <w:color w:val="auto"/>
          <w:sz w:val="24"/>
          <w:szCs w:val="24"/>
          <w:highlight w:val="none"/>
          <w:lang w:val="en-US" w:eastAsia="zh-CN"/>
        </w:rPr>
        <w:t>2.3</w:t>
      </w:r>
      <w:r>
        <w:rPr>
          <w:rFonts w:hint="eastAsia" w:ascii="宋体" w:hAnsi="宋体" w:eastAsia="宋体" w:cs="宋体"/>
          <w:color w:val="auto"/>
          <w:sz w:val="24"/>
          <w:szCs w:val="24"/>
          <w:highlight w:val="none"/>
        </w:rPr>
        <w:t>（万元）</w:t>
      </w:r>
      <w:r>
        <w:rPr>
          <w:rFonts w:cs="仿宋_GB2312" w:asciiTheme="minorEastAsia" w:hAnsiTheme="minorEastAsia" w:eastAsiaTheme="minorEastAsia"/>
          <w:b/>
          <w:color w:val="auto"/>
          <w:sz w:val="36"/>
          <w:szCs w:val="36"/>
          <w:highlight w:val="none"/>
        </w:rPr>
        <w:br w:type="page"/>
      </w:r>
    </w:p>
    <w:p w14:paraId="582039E3">
      <w:pPr>
        <w:pStyle w:val="3"/>
        <w:numPr>
          <w:ilvl w:val="0"/>
          <w:numId w:val="0"/>
        </w:numPr>
        <w:bidi w:val="0"/>
        <w:spacing w:line="240" w:lineRule="auto"/>
        <w:ind w:leftChars="0"/>
        <w:jc w:val="center"/>
        <w:rPr>
          <w:rFonts w:hint="eastAsia" w:ascii="Times New Roman" w:hAnsi="Times New Roman" w:eastAsia="宋体" w:cs="Times New Roman"/>
          <w:color w:val="auto"/>
          <w:sz w:val="40"/>
          <w:szCs w:val="40"/>
          <w:highlight w:val="none"/>
        </w:rPr>
      </w:pPr>
      <w:bookmarkStart w:id="54" w:name="_Toc8449"/>
      <w:r>
        <w:rPr>
          <w:rFonts w:hint="eastAsia" w:ascii="Times New Roman" w:hAnsi="Times New Roman" w:eastAsia="宋体" w:cs="Times New Roman"/>
          <w:color w:val="auto"/>
          <w:sz w:val="40"/>
          <w:szCs w:val="40"/>
          <w:highlight w:val="none"/>
        </w:rPr>
        <w:t>第四部分  采购需求</w:t>
      </w:r>
      <w:bookmarkEnd w:id="54"/>
    </w:p>
    <w:p w14:paraId="58F162B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说明： </w:t>
      </w:r>
    </w:p>
    <w:p w14:paraId="62783656">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1.“实质性要求”是指竞争性磋商文件中已经指明不满足则响应文件按无效响应处理的条款，或不能负偏离的条款，或采购需求中带“</w:t>
      </w:r>
      <w:r>
        <w:rPr>
          <w:rFonts w:hint="eastAsia" w:ascii="宋体" w:hAnsi="宋体" w:eastAsia="宋体" w:cs="宋体"/>
          <w:b/>
          <w:bCs/>
          <w:color w:val="auto"/>
          <w:kern w:val="0"/>
          <w:sz w:val="21"/>
          <w:szCs w:val="21"/>
          <w:highlight w:val="none"/>
          <w:lang w:eastAsia="zh-CN"/>
        </w:rPr>
        <w:t>▲</w:t>
      </w:r>
      <w:r>
        <w:rPr>
          <w:rFonts w:hint="eastAsia" w:ascii="宋体" w:hAnsi="宋体" w:eastAsia="宋体" w:cs="宋体"/>
          <w:color w:val="auto"/>
          <w:sz w:val="21"/>
          <w:szCs w:val="21"/>
          <w:highlight w:val="none"/>
          <w:lang w:val="en-US" w:eastAsia="zh-CN"/>
        </w:rPr>
        <w:t>”的条款。采购需求所含全部附件均为磋商文件不可分割的组成部分，</w:t>
      </w:r>
      <w:r>
        <w:rPr>
          <w:rFonts w:hint="eastAsia" w:ascii="宋体" w:hAnsi="宋体" w:eastAsia="宋体" w:cs="宋体"/>
          <w:b/>
          <w:bCs/>
          <w:color w:val="auto"/>
          <w:sz w:val="21"/>
          <w:szCs w:val="21"/>
          <w:highlight w:val="none"/>
          <w:lang w:val="en-US" w:eastAsia="zh-CN"/>
        </w:rPr>
        <w:t>供应商须对附件内容作出完全响应，未响应附件的，按无效响应处理。</w:t>
      </w:r>
      <w:r>
        <w:rPr>
          <w:rFonts w:hint="eastAsia" w:ascii="宋体" w:hAnsi="宋体" w:eastAsia="宋体" w:cs="宋体"/>
          <w:color w:val="auto"/>
          <w:sz w:val="21"/>
          <w:szCs w:val="21"/>
          <w:highlight w:val="none"/>
          <w:lang w:val="en-US" w:eastAsia="zh-CN"/>
        </w:rPr>
        <w:t xml:space="preserve"> </w:t>
      </w:r>
    </w:p>
    <w:p w14:paraId="613F30E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2.所属行业依照《中小企业划型标准规定》（工信部联企业〔2011〕300号）及《国民经济行业分类》（GB/T4754-2017）的有关规定执行，本项目服务所属行业为</w:t>
      </w:r>
      <w:r>
        <w:rPr>
          <w:rFonts w:hint="eastAsia" w:ascii="宋体" w:hAnsi="宋体" w:eastAsia="宋体" w:cs="宋体"/>
          <w:color w:val="auto"/>
          <w:sz w:val="21"/>
          <w:szCs w:val="21"/>
          <w:highlight w:val="none"/>
          <w:u w:val="single"/>
          <w:lang w:val="en-US" w:eastAsia="zh-CN"/>
        </w:rPr>
        <w:t>“其他未列明行业”</w:t>
      </w:r>
      <w:r>
        <w:rPr>
          <w:rFonts w:hint="eastAsia" w:ascii="宋体" w:hAnsi="宋体" w:eastAsia="宋体" w:cs="宋体"/>
          <w:color w:val="auto"/>
          <w:sz w:val="21"/>
          <w:szCs w:val="21"/>
          <w:highlight w:val="none"/>
          <w:lang w:val="en-US" w:eastAsia="zh-CN"/>
        </w:rPr>
        <w:t>。</w:t>
      </w:r>
    </w:p>
    <w:p w14:paraId="780682AF">
      <w:pPr>
        <w:spacing w:line="360" w:lineRule="auto"/>
        <w:rPr>
          <w:rFonts w:hint="eastAsia" w:cs="Times New Roman" w:asciiTheme="minorEastAsia" w:hAnsiTheme="minorEastAsia" w:eastAsiaTheme="minorEastAsia"/>
          <w:b/>
          <w:bCs/>
          <w:color w:val="auto"/>
          <w:sz w:val="24"/>
          <w:highlight w:val="none"/>
          <w:lang w:val="en-US" w:eastAsia="zh-CN"/>
        </w:rPr>
      </w:pPr>
    </w:p>
    <w:p w14:paraId="78B33A2C">
      <w:pPr>
        <w:spacing w:line="360" w:lineRule="auto"/>
        <w:outlineLvl w:val="1"/>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b/>
          <w:bCs/>
          <w:color w:val="auto"/>
          <w:sz w:val="24"/>
          <w:highlight w:val="none"/>
          <w:lang w:val="en-US" w:eastAsia="zh-CN"/>
        </w:rPr>
        <w:t>标项一：</w:t>
      </w:r>
    </w:p>
    <w:tbl>
      <w:tblPr>
        <w:tblStyle w:val="641"/>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1811"/>
        <w:gridCol w:w="889"/>
        <w:gridCol w:w="6826"/>
      </w:tblGrid>
      <w:tr w14:paraId="3EAB0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05" w:type="dxa"/>
            <w:gridSpan w:val="4"/>
            <w:tcBorders>
              <w:top w:val="single" w:color="000000" w:sz="2" w:space="0"/>
              <w:left w:val="single" w:color="000000" w:sz="2" w:space="0"/>
              <w:bottom w:val="single" w:color="000000" w:sz="2" w:space="0"/>
              <w:right w:val="single" w:color="000000" w:sz="2" w:space="0"/>
            </w:tcBorders>
            <w:noWrap w:val="0"/>
            <w:vAlign w:val="center"/>
          </w:tcPr>
          <w:p w14:paraId="1409C2C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eastAsia="zh-CN"/>
              </w:rPr>
              <w:t>▲</w:t>
            </w:r>
            <w:r>
              <w:rPr>
                <w:rFonts w:hint="eastAsia" w:ascii="宋体" w:hAnsi="宋体" w:eastAsia="宋体" w:cs="宋体"/>
                <w:b/>
                <w:color w:val="auto"/>
                <w:kern w:val="0"/>
                <w:sz w:val="21"/>
                <w:szCs w:val="21"/>
                <w:highlight w:val="none"/>
              </w:rPr>
              <w:t>一、项目要求及服务需求</w:t>
            </w:r>
          </w:p>
        </w:tc>
      </w:tr>
      <w:tr w14:paraId="0EFB4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679" w:type="dxa"/>
            <w:tcBorders>
              <w:top w:val="single" w:color="000000" w:sz="2" w:space="0"/>
              <w:left w:val="single" w:color="auto" w:sz="4" w:space="0"/>
              <w:bottom w:val="single" w:color="auto" w:sz="4" w:space="0"/>
              <w:right w:val="single" w:color="auto" w:sz="4" w:space="0"/>
            </w:tcBorders>
            <w:noWrap w:val="0"/>
            <w:vAlign w:val="center"/>
          </w:tcPr>
          <w:p w14:paraId="671855AE">
            <w:pPr>
              <w:pStyle w:val="642"/>
              <w:keepNext w:val="0"/>
              <w:keepLines w:val="0"/>
              <w:pageBreakBefore w:val="0"/>
              <w:kinsoku/>
              <w:wordWrap/>
              <w:overflowPunct/>
              <w:topLinePunct w:val="0"/>
              <w:autoSpaceDE/>
              <w:autoSpaceDN/>
              <w:bidi w:val="0"/>
              <w:adjustRightInd/>
              <w:snapToGrid/>
              <w:spacing w:line="240" w:lineRule="auto"/>
              <w:ind w:left="0" w:leftChars="0" w:right="0" w:rightChars="0"/>
              <w:jc w:val="center"/>
              <w:textAlignment w:val="auto"/>
              <w:rPr>
                <w:rFonts w:hint="default" w:ascii="宋体" w:hAnsi="宋体" w:eastAsia="宋体" w:cs="宋体"/>
                <w:b/>
                <w:bCs/>
                <w:color w:val="auto"/>
                <w:kern w:val="0"/>
                <w:sz w:val="21"/>
                <w:szCs w:val="21"/>
                <w:highlight w:val="none"/>
                <w:lang w:val="en-US" w:eastAsia="zh-CN"/>
              </w:rPr>
            </w:pPr>
            <w:r>
              <w:rPr>
                <w:rFonts w:hint="eastAsia" w:hAnsi="宋体" w:cs="宋体"/>
                <w:b/>
                <w:bCs/>
                <w:color w:val="auto"/>
                <w:kern w:val="0"/>
                <w:sz w:val="21"/>
                <w:szCs w:val="21"/>
                <w:highlight w:val="none"/>
                <w:lang w:val="en-US" w:eastAsia="zh-CN"/>
              </w:rPr>
              <w:t>标项</w:t>
            </w:r>
            <w:r>
              <w:rPr>
                <w:rFonts w:hint="eastAsia" w:ascii="宋体" w:hAnsi="宋体" w:eastAsia="宋体" w:cs="宋体"/>
                <w:b/>
                <w:bCs/>
                <w:color w:val="auto"/>
                <w:kern w:val="0"/>
                <w:sz w:val="21"/>
                <w:szCs w:val="21"/>
                <w:highlight w:val="none"/>
                <w:lang w:val="en-US" w:eastAsia="zh-CN"/>
              </w:rPr>
              <w:t>号</w:t>
            </w:r>
          </w:p>
        </w:tc>
        <w:tc>
          <w:tcPr>
            <w:tcW w:w="1811" w:type="dxa"/>
            <w:tcBorders>
              <w:top w:val="single" w:color="000000" w:sz="2" w:space="0"/>
              <w:left w:val="single" w:color="auto" w:sz="4" w:space="0"/>
              <w:bottom w:val="single" w:color="auto" w:sz="4" w:space="0"/>
              <w:right w:val="single" w:color="auto" w:sz="4" w:space="0"/>
            </w:tcBorders>
            <w:noWrap w:val="0"/>
            <w:vAlign w:val="center"/>
          </w:tcPr>
          <w:p w14:paraId="73509E35">
            <w:pPr>
              <w:pStyle w:val="642"/>
              <w:keepNext w:val="0"/>
              <w:keepLines w:val="0"/>
              <w:pageBreakBefore w:val="0"/>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标项</w:t>
            </w:r>
            <w:r>
              <w:rPr>
                <w:rFonts w:hint="eastAsia" w:ascii="宋体" w:hAnsi="宋体" w:eastAsia="宋体" w:cs="宋体"/>
                <w:b/>
                <w:bCs/>
                <w:color w:val="auto"/>
                <w:kern w:val="0"/>
                <w:sz w:val="21"/>
                <w:szCs w:val="21"/>
                <w:highlight w:val="none"/>
              </w:rPr>
              <w:t>名称</w:t>
            </w:r>
          </w:p>
        </w:tc>
        <w:tc>
          <w:tcPr>
            <w:tcW w:w="889" w:type="dxa"/>
            <w:tcBorders>
              <w:top w:val="single" w:color="000000" w:sz="2" w:space="0"/>
              <w:left w:val="single" w:color="auto" w:sz="4" w:space="0"/>
              <w:bottom w:val="single" w:color="auto" w:sz="4" w:space="0"/>
              <w:right w:val="single" w:color="auto" w:sz="4" w:space="0"/>
            </w:tcBorders>
            <w:noWrap w:val="0"/>
            <w:vAlign w:val="center"/>
          </w:tcPr>
          <w:p w14:paraId="5572B6EB">
            <w:pPr>
              <w:pStyle w:val="642"/>
              <w:keepNext w:val="0"/>
              <w:keepLines w:val="0"/>
              <w:pageBreakBefore w:val="0"/>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rPr>
              <w:t>数量及单位</w:t>
            </w:r>
            <w:r>
              <w:rPr>
                <w:rFonts w:hint="eastAsia" w:hAnsi="宋体" w:cs="宋体"/>
                <w:b/>
                <w:bCs/>
                <w:color w:val="auto"/>
                <w:kern w:val="0"/>
                <w:sz w:val="21"/>
                <w:szCs w:val="21"/>
                <w:highlight w:val="none"/>
                <w:lang w:eastAsia="zh-CN"/>
              </w:rPr>
              <w:t>（批次）</w:t>
            </w:r>
          </w:p>
        </w:tc>
        <w:tc>
          <w:tcPr>
            <w:tcW w:w="6826" w:type="dxa"/>
            <w:tcBorders>
              <w:top w:val="single" w:color="000000" w:sz="2" w:space="0"/>
              <w:left w:val="single" w:color="auto" w:sz="4" w:space="0"/>
              <w:bottom w:val="single" w:color="auto" w:sz="4" w:space="0"/>
              <w:right w:val="single" w:color="auto" w:sz="4" w:space="0"/>
            </w:tcBorders>
            <w:noWrap w:val="0"/>
            <w:vAlign w:val="center"/>
          </w:tcPr>
          <w:p w14:paraId="0B0C342E">
            <w:pPr>
              <w:pStyle w:val="642"/>
              <w:keepNext w:val="0"/>
              <w:keepLines w:val="0"/>
              <w:pageBreakBefore w:val="0"/>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s="宋体"/>
                <w:b/>
                <w:bCs/>
                <w:color w:val="auto"/>
                <w:kern w:val="0"/>
                <w:sz w:val="21"/>
                <w:szCs w:val="21"/>
                <w:highlight w:val="none"/>
              </w:rPr>
            </w:pPr>
            <w:r>
              <w:rPr>
                <w:rFonts w:hint="eastAsia" w:hAnsi="宋体" w:cs="宋体"/>
                <w:b/>
                <w:bCs/>
                <w:color w:val="auto"/>
                <w:kern w:val="0"/>
                <w:sz w:val="21"/>
                <w:szCs w:val="21"/>
                <w:highlight w:val="none"/>
                <w:lang w:eastAsia="zh-CN"/>
              </w:rPr>
              <w:t>服务及</w:t>
            </w:r>
            <w:r>
              <w:rPr>
                <w:rFonts w:hint="eastAsia" w:ascii="宋体" w:hAnsi="宋体" w:eastAsia="宋体" w:cs="宋体"/>
                <w:b/>
                <w:bCs/>
                <w:color w:val="auto"/>
                <w:kern w:val="0"/>
                <w:sz w:val="21"/>
                <w:szCs w:val="21"/>
                <w:highlight w:val="none"/>
                <w:lang w:eastAsia="zh-CN"/>
              </w:rPr>
              <w:t>技术</w:t>
            </w:r>
            <w:r>
              <w:rPr>
                <w:rFonts w:hint="eastAsia" w:ascii="宋体" w:hAnsi="宋体" w:eastAsia="宋体" w:cs="宋体"/>
                <w:b/>
                <w:bCs/>
                <w:color w:val="auto"/>
                <w:kern w:val="0"/>
                <w:sz w:val="21"/>
                <w:szCs w:val="21"/>
                <w:highlight w:val="none"/>
              </w:rPr>
              <w:t>要求</w:t>
            </w:r>
          </w:p>
        </w:tc>
      </w:tr>
      <w:tr w14:paraId="3B2F9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5" w:hRule="atLeast"/>
          <w:jc w:val="center"/>
        </w:trPr>
        <w:tc>
          <w:tcPr>
            <w:tcW w:w="679" w:type="dxa"/>
            <w:tcBorders>
              <w:top w:val="single" w:color="auto" w:sz="4" w:space="0"/>
              <w:left w:val="single" w:color="auto" w:sz="4" w:space="0"/>
              <w:right w:val="single" w:color="auto" w:sz="4" w:space="0"/>
            </w:tcBorders>
            <w:noWrap w:val="0"/>
            <w:vAlign w:val="center"/>
          </w:tcPr>
          <w:p w14:paraId="076E5257">
            <w:pPr>
              <w:pStyle w:val="642"/>
              <w:keepNext w:val="0"/>
              <w:keepLines w:val="0"/>
              <w:pageBreakBefore w:val="0"/>
              <w:kinsoku/>
              <w:wordWrap/>
              <w:overflowPunct/>
              <w:topLinePunct w:val="0"/>
              <w:autoSpaceDE/>
              <w:autoSpaceDN/>
              <w:bidi w:val="0"/>
              <w:adjustRightInd/>
              <w:snapToGrid/>
              <w:spacing w:line="360" w:lineRule="auto"/>
              <w:ind w:left="0" w:leftChars="0" w:right="0" w:rightChars="0"/>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Ⅰ</w:t>
            </w:r>
          </w:p>
        </w:tc>
        <w:tc>
          <w:tcPr>
            <w:tcW w:w="1811" w:type="dxa"/>
            <w:tcBorders>
              <w:top w:val="single" w:color="auto" w:sz="4" w:space="0"/>
              <w:left w:val="single" w:color="auto" w:sz="4" w:space="0"/>
              <w:right w:val="single" w:color="auto" w:sz="4" w:space="0"/>
            </w:tcBorders>
            <w:noWrap w:val="0"/>
            <w:vAlign w:val="center"/>
          </w:tcPr>
          <w:p w14:paraId="6FB2B2BE">
            <w:pPr>
              <w:pStyle w:val="642"/>
              <w:keepNext w:val="0"/>
              <w:keepLines w:val="0"/>
              <w:pageBreakBefore w:val="0"/>
              <w:kinsoku/>
              <w:wordWrap/>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bCs/>
                <w:color w:val="auto"/>
                <w:kern w:val="0"/>
                <w:sz w:val="21"/>
                <w:szCs w:val="21"/>
                <w:highlight w:val="none"/>
              </w:rPr>
            </w:pPr>
            <w:r>
              <w:rPr>
                <w:rFonts w:hint="eastAsia" w:hAnsi="宋体" w:cs="宋体"/>
                <w:color w:val="auto"/>
                <w:kern w:val="0"/>
                <w:sz w:val="21"/>
                <w:szCs w:val="21"/>
                <w:highlight w:val="none"/>
                <w:lang w:eastAsia="zh-CN"/>
              </w:rPr>
              <w:t>市本级</w:t>
            </w:r>
            <w:r>
              <w:rPr>
                <w:rFonts w:hint="eastAsia" w:ascii="宋体" w:hAnsi="宋体" w:eastAsia="宋体" w:cs="宋体"/>
                <w:color w:val="auto"/>
                <w:kern w:val="0"/>
                <w:sz w:val="21"/>
                <w:szCs w:val="21"/>
                <w:highlight w:val="none"/>
              </w:rPr>
              <w:t>202</w:t>
            </w:r>
            <w:r>
              <w:rPr>
                <w:rFonts w:hint="eastAsia" w:hAnsi="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rPr>
              <w:t>年农产品质量安全</w:t>
            </w:r>
            <w:r>
              <w:rPr>
                <w:rFonts w:hint="eastAsia" w:hAnsi="宋体" w:cs="宋体"/>
                <w:color w:val="auto"/>
                <w:kern w:val="0"/>
                <w:sz w:val="21"/>
                <w:szCs w:val="21"/>
                <w:highlight w:val="none"/>
                <w:lang w:eastAsia="zh-CN"/>
              </w:rPr>
              <w:t>定量检测经费</w:t>
            </w:r>
            <w:r>
              <w:rPr>
                <w:rFonts w:hint="eastAsia" w:ascii="宋体" w:hAnsi="宋体" w:eastAsia="宋体" w:cs="宋体"/>
                <w:color w:val="auto"/>
                <w:kern w:val="0"/>
                <w:sz w:val="21"/>
                <w:szCs w:val="21"/>
                <w:highlight w:val="none"/>
              </w:rPr>
              <w:t>（Ⅰ标段）</w:t>
            </w:r>
          </w:p>
        </w:tc>
        <w:tc>
          <w:tcPr>
            <w:tcW w:w="889" w:type="dxa"/>
            <w:tcBorders>
              <w:left w:val="single" w:color="auto" w:sz="4" w:space="0"/>
              <w:right w:val="single" w:color="auto" w:sz="4" w:space="0"/>
            </w:tcBorders>
            <w:noWrap w:val="0"/>
            <w:vAlign w:val="center"/>
          </w:tcPr>
          <w:p w14:paraId="5731B288">
            <w:pPr>
              <w:pStyle w:val="642"/>
              <w:keepNext w:val="0"/>
              <w:keepLines w:val="0"/>
              <w:pageBreakBefore w:val="0"/>
              <w:kinsoku/>
              <w:wordWrap/>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kern w:val="0"/>
                <w:sz w:val="21"/>
                <w:szCs w:val="21"/>
                <w:highlight w:val="none"/>
              </w:rPr>
            </w:pPr>
            <w:r>
              <w:rPr>
                <w:rFonts w:hint="eastAsia" w:ascii="宋体" w:hAnsi="宋体"/>
                <w:color w:val="auto"/>
                <w:szCs w:val="21"/>
              </w:rPr>
              <w:t>≥</w:t>
            </w:r>
            <w:r>
              <w:rPr>
                <w:rFonts w:hint="eastAsia" w:ascii="宋体" w:hAnsi="宋体" w:eastAsia="宋体" w:cs="宋体"/>
                <w:color w:val="auto"/>
                <w:kern w:val="0"/>
                <w:sz w:val="21"/>
                <w:szCs w:val="21"/>
                <w:highlight w:val="none"/>
              </w:rPr>
              <w:t>1</w:t>
            </w:r>
            <w:r>
              <w:rPr>
                <w:rFonts w:hint="eastAsia" w:hAnsi="宋体" w:cs="宋体"/>
                <w:color w:val="auto"/>
                <w:kern w:val="0"/>
                <w:sz w:val="21"/>
                <w:szCs w:val="21"/>
                <w:highlight w:val="none"/>
                <w:lang w:val="en-US" w:eastAsia="zh-CN"/>
              </w:rPr>
              <w:t>010</w:t>
            </w:r>
          </w:p>
        </w:tc>
        <w:tc>
          <w:tcPr>
            <w:tcW w:w="6826" w:type="dxa"/>
            <w:tcBorders>
              <w:left w:val="single" w:color="auto" w:sz="4" w:space="0"/>
              <w:right w:val="single" w:color="auto" w:sz="4" w:space="0"/>
            </w:tcBorders>
            <w:noWrap w:val="0"/>
            <w:vAlign w:val="center"/>
          </w:tcPr>
          <w:p w14:paraId="46EF4C40">
            <w:pPr>
              <w:keepNext/>
              <w:keepLines/>
              <w:spacing w:line="400" w:lineRule="exact"/>
              <w:ind w:firstLine="422" w:firstLineChars="200"/>
              <w:rPr>
                <w:rFonts w:ascii="宋体" w:hAnsi="宋体"/>
                <w:color w:val="auto"/>
                <w:kern w:val="0"/>
                <w:szCs w:val="21"/>
              </w:rPr>
            </w:pPr>
            <w:r>
              <w:rPr>
                <w:rFonts w:hint="eastAsia" w:ascii="宋体" w:hAnsi="宋体"/>
                <w:b/>
                <w:color w:val="auto"/>
                <w:kern w:val="0"/>
                <w:szCs w:val="21"/>
              </w:rPr>
              <w:t>一、项目任务要求</w:t>
            </w:r>
          </w:p>
          <w:p w14:paraId="42446E3F">
            <w:pPr>
              <w:keepNext/>
              <w:keepLines/>
              <w:spacing w:line="40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由</w:t>
            </w:r>
            <w:r>
              <w:rPr>
                <w:rFonts w:hint="eastAsia" w:ascii="宋体" w:hAnsi="宋体"/>
                <w:color w:val="auto"/>
                <w:kern w:val="0"/>
                <w:szCs w:val="21"/>
                <w:highlight w:val="none"/>
                <w:lang w:val="en-US" w:eastAsia="zh-CN"/>
              </w:rPr>
              <w:t>成交</w:t>
            </w:r>
            <w:r>
              <w:rPr>
                <w:rFonts w:hint="eastAsia" w:ascii="宋体" w:hAnsi="宋体"/>
                <w:color w:val="auto"/>
                <w:kern w:val="0"/>
                <w:szCs w:val="21"/>
                <w:highlight w:val="none"/>
              </w:rPr>
              <w:t>人协助采购人开展</w:t>
            </w:r>
            <w:r>
              <w:rPr>
                <w:rFonts w:hint="eastAsia" w:ascii="宋体" w:hAnsi="宋体"/>
                <w:color w:val="auto"/>
                <w:kern w:val="0"/>
                <w:szCs w:val="21"/>
                <w:highlight w:val="none"/>
                <w:lang w:eastAsia="zh-CN"/>
              </w:rPr>
              <w:t>北海市农产品质量安全定量检测，包含种植业、畜牧业、淡水产品</w:t>
            </w:r>
            <w:r>
              <w:rPr>
                <w:rFonts w:hint="eastAsia" w:ascii="宋体" w:hAnsi="宋体"/>
                <w:color w:val="auto"/>
                <w:kern w:val="0"/>
                <w:szCs w:val="21"/>
                <w:highlight w:val="none"/>
              </w:rPr>
              <w:t>例行监测和监督抽查。</w:t>
            </w:r>
          </w:p>
          <w:p w14:paraId="75819052">
            <w:pPr>
              <w:keepNext/>
              <w:keepLines/>
              <w:spacing w:line="400" w:lineRule="exact"/>
              <w:ind w:firstLine="422" w:firstLineChars="200"/>
              <w:rPr>
                <w:rFonts w:hint="eastAsia" w:ascii="宋体" w:hAnsi="宋体"/>
                <w:b/>
                <w:color w:val="auto"/>
                <w:kern w:val="0"/>
                <w:szCs w:val="21"/>
                <w:highlight w:val="none"/>
              </w:rPr>
            </w:pPr>
            <w:r>
              <w:rPr>
                <w:rFonts w:hint="eastAsia" w:ascii="宋体" w:hAnsi="宋体"/>
                <w:b/>
                <w:color w:val="auto"/>
                <w:kern w:val="0"/>
                <w:szCs w:val="21"/>
                <w:highlight w:val="none"/>
              </w:rPr>
              <w:t>二、服务内容：</w:t>
            </w:r>
          </w:p>
          <w:p w14:paraId="67716DA9">
            <w:pPr>
              <w:widowControl/>
              <w:spacing w:line="40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lang w:val="en-US" w:eastAsia="zh-CN"/>
              </w:rPr>
              <w:t>成交</w:t>
            </w:r>
            <w:r>
              <w:rPr>
                <w:rFonts w:hint="eastAsia" w:ascii="宋体" w:hAnsi="宋体"/>
                <w:color w:val="auto"/>
                <w:kern w:val="0"/>
                <w:szCs w:val="21"/>
                <w:highlight w:val="none"/>
              </w:rPr>
              <w:t>人负责完成</w:t>
            </w:r>
            <w:r>
              <w:rPr>
                <w:rFonts w:hint="eastAsia" w:ascii="宋体" w:hAnsi="宋体"/>
                <w:color w:val="auto"/>
                <w:szCs w:val="21"/>
                <w:highlight w:val="none"/>
              </w:rPr>
              <w:t>采购人指定区域内</w:t>
            </w:r>
            <w:r>
              <w:rPr>
                <w:rFonts w:hint="eastAsia" w:ascii="宋体" w:hAnsi="宋体"/>
                <w:color w:val="auto"/>
                <w:szCs w:val="21"/>
                <w:highlight w:val="none"/>
                <w:lang w:eastAsia="zh-CN"/>
              </w:rPr>
              <w:t>（合浦县、海城区）</w:t>
            </w:r>
            <w:r>
              <w:rPr>
                <w:rFonts w:hint="eastAsia" w:ascii="宋体" w:hAnsi="宋体"/>
                <w:color w:val="auto"/>
                <w:kern w:val="0"/>
                <w:szCs w:val="21"/>
                <w:highlight w:val="none"/>
              </w:rPr>
              <w:t>农产品质量安全例行监测和监督抽查工作，</w:t>
            </w:r>
            <w:r>
              <w:rPr>
                <w:rFonts w:ascii="宋体" w:hAnsi="宋体"/>
                <w:color w:val="auto"/>
                <w:kern w:val="0"/>
                <w:szCs w:val="21"/>
                <w:highlight w:val="none"/>
              </w:rPr>
              <w:t>加大重点品种抽样比例，</w:t>
            </w:r>
            <w:r>
              <w:rPr>
                <w:rFonts w:hint="eastAsia" w:ascii="宋体" w:hAnsi="宋体"/>
                <w:color w:val="auto"/>
                <w:kern w:val="0"/>
                <w:szCs w:val="21"/>
                <w:highlight w:val="none"/>
              </w:rPr>
              <w:t>豇豆、甘薯、葱、荔枝、柑橘类（包括沃柑、金桔、砂糖橘等）、香蕉</w:t>
            </w:r>
            <w:r>
              <w:rPr>
                <w:rFonts w:hint="eastAsia" w:ascii="宋体" w:hAnsi="宋体"/>
                <w:color w:val="auto"/>
                <w:kern w:val="0"/>
                <w:szCs w:val="21"/>
                <w:highlight w:val="none"/>
                <w:lang w:eastAsia="zh-CN"/>
              </w:rPr>
              <w:t>、大口黑鲈、鸡蛋</w:t>
            </w:r>
            <w:r>
              <w:rPr>
                <w:rFonts w:hint="eastAsia" w:ascii="宋体" w:hAnsi="宋体"/>
                <w:color w:val="auto"/>
                <w:kern w:val="0"/>
                <w:szCs w:val="21"/>
                <w:highlight w:val="none"/>
              </w:rPr>
              <w:t>等重点品种应抽尽抽</w:t>
            </w:r>
            <w:r>
              <w:rPr>
                <w:rFonts w:ascii="宋体" w:hAnsi="宋体"/>
                <w:color w:val="auto"/>
                <w:kern w:val="0"/>
                <w:szCs w:val="21"/>
                <w:highlight w:val="none"/>
              </w:rPr>
              <w:t>。</w:t>
            </w:r>
          </w:p>
          <w:p w14:paraId="64157411">
            <w:pPr>
              <w:keepNext w:val="0"/>
              <w:keepLines w:val="0"/>
              <w:pageBreakBefore w:val="0"/>
              <w:widowControl w:val="0"/>
              <w:kinsoku/>
              <w:wordWrap/>
              <w:overflowPunct/>
              <w:topLinePunct w:val="0"/>
              <w:bidi w:val="0"/>
              <w:adjustRightInd/>
              <w:snapToGrid/>
              <w:spacing w:line="360" w:lineRule="exact"/>
              <w:ind w:left="0" w:leftChars="0" w:firstLine="422" w:firstLineChars="200"/>
              <w:jc w:val="left"/>
              <w:textAlignment w:val="auto"/>
              <w:rPr>
                <w:rFonts w:hint="eastAsia" w:ascii="宋体" w:hAnsi="宋体" w:eastAsia="宋体" w:cs="宋体"/>
                <w:b/>
                <w:bCs/>
                <w:color w:val="auto"/>
                <w:kern w:val="2"/>
                <w:sz w:val="21"/>
                <w:szCs w:val="21"/>
                <w:highlight w:val="none"/>
              </w:rPr>
            </w:pPr>
            <w:r>
              <w:rPr>
                <w:rFonts w:hint="eastAsia" w:ascii="宋体" w:hAnsi="宋体" w:cs="宋体"/>
                <w:b/>
                <w:bCs/>
                <w:color w:val="auto"/>
                <w:kern w:val="2"/>
                <w:sz w:val="21"/>
                <w:szCs w:val="21"/>
                <w:highlight w:val="none"/>
                <w:lang w:eastAsia="zh-CN"/>
              </w:rPr>
              <w:t>三、</w:t>
            </w:r>
            <w:r>
              <w:rPr>
                <w:rFonts w:hint="eastAsia" w:ascii="宋体" w:hAnsi="宋体" w:eastAsia="宋体" w:cs="宋体"/>
                <w:b/>
                <w:bCs/>
                <w:color w:val="auto"/>
                <w:kern w:val="2"/>
                <w:sz w:val="21"/>
                <w:szCs w:val="21"/>
                <w:highlight w:val="none"/>
              </w:rPr>
              <w:t>主要服务要求</w:t>
            </w:r>
          </w:p>
          <w:p w14:paraId="5F2A71C9">
            <w:pPr>
              <w:keepNext w:val="0"/>
              <w:keepLines w:val="0"/>
              <w:pageBreakBefore w:val="0"/>
              <w:widowControl w:val="0"/>
              <w:kinsoku/>
              <w:wordWrap/>
              <w:overflowPunct/>
              <w:topLinePunct w:val="0"/>
              <w:autoSpaceDE/>
              <w:autoSpaceDN/>
              <w:bidi w:val="0"/>
              <w:adjustRightInd/>
              <w:snapToGrid/>
              <w:spacing w:line="360" w:lineRule="exact"/>
              <w:ind w:left="0" w:leftChars="0" w:firstLine="420" w:firstLineChars="200"/>
              <w:jc w:val="lef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（1）严格遵守法律法规的规定和检验工作有关纪律要求，样品检测过程要求严格进行实验室质量控制，并在</w:t>
            </w:r>
            <w:r>
              <w:rPr>
                <w:rFonts w:hint="eastAsia" w:ascii="宋体" w:hAnsi="宋体" w:cs="宋体"/>
                <w:color w:val="auto"/>
                <w:kern w:val="2"/>
                <w:sz w:val="21"/>
                <w:szCs w:val="21"/>
                <w:highlight w:val="none"/>
                <w:lang w:val="en-US" w:eastAsia="zh-CN"/>
              </w:rPr>
              <w:t>响应</w:t>
            </w:r>
            <w:r>
              <w:rPr>
                <w:rFonts w:hint="eastAsia" w:ascii="宋体" w:hAnsi="宋体" w:eastAsia="宋体" w:cs="宋体"/>
                <w:color w:val="auto"/>
                <w:kern w:val="2"/>
                <w:sz w:val="21"/>
                <w:szCs w:val="21"/>
                <w:highlight w:val="none"/>
              </w:rPr>
              <w:t>文件中提供具体的质量控制实施方案。</w:t>
            </w:r>
          </w:p>
          <w:p w14:paraId="4D0E7BC3">
            <w:pPr>
              <w:keepNext w:val="0"/>
              <w:keepLines w:val="0"/>
              <w:pageBreakBefore w:val="0"/>
              <w:widowControl w:val="0"/>
              <w:kinsoku/>
              <w:wordWrap/>
              <w:overflowPunct/>
              <w:topLinePunct w:val="0"/>
              <w:autoSpaceDE/>
              <w:autoSpaceDN/>
              <w:bidi w:val="0"/>
              <w:adjustRightInd/>
              <w:snapToGrid/>
              <w:spacing w:line="360" w:lineRule="exact"/>
              <w:ind w:left="0" w:leftChars="0" w:firstLine="420" w:firstLineChars="200"/>
              <w:jc w:val="lef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（2）按照采购人要求进行协助抽样、样品制备和检测，按具体方案时间节点要求提交检测报告、原始记录和检测结果汇总表和</w:t>
            </w:r>
            <w:r>
              <w:rPr>
                <w:rFonts w:hint="eastAsia" w:ascii="宋体" w:hAnsi="宋体" w:eastAsia="宋体" w:cs="宋体"/>
                <w:color w:val="auto"/>
                <w:kern w:val="2"/>
                <w:sz w:val="21"/>
                <w:szCs w:val="21"/>
                <w:highlight w:val="none"/>
                <w:lang w:eastAsia="zh-CN"/>
              </w:rPr>
              <w:t>中标</w:t>
            </w:r>
            <w:r>
              <w:rPr>
                <w:rFonts w:hint="eastAsia" w:ascii="宋体" w:hAnsi="宋体" w:eastAsia="宋体" w:cs="宋体"/>
                <w:color w:val="auto"/>
                <w:kern w:val="2"/>
                <w:sz w:val="21"/>
                <w:szCs w:val="21"/>
                <w:highlight w:val="none"/>
              </w:rPr>
              <w:t>项目的准备、检验检测、质量控制、分析报告（纸质版和电子版），汇总表按照采购人要求的格式和内容进行统计分析，并将所有样品妥善保管至采购人提出送交的指定地点。</w:t>
            </w:r>
          </w:p>
          <w:p w14:paraId="5241E284">
            <w:pPr>
              <w:keepNext w:val="0"/>
              <w:keepLines w:val="0"/>
              <w:pageBreakBefore w:val="0"/>
              <w:widowControl w:val="0"/>
              <w:kinsoku/>
              <w:wordWrap/>
              <w:overflowPunct/>
              <w:topLinePunct w:val="0"/>
              <w:autoSpaceDE/>
              <w:autoSpaceDN/>
              <w:bidi w:val="0"/>
              <w:adjustRightInd/>
              <w:snapToGrid/>
              <w:spacing w:line="360" w:lineRule="exact"/>
              <w:ind w:left="0" w:leftChars="0" w:firstLine="420" w:firstLineChars="200"/>
              <w:jc w:val="left"/>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highlight w:val="none"/>
              </w:rPr>
              <w:t>（3）检测结果归采购人所有，</w:t>
            </w:r>
            <w:r>
              <w:rPr>
                <w:rFonts w:hint="eastAsia" w:ascii="宋体" w:hAnsi="宋体"/>
                <w:color w:val="auto"/>
                <w:kern w:val="0"/>
                <w:szCs w:val="21"/>
                <w:highlight w:val="none"/>
                <w:lang w:val="en-US" w:eastAsia="zh-CN"/>
              </w:rPr>
              <w:t>成交</w:t>
            </w:r>
            <w:r>
              <w:rPr>
                <w:rFonts w:hint="eastAsia" w:ascii="宋体" w:hAnsi="宋体"/>
                <w:color w:val="auto"/>
                <w:kern w:val="0"/>
                <w:szCs w:val="21"/>
                <w:highlight w:val="none"/>
              </w:rPr>
              <w:t>人</w:t>
            </w:r>
            <w:r>
              <w:rPr>
                <w:rFonts w:hint="eastAsia" w:ascii="宋体" w:hAnsi="宋体" w:eastAsia="宋体" w:cs="宋体"/>
                <w:color w:val="auto"/>
                <w:kern w:val="2"/>
                <w:sz w:val="21"/>
                <w:szCs w:val="21"/>
                <w:highlight w:val="none"/>
              </w:rPr>
              <w:t>必须对一切检测数据和检测技术资料保密，不得泄露给任何第三方，也不得将与样品</w:t>
            </w:r>
            <w:r>
              <w:rPr>
                <w:rFonts w:hint="eastAsia" w:ascii="宋体" w:hAnsi="宋体" w:eastAsia="宋体" w:cs="宋体"/>
                <w:color w:val="auto"/>
                <w:kern w:val="2"/>
                <w:sz w:val="21"/>
                <w:szCs w:val="21"/>
              </w:rPr>
              <w:t>有关的技术资料用于任何经营、开发及学术活动，否则后果自负。</w:t>
            </w:r>
          </w:p>
          <w:p w14:paraId="21363B51">
            <w:pPr>
              <w:keepNext w:val="0"/>
              <w:keepLines w:val="0"/>
              <w:pageBreakBefore w:val="0"/>
              <w:widowControl w:val="0"/>
              <w:kinsoku/>
              <w:wordWrap/>
              <w:overflowPunct/>
              <w:topLinePunct w:val="0"/>
              <w:autoSpaceDE/>
              <w:autoSpaceDN/>
              <w:bidi w:val="0"/>
              <w:adjustRightInd/>
              <w:snapToGrid/>
              <w:spacing w:line="360" w:lineRule="exact"/>
              <w:ind w:left="0" w:leftChars="0" w:firstLine="420" w:firstLineChars="200"/>
              <w:jc w:val="left"/>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（4）</w:t>
            </w:r>
            <w:r>
              <w:rPr>
                <w:rFonts w:hint="eastAsia" w:ascii="宋体" w:hAnsi="宋体"/>
                <w:color w:val="auto"/>
                <w:kern w:val="0"/>
                <w:szCs w:val="21"/>
                <w:lang w:val="en-US" w:eastAsia="zh-CN"/>
              </w:rPr>
              <w:t>成交</w:t>
            </w:r>
            <w:r>
              <w:rPr>
                <w:rFonts w:hint="eastAsia" w:ascii="宋体" w:hAnsi="宋体"/>
                <w:color w:val="auto"/>
                <w:kern w:val="0"/>
                <w:szCs w:val="21"/>
              </w:rPr>
              <w:t>人</w:t>
            </w:r>
            <w:r>
              <w:rPr>
                <w:rFonts w:hint="eastAsia" w:ascii="宋体" w:hAnsi="宋体" w:eastAsia="宋体" w:cs="宋体"/>
                <w:color w:val="auto"/>
                <w:kern w:val="2"/>
                <w:sz w:val="21"/>
                <w:szCs w:val="21"/>
              </w:rPr>
              <w:t>需对</w:t>
            </w:r>
            <w:r>
              <w:rPr>
                <w:rFonts w:hint="eastAsia" w:ascii="宋体" w:hAnsi="宋体" w:cs="宋体"/>
                <w:color w:val="auto"/>
                <w:kern w:val="2"/>
                <w:sz w:val="21"/>
                <w:szCs w:val="21"/>
                <w:lang w:val="en-US" w:eastAsia="zh-CN"/>
              </w:rPr>
              <w:t>成交</w:t>
            </w:r>
            <w:r>
              <w:rPr>
                <w:rFonts w:hint="eastAsia" w:ascii="宋体" w:hAnsi="宋体" w:eastAsia="宋体" w:cs="宋体"/>
                <w:color w:val="auto"/>
                <w:kern w:val="2"/>
                <w:sz w:val="21"/>
                <w:szCs w:val="21"/>
              </w:rPr>
              <w:t>项目的准备、抽样、制样、检测、质量控制、结果分析等各环节进行总结分析，并提交报告。</w:t>
            </w:r>
          </w:p>
          <w:p w14:paraId="017B55EC">
            <w:pPr>
              <w:keepNext w:val="0"/>
              <w:keepLines w:val="0"/>
              <w:pageBreakBefore w:val="0"/>
              <w:widowControl w:val="0"/>
              <w:kinsoku/>
              <w:wordWrap/>
              <w:overflowPunct/>
              <w:topLinePunct w:val="0"/>
              <w:autoSpaceDE/>
              <w:autoSpaceDN/>
              <w:bidi w:val="0"/>
              <w:adjustRightInd/>
              <w:snapToGrid/>
              <w:spacing w:line="360" w:lineRule="exact"/>
              <w:ind w:left="0" w:leftChars="0" w:firstLine="420" w:firstLineChars="200"/>
              <w:jc w:val="left"/>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w:t>
            </w:r>
            <w:r>
              <w:rPr>
                <w:rFonts w:hint="eastAsia" w:ascii="宋体" w:hAnsi="宋体" w:eastAsia="宋体" w:cs="宋体"/>
                <w:color w:val="auto"/>
                <w:kern w:val="2"/>
                <w:sz w:val="21"/>
                <w:szCs w:val="21"/>
                <w:lang w:val="en-US" w:eastAsia="zh-CN"/>
              </w:rPr>
              <w:t>5</w:t>
            </w:r>
            <w:r>
              <w:rPr>
                <w:rFonts w:hint="eastAsia" w:ascii="宋体" w:hAnsi="宋体" w:eastAsia="宋体" w:cs="宋体"/>
                <w:color w:val="auto"/>
                <w:kern w:val="2"/>
                <w:sz w:val="21"/>
                <w:szCs w:val="21"/>
              </w:rPr>
              <w:t>）</w:t>
            </w:r>
            <w:r>
              <w:rPr>
                <w:rFonts w:hint="eastAsia" w:ascii="宋体" w:hAnsi="宋体"/>
                <w:color w:val="auto"/>
                <w:kern w:val="0"/>
                <w:szCs w:val="21"/>
                <w:lang w:val="en-US" w:eastAsia="zh-CN"/>
              </w:rPr>
              <w:t>成交</w:t>
            </w:r>
            <w:r>
              <w:rPr>
                <w:rFonts w:hint="eastAsia" w:ascii="宋体" w:hAnsi="宋体"/>
                <w:color w:val="auto"/>
                <w:kern w:val="0"/>
                <w:szCs w:val="21"/>
              </w:rPr>
              <w:t>人</w:t>
            </w:r>
            <w:r>
              <w:rPr>
                <w:rFonts w:hint="eastAsia" w:ascii="宋体" w:hAnsi="宋体" w:eastAsia="宋体" w:cs="宋体"/>
                <w:color w:val="auto"/>
                <w:kern w:val="2"/>
                <w:sz w:val="21"/>
                <w:szCs w:val="21"/>
              </w:rPr>
              <w:t>需严格按照</w:t>
            </w:r>
            <w:r>
              <w:rPr>
                <w:rFonts w:hint="eastAsia" w:ascii="宋体" w:hAnsi="宋体" w:cs="宋体"/>
                <w:color w:val="auto"/>
                <w:kern w:val="2"/>
                <w:sz w:val="21"/>
                <w:szCs w:val="21"/>
                <w:lang w:val="en-US" w:eastAsia="zh-CN"/>
              </w:rPr>
              <w:t>成交</w:t>
            </w:r>
            <w:r>
              <w:rPr>
                <w:rFonts w:hint="eastAsia" w:ascii="宋体" w:hAnsi="宋体" w:eastAsia="宋体" w:cs="宋体"/>
                <w:color w:val="auto"/>
                <w:kern w:val="2"/>
                <w:sz w:val="21"/>
                <w:szCs w:val="21"/>
                <w:lang w:val="en-US" w:eastAsia="zh-CN"/>
              </w:rPr>
              <w:t>标项</w:t>
            </w:r>
            <w:r>
              <w:rPr>
                <w:rFonts w:hint="eastAsia" w:ascii="宋体" w:hAnsi="宋体" w:eastAsia="宋体" w:cs="宋体"/>
                <w:color w:val="auto"/>
                <w:kern w:val="2"/>
                <w:sz w:val="21"/>
                <w:szCs w:val="21"/>
              </w:rPr>
              <w:t>及采购人要求开展项目服务、抽样与制样、农产品风险预警培训等工作，同时接受项目</w:t>
            </w:r>
            <w:r>
              <w:rPr>
                <w:rFonts w:hint="eastAsia" w:ascii="宋体" w:hAnsi="宋体" w:cs="宋体"/>
                <w:color w:val="auto"/>
                <w:kern w:val="2"/>
                <w:sz w:val="21"/>
                <w:szCs w:val="21"/>
                <w:lang w:eastAsia="zh-CN"/>
              </w:rPr>
              <w:t>验收考评</w:t>
            </w:r>
            <w:r>
              <w:rPr>
                <w:rFonts w:hint="eastAsia" w:ascii="宋体" w:hAnsi="宋体" w:eastAsia="宋体" w:cs="宋体"/>
                <w:color w:val="auto"/>
                <w:kern w:val="2"/>
                <w:sz w:val="21"/>
                <w:szCs w:val="21"/>
              </w:rPr>
              <w:t>。</w:t>
            </w:r>
          </w:p>
          <w:p w14:paraId="4C17DEE4">
            <w:pPr>
              <w:keepNext w:val="0"/>
              <w:keepLines w:val="0"/>
              <w:pageBreakBefore w:val="0"/>
              <w:widowControl w:val="0"/>
              <w:tabs>
                <w:tab w:val="left" w:pos="3061"/>
              </w:tabs>
              <w:kinsoku/>
              <w:wordWrap/>
              <w:overflowPunct/>
              <w:topLinePunct w:val="0"/>
              <w:bidi w:val="0"/>
              <w:adjustRightInd/>
              <w:snapToGrid/>
              <w:spacing w:line="360" w:lineRule="exact"/>
              <w:ind w:left="0" w:leftChars="0" w:firstLine="422" w:firstLineChars="200"/>
              <w:jc w:val="left"/>
              <w:textAlignment w:val="auto"/>
              <w:rPr>
                <w:rFonts w:hint="eastAsia" w:ascii="宋体" w:hAnsi="宋体" w:eastAsia="宋体" w:cs="宋体"/>
                <w:color w:val="auto"/>
                <w:kern w:val="2"/>
                <w:sz w:val="21"/>
                <w:szCs w:val="21"/>
                <w:lang w:eastAsia="zh-CN"/>
              </w:rPr>
            </w:pPr>
            <w:r>
              <w:rPr>
                <w:rFonts w:hint="eastAsia" w:ascii="宋体" w:hAnsi="宋体" w:cs="宋体"/>
                <w:b/>
                <w:bCs/>
                <w:color w:val="auto"/>
                <w:kern w:val="2"/>
                <w:sz w:val="21"/>
                <w:szCs w:val="21"/>
                <w:lang w:eastAsia="zh-CN"/>
              </w:rPr>
              <w:t>四、</w:t>
            </w:r>
            <w:r>
              <w:rPr>
                <w:rFonts w:hint="eastAsia" w:ascii="宋体" w:hAnsi="宋体" w:eastAsia="宋体" w:cs="宋体"/>
                <w:b/>
                <w:bCs/>
                <w:color w:val="auto"/>
                <w:kern w:val="2"/>
                <w:sz w:val="21"/>
                <w:szCs w:val="21"/>
              </w:rPr>
              <w:t>主要技术要求</w:t>
            </w:r>
          </w:p>
          <w:p w14:paraId="5840621E">
            <w:pPr>
              <w:keepNext w:val="0"/>
              <w:keepLines w:val="0"/>
              <w:pageBreakBefore w:val="0"/>
              <w:widowControl w:val="0"/>
              <w:kinsoku/>
              <w:wordWrap/>
              <w:overflowPunct/>
              <w:topLinePunct w:val="0"/>
              <w:autoSpaceDE w:val="0"/>
              <w:autoSpaceDN w:val="0"/>
              <w:bidi w:val="0"/>
              <w:adjustRightInd/>
              <w:snapToGrid/>
              <w:spacing w:line="360" w:lineRule="exact"/>
              <w:ind w:left="0" w:leftChars="0" w:firstLine="420" w:firstLineChars="200"/>
              <w:jc w:val="left"/>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（1）属于风险检测类任务的，由</w:t>
            </w:r>
            <w:r>
              <w:rPr>
                <w:rFonts w:hint="eastAsia" w:ascii="宋体" w:hAnsi="宋体"/>
                <w:color w:val="auto"/>
                <w:kern w:val="0"/>
                <w:szCs w:val="21"/>
                <w:lang w:val="en-US" w:eastAsia="zh-CN"/>
              </w:rPr>
              <w:t>成交</w:t>
            </w:r>
            <w:r>
              <w:rPr>
                <w:rFonts w:hint="eastAsia" w:ascii="宋体" w:hAnsi="宋体"/>
                <w:color w:val="auto"/>
                <w:kern w:val="0"/>
                <w:szCs w:val="21"/>
              </w:rPr>
              <w:t>人</w:t>
            </w:r>
            <w:r>
              <w:rPr>
                <w:rFonts w:hint="eastAsia" w:ascii="宋体" w:hAnsi="宋体" w:eastAsia="宋体" w:cs="宋体"/>
                <w:color w:val="auto"/>
                <w:kern w:val="2"/>
                <w:sz w:val="21"/>
                <w:szCs w:val="21"/>
              </w:rPr>
              <w:t>负责样品抽样和样品预处理等全部工作，采购</w:t>
            </w:r>
            <w:r>
              <w:rPr>
                <w:rFonts w:hint="eastAsia" w:ascii="宋体" w:hAnsi="宋体" w:cs="宋体"/>
                <w:color w:val="auto"/>
                <w:kern w:val="2"/>
                <w:sz w:val="21"/>
                <w:szCs w:val="21"/>
                <w:lang w:val="en-US" w:eastAsia="zh-CN"/>
              </w:rPr>
              <w:t>人</w:t>
            </w:r>
            <w:r>
              <w:rPr>
                <w:rFonts w:hint="eastAsia" w:ascii="宋体" w:hAnsi="宋体" w:eastAsia="宋体" w:cs="宋体"/>
                <w:color w:val="auto"/>
                <w:kern w:val="2"/>
                <w:sz w:val="21"/>
                <w:szCs w:val="21"/>
              </w:rPr>
              <w:t>依法依规对抽样工作进行监督，确保抽样工作的公正性以及样品的代表性、真实性和完整性;属于监督抽查类任务的，</w:t>
            </w:r>
            <w:r>
              <w:rPr>
                <w:rFonts w:hint="eastAsia" w:ascii="宋体" w:hAnsi="宋体"/>
                <w:color w:val="auto"/>
                <w:kern w:val="0"/>
                <w:szCs w:val="21"/>
                <w:lang w:val="en-US" w:eastAsia="zh-CN"/>
              </w:rPr>
              <w:t>成交</w:t>
            </w:r>
            <w:r>
              <w:rPr>
                <w:rFonts w:hint="eastAsia" w:ascii="宋体" w:hAnsi="宋体"/>
                <w:color w:val="auto"/>
                <w:kern w:val="0"/>
                <w:szCs w:val="21"/>
              </w:rPr>
              <w:t>人</w:t>
            </w:r>
            <w:r>
              <w:rPr>
                <w:rFonts w:hint="eastAsia" w:ascii="宋体" w:hAnsi="宋体" w:eastAsia="宋体" w:cs="宋体"/>
                <w:color w:val="auto"/>
                <w:kern w:val="2"/>
                <w:sz w:val="21"/>
                <w:szCs w:val="21"/>
              </w:rPr>
              <w:t>需要陪同执法人员到</w:t>
            </w:r>
            <w:r>
              <w:rPr>
                <w:rFonts w:hint="eastAsia" w:ascii="宋体" w:hAnsi="宋体" w:cs="宋体"/>
                <w:color w:val="auto"/>
                <w:kern w:val="2"/>
                <w:sz w:val="21"/>
                <w:szCs w:val="21"/>
                <w:lang w:eastAsia="zh-CN"/>
              </w:rPr>
              <w:t>北海</w:t>
            </w:r>
            <w:r>
              <w:rPr>
                <w:rFonts w:hint="eastAsia" w:ascii="宋体" w:hAnsi="宋体" w:eastAsia="宋体" w:cs="宋体"/>
                <w:color w:val="auto"/>
                <w:kern w:val="2"/>
                <w:sz w:val="21"/>
                <w:szCs w:val="21"/>
              </w:rPr>
              <w:t>市农业农村局指定的辖区农产品产地协助实施抽样和样品预处理等工作。</w:t>
            </w:r>
          </w:p>
          <w:p w14:paraId="5CAC5D7F">
            <w:pPr>
              <w:keepNext w:val="0"/>
              <w:keepLines w:val="0"/>
              <w:pageBreakBefore w:val="0"/>
              <w:widowControl w:val="0"/>
              <w:kinsoku/>
              <w:wordWrap/>
              <w:overflowPunct/>
              <w:topLinePunct w:val="0"/>
              <w:autoSpaceDE w:val="0"/>
              <w:autoSpaceDN w:val="0"/>
              <w:bidi w:val="0"/>
              <w:adjustRightInd/>
              <w:snapToGrid/>
              <w:spacing w:line="360" w:lineRule="exact"/>
              <w:ind w:left="0" w:leftChars="0" w:firstLine="420" w:firstLineChars="200"/>
              <w:jc w:val="left"/>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（2）</w:t>
            </w:r>
            <w:r>
              <w:rPr>
                <w:rFonts w:hint="eastAsia" w:ascii="宋体" w:hAnsi="宋体"/>
                <w:color w:val="auto"/>
                <w:kern w:val="0"/>
                <w:szCs w:val="21"/>
                <w:lang w:val="en-US" w:eastAsia="zh-CN"/>
              </w:rPr>
              <w:t>成交</w:t>
            </w:r>
            <w:r>
              <w:rPr>
                <w:rFonts w:hint="eastAsia" w:ascii="宋体" w:hAnsi="宋体"/>
                <w:color w:val="auto"/>
                <w:kern w:val="0"/>
                <w:szCs w:val="21"/>
              </w:rPr>
              <w:t>人</w:t>
            </w:r>
            <w:r>
              <w:rPr>
                <w:rFonts w:hint="eastAsia" w:ascii="宋体" w:hAnsi="宋体" w:eastAsia="宋体" w:cs="宋体"/>
                <w:color w:val="auto"/>
                <w:kern w:val="2"/>
                <w:sz w:val="21"/>
                <w:szCs w:val="21"/>
              </w:rPr>
              <w:t>负责协助将抽取的每批次农产品样品制备成3份，</w:t>
            </w:r>
            <w:r>
              <w:rPr>
                <w:rFonts w:hint="eastAsia" w:ascii="宋体" w:hAnsi="宋体" w:eastAsia="宋体" w:cs="宋体"/>
                <w:color w:val="auto"/>
                <w:kern w:val="2"/>
                <w:sz w:val="21"/>
                <w:szCs w:val="21"/>
                <w:lang w:eastAsia="zh-CN"/>
              </w:rPr>
              <w:t>每份</w:t>
            </w:r>
            <w:r>
              <w:rPr>
                <w:rFonts w:hint="eastAsia" w:ascii="宋体" w:hAnsi="宋体" w:eastAsia="宋体" w:cs="宋体"/>
                <w:color w:val="auto"/>
                <w:kern w:val="2"/>
                <w:sz w:val="21"/>
                <w:szCs w:val="21"/>
              </w:rPr>
              <w:t>约150～300g，1份供分析检测，1份留作备样备查</w:t>
            </w:r>
            <w:r>
              <w:rPr>
                <w:rFonts w:hint="eastAsia" w:ascii="宋体" w:hAnsi="宋体" w:eastAsia="宋体" w:cs="宋体"/>
                <w:color w:val="auto"/>
                <w:kern w:val="2"/>
                <w:sz w:val="21"/>
                <w:szCs w:val="21"/>
                <w:lang w:eastAsia="zh-CN"/>
              </w:rPr>
              <w:t>，</w:t>
            </w:r>
            <w:r>
              <w:rPr>
                <w:rFonts w:hint="eastAsia" w:ascii="宋体" w:hAnsi="宋体" w:eastAsia="宋体" w:cs="宋体"/>
                <w:color w:val="auto"/>
                <w:kern w:val="2"/>
                <w:sz w:val="21"/>
                <w:szCs w:val="21"/>
              </w:rPr>
              <w:t>1份留被抽样单位。</w:t>
            </w:r>
          </w:p>
          <w:p w14:paraId="3A9A27B2">
            <w:pPr>
              <w:keepNext w:val="0"/>
              <w:keepLines w:val="0"/>
              <w:pageBreakBefore w:val="0"/>
              <w:widowControl w:val="0"/>
              <w:kinsoku/>
              <w:wordWrap/>
              <w:overflowPunct/>
              <w:topLinePunct w:val="0"/>
              <w:autoSpaceDE w:val="0"/>
              <w:autoSpaceDN w:val="0"/>
              <w:bidi w:val="0"/>
              <w:adjustRightInd/>
              <w:snapToGrid/>
              <w:spacing w:line="360" w:lineRule="exact"/>
              <w:ind w:left="0" w:leftChars="0" w:firstLine="420" w:firstLineChars="200"/>
              <w:jc w:val="left"/>
              <w:textAlignment w:val="auto"/>
              <w:rPr>
                <w:rFonts w:hint="eastAsia" w:ascii="宋体" w:hAnsi="宋体" w:eastAsia="宋体" w:cs="宋体"/>
                <w:color w:val="auto"/>
                <w:kern w:val="2"/>
                <w:sz w:val="21"/>
                <w:szCs w:val="21"/>
                <w:lang w:val="en-US" w:eastAsia="zh-CN"/>
              </w:rPr>
            </w:pPr>
            <w:r>
              <w:rPr>
                <w:rFonts w:hint="eastAsia" w:ascii="宋体" w:hAnsi="宋体" w:eastAsia="宋体" w:cs="宋体"/>
                <w:color w:val="auto"/>
                <w:kern w:val="2"/>
                <w:sz w:val="21"/>
                <w:szCs w:val="21"/>
              </w:rPr>
              <w:t>（3）检测项目</w:t>
            </w:r>
            <w:r>
              <w:rPr>
                <w:rFonts w:hint="eastAsia" w:ascii="宋体" w:hAnsi="宋体" w:eastAsia="宋体" w:cs="宋体"/>
                <w:color w:val="auto"/>
                <w:kern w:val="2"/>
                <w:sz w:val="21"/>
                <w:szCs w:val="21"/>
                <w:lang w:val="en-US" w:eastAsia="zh-CN"/>
              </w:rPr>
              <w:t>内容、数量、单价、分项预算合计</w:t>
            </w:r>
            <w:r>
              <w:rPr>
                <w:rFonts w:hint="eastAsia" w:ascii="宋体" w:hAnsi="宋体" w:eastAsia="宋体" w:cs="宋体"/>
                <w:color w:val="auto"/>
                <w:kern w:val="2"/>
                <w:sz w:val="21"/>
                <w:szCs w:val="21"/>
              </w:rPr>
              <w:t>：详见“</w:t>
            </w:r>
            <w:r>
              <w:rPr>
                <w:rFonts w:hint="eastAsia" w:ascii="宋体" w:hAnsi="宋体" w:eastAsia="宋体" w:cs="宋体"/>
                <w:b/>
                <w:bCs/>
                <w:color w:val="auto"/>
                <w:kern w:val="2"/>
                <w:sz w:val="21"/>
                <w:szCs w:val="21"/>
              </w:rPr>
              <w:t>检测服务品种及检测项目（附表1）</w:t>
            </w:r>
            <w:r>
              <w:rPr>
                <w:rFonts w:hint="eastAsia" w:ascii="宋体" w:hAnsi="宋体" w:eastAsia="宋体" w:cs="宋体"/>
                <w:color w:val="auto"/>
                <w:kern w:val="2"/>
                <w:sz w:val="21"/>
                <w:szCs w:val="21"/>
              </w:rPr>
              <w:t>”。</w:t>
            </w:r>
            <w:r>
              <w:rPr>
                <w:rFonts w:hint="eastAsia" w:ascii="宋体" w:hAnsi="宋体" w:cs="宋体"/>
                <w:b/>
                <w:bCs/>
                <w:color w:val="auto"/>
                <w:kern w:val="2"/>
                <w:sz w:val="21"/>
                <w:szCs w:val="21"/>
                <w:lang w:val="en-US" w:eastAsia="zh-CN"/>
              </w:rPr>
              <w:t>供应商</w:t>
            </w:r>
            <w:r>
              <w:rPr>
                <w:rFonts w:hint="eastAsia" w:ascii="宋体" w:hAnsi="宋体" w:eastAsia="宋体" w:cs="宋体"/>
                <w:b/>
                <w:bCs/>
                <w:color w:val="auto"/>
                <w:kern w:val="2"/>
                <w:sz w:val="21"/>
                <w:szCs w:val="21"/>
                <w:lang w:val="en-US" w:eastAsia="zh-CN"/>
              </w:rPr>
              <w:t>响应时需详细响应附表1中各标段对应内容（产品类别、</w:t>
            </w:r>
            <w:r>
              <w:rPr>
                <w:rFonts w:hint="eastAsia" w:ascii="宋体" w:hAnsi="宋体" w:cs="宋体"/>
                <w:b/>
                <w:bCs/>
                <w:color w:val="auto"/>
                <w:kern w:val="2"/>
                <w:sz w:val="21"/>
                <w:szCs w:val="21"/>
                <w:lang w:val="en-US" w:eastAsia="zh-CN"/>
              </w:rPr>
              <w:t>检测类别</w:t>
            </w:r>
            <w:r>
              <w:rPr>
                <w:rFonts w:hint="eastAsia" w:ascii="宋体" w:hAnsi="宋体" w:eastAsia="宋体" w:cs="宋体"/>
                <w:b/>
                <w:bCs/>
                <w:color w:val="auto"/>
                <w:kern w:val="2"/>
                <w:sz w:val="21"/>
                <w:szCs w:val="21"/>
                <w:lang w:val="en-US" w:eastAsia="zh-CN"/>
              </w:rPr>
              <w:t>、检测项目等）</w:t>
            </w:r>
            <w:r>
              <w:rPr>
                <w:rFonts w:hint="eastAsia" w:ascii="宋体" w:hAnsi="宋体" w:eastAsia="宋体" w:cs="宋体"/>
                <w:color w:val="auto"/>
                <w:kern w:val="2"/>
                <w:sz w:val="21"/>
                <w:szCs w:val="21"/>
                <w:lang w:val="en-US" w:eastAsia="zh-CN"/>
              </w:rPr>
              <w:t>。</w:t>
            </w:r>
          </w:p>
          <w:p w14:paraId="5639B54F">
            <w:pPr>
              <w:tabs>
                <w:tab w:val="left" w:pos="180"/>
                <w:tab w:val="left" w:pos="1620"/>
              </w:tabs>
              <w:spacing w:line="360" w:lineRule="auto"/>
              <w:ind w:firstLine="210" w:firstLineChars="100"/>
              <w:jc w:val="left"/>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（4）检测方法：根据</w:t>
            </w:r>
            <w:r>
              <w:rPr>
                <w:rFonts w:hint="eastAsia" w:ascii="宋体" w:hAnsi="宋体" w:eastAsia="宋体" w:cs="宋体"/>
                <w:color w:val="auto"/>
                <w:kern w:val="2"/>
                <w:sz w:val="21"/>
                <w:szCs w:val="21"/>
                <w:lang w:val="en-US" w:eastAsia="zh-CN"/>
              </w:rPr>
              <w:t>供应商</w:t>
            </w:r>
            <w:r>
              <w:rPr>
                <w:rFonts w:hint="eastAsia" w:ascii="宋体" w:hAnsi="宋体" w:eastAsia="宋体" w:cs="宋体"/>
                <w:color w:val="auto"/>
                <w:kern w:val="2"/>
                <w:sz w:val="21"/>
                <w:szCs w:val="21"/>
              </w:rPr>
              <w:t>实验室能力提出响应</w:t>
            </w:r>
            <w:r>
              <w:rPr>
                <w:rFonts w:hint="eastAsia" w:ascii="宋体" w:hAnsi="宋体" w:eastAsia="宋体" w:cs="宋体"/>
                <w:color w:val="auto"/>
                <w:kern w:val="2"/>
                <w:sz w:val="21"/>
                <w:szCs w:val="21"/>
                <w:lang w:eastAsia="zh-CN"/>
              </w:rPr>
              <w:t>的</w:t>
            </w:r>
            <w:r>
              <w:rPr>
                <w:rFonts w:hint="eastAsia" w:ascii="宋体" w:hAnsi="宋体" w:eastAsia="宋体" w:cs="宋体"/>
                <w:color w:val="auto"/>
                <w:kern w:val="2"/>
                <w:sz w:val="21"/>
                <w:szCs w:val="21"/>
              </w:rPr>
              <w:t>技术标准</w:t>
            </w:r>
            <w:r>
              <w:rPr>
                <w:rFonts w:hint="eastAsia" w:ascii="宋体" w:hAnsi="宋体" w:eastAsia="宋体" w:cs="宋体"/>
                <w:color w:val="auto"/>
                <w:kern w:val="2"/>
                <w:sz w:val="21"/>
                <w:szCs w:val="21"/>
                <w:lang w:val="en-US" w:eastAsia="zh-CN"/>
              </w:rPr>
              <w:t>(</w:t>
            </w:r>
            <w:r>
              <w:rPr>
                <w:rFonts w:hint="eastAsia" w:ascii="宋体" w:hAnsi="宋体" w:eastAsia="宋体" w:cs="宋体"/>
                <w:color w:val="auto"/>
                <w:kern w:val="2"/>
                <w:sz w:val="21"/>
                <w:szCs w:val="21"/>
              </w:rPr>
              <w:t>国家</w:t>
            </w:r>
            <w:r>
              <w:rPr>
                <w:rFonts w:hint="eastAsia" w:ascii="宋体" w:hAnsi="宋体" w:eastAsia="宋体" w:cs="宋体"/>
                <w:color w:val="auto"/>
                <w:kern w:val="2"/>
                <w:sz w:val="21"/>
                <w:szCs w:val="21"/>
                <w:lang w:eastAsia="zh-CN"/>
              </w:rPr>
              <w:t>标准</w:t>
            </w:r>
            <w:r>
              <w:rPr>
                <w:rFonts w:hint="eastAsia" w:ascii="宋体" w:hAnsi="宋体" w:eastAsia="宋体" w:cs="宋体"/>
                <w:color w:val="auto"/>
                <w:kern w:val="2"/>
                <w:sz w:val="21"/>
                <w:szCs w:val="21"/>
              </w:rPr>
              <w:t>或者行业标准</w:t>
            </w:r>
            <w:r>
              <w:rPr>
                <w:rFonts w:hint="eastAsia" w:ascii="宋体" w:hAnsi="宋体" w:eastAsia="宋体" w:cs="宋体"/>
                <w:color w:val="auto"/>
                <w:kern w:val="2"/>
                <w:sz w:val="21"/>
                <w:szCs w:val="21"/>
                <w:lang w:val="en-US" w:eastAsia="zh-CN"/>
              </w:rPr>
              <w:t>)</w:t>
            </w:r>
            <w:r>
              <w:rPr>
                <w:rFonts w:hint="eastAsia" w:ascii="宋体" w:hAnsi="宋体" w:eastAsia="宋体" w:cs="宋体"/>
                <w:color w:val="auto"/>
                <w:kern w:val="2"/>
                <w:sz w:val="21"/>
                <w:szCs w:val="21"/>
              </w:rPr>
              <w:t>，</w:t>
            </w:r>
            <w:r>
              <w:rPr>
                <w:rFonts w:hint="eastAsia" w:ascii="宋体" w:hAnsi="宋体" w:cs="宋体"/>
                <w:b/>
                <w:bCs/>
                <w:color w:val="auto"/>
                <w:kern w:val="2"/>
                <w:sz w:val="21"/>
                <w:szCs w:val="21"/>
                <w:lang w:val="en-US" w:eastAsia="zh-CN"/>
              </w:rPr>
              <w:t>响应时</w:t>
            </w:r>
            <w:r>
              <w:rPr>
                <w:rFonts w:hint="eastAsia" w:ascii="宋体" w:hAnsi="宋体" w:eastAsia="宋体" w:cs="宋体"/>
                <w:color w:val="auto"/>
                <w:kern w:val="2"/>
                <w:sz w:val="21"/>
                <w:szCs w:val="21"/>
              </w:rPr>
              <w:t>提供开展检测项目所采用的标准方法编号、名称</w:t>
            </w:r>
            <w:r>
              <w:rPr>
                <w:rFonts w:hint="eastAsia" w:ascii="宋体" w:hAnsi="宋体" w:eastAsia="宋体" w:cs="宋体"/>
                <w:color w:val="auto"/>
                <w:kern w:val="2"/>
                <w:sz w:val="21"/>
                <w:szCs w:val="21"/>
                <w:lang w:eastAsia="zh-CN"/>
              </w:rPr>
              <w:t>、</w:t>
            </w:r>
            <w:r>
              <w:rPr>
                <w:rFonts w:hint="eastAsia" w:ascii="宋体" w:hAnsi="宋体" w:eastAsia="宋体" w:cs="宋体"/>
                <w:color w:val="auto"/>
                <w:kern w:val="2"/>
                <w:sz w:val="21"/>
                <w:szCs w:val="21"/>
              </w:rPr>
              <w:t>相对应标准文本正文第1页以及该</w:t>
            </w:r>
            <w:r>
              <w:rPr>
                <w:rFonts w:hint="eastAsia" w:ascii="宋体" w:hAnsi="宋体" w:eastAsia="宋体" w:cs="宋体"/>
                <w:color w:val="auto"/>
                <w:kern w:val="2"/>
                <w:sz w:val="21"/>
                <w:szCs w:val="21"/>
                <w:lang w:eastAsia="zh-CN"/>
              </w:rPr>
              <w:t>检测</w:t>
            </w:r>
            <w:r>
              <w:rPr>
                <w:rFonts w:hint="eastAsia" w:ascii="宋体" w:hAnsi="宋体" w:eastAsia="宋体" w:cs="宋体"/>
                <w:color w:val="auto"/>
                <w:kern w:val="2"/>
                <w:sz w:val="21"/>
                <w:szCs w:val="21"/>
              </w:rPr>
              <w:t>参数的所在页并</w:t>
            </w:r>
            <w:r>
              <w:rPr>
                <w:rFonts w:hint="eastAsia" w:ascii="宋体" w:hAnsi="宋体" w:eastAsia="宋体" w:cs="宋体"/>
                <w:color w:val="auto"/>
                <w:kern w:val="2"/>
                <w:sz w:val="21"/>
                <w:szCs w:val="21"/>
                <w:lang w:eastAsia="zh-CN"/>
              </w:rPr>
              <w:t>用</w:t>
            </w:r>
            <w:r>
              <w:rPr>
                <w:rFonts w:hint="eastAsia" w:ascii="宋体" w:hAnsi="宋体" w:eastAsia="宋体" w:cs="宋体"/>
                <w:color w:val="auto"/>
                <w:kern w:val="2"/>
                <w:sz w:val="21"/>
                <w:szCs w:val="21"/>
              </w:rPr>
              <w:t>记号标出。</w:t>
            </w:r>
          </w:p>
          <w:p w14:paraId="286CDF35">
            <w:pPr>
              <w:tabs>
                <w:tab w:val="left" w:pos="180"/>
                <w:tab w:val="left" w:pos="1620"/>
              </w:tabs>
              <w:spacing w:line="360" w:lineRule="auto"/>
              <w:ind w:firstLine="210" w:firstLineChars="100"/>
              <w:jc w:val="left"/>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（5）检测时限：从</w:t>
            </w:r>
            <w:r>
              <w:rPr>
                <w:rFonts w:hint="eastAsia" w:ascii="宋体" w:hAnsi="宋体" w:eastAsia="宋体" w:cs="宋体"/>
                <w:color w:val="auto"/>
                <w:kern w:val="2"/>
                <w:sz w:val="21"/>
                <w:szCs w:val="21"/>
                <w:lang w:val="en-US" w:eastAsia="zh-CN"/>
              </w:rPr>
              <w:t>成交</w:t>
            </w:r>
            <w:r>
              <w:rPr>
                <w:rFonts w:hint="eastAsia" w:ascii="宋体" w:hAnsi="宋体" w:eastAsia="宋体" w:cs="宋体"/>
                <w:color w:val="auto"/>
                <w:kern w:val="2"/>
                <w:sz w:val="21"/>
                <w:szCs w:val="21"/>
              </w:rPr>
              <w:t>人收到样品之日起开始计算，监督抽检完成检测并出具检测报告时间不得超过7个工作日，检出不合格样品的应在检验结果确定后24小时内，将检验结果告知抽样单位并立即将检验报告寄送到抽样单位；风险监测完成检测并出具检测报告时间不得超过</w:t>
            </w:r>
            <w:r>
              <w:rPr>
                <w:rFonts w:hint="eastAsia" w:ascii="宋体" w:hAnsi="宋体" w:eastAsia="宋体" w:cs="宋体"/>
                <w:color w:val="auto"/>
                <w:kern w:val="2"/>
                <w:sz w:val="21"/>
                <w:szCs w:val="21"/>
                <w:lang w:val="en-US" w:eastAsia="zh-CN"/>
              </w:rPr>
              <w:t>12</w:t>
            </w:r>
            <w:r>
              <w:rPr>
                <w:rFonts w:hint="eastAsia" w:ascii="宋体" w:hAnsi="宋体" w:eastAsia="宋体" w:cs="宋体"/>
                <w:color w:val="auto"/>
                <w:kern w:val="2"/>
                <w:sz w:val="21"/>
                <w:szCs w:val="21"/>
              </w:rPr>
              <w:t>个工作日，检出不合格样品的应在检验结果确定后</w:t>
            </w:r>
            <w:r>
              <w:rPr>
                <w:rFonts w:hint="eastAsia" w:ascii="宋体" w:hAnsi="宋体" w:eastAsia="宋体" w:cs="宋体"/>
                <w:color w:val="auto"/>
                <w:kern w:val="2"/>
                <w:sz w:val="21"/>
                <w:szCs w:val="21"/>
                <w:lang w:val="en-US" w:eastAsia="zh-CN"/>
              </w:rPr>
              <w:t>24小时内</w:t>
            </w:r>
            <w:r>
              <w:rPr>
                <w:rFonts w:hint="eastAsia" w:ascii="宋体" w:hAnsi="宋体" w:eastAsia="宋体" w:cs="宋体"/>
                <w:color w:val="auto"/>
                <w:kern w:val="2"/>
                <w:sz w:val="21"/>
                <w:szCs w:val="21"/>
              </w:rPr>
              <w:t>，将检验结果告知抽样单位并立即将检验报告寄送到抽样单位</w:t>
            </w:r>
            <w:r>
              <w:rPr>
                <w:rFonts w:hint="eastAsia" w:ascii="宋体" w:hAnsi="宋体" w:cs="宋体"/>
                <w:color w:val="auto"/>
                <w:kern w:val="2"/>
                <w:sz w:val="21"/>
                <w:szCs w:val="21"/>
                <w:lang w:eastAsia="zh-CN"/>
              </w:rPr>
              <w:t>；</w:t>
            </w:r>
            <w:r>
              <w:rPr>
                <w:rFonts w:hint="eastAsia" w:ascii="宋体" w:hAnsi="宋体" w:cs="宋体"/>
                <w:color w:val="auto"/>
                <w:szCs w:val="21"/>
              </w:rPr>
              <w:t>涉及应急</w:t>
            </w:r>
            <w:r>
              <w:rPr>
                <w:rFonts w:hint="eastAsia" w:ascii="宋体" w:hAnsi="宋体" w:cs="宋体"/>
                <w:color w:val="auto"/>
                <w:szCs w:val="21"/>
                <w:lang w:eastAsia="zh-CN"/>
              </w:rPr>
              <w:t>抽检</w:t>
            </w:r>
            <w:r>
              <w:rPr>
                <w:rFonts w:hint="eastAsia" w:ascii="宋体" w:hAnsi="宋体" w:cs="宋体"/>
                <w:color w:val="auto"/>
                <w:szCs w:val="21"/>
              </w:rPr>
              <w:t>任务的，</w:t>
            </w:r>
            <w:r>
              <w:rPr>
                <w:rFonts w:hint="eastAsia" w:ascii="宋体" w:hAnsi="宋体" w:eastAsia="宋体" w:cs="宋体"/>
                <w:color w:val="auto"/>
                <w:sz w:val="21"/>
                <w:szCs w:val="21"/>
                <w:highlight w:val="none"/>
                <w:lang w:val="en-US" w:eastAsia="zh-CN"/>
              </w:rPr>
              <w:t>接收到样品后</w:t>
            </w:r>
            <w:r>
              <w:rPr>
                <w:rFonts w:hint="eastAsia" w:ascii="宋体" w:hAnsi="宋体" w:cs="宋体"/>
                <w:color w:val="auto"/>
                <w:sz w:val="21"/>
                <w:szCs w:val="21"/>
                <w:highlight w:val="none"/>
                <w:lang w:val="en-US" w:eastAsia="zh-CN"/>
              </w:rPr>
              <w:t>48</w:t>
            </w:r>
            <w:r>
              <w:rPr>
                <w:rFonts w:hint="eastAsia" w:ascii="宋体" w:hAnsi="宋体" w:eastAsia="宋体" w:cs="宋体"/>
                <w:color w:val="auto"/>
                <w:sz w:val="21"/>
                <w:szCs w:val="21"/>
                <w:highlight w:val="none"/>
                <w:lang w:val="en-US" w:eastAsia="zh-CN"/>
              </w:rPr>
              <w:t>小时内出具检测数据和判定结果</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12个工作日内出具检测报告。</w:t>
            </w:r>
          </w:p>
          <w:p w14:paraId="46F1F0A5">
            <w:pPr>
              <w:keepNext w:val="0"/>
              <w:keepLines w:val="0"/>
              <w:pageBreakBefore w:val="0"/>
              <w:widowControl w:val="0"/>
              <w:kinsoku/>
              <w:wordWrap/>
              <w:overflowPunct/>
              <w:topLinePunct w:val="0"/>
              <w:autoSpaceDE w:val="0"/>
              <w:autoSpaceDN w:val="0"/>
              <w:bidi w:val="0"/>
              <w:adjustRightInd/>
              <w:snapToGrid/>
              <w:spacing w:line="360" w:lineRule="exact"/>
              <w:ind w:left="0" w:leftChars="0" w:firstLine="420" w:firstLineChars="200"/>
              <w:jc w:val="left"/>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w:t>
            </w:r>
            <w:r>
              <w:rPr>
                <w:rFonts w:hint="eastAsia" w:ascii="宋体" w:hAnsi="宋体" w:eastAsia="宋体" w:cs="宋体"/>
                <w:color w:val="auto"/>
                <w:kern w:val="2"/>
                <w:sz w:val="21"/>
                <w:szCs w:val="21"/>
                <w:lang w:val="en-US" w:eastAsia="zh-CN"/>
              </w:rPr>
              <w:t>6</w:t>
            </w:r>
            <w:r>
              <w:rPr>
                <w:rFonts w:hint="eastAsia" w:ascii="宋体" w:hAnsi="宋体" w:eastAsia="宋体" w:cs="宋体"/>
                <w:color w:val="auto"/>
                <w:kern w:val="2"/>
                <w:sz w:val="21"/>
                <w:szCs w:val="21"/>
              </w:rPr>
              <w:t>）项目最终完成</w:t>
            </w:r>
            <w:r>
              <w:rPr>
                <w:rFonts w:hint="eastAsia" w:ascii="宋体" w:hAnsi="宋体" w:eastAsia="宋体" w:cs="宋体"/>
                <w:color w:val="auto"/>
                <w:kern w:val="2"/>
                <w:sz w:val="21"/>
                <w:szCs w:val="21"/>
                <w:lang w:eastAsia="zh-CN"/>
              </w:rPr>
              <w:t>后，须</w:t>
            </w:r>
            <w:r>
              <w:rPr>
                <w:rFonts w:hint="eastAsia" w:ascii="宋体" w:hAnsi="宋体" w:eastAsia="宋体" w:cs="宋体"/>
                <w:color w:val="auto"/>
                <w:kern w:val="2"/>
                <w:sz w:val="21"/>
                <w:szCs w:val="21"/>
              </w:rPr>
              <w:t>提交正式的《检验报告》和《质控报告》及其电子版的原始记录、Microsoft Excel检测结果汇总表和</w:t>
            </w:r>
            <w:r>
              <w:rPr>
                <w:rFonts w:hint="eastAsia" w:ascii="宋体" w:hAnsi="宋体" w:eastAsia="宋体" w:cs="宋体"/>
                <w:color w:val="auto"/>
                <w:kern w:val="2"/>
                <w:sz w:val="21"/>
                <w:szCs w:val="21"/>
                <w:lang w:val="en-US" w:eastAsia="zh-CN"/>
              </w:rPr>
              <w:t>PDF文档</w:t>
            </w:r>
            <w:r>
              <w:rPr>
                <w:rFonts w:hint="eastAsia" w:ascii="宋体" w:hAnsi="宋体" w:eastAsia="宋体" w:cs="宋体"/>
                <w:color w:val="auto"/>
                <w:kern w:val="2"/>
                <w:sz w:val="21"/>
                <w:szCs w:val="21"/>
              </w:rPr>
              <w:t>的质控报告检验报告。</w:t>
            </w:r>
          </w:p>
          <w:p w14:paraId="50948D5D">
            <w:pPr>
              <w:keepNext w:val="0"/>
              <w:keepLines w:val="0"/>
              <w:pageBreakBefore w:val="0"/>
              <w:widowControl w:val="0"/>
              <w:kinsoku/>
              <w:wordWrap/>
              <w:overflowPunct/>
              <w:topLinePunct w:val="0"/>
              <w:autoSpaceDE w:val="0"/>
              <w:autoSpaceDN w:val="0"/>
              <w:bidi w:val="0"/>
              <w:adjustRightInd/>
              <w:snapToGrid/>
              <w:spacing w:line="360" w:lineRule="exact"/>
              <w:ind w:left="0" w:leftChars="0" w:firstLine="420" w:firstLineChars="200"/>
              <w:jc w:val="left"/>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w:t>
            </w:r>
            <w:r>
              <w:rPr>
                <w:rFonts w:hint="eastAsia" w:ascii="宋体" w:hAnsi="宋体" w:eastAsia="宋体" w:cs="宋体"/>
                <w:color w:val="auto"/>
                <w:kern w:val="2"/>
                <w:sz w:val="21"/>
                <w:szCs w:val="21"/>
                <w:lang w:val="en-US" w:eastAsia="zh-CN"/>
              </w:rPr>
              <w:t>7</w:t>
            </w:r>
            <w:r>
              <w:rPr>
                <w:rFonts w:hint="eastAsia" w:ascii="宋体" w:hAnsi="宋体" w:eastAsia="宋体" w:cs="宋体"/>
                <w:color w:val="auto"/>
                <w:kern w:val="2"/>
                <w:sz w:val="21"/>
                <w:szCs w:val="21"/>
              </w:rPr>
              <w:t>）</w:t>
            </w:r>
            <w:r>
              <w:rPr>
                <w:rFonts w:hint="eastAsia" w:ascii="宋体" w:hAnsi="宋体"/>
                <w:color w:val="auto"/>
                <w:kern w:val="0"/>
                <w:szCs w:val="21"/>
                <w:lang w:val="en-US" w:eastAsia="zh-CN"/>
              </w:rPr>
              <w:t>成交</w:t>
            </w:r>
            <w:r>
              <w:rPr>
                <w:rFonts w:hint="eastAsia" w:ascii="宋体" w:hAnsi="宋体"/>
                <w:color w:val="auto"/>
                <w:kern w:val="0"/>
                <w:szCs w:val="21"/>
              </w:rPr>
              <w:t>人</w:t>
            </w:r>
            <w:r>
              <w:rPr>
                <w:rFonts w:hint="eastAsia" w:ascii="宋体" w:hAnsi="宋体" w:eastAsia="宋体" w:cs="宋体"/>
                <w:color w:val="auto"/>
                <w:kern w:val="2"/>
                <w:sz w:val="21"/>
                <w:szCs w:val="21"/>
              </w:rPr>
              <w:t>必须按照国家或者行业标准要求，开展检测服务和质量控制，并接受采购人采取不定期的电话、电子邮件以及现场检查等方式加强对中标方进行本项服务的监督检查，必要时参加采购人安排的质控样品测试，以保证样品检测的进度和质量。</w:t>
            </w:r>
          </w:p>
          <w:p w14:paraId="5A60C309">
            <w:pPr>
              <w:keepNext w:val="0"/>
              <w:keepLines w:val="0"/>
              <w:pageBreakBefore w:val="0"/>
              <w:widowControl w:val="0"/>
              <w:kinsoku/>
              <w:wordWrap/>
              <w:overflowPunct/>
              <w:topLinePunct w:val="0"/>
              <w:bidi w:val="0"/>
              <w:adjustRightInd/>
              <w:snapToGrid/>
              <w:spacing w:line="360" w:lineRule="exact"/>
              <w:ind w:left="0" w:leftChars="0" w:firstLine="422" w:firstLineChars="200"/>
              <w:jc w:val="left"/>
              <w:textAlignment w:val="auto"/>
              <w:rPr>
                <w:rFonts w:hint="eastAsia" w:ascii="宋体" w:hAnsi="宋体" w:eastAsia="宋体" w:cs="宋体"/>
                <w:color w:val="auto"/>
                <w:kern w:val="2"/>
                <w:sz w:val="21"/>
                <w:szCs w:val="21"/>
              </w:rPr>
            </w:pPr>
            <w:r>
              <w:rPr>
                <w:rFonts w:hint="eastAsia" w:ascii="宋体" w:hAnsi="宋体" w:cs="宋体"/>
                <w:b/>
                <w:bCs/>
                <w:color w:val="auto"/>
                <w:kern w:val="2"/>
                <w:sz w:val="21"/>
                <w:szCs w:val="21"/>
                <w:lang w:eastAsia="zh-CN"/>
              </w:rPr>
              <w:t>五、</w:t>
            </w:r>
            <w:r>
              <w:rPr>
                <w:rFonts w:hint="eastAsia" w:ascii="宋体" w:hAnsi="宋体" w:eastAsia="宋体" w:cs="宋体"/>
                <w:b/>
                <w:bCs/>
                <w:color w:val="auto"/>
                <w:kern w:val="2"/>
                <w:sz w:val="21"/>
                <w:szCs w:val="21"/>
              </w:rPr>
              <w:t>其他要求</w:t>
            </w:r>
          </w:p>
          <w:p w14:paraId="013707DD">
            <w:pPr>
              <w:keepNext w:val="0"/>
              <w:keepLines w:val="0"/>
              <w:pageBreakBefore w:val="0"/>
              <w:widowControl w:val="0"/>
              <w:kinsoku/>
              <w:wordWrap/>
              <w:overflowPunct/>
              <w:topLinePunct w:val="0"/>
              <w:autoSpaceDE w:val="0"/>
              <w:autoSpaceDN w:val="0"/>
              <w:bidi w:val="0"/>
              <w:adjustRightInd/>
              <w:snapToGrid/>
              <w:spacing w:line="360" w:lineRule="exact"/>
              <w:ind w:left="0" w:leftChars="0" w:firstLine="420" w:firstLineChars="200"/>
              <w:jc w:val="left"/>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（1）根据项目实施期间的实际需求和承检机构的服务实效情况，由</w:t>
            </w:r>
            <w:r>
              <w:rPr>
                <w:rFonts w:hint="eastAsia" w:ascii="宋体" w:hAnsi="宋体"/>
                <w:color w:val="auto"/>
                <w:kern w:val="0"/>
                <w:szCs w:val="21"/>
                <w:lang w:val="en-US" w:eastAsia="zh-CN"/>
              </w:rPr>
              <w:t>成交</w:t>
            </w:r>
            <w:r>
              <w:rPr>
                <w:rFonts w:hint="eastAsia" w:ascii="宋体" w:hAnsi="宋体"/>
                <w:color w:val="auto"/>
                <w:kern w:val="0"/>
                <w:szCs w:val="21"/>
              </w:rPr>
              <w:t>人</w:t>
            </w:r>
            <w:r>
              <w:rPr>
                <w:rFonts w:hint="eastAsia" w:ascii="宋体" w:hAnsi="宋体" w:eastAsia="宋体" w:cs="宋体"/>
                <w:color w:val="auto"/>
                <w:kern w:val="2"/>
                <w:sz w:val="21"/>
                <w:szCs w:val="21"/>
              </w:rPr>
              <w:t>提供若干批次（不超过合同批次的5%)）的应急抽检服务</w:t>
            </w:r>
            <w:r>
              <w:rPr>
                <w:rFonts w:hint="eastAsia" w:ascii="宋体" w:hAnsi="宋体" w:cs="宋体"/>
                <w:color w:val="auto"/>
                <w:kern w:val="2"/>
                <w:sz w:val="21"/>
                <w:szCs w:val="21"/>
                <w:lang w:eastAsia="zh-CN"/>
              </w:rPr>
              <w:t>，</w:t>
            </w:r>
            <w:r>
              <w:rPr>
                <w:rFonts w:hint="eastAsia" w:ascii="宋体" w:hAnsi="宋体" w:eastAsia="宋体" w:cs="宋体"/>
                <w:color w:val="auto"/>
                <w:sz w:val="21"/>
                <w:szCs w:val="21"/>
                <w:highlight w:val="none"/>
                <w:lang w:val="en-US" w:eastAsia="zh-CN"/>
              </w:rPr>
              <w:t>应急</w:t>
            </w:r>
            <w:r>
              <w:rPr>
                <w:rFonts w:hint="eastAsia" w:ascii="宋体" w:hAnsi="宋体" w:cs="宋体"/>
                <w:color w:val="auto"/>
                <w:sz w:val="21"/>
                <w:szCs w:val="21"/>
                <w:highlight w:val="none"/>
                <w:lang w:val="en-US" w:eastAsia="zh-CN"/>
              </w:rPr>
              <w:t>抽检</w:t>
            </w:r>
            <w:r>
              <w:rPr>
                <w:rFonts w:hint="eastAsia" w:ascii="宋体" w:hAnsi="宋体" w:eastAsia="宋体" w:cs="宋体"/>
                <w:color w:val="auto"/>
                <w:sz w:val="21"/>
                <w:szCs w:val="21"/>
                <w:highlight w:val="none"/>
                <w:lang w:val="en-US" w:eastAsia="zh-CN"/>
              </w:rPr>
              <w:t>数量不计入</w:t>
            </w:r>
            <w:r>
              <w:rPr>
                <w:rFonts w:hint="eastAsia" w:ascii="宋体" w:hAnsi="宋体" w:cs="宋体"/>
                <w:color w:val="auto"/>
                <w:sz w:val="21"/>
                <w:szCs w:val="21"/>
                <w:highlight w:val="none"/>
                <w:lang w:val="en-US" w:eastAsia="zh-CN"/>
              </w:rPr>
              <w:t>项目检测批次</w:t>
            </w:r>
            <w:r>
              <w:rPr>
                <w:rFonts w:hint="eastAsia" w:ascii="宋体" w:hAnsi="宋体" w:eastAsia="宋体" w:cs="宋体"/>
                <w:color w:val="auto"/>
                <w:sz w:val="21"/>
                <w:szCs w:val="21"/>
                <w:highlight w:val="none"/>
                <w:lang w:val="en-US" w:eastAsia="zh-CN"/>
              </w:rPr>
              <w:t>数量，由采购人另行通知</w:t>
            </w:r>
            <w:r>
              <w:rPr>
                <w:rFonts w:hint="eastAsia" w:ascii="宋体" w:hAnsi="宋体" w:eastAsia="宋体" w:cs="宋体"/>
                <w:color w:val="auto"/>
                <w:kern w:val="2"/>
                <w:sz w:val="21"/>
                <w:szCs w:val="21"/>
              </w:rPr>
              <w:t>。</w:t>
            </w:r>
          </w:p>
          <w:p w14:paraId="621585FF">
            <w:pPr>
              <w:keepNext w:val="0"/>
              <w:keepLines w:val="0"/>
              <w:pageBreakBefore w:val="0"/>
              <w:widowControl w:val="0"/>
              <w:kinsoku/>
              <w:wordWrap/>
              <w:overflowPunct/>
              <w:topLinePunct w:val="0"/>
              <w:autoSpaceDE w:val="0"/>
              <w:autoSpaceDN w:val="0"/>
              <w:bidi w:val="0"/>
              <w:adjustRightInd/>
              <w:snapToGrid/>
              <w:spacing w:line="360" w:lineRule="exact"/>
              <w:ind w:left="0" w:leftChars="0" w:firstLine="420" w:firstLineChars="200"/>
              <w:jc w:val="left"/>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（2）</w:t>
            </w:r>
            <w:r>
              <w:rPr>
                <w:rFonts w:hint="eastAsia" w:ascii="宋体" w:hAnsi="宋体"/>
                <w:color w:val="auto"/>
                <w:kern w:val="0"/>
                <w:szCs w:val="21"/>
                <w:lang w:val="en-US" w:eastAsia="zh-CN"/>
              </w:rPr>
              <w:t>成交</w:t>
            </w:r>
            <w:r>
              <w:rPr>
                <w:rFonts w:hint="eastAsia" w:ascii="宋体" w:hAnsi="宋体"/>
                <w:color w:val="auto"/>
                <w:kern w:val="0"/>
                <w:szCs w:val="21"/>
              </w:rPr>
              <w:t>人</w:t>
            </w:r>
            <w:r>
              <w:rPr>
                <w:rFonts w:hint="eastAsia" w:ascii="宋体" w:hAnsi="宋体" w:eastAsia="宋体" w:cs="宋体"/>
                <w:color w:val="auto"/>
                <w:kern w:val="2"/>
                <w:sz w:val="21"/>
                <w:szCs w:val="21"/>
              </w:rPr>
              <w:t>须配合采购人开展相应的复检工作，复检结果与</w:t>
            </w:r>
            <w:r>
              <w:rPr>
                <w:rFonts w:hint="eastAsia" w:ascii="宋体" w:hAnsi="宋体" w:eastAsia="宋体" w:cs="宋体"/>
                <w:color w:val="auto"/>
                <w:kern w:val="2"/>
                <w:sz w:val="21"/>
                <w:szCs w:val="21"/>
                <w:lang w:eastAsia="zh-CN"/>
              </w:rPr>
              <w:t>原</w:t>
            </w:r>
            <w:r>
              <w:rPr>
                <w:rFonts w:hint="eastAsia" w:ascii="宋体" w:hAnsi="宋体" w:eastAsia="宋体" w:cs="宋体"/>
                <w:color w:val="auto"/>
                <w:kern w:val="2"/>
                <w:sz w:val="21"/>
                <w:szCs w:val="21"/>
              </w:rPr>
              <w:t>检验结果不一致的，以复检结果为最终结果。复检结果为合格的，复检费用由抽样检验的部门承担；复检结果为不合格的，复检费用和由此对采购人造成的不良影响由</w:t>
            </w:r>
            <w:r>
              <w:rPr>
                <w:rFonts w:hint="eastAsia" w:ascii="宋体" w:hAnsi="宋体"/>
                <w:color w:val="auto"/>
                <w:kern w:val="0"/>
                <w:szCs w:val="21"/>
                <w:lang w:val="en-US" w:eastAsia="zh-CN"/>
              </w:rPr>
              <w:t>成交</w:t>
            </w:r>
            <w:r>
              <w:rPr>
                <w:rFonts w:hint="eastAsia" w:ascii="宋体" w:hAnsi="宋体"/>
                <w:color w:val="auto"/>
                <w:kern w:val="0"/>
                <w:szCs w:val="21"/>
              </w:rPr>
              <w:t>人</w:t>
            </w:r>
            <w:r>
              <w:rPr>
                <w:rFonts w:hint="eastAsia" w:ascii="宋体" w:hAnsi="宋体" w:eastAsia="宋体" w:cs="宋体"/>
                <w:color w:val="auto"/>
                <w:kern w:val="2"/>
                <w:sz w:val="21"/>
                <w:szCs w:val="21"/>
              </w:rPr>
              <w:t>负责。</w:t>
            </w:r>
          </w:p>
          <w:p w14:paraId="6F2A2E0B">
            <w:pPr>
              <w:keepNext w:val="0"/>
              <w:keepLines w:val="0"/>
              <w:pageBreakBefore w:val="0"/>
              <w:widowControl w:val="0"/>
              <w:kinsoku/>
              <w:wordWrap/>
              <w:overflowPunct/>
              <w:topLinePunct w:val="0"/>
              <w:autoSpaceDE w:val="0"/>
              <w:autoSpaceDN w:val="0"/>
              <w:bidi w:val="0"/>
              <w:adjustRightInd/>
              <w:snapToGrid/>
              <w:spacing w:line="360" w:lineRule="exact"/>
              <w:ind w:left="0" w:leftChars="0" w:firstLine="420" w:firstLineChars="200"/>
              <w:jc w:val="left"/>
              <w:textAlignment w:val="auto"/>
              <w:rPr>
                <w:rFonts w:hint="eastAsia" w:ascii="宋体" w:hAnsi="宋体" w:eastAsia="宋体" w:cs="宋体"/>
                <w:color w:val="auto"/>
                <w:kern w:val="2"/>
                <w:sz w:val="21"/>
                <w:szCs w:val="21"/>
                <w:lang w:eastAsia="zh-CN"/>
              </w:rPr>
            </w:pPr>
            <w:r>
              <w:rPr>
                <w:rFonts w:hint="eastAsia" w:ascii="宋体" w:hAnsi="宋体" w:eastAsia="宋体" w:cs="宋体"/>
                <w:color w:val="auto"/>
                <w:kern w:val="2"/>
                <w:sz w:val="21"/>
                <w:szCs w:val="21"/>
                <w:lang w:eastAsia="zh-CN"/>
              </w:rPr>
              <w:t>（</w:t>
            </w:r>
            <w:r>
              <w:rPr>
                <w:rFonts w:hint="eastAsia" w:ascii="宋体" w:hAnsi="宋体" w:eastAsia="宋体" w:cs="宋体"/>
                <w:color w:val="auto"/>
                <w:kern w:val="2"/>
                <w:sz w:val="21"/>
                <w:szCs w:val="21"/>
                <w:lang w:val="en-US" w:eastAsia="zh-CN"/>
              </w:rPr>
              <w:t>3</w:t>
            </w:r>
            <w:r>
              <w:rPr>
                <w:rFonts w:hint="eastAsia" w:ascii="宋体" w:hAnsi="宋体" w:eastAsia="宋体" w:cs="宋体"/>
                <w:color w:val="auto"/>
                <w:kern w:val="2"/>
                <w:sz w:val="21"/>
                <w:szCs w:val="21"/>
                <w:lang w:eastAsia="zh-CN"/>
              </w:rPr>
              <w:t>）</w:t>
            </w:r>
            <w:r>
              <w:rPr>
                <w:rFonts w:hint="eastAsia" w:ascii="宋体" w:hAnsi="宋体"/>
                <w:color w:val="auto"/>
                <w:kern w:val="0"/>
                <w:szCs w:val="21"/>
                <w:lang w:val="en-US" w:eastAsia="zh-CN"/>
              </w:rPr>
              <w:t>成交</w:t>
            </w:r>
            <w:r>
              <w:rPr>
                <w:rFonts w:hint="eastAsia" w:ascii="宋体" w:hAnsi="宋体"/>
                <w:color w:val="auto"/>
                <w:kern w:val="0"/>
                <w:szCs w:val="21"/>
              </w:rPr>
              <w:t>人</w:t>
            </w:r>
            <w:r>
              <w:rPr>
                <w:rFonts w:hint="eastAsia" w:ascii="宋体" w:hAnsi="宋体" w:eastAsia="宋体" w:cs="宋体"/>
                <w:color w:val="auto"/>
                <w:kern w:val="2"/>
                <w:sz w:val="21"/>
                <w:szCs w:val="21"/>
                <w:lang w:eastAsia="zh-CN"/>
              </w:rPr>
              <w:t>除按合同约定完成检测批次外，还应发挥自身资质优势与行业资源整合能力，围绕我市地方</w:t>
            </w:r>
            <w:r>
              <w:rPr>
                <w:rFonts w:hint="eastAsia" w:ascii="宋体" w:hAnsi="宋体" w:cs="宋体"/>
                <w:color w:val="auto"/>
                <w:kern w:val="2"/>
                <w:sz w:val="21"/>
                <w:szCs w:val="21"/>
                <w:lang w:eastAsia="zh-CN"/>
              </w:rPr>
              <w:t>农业</w:t>
            </w:r>
            <w:r>
              <w:rPr>
                <w:rFonts w:hint="eastAsia" w:ascii="宋体" w:hAnsi="宋体" w:eastAsia="宋体" w:cs="宋体"/>
                <w:color w:val="auto"/>
                <w:kern w:val="2"/>
                <w:sz w:val="21"/>
                <w:szCs w:val="21"/>
                <w:lang w:eastAsia="zh-CN"/>
              </w:rPr>
              <w:t>产业提供</w:t>
            </w:r>
            <w:r>
              <w:rPr>
                <w:rFonts w:hint="eastAsia" w:ascii="宋体" w:hAnsi="宋体" w:cs="宋体"/>
                <w:color w:val="auto"/>
                <w:kern w:val="2"/>
                <w:sz w:val="21"/>
                <w:szCs w:val="21"/>
                <w:lang w:eastAsia="zh-CN"/>
              </w:rPr>
              <w:t>一项以上</w:t>
            </w:r>
            <w:r>
              <w:rPr>
                <w:rFonts w:hint="eastAsia" w:ascii="宋体" w:hAnsi="宋体" w:eastAsia="宋体" w:cs="宋体"/>
                <w:color w:val="auto"/>
                <w:kern w:val="2"/>
                <w:sz w:val="21"/>
                <w:szCs w:val="21"/>
                <w:lang w:eastAsia="zh-CN"/>
              </w:rPr>
              <w:t>增值服务（服务内容可包括但不限于</w:t>
            </w:r>
            <w:r>
              <w:rPr>
                <w:rFonts w:hint="eastAsia" w:ascii="宋体" w:hAnsi="宋体" w:cs="宋体"/>
                <w:color w:val="auto"/>
                <w:kern w:val="2"/>
                <w:sz w:val="21"/>
                <w:szCs w:val="21"/>
                <w:lang w:eastAsia="zh-CN"/>
              </w:rPr>
              <w:t>绿色有机认证产品检测</w:t>
            </w:r>
            <w:r>
              <w:rPr>
                <w:rFonts w:hint="eastAsia" w:ascii="宋体" w:hAnsi="宋体" w:eastAsia="宋体" w:cs="宋体"/>
                <w:color w:val="auto"/>
                <w:kern w:val="2"/>
                <w:sz w:val="21"/>
                <w:szCs w:val="21"/>
                <w:lang w:eastAsia="zh-CN"/>
              </w:rPr>
              <w:t>、</w:t>
            </w:r>
            <w:r>
              <w:rPr>
                <w:rFonts w:hint="eastAsia" w:ascii="宋体" w:hAnsi="宋体" w:cs="宋体"/>
                <w:color w:val="auto"/>
                <w:kern w:val="2"/>
                <w:sz w:val="21"/>
                <w:szCs w:val="21"/>
                <w:lang w:eastAsia="zh-CN"/>
              </w:rPr>
              <w:t>绿色有机</w:t>
            </w:r>
            <w:r>
              <w:rPr>
                <w:rFonts w:hint="eastAsia" w:ascii="宋体" w:hAnsi="宋体" w:eastAsia="宋体" w:cs="宋体"/>
                <w:color w:val="auto"/>
                <w:kern w:val="2"/>
                <w:sz w:val="21"/>
                <w:szCs w:val="21"/>
                <w:lang w:eastAsia="zh-CN"/>
              </w:rPr>
              <w:t>质量认证</w:t>
            </w:r>
            <w:r>
              <w:rPr>
                <w:rFonts w:hint="eastAsia" w:ascii="宋体" w:hAnsi="宋体" w:cs="宋体"/>
                <w:color w:val="auto"/>
                <w:kern w:val="2"/>
                <w:sz w:val="21"/>
                <w:szCs w:val="21"/>
                <w:lang w:eastAsia="zh-CN"/>
              </w:rPr>
              <w:t>、</w:t>
            </w:r>
            <w:r>
              <w:rPr>
                <w:rFonts w:hint="eastAsia" w:ascii="宋体" w:hAnsi="宋体" w:eastAsia="宋体" w:cs="宋体"/>
                <w:color w:val="auto"/>
                <w:kern w:val="2"/>
                <w:sz w:val="21"/>
                <w:szCs w:val="21"/>
                <w:lang w:eastAsia="zh-CN"/>
              </w:rPr>
              <w:t>检测技术培训等方面的专业指导和帮扶），助力我市农业产业绿色高质量发展，实现“尽企业所长，服务我市急需”的目标。</w:t>
            </w:r>
          </w:p>
          <w:p w14:paraId="1579EFB4">
            <w:pPr>
              <w:keepNext w:val="0"/>
              <w:keepLines w:val="0"/>
              <w:pageBreakBefore w:val="0"/>
              <w:widowControl w:val="0"/>
              <w:kinsoku/>
              <w:wordWrap/>
              <w:overflowPunct/>
              <w:topLinePunct w:val="0"/>
              <w:autoSpaceDE w:val="0"/>
              <w:autoSpaceDN w:val="0"/>
              <w:bidi w:val="0"/>
              <w:adjustRightInd/>
              <w:snapToGrid/>
              <w:spacing w:line="360" w:lineRule="exact"/>
              <w:ind w:left="0" w:leftChars="0" w:firstLine="420" w:firstLineChars="200"/>
              <w:jc w:val="left"/>
              <w:textAlignment w:val="auto"/>
              <w:rPr>
                <w:rFonts w:hint="eastAsia" w:ascii="宋体" w:hAnsi="宋体" w:eastAsia="宋体" w:cs="宋体"/>
                <w:color w:val="auto"/>
                <w:kern w:val="2"/>
                <w:sz w:val="21"/>
                <w:szCs w:val="21"/>
              </w:rPr>
            </w:pPr>
            <w:r>
              <w:rPr>
                <w:rFonts w:hint="eastAsia" w:ascii="宋体" w:hAnsi="宋体" w:cs="宋体"/>
                <w:color w:val="auto"/>
                <w:kern w:val="2"/>
                <w:sz w:val="21"/>
                <w:szCs w:val="21"/>
                <w:lang w:eastAsia="zh-CN"/>
              </w:rPr>
              <w:t>六、</w:t>
            </w:r>
            <w:r>
              <w:rPr>
                <w:rFonts w:hint="eastAsia" w:ascii="宋体" w:hAnsi="宋体" w:eastAsia="宋体" w:cs="宋体"/>
                <w:b/>
                <w:bCs/>
                <w:color w:val="auto"/>
                <w:kern w:val="2"/>
                <w:sz w:val="21"/>
                <w:szCs w:val="21"/>
                <w:lang w:val="en-US" w:eastAsia="zh-CN"/>
              </w:rPr>
              <w:t>供应商</w:t>
            </w:r>
            <w:r>
              <w:rPr>
                <w:rFonts w:hint="eastAsia" w:ascii="宋体" w:hAnsi="宋体" w:eastAsia="宋体" w:cs="宋体"/>
                <w:b/>
                <w:bCs/>
                <w:color w:val="auto"/>
                <w:kern w:val="2"/>
                <w:sz w:val="21"/>
                <w:szCs w:val="21"/>
              </w:rPr>
              <w:t>资质及其他实质性要求</w:t>
            </w:r>
          </w:p>
          <w:p w14:paraId="127FAC62">
            <w:pPr>
              <w:keepNext w:val="0"/>
              <w:keepLines w:val="0"/>
              <w:pageBreakBefore w:val="0"/>
              <w:widowControl w:val="0"/>
              <w:kinsoku/>
              <w:wordWrap/>
              <w:overflowPunct/>
              <w:topLinePunct w:val="0"/>
              <w:autoSpaceDE w:val="0"/>
              <w:autoSpaceDN w:val="0"/>
              <w:bidi w:val="0"/>
              <w:adjustRightInd/>
              <w:snapToGrid/>
              <w:spacing w:line="360" w:lineRule="exact"/>
              <w:ind w:left="0" w:leftChars="0" w:firstLine="420" w:firstLineChars="200"/>
              <w:jc w:val="left"/>
              <w:textAlignment w:val="auto"/>
              <w:rPr>
                <w:rFonts w:hint="eastAsia" w:ascii="宋体" w:hAnsi="宋体" w:eastAsia="宋体" w:cs="宋体"/>
                <w:color w:val="auto"/>
                <w:kern w:val="2"/>
                <w:sz w:val="21"/>
                <w:szCs w:val="21"/>
                <w:lang w:eastAsia="zh-CN"/>
              </w:rPr>
            </w:pPr>
            <w:r>
              <w:rPr>
                <w:rFonts w:hint="eastAsia" w:ascii="宋体" w:hAnsi="宋体" w:eastAsia="宋体" w:cs="宋体"/>
                <w:color w:val="auto"/>
                <w:kern w:val="2"/>
                <w:sz w:val="21"/>
                <w:szCs w:val="21"/>
              </w:rPr>
              <w:t>（1）</w:t>
            </w:r>
            <w:r>
              <w:rPr>
                <w:rFonts w:hint="eastAsia" w:ascii="宋体" w:hAnsi="宋体" w:cs="宋体"/>
                <w:color w:val="auto"/>
                <w:kern w:val="2"/>
                <w:sz w:val="21"/>
                <w:szCs w:val="21"/>
                <w:lang w:val="en-US" w:eastAsia="zh-CN"/>
              </w:rPr>
              <w:t>提供</w:t>
            </w:r>
            <w:r>
              <w:rPr>
                <w:rFonts w:hint="eastAsia" w:ascii="宋体" w:hAnsi="宋体" w:eastAsia="宋体" w:cs="宋体"/>
                <w:color w:val="auto"/>
                <w:kern w:val="2"/>
                <w:sz w:val="21"/>
                <w:szCs w:val="21"/>
              </w:rPr>
              <w:t>有效的行政主管部门颁发的检验检测机构资质认定证书（CMA）和农业行政主管部门颁发的农产品质量安全检测机构考核合格证书（CATL）</w:t>
            </w:r>
            <w:r>
              <w:rPr>
                <w:rFonts w:hint="eastAsia" w:ascii="宋体" w:hAnsi="宋体" w:eastAsia="宋体" w:cs="宋体"/>
                <w:color w:val="auto"/>
                <w:kern w:val="2"/>
                <w:sz w:val="21"/>
                <w:szCs w:val="21"/>
                <w:lang w:eastAsia="zh-CN"/>
              </w:rPr>
              <w:t>，附</w:t>
            </w:r>
            <w:r>
              <w:rPr>
                <w:rFonts w:hint="eastAsia" w:ascii="宋体" w:hAnsi="宋体" w:eastAsia="宋体" w:cs="宋体"/>
                <w:color w:val="auto"/>
                <w:kern w:val="2"/>
                <w:sz w:val="21"/>
                <w:szCs w:val="21"/>
              </w:rPr>
              <w:t>检验检测机构资质认定证书能力附表、农产品质量检测机构考核证书能力附表</w:t>
            </w:r>
            <w:r>
              <w:rPr>
                <w:rFonts w:hint="eastAsia" w:ascii="宋体" w:hAnsi="宋体" w:eastAsia="宋体" w:cs="宋体"/>
                <w:color w:val="auto"/>
                <w:kern w:val="2"/>
                <w:sz w:val="21"/>
                <w:szCs w:val="21"/>
                <w:lang w:eastAsia="zh-CN"/>
              </w:rPr>
              <w:t>（</w:t>
            </w:r>
            <w:r>
              <w:rPr>
                <w:rFonts w:hint="eastAsia" w:ascii="宋体" w:hAnsi="宋体" w:cs="宋体"/>
                <w:b/>
                <w:bCs/>
                <w:color w:val="auto"/>
                <w:kern w:val="2"/>
                <w:sz w:val="21"/>
                <w:szCs w:val="21"/>
                <w:lang w:val="en-US" w:eastAsia="zh-CN"/>
              </w:rPr>
              <w:t>响应时</w:t>
            </w:r>
            <w:r>
              <w:rPr>
                <w:rFonts w:hint="eastAsia" w:ascii="宋体" w:hAnsi="宋体" w:eastAsia="宋体" w:cs="宋体"/>
                <w:color w:val="auto"/>
                <w:kern w:val="2"/>
                <w:sz w:val="21"/>
                <w:szCs w:val="21"/>
                <w:lang w:eastAsia="zh-CN"/>
              </w:rPr>
              <w:t>提供所投标项检测项目的对应页并加以标记）。</w:t>
            </w:r>
          </w:p>
          <w:p w14:paraId="1ABF80E1">
            <w:pPr>
              <w:keepNext w:val="0"/>
              <w:keepLines w:val="0"/>
              <w:pageBreakBefore w:val="0"/>
              <w:widowControl w:val="0"/>
              <w:kinsoku/>
              <w:wordWrap/>
              <w:overflowPunct/>
              <w:topLinePunct w:val="0"/>
              <w:autoSpaceDE w:val="0"/>
              <w:autoSpaceDN w:val="0"/>
              <w:bidi w:val="0"/>
              <w:adjustRightInd/>
              <w:snapToGrid/>
              <w:spacing w:line="360" w:lineRule="exact"/>
              <w:ind w:left="0" w:leftChars="0" w:firstLine="420" w:firstLineChars="200"/>
              <w:jc w:val="left"/>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（2）</w:t>
            </w:r>
            <w:r>
              <w:rPr>
                <w:rFonts w:hint="eastAsia" w:ascii="宋体" w:hAnsi="宋体" w:eastAsia="宋体" w:cs="宋体"/>
                <w:color w:val="auto"/>
                <w:kern w:val="2"/>
                <w:sz w:val="21"/>
                <w:szCs w:val="21"/>
                <w:lang w:val="en-US" w:eastAsia="zh-CN"/>
              </w:rPr>
              <w:t>供应商</w:t>
            </w:r>
            <w:r>
              <w:rPr>
                <w:rFonts w:hint="eastAsia" w:ascii="宋体" w:hAnsi="宋体" w:eastAsia="宋体" w:cs="宋体"/>
                <w:color w:val="auto"/>
                <w:kern w:val="2"/>
                <w:sz w:val="21"/>
                <w:szCs w:val="21"/>
              </w:rPr>
              <w:t>具备固定的检验工作场所以及</w:t>
            </w:r>
            <w:r>
              <w:rPr>
                <w:rFonts w:hint="eastAsia" w:ascii="宋体" w:hAnsi="宋体" w:cs="宋体"/>
                <w:color w:val="auto"/>
                <w:kern w:val="2"/>
                <w:sz w:val="21"/>
                <w:szCs w:val="21"/>
                <w:lang w:val="en-US" w:eastAsia="zh-CN"/>
              </w:rPr>
              <w:t>响应</w:t>
            </w:r>
            <w:r>
              <w:rPr>
                <w:rFonts w:hint="eastAsia" w:ascii="宋体" w:hAnsi="宋体" w:eastAsia="宋体" w:cs="宋体"/>
                <w:color w:val="auto"/>
                <w:kern w:val="2"/>
                <w:sz w:val="21"/>
                <w:szCs w:val="21"/>
              </w:rPr>
              <w:t>项目检测所需的检测设施设备、冷藏、数据处理与分析、信息传输设施和设备等工作条件，拥有运行良好的实验室管理体系，授权范围涵盖承担的检测任务中相应的检测项目。</w:t>
            </w:r>
          </w:p>
          <w:p w14:paraId="3565675A">
            <w:pPr>
              <w:pStyle w:val="642"/>
              <w:keepNext w:val="0"/>
              <w:keepLines w:val="0"/>
              <w:pageBreakBefore w:val="0"/>
              <w:kinsoku/>
              <w:wordWrap/>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color w:val="auto"/>
                <w:kern w:val="0"/>
                <w:sz w:val="21"/>
                <w:szCs w:val="21"/>
                <w:highlight w:val="none"/>
              </w:rPr>
            </w:pPr>
            <w:r>
              <w:rPr>
                <w:rFonts w:hint="eastAsia" w:hAnsi="宋体" w:cs="宋体"/>
                <w:color w:val="auto"/>
                <w:kern w:val="2"/>
                <w:sz w:val="21"/>
                <w:szCs w:val="21"/>
                <w:lang w:val="en-US" w:eastAsia="zh-CN"/>
              </w:rPr>
              <w:t xml:space="preserve">   </w:t>
            </w:r>
            <w:r>
              <w:rPr>
                <w:rFonts w:hint="eastAsia" w:ascii="宋体" w:hAnsi="宋体" w:eastAsia="宋体" w:cs="宋体"/>
                <w:color w:val="auto"/>
                <w:kern w:val="2"/>
                <w:sz w:val="21"/>
                <w:szCs w:val="21"/>
              </w:rPr>
              <w:t>（3）</w:t>
            </w:r>
            <w:r>
              <w:rPr>
                <w:rFonts w:hint="eastAsia" w:ascii="宋体" w:hAnsi="宋体" w:eastAsia="宋体" w:cs="宋体"/>
                <w:color w:val="auto"/>
                <w:kern w:val="2"/>
                <w:sz w:val="21"/>
                <w:szCs w:val="21"/>
                <w:lang w:val="en-US" w:eastAsia="zh-CN"/>
              </w:rPr>
              <w:t>供应商</w:t>
            </w:r>
            <w:r>
              <w:rPr>
                <w:rFonts w:hint="eastAsia" w:ascii="宋体" w:hAnsi="宋体" w:eastAsia="宋体" w:cs="宋体"/>
                <w:color w:val="auto"/>
                <w:kern w:val="2"/>
                <w:sz w:val="21"/>
                <w:szCs w:val="21"/>
              </w:rPr>
              <w:t>具有相应的项目管理、样品检测和质量控制人员，参与检测的有关人员具有检验员证，并具备相应的专业知识和能力。</w:t>
            </w:r>
          </w:p>
        </w:tc>
      </w:tr>
      <w:tr w14:paraId="6CA84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0205" w:type="dxa"/>
            <w:gridSpan w:val="4"/>
            <w:tcBorders>
              <w:top w:val="single" w:color="auto" w:sz="4" w:space="0"/>
              <w:left w:val="single" w:color="auto" w:sz="4" w:space="0"/>
              <w:bottom w:val="single" w:color="auto" w:sz="4" w:space="0"/>
              <w:right w:val="single" w:color="auto" w:sz="4" w:space="0"/>
            </w:tcBorders>
            <w:noWrap w:val="0"/>
            <w:vAlign w:val="center"/>
          </w:tcPr>
          <w:p w14:paraId="195DC13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lang w:eastAsia="zh-CN"/>
              </w:rPr>
              <w:t>▲二、商务要求</w:t>
            </w:r>
          </w:p>
        </w:tc>
      </w:tr>
      <w:tr w14:paraId="126FE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2490" w:type="dxa"/>
            <w:gridSpan w:val="2"/>
            <w:tcBorders>
              <w:top w:val="single" w:color="auto" w:sz="4" w:space="0"/>
              <w:left w:val="single" w:color="auto" w:sz="4" w:space="0"/>
              <w:bottom w:val="single" w:color="auto" w:sz="4" w:space="0"/>
              <w:right w:val="single" w:color="auto" w:sz="4" w:space="0"/>
            </w:tcBorders>
            <w:noWrap w:val="0"/>
            <w:vAlign w:val="center"/>
          </w:tcPr>
          <w:p w14:paraId="307B101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jc w:val="center"/>
              <w:textAlignment w:val="auto"/>
              <w:rPr>
                <w:rFonts w:hint="eastAsia" w:ascii="宋体" w:hAnsi="宋体" w:eastAsia="宋体" w:cs="宋体"/>
                <w:b w:val="0"/>
                <w:bCs w:val="0"/>
                <w:color w:val="auto"/>
                <w:kern w:val="2"/>
                <w:sz w:val="21"/>
                <w:szCs w:val="21"/>
                <w:highlight w:val="none"/>
              </w:rPr>
            </w:pPr>
            <w:r>
              <w:rPr>
                <w:rFonts w:hint="eastAsia" w:ascii="宋体" w:hAnsi="宋体" w:eastAsia="宋体" w:cs="宋体"/>
                <w:color w:val="auto"/>
                <w:sz w:val="21"/>
                <w:szCs w:val="21"/>
                <w:highlight w:val="none"/>
              </w:rPr>
              <w:t>签订合同时间</w:t>
            </w:r>
          </w:p>
        </w:tc>
        <w:tc>
          <w:tcPr>
            <w:tcW w:w="7715" w:type="dxa"/>
            <w:gridSpan w:val="2"/>
            <w:tcBorders>
              <w:top w:val="single" w:color="auto" w:sz="4" w:space="0"/>
              <w:left w:val="single" w:color="auto" w:sz="4" w:space="0"/>
              <w:bottom w:val="single" w:color="auto" w:sz="4" w:space="0"/>
              <w:right w:val="single" w:color="auto" w:sz="4" w:space="0"/>
            </w:tcBorders>
            <w:noWrap w:val="0"/>
            <w:vAlign w:val="center"/>
          </w:tcPr>
          <w:p w14:paraId="627C7F1D">
            <w:pPr>
              <w:numPr>
                <w:ilvl w:val="0"/>
                <w:numId w:val="0"/>
              </w:numPr>
              <w:spacing w:line="400" w:lineRule="exact"/>
              <w:ind w:firstLine="210" w:firstLineChars="100"/>
              <w:jc w:val="left"/>
              <w:rPr>
                <w:rFonts w:hint="eastAsia" w:ascii="宋体" w:hAnsi="宋体" w:cs="宋体"/>
                <w:color w:val="auto"/>
                <w:szCs w:val="21"/>
                <w:lang w:val="en-US" w:eastAsia="zh-CN"/>
              </w:rPr>
            </w:pPr>
            <w:r>
              <w:rPr>
                <w:rFonts w:hint="eastAsia" w:ascii="宋体" w:hAnsi="宋体" w:cs="宋体"/>
                <w:color w:val="auto"/>
                <w:sz w:val="21"/>
                <w:szCs w:val="21"/>
                <w:highlight w:val="none"/>
                <w:lang w:val="en-US" w:eastAsia="zh-CN"/>
              </w:rPr>
              <w:t>成交</w:t>
            </w:r>
            <w:r>
              <w:rPr>
                <w:rFonts w:hint="eastAsia" w:ascii="宋体" w:hAnsi="宋体" w:eastAsia="宋体" w:cs="宋体"/>
                <w:color w:val="auto"/>
                <w:sz w:val="21"/>
                <w:szCs w:val="21"/>
                <w:highlight w:val="none"/>
                <w:lang w:eastAsia="zh-CN"/>
              </w:rPr>
              <w:t>通知书发出之日起</w:t>
            </w:r>
            <w:r>
              <w:rPr>
                <w:rFonts w:hint="eastAsia" w:ascii="宋体" w:hAnsi="宋体" w:eastAsia="宋体" w:cs="宋体"/>
                <w:color w:val="auto"/>
                <w:sz w:val="21"/>
                <w:szCs w:val="21"/>
                <w:highlight w:val="none"/>
                <w:lang w:val="en-US" w:eastAsia="zh-CN"/>
              </w:rPr>
              <w:t>25</w:t>
            </w:r>
            <w:r>
              <w:rPr>
                <w:rFonts w:hint="eastAsia" w:ascii="宋体" w:hAnsi="宋体" w:eastAsia="宋体" w:cs="宋体"/>
                <w:color w:val="auto"/>
                <w:sz w:val="21"/>
                <w:szCs w:val="21"/>
                <w:highlight w:val="none"/>
                <w:lang w:eastAsia="zh-CN"/>
              </w:rPr>
              <w:t>日内。</w:t>
            </w:r>
            <w:r>
              <w:rPr>
                <w:rFonts w:hint="eastAsia" w:ascii="宋体" w:hAnsi="宋体"/>
                <w:color w:val="auto"/>
                <w:kern w:val="0"/>
                <w:szCs w:val="21"/>
                <w:lang w:val="en-US" w:eastAsia="zh-CN"/>
              </w:rPr>
              <w:t>成交</w:t>
            </w:r>
            <w:r>
              <w:rPr>
                <w:rFonts w:hint="eastAsia" w:ascii="宋体" w:hAnsi="宋体"/>
                <w:color w:val="auto"/>
                <w:kern w:val="0"/>
                <w:szCs w:val="21"/>
              </w:rPr>
              <w:t>人</w:t>
            </w:r>
            <w:r>
              <w:rPr>
                <w:rFonts w:hint="eastAsia" w:ascii="宋体" w:hAnsi="宋体" w:eastAsia="宋体" w:cs="宋体"/>
                <w:color w:val="auto"/>
                <w:sz w:val="21"/>
                <w:szCs w:val="21"/>
                <w:highlight w:val="none"/>
                <w:lang w:eastAsia="zh-CN"/>
              </w:rPr>
              <w:t>领取</w:t>
            </w:r>
            <w:r>
              <w:rPr>
                <w:rFonts w:hint="eastAsia" w:ascii="宋体" w:hAnsi="宋体" w:cs="宋体"/>
                <w:color w:val="auto"/>
                <w:sz w:val="21"/>
                <w:szCs w:val="21"/>
                <w:highlight w:val="none"/>
                <w:lang w:val="en-US" w:eastAsia="zh-CN"/>
              </w:rPr>
              <w:t>成交</w:t>
            </w:r>
            <w:r>
              <w:rPr>
                <w:rFonts w:hint="eastAsia" w:ascii="宋体" w:hAnsi="宋体" w:eastAsia="宋体" w:cs="宋体"/>
                <w:color w:val="auto"/>
                <w:sz w:val="21"/>
                <w:szCs w:val="21"/>
                <w:highlight w:val="none"/>
                <w:lang w:eastAsia="zh-CN"/>
              </w:rPr>
              <w:t>通知书后，应按规定与采购人签订合同。</w:t>
            </w:r>
          </w:p>
        </w:tc>
      </w:tr>
      <w:tr w14:paraId="6A84D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2490" w:type="dxa"/>
            <w:gridSpan w:val="2"/>
            <w:tcBorders>
              <w:top w:val="single" w:color="auto" w:sz="4" w:space="0"/>
              <w:left w:val="single" w:color="auto" w:sz="4" w:space="0"/>
              <w:bottom w:val="single" w:color="auto" w:sz="4" w:space="0"/>
              <w:right w:val="single" w:color="auto" w:sz="4" w:space="0"/>
            </w:tcBorders>
            <w:noWrap w:val="0"/>
            <w:vAlign w:val="center"/>
          </w:tcPr>
          <w:p w14:paraId="70CF70E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jc w:val="center"/>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2"/>
                <w:sz w:val="21"/>
                <w:szCs w:val="21"/>
                <w:highlight w:val="none"/>
              </w:rPr>
              <w:t>报价要求</w:t>
            </w:r>
          </w:p>
        </w:tc>
        <w:tc>
          <w:tcPr>
            <w:tcW w:w="7715" w:type="dxa"/>
            <w:gridSpan w:val="2"/>
            <w:tcBorders>
              <w:top w:val="single" w:color="auto" w:sz="4" w:space="0"/>
              <w:left w:val="single" w:color="auto" w:sz="4" w:space="0"/>
              <w:bottom w:val="single" w:color="auto" w:sz="4" w:space="0"/>
              <w:right w:val="single" w:color="auto" w:sz="4" w:space="0"/>
            </w:tcBorders>
            <w:noWrap w:val="0"/>
            <w:vAlign w:val="center"/>
          </w:tcPr>
          <w:p w14:paraId="57A52111">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20" w:firstLineChars="200"/>
              <w:jc w:val="left"/>
              <w:textAlignment w:val="auto"/>
              <w:rPr>
                <w:rFonts w:hint="eastAsia" w:ascii="宋体" w:hAnsi="宋体" w:eastAsia="宋体" w:cs="宋体"/>
                <w:b w:val="0"/>
                <w:bCs w:val="0"/>
                <w:color w:val="auto"/>
                <w:kern w:val="0"/>
                <w:sz w:val="21"/>
                <w:szCs w:val="21"/>
                <w:highlight w:val="none"/>
                <w:lang w:eastAsia="zh-CN"/>
              </w:rPr>
            </w:pPr>
            <w:r>
              <w:rPr>
                <w:rFonts w:hint="eastAsia" w:ascii="宋体" w:hAnsi="宋体" w:eastAsia="宋体" w:cs="宋体"/>
                <w:b w:val="0"/>
                <w:bCs w:val="0"/>
                <w:color w:val="auto"/>
                <w:kern w:val="0"/>
                <w:sz w:val="21"/>
                <w:szCs w:val="21"/>
                <w:highlight w:val="none"/>
              </w:rPr>
              <w:t>1.</w:t>
            </w:r>
            <w:r>
              <w:rPr>
                <w:rFonts w:hint="eastAsia" w:ascii="宋体" w:hAnsi="宋体" w:eastAsia="宋体" w:cs="宋体"/>
                <w:color w:val="auto"/>
                <w:kern w:val="2"/>
                <w:sz w:val="21"/>
                <w:szCs w:val="21"/>
                <w:lang w:val="en-US" w:eastAsia="zh-CN"/>
              </w:rPr>
              <w:t>供应商</w:t>
            </w:r>
            <w:r>
              <w:rPr>
                <w:rFonts w:hint="eastAsia" w:ascii="宋体" w:hAnsi="宋体" w:eastAsia="宋体" w:cs="宋体"/>
                <w:b w:val="0"/>
                <w:bCs w:val="0"/>
                <w:color w:val="auto"/>
                <w:kern w:val="0"/>
                <w:sz w:val="21"/>
                <w:szCs w:val="21"/>
                <w:highlight w:val="none"/>
              </w:rPr>
              <w:t>的</w:t>
            </w:r>
            <w:r>
              <w:rPr>
                <w:rFonts w:hint="eastAsia" w:ascii="宋体" w:hAnsi="宋体" w:cs="宋体"/>
                <w:b w:val="0"/>
                <w:bCs w:val="0"/>
                <w:color w:val="auto"/>
                <w:kern w:val="0"/>
                <w:sz w:val="21"/>
                <w:szCs w:val="21"/>
                <w:highlight w:val="none"/>
                <w:lang w:val="en-US" w:eastAsia="zh-CN"/>
              </w:rPr>
              <w:t>响应</w:t>
            </w:r>
            <w:r>
              <w:rPr>
                <w:rFonts w:hint="eastAsia" w:ascii="宋体" w:hAnsi="宋体" w:eastAsia="宋体" w:cs="宋体"/>
                <w:b w:val="0"/>
                <w:bCs w:val="0"/>
                <w:color w:val="auto"/>
                <w:kern w:val="0"/>
                <w:sz w:val="21"/>
                <w:szCs w:val="21"/>
                <w:highlight w:val="none"/>
              </w:rPr>
              <w:t>报价应包括但不限于完成</w:t>
            </w:r>
            <w:r>
              <w:rPr>
                <w:rFonts w:hint="eastAsia" w:ascii="宋体" w:hAnsi="宋体" w:eastAsia="宋体" w:cs="宋体"/>
                <w:b w:val="0"/>
                <w:bCs w:val="0"/>
                <w:color w:val="auto"/>
                <w:kern w:val="0"/>
                <w:sz w:val="21"/>
                <w:szCs w:val="21"/>
                <w:highlight w:val="none"/>
                <w:lang w:eastAsia="zh-CN"/>
              </w:rPr>
              <w:t>本项目</w:t>
            </w:r>
            <w:r>
              <w:rPr>
                <w:rFonts w:hint="eastAsia" w:ascii="宋体" w:hAnsi="宋体" w:eastAsia="宋体" w:cs="宋体"/>
                <w:b w:val="0"/>
                <w:bCs w:val="0"/>
                <w:color w:val="auto"/>
                <w:kern w:val="0"/>
                <w:sz w:val="21"/>
                <w:szCs w:val="21"/>
                <w:highlight w:val="none"/>
              </w:rPr>
              <w:t>所需的一切费用（含购买</w:t>
            </w:r>
            <w:r>
              <w:rPr>
                <w:rFonts w:hint="eastAsia" w:ascii="宋体" w:hAnsi="宋体" w:eastAsia="宋体" w:cs="宋体"/>
                <w:b w:val="0"/>
                <w:bCs w:val="0"/>
                <w:color w:val="auto"/>
                <w:kern w:val="0"/>
                <w:sz w:val="21"/>
                <w:szCs w:val="21"/>
                <w:highlight w:val="none"/>
                <w:lang w:eastAsia="zh-CN"/>
              </w:rPr>
              <w:t>样品、</w:t>
            </w:r>
            <w:r>
              <w:rPr>
                <w:rFonts w:hint="eastAsia" w:ascii="宋体" w:hAnsi="宋体" w:eastAsia="宋体" w:cs="宋体"/>
                <w:b w:val="0"/>
                <w:bCs w:val="0"/>
                <w:color w:val="auto"/>
                <w:kern w:val="0"/>
                <w:sz w:val="21"/>
                <w:szCs w:val="21"/>
                <w:highlight w:val="none"/>
              </w:rPr>
              <w:t>协助抽样与制样、各项检测指标、技术服务、</w:t>
            </w:r>
            <w:r>
              <w:rPr>
                <w:rFonts w:hint="eastAsia" w:ascii="宋体" w:hAnsi="宋体" w:cs="宋体"/>
                <w:b w:val="0"/>
                <w:bCs w:val="0"/>
                <w:color w:val="auto"/>
                <w:kern w:val="0"/>
                <w:sz w:val="21"/>
                <w:szCs w:val="21"/>
                <w:highlight w:val="none"/>
                <w:lang w:eastAsia="zh-CN"/>
              </w:rPr>
              <w:t>代理机构服务费、</w:t>
            </w:r>
            <w:r>
              <w:rPr>
                <w:rFonts w:hint="eastAsia" w:ascii="宋体" w:hAnsi="宋体" w:eastAsia="宋体" w:cs="宋体"/>
                <w:b w:val="0"/>
                <w:bCs w:val="0"/>
                <w:color w:val="auto"/>
                <w:kern w:val="0"/>
                <w:sz w:val="21"/>
                <w:szCs w:val="21"/>
                <w:highlight w:val="none"/>
              </w:rPr>
              <w:t>验收</w:t>
            </w:r>
            <w:r>
              <w:rPr>
                <w:rFonts w:hint="eastAsia" w:ascii="宋体" w:hAnsi="宋体" w:eastAsia="宋体" w:cs="宋体"/>
                <w:b w:val="0"/>
                <w:bCs w:val="0"/>
                <w:color w:val="auto"/>
                <w:kern w:val="0"/>
                <w:sz w:val="21"/>
                <w:szCs w:val="21"/>
                <w:highlight w:val="none"/>
                <w:lang w:eastAsia="zh-CN"/>
              </w:rPr>
              <w:t>及税费</w:t>
            </w:r>
            <w:r>
              <w:rPr>
                <w:rFonts w:hint="eastAsia" w:ascii="宋体" w:hAnsi="宋体" w:eastAsia="宋体" w:cs="宋体"/>
                <w:b w:val="0"/>
                <w:bCs w:val="0"/>
                <w:color w:val="auto"/>
                <w:kern w:val="0"/>
                <w:sz w:val="21"/>
                <w:szCs w:val="21"/>
                <w:highlight w:val="none"/>
              </w:rPr>
              <w:t>等费用）。</w:t>
            </w:r>
            <w:r>
              <w:rPr>
                <w:rFonts w:hint="eastAsia" w:ascii="宋体" w:hAnsi="宋体" w:eastAsia="宋体" w:cs="宋体"/>
                <w:b w:val="0"/>
                <w:bCs w:val="0"/>
                <w:color w:val="auto"/>
                <w:kern w:val="0"/>
                <w:sz w:val="21"/>
                <w:szCs w:val="21"/>
                <w:highlight w:val="none"/>
                <w:lang w:eastAsia="zh-CN"/>
              </w:rPr>
              <w:t>凡</w:t>
            </w:r>
            <w:r>
              <w:rPr>
                <w:rFonts w:hint="eastAsia" w:ascii="宋体" w:hAnsi="宋体" w:eastAsia="宋体" w:cs="宋体"/>
                <w:color w:val="auto"/>
                <w:kern w:val="2"/>
                <w:sz w:val="21"/>
                <w:szCs w:val="21"/>
                <w:lang w:val="en-US" w:eastAsia="zh-CN"/>
              </w:rPr>
              <w:t>供应商</w:t>
            </w:r>
            <w:r>
              <w:rPr>
                <w:rFonts w:hint="eastAsia" w:ascii="宋体" w:hAnsi="宋体" w:eastAsia="宋体" w:cs="宋体"/>
                <w:b w:val="0"/>
                <w:bCs w:val="0"/>
                <w:color w:val="auto"/>
                <w:kern w:val="0"/>
                <w:sz w:val="21"/>
                <w:szCs w:val="21"/>
                <w:highlight w:val="none"/>
                <w:lang w:eastAsia="zh-CN"/>
              </w:rPr>
              <w:t>未单独列明的费用，均视为已包含在</w:t>
            </w:r>
            <w:r>
              <w:rPr>
                <w:rFonts w:hint="eastAsia" w:ascii="宋体" w:hAnsi="宋体" w:cs="宋体"/>
                <w:b w:val="0"/>
                <w:bCs w:val="0"/>
                <w:color w:val="auto"/>
                <w:kern w:val="0"/>
                <w:sz w:val="21"/>
                <w:szCs w:val="21"/>
                <w:highlight w:val="none"/>
                <w:lang w:val="en-US" w:eastAsia="zh-CN"/>
              </w:rPr>
              <w:t>响应</w:t>
            </w:r>
            <w:r>
              <w:rPr>
                <w:rFonts w:hint="eastAsia" w:ascii="宋体" w:hAnsi="宋体" w:eastAsia="宋体" w:cs="宋体"/>
                <w:b w:val="0"/>
                <w:bCs w:val="0"/>
                <w:color w:val="auto"/>
                <w:kern w:val="0"/>
                <w:sz w:val="21"/>
                <w:szCs w:val="21"/>
                <w:highlight w:val="none"/>
                <w:lang w:eastAsia="zh-CN"/>
              </w:rPr>
              <w:t>总价中，采购</w:t>
            </w:r>
            <w:r>
              <w:rPr>
                <w:rFonts w:hint="eastAsia" w:ascii="宋体" w:hAnsi="宋体" w:cs="宋体"/>
                <w:b w:val="0"/>
                <w:bCs w:val="0"/>
                <w:color w:val="auto"/>
                <w:kern w:val="0"/>
                <w:sz w:val="21"/>
                <w:szCs w:val="21"/>
                <w:highlight w:val="none"/>
                <w:lang w:val="en-US" w:eastAsia="zh-CN"/>
              </w:rPr>
              <w:t>人</w:t>
            </w:r>
            <w:r>
              <w:rPr>
                <w:rFonts w:hint="eastAsia" w:ascii="宋体" w:hAnsi="宋体" w:eastAsia="宋体" w:cs="宋体"/>
                <w:b w:val="0"/>
                <w:bCs w:val="0"/>
                <w:color w:val="auto"/>
                <w:kern w:val="0"/>
                <w:sz w:val="21"/>
                <w:szCs w:val="21"/>
                <w:highlight w:val="none"/>
                <w:lang w:eastAsia="zh-CN"/>
              </w:rPr>
              <w:t>不再另行支付。</w:t>
            </w:r>
          </w:p>
          <w:p w14:paraId="01B48DCC">
            <w:pPr>
              <w:keepNext/>
              <w:keepLines/>
              <w:tabs>
                <w:tab w:val="left" w:pos="180"/>
                <w:tab w:val="left" w:pos="1620"/>
              </w:tabs>
              <w:spacing w:line="400" w:lineRule="exact"/>
              <w:ind w:firstLine="420" w:firstLineChars="200"/>
              <w:jc w:val="left"/>
              <w:rPr>
                <w:rFonts w:hint="default"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rPr>
              <w:t>2.</w:t>
            </w:r>
            <w:r>
              <w:rPr>
                <w:rFonts w:hint="eastAsia" w:ascii="宋体" w:hAnsi="宋体" w:eastAsia="宋体" w:cs="宋体"/>
                <w:color w:val="auto"/>
                <w:kern w:val="2"/>
                <w:sz w:val="21"/>
                <w:szCs w:val="21"/>
                <w:lang w:val="en-US" w:eastAsia="zh-CN"/>
              </w:rPr>
              <w:t>供应商</w:t>
            </w:r>
            <w:r>
              <w:rPr>
                <w:rFonts w:hint="eastAsia" w:ascii="宋体" w:hAnsi="宋体" w:cs="宋体"/>
                <w:b w:val="0"/>
                <w:bCs w:val="0"/>
                <w:color w:val="auto"/>
                <w:sz w:val="21"/>
                <w:szCs w:val="21"/>
                <w:highlight w:val="none"/>
                <w:lang w:val="en-US" w:eastAsia="zh-CN"/>
              </w:rPr>
              <w:t>响应</w:t>
            </w:r>
            <w:r>
              <w:rPr>
                <w:rFonts w:hint="eastAsia" w:ascii="宋体" w:hAnsi="宋体" w:eastAsia="宋体" w:cs="宋体"/>
                <w:b w:val="0"/>
                <w:bCs w:val="0"/>
                <w:color w:val="auto"/>
                <w:sz w:val="21"/>
                <w:szCs w:val="21"/>
                <w:highlight w:val="none"/>
                <w:lang w:val="en-US" w:eastAsia="zh-CN"/>
              </w:rPr>
              <w:t>时必须按照单价进行报价，</w:t>
            </w:r>
            <w:r>
              <w:rPr>
                <w:rFonts w:hint="eastAsia" w:ascii="宋体" w:hAnsi="宋体" w:cs="宋体"/>
                <w:b w:val="0"/>
                <w:bCs w:val="0"/>
                <w:color w:val="auto"/>
                <w:sz w:val="21"/>
                <w:szCs w:val="21"/>
                <w:highlight w:val="none"/>
                <w:lang w:val="en-US" w:eastAsia="zh-CN"/>
              </w:rPr>
              <w:t>需对</w:t>
            </w:r>
            <w:r>
              <w:rPr>
                <w:rFonts w:hint="eastAsia" w:ascii="宋体" w:hAnsi="宋体" w:cs="宋体"/>
                <w:b w:val="0"/>
                <w:bCs w:val="0"/>
                <w:color w:val="auto"/>
                <w:kern w:val="0"/>
                <w:sz w:val="21"/>
                <w:szCs w:val="21"/>
                <w:highlight w:val="none"/>
                <w:lang w:eastAsia="zh-CN"/>
              </w:rPr>
              <w:t>标段内所有品种检测类别分别响应报价。</w:t>
            </w:r>
            <w:r>
              <w:rPr>
                <w:rFonts w:hint="eastAsia" w:ascii="宋体" w:hAnsi="宋体" w:eastAsia="宋体" w:cs="宋体"/>
                <w:b w:val="0"/>
                <w:bCs w:val="0"/>
                <w:i w:val="0"/>
                <w:color w:val="auto"/>
                <w:kern w:val="0"/>
                <w:sz w:val="21"/>
                <w:szCs w:val="21"/>
                <w:u w:val="none"/>
                <w:lang w:val="en-US" w:eastAsia="zh-CN" w:bidi="ar"/>
              </w:rPr>
              <w:t>种植业产品</w:t>
            </w:r>
            <w:r>
              <w:rPr>
                <w:rFonts w:hint="eastAsia" w:ascii="宋体" w:hAnsi="宋体" w:cs="宋体"/>
                <w:b w:val="0"/>
                <w:bCs w:val="0"/>
                <w:i w:val="0"/>
                <w:color w:val="auto"/>
                <w:kern w:val="0"/>
                <w:sz w:val="21"/>
                <w:szCs w:val="21"/>
                <w:u w:val="none"/>
                <w:lang w:val="en-US" w:eastAsia="zh-CN" w:bidi="ar"/>
              </w:rPr>
              <w:t>检测单价最高限价650元/批次，畜牧业</w:t>
            </w:r>
            <w:r>
              <w:rPr>
                <w:rFonts w:hint="eastAsia" w:ascii="宋体" w:hAnsi="宋体" w:eastAsia="宋体" w:cs="宋体"/>
                <w:b w:val="0"/>
                <w:bCs w:val="0"/>
                <w:i w:val="0"/>
                <w:color w:val="auto"/>
                <w:kern w:val="0"/>
                <w:sz w:val="21"/>
                <w:szCs w:val="21"/>
                <w:u w:val="none"/>
                <w:lang w:val="en-US" w:eastAsia="zh-CN" w:bidi="ar"/>
              </w:rPr>
              <w:t>产品</w:t>
            </w:r>
            <w:r>
              <w:rPr>
                <w:rFonts w:hint="eastAsia" w:ascii="宋体" w:hAnsi="宋体" w:cs="宋体"/>
                <w:b w:val="0"/>
                <w:bCs w:val="0"/>
                <w:i w:val="0"/>
                <w:color w:val="auto"/>
                <w:kern w:val="0"/>
                <w:sz w:val="21"/>
                <w:szCs w:val="21"/>
                <w:u w:val="none"/>
                <w:lang w:val="en-US" w:eastAsia="zh-CN" w:bidi="ar"/>
              </w:rPr>
              <w:t>检测单价最高限价750元/批次，淡水</w:t>
            </w:r>
            <w:r>
              <w:rPr>
                <w:rFonts w:hint="eastAsia" w:ascii="宋体" w:hAnsi="宋体" w:eastAsia="宋体" w:cs="宋体"/>
                <w:b w:val="0"/>
                <w:bCs w:val="0"/>
                <w:i w:val="0"/>
                <w:color w:val="auto"/>
                <w:kern w:val="0"/>
                <w:sz w:val="21"/>
                <w:szCs w:val="21"/>
                <w:u w:val="none"/>
                <w:lang w:val="en-US" w:eastAsia="zh-CN" w:bidi="ar"/>
              </w:rPr>
              <w:t>产品</w:t>
            </w:r>
            <w:r>
              <w:rPr>
                <w:rFonts w:hint="eastAsia" w:ascii="宋体" w:hAnsi="宋体" w:cs="宋体"/>
                <w:b w:val="0"/>
                <w:bCs w:val="0"/>
                <w:i w:val="0"/>
                <w:color w:val="auto"/>
                <w:kern w:val="0"/>
                <w:sz w:val="21"/>
                <w:szCs w:val="21"/>
                <w:u w:val="none"/>
                <w:lang w:val="en-US" w:eastAsia="zh-CN" w:bidi="ar"/>
              </w:rPr>
              <w:t>检测单价最高限价719.5元/批次。</w:t>
            </w:r>
            <w:r>
              <w:rPr>
                <w:rFonts w:hint="eastAsia" w:ascii="宋体" w:hAnsi="宋体" w:eastAsia="宋体" w:cs="宋体"/>
                <w:color w:val="auto"/>
                <w:kern w:val="2"/>
                <w:sz w:val="21"/>
                <w:szCs w:val="21"/>
                <w:lang w:val="en-US" w:eastAsia="zh-CN"/>
              </w:rPr>
              <w:t>供应商</w:t>
            </w:r>
            <w:r>
              <w:rPr>
                <w:rFonts w:hint="eastAsia" w:ascii="宋体" w:hAnsi="宋体" w:cs="宋体"/>
                <w:b w:val="0"/>
                <w:bCs w:val="0"/>
                <w:color w:val="auto"/>
                <w:szCs w:val="21"/>
                <w:lang w:bidi="ar"/>
              </w:rPr>
              <w:t>的</w:t>
            </w:r>
            <w:r>
              <w:rPr>
                <w:rFonts w:hint="eastAsia" w:ascii="宋体" w:hAnsi="宋体" w:cs="宋体"/>
                <w:b w:val="0"/>
                <w:bCs w:val="0"/>
                <w:color w:val="auto"/>
                <w:szCs w:val="21"/>
                <w:lang w:val="en-US" w:eastAsia="zh-CN" w:bidi="ar"/>
              </w:rPr>
              <w:t>响应</w:t>
            </w:r>
            <w:r>
              <w:rPr>
                <w:rFonts w:hint="eastAsia" w:ascii="宋体" w:hAnsi="宋体" w:cs="宋体"/>
                <w:b w:val="0"/>
                <w:bCs w:val="0"/>
                <w:color w:val="auto"/>
                <w:szCs w:val="21"/>
                <w:lang w:bidi="ar"/>
              </w:rPr>
              <w:t>单价超过单价最高限价的</w:t>
            </w:r>
            <w:r>
              <w:rPr>
                <w:rFonts w:hint="eastAsia" w:ascii="宋体" w:hAnsi="宋体" w:cs="宋体"/>
                <w:b w:val="0"/>
                <w:bCs w:val="0"/>
                <w:color w:val="auto"/>
                <w:kern w:val="0"/>
                <w:sz w:val="21"/>
                <w:szCs w:val="21"/>
                <w:highlight w:val="none"/>
                <w:lang w:val="en-US" w:eastAsia="zh-CN"/>
              </w:rPr>
              <w:t>响应</w:t>
            </w:r>
            <w:r>
              <w:rPr>
                <w:rFonts w:hint="eastAsia" w:ascii="宋体" w:hAnsi="宋体" w:cs="宋体"/>
                <w:b w:val="0"/>
                <w:bCs w:val="0"/>
                <w:color w:val="auto"/>
                <w:szCs w:val="21"/>
                <w:lang w:bidi="ar"/>
              </w:rPr>
              <w:t>无效。</w:t>
            </w:r>
          </w:p>
          <w:p w14:paraId="227FE61D">
            <w:pPr>
              <w:keepNext/>
              <w:keepLines/>
              <w:tabs>
                <w:tab w:val="left" w:pos="180"/>
                <w:tab w:val="left" w:pos="1620"/>
              </w:tabs>
              <w:spacing w:line="400" w:lineRule="exact"/>
              <w:ind w:firstLine="420" w:firstLineChars="200"/>
              <w:jc w:val="left"/>
              <w:rPr>
                <w:rFonts w:hint="default" w:ascii="宋体" w:hAnsi="宋体" w:eastAsia="宋体" w:cs="宋体"/>
                <w:color w:val="auto"/>
                <w:kern w:val="0"/>
                <w:sz w:val="21"/>
                <w:szCs w:val="21"/>
                <w:lang w:val="en-US" w:eastAsia="zh-CN"/>
              </w:rPr>
            </w:pPr>
            <w:r>
              <w:rPr>
                <w:rFonts w:hint="eastAsia" w:ascii="宋体" w:hAnsi="宋体" w:cs="宋体"/>
                <w:color w:val="auto"/>
                <w:szCs w:val="21"/>
                <w:lang w:val="en-US" w:eastAsia="zh-CN"/>
              </w:rPr>
              <w:t>3.</w:t>
            </w:r>
            <w:r>
              <w:rPr>
                <w:rFonts w:hint="eastAsia" w:ascii="宋体" w:hAnsi="宋体" w:eastAsia="宋体" w:cs="宋体"/>
                <w:color w:val="auto"/>
                <w:kern w:val="2"/>
                <w:sz w:val="21"/>
                <w:szCs w:val="21"/>
                <w:lang w:val="en-US" w:eastAsia="zh-CN"/>
              </w:rPr>
              <w:t>供应商</w:t>
            </w:r>
            <w:r>
              <w:rPr>
                <w:rFonts w:hint="eastAsia" w:ascii="宋体" w:hAnsi="宋体" w:cs="宋体"/>
                <w:color w:val="auto"/>
                <w:szCs w:val="21"/>
                <w:lang w:bidi="ar"/>
              </w:rPr>
              <w:t>成为</w:t>
            </w:r>
            <w:r>
              <w:rPr>
                <w:rFonts w:hint="eastAsia" w:ascii="宋体" w:hAnsi="宋体"/>
                <w:color w:val="auto"/>
                <w:kern w:val="0"/>
                <w:szCs w:val="21"/>
                <w:lang w:val="en-US" w:eastAsia="zh-CN"/>
              </w:rPr>
              <w:t>成交</w:t>
            </w:r>
            <w:r>
              <w:rPr>
                <w:rFonts w:hint="eastAsia" w:ascii="宋体" w:hAnsi="宋体"/>
                <w:color w:val="auto"/>
                <w:kern w:val="0"/>
                <w:szCs w:val="21"/>
              </w:rPr>
              <w:t>人</w:t>
            </w:r>
            <w:r>
              <w:rPr>
                <w:rFonts w:hint="eastAsia" w:ascii="宋体" w:hAnsi="宋体" w:cs="宋体"/>
                <w:color w:val="auto"/>
                <w:szCs w:val="21"/>
                <w:lang w:bidi="ar"/>
              </w:rPr>
              <w:t>后，所报价格为服务期内的最终</w:t>
            </w:r>
            <w:r>
              <w:rPr>
                <w:rFonts w:hint="eastAsia" w:ascii="宋体" w:hAnsi="宋体" w:cs="宋体"/>
                <w:color w:val="auto"/>
                <w:szCs w:val="21"/>
                <w:lang w:val="en-US" w:eastAsia="zh-CN" w:bidi="ar"/>
              </w:rPr>
              <w:t>成交</w:t>
            </w:r>
            <w:r>
              <w:rPr>
                <w:rFonts w:hint="eastAsia" w:ascii="宋体" w:hAnsi="宋体" w:cs="宋体"/>
                <w:color w:val="auto"/>
                <w:szCs w:val="21"/>
                <w:lang w:bidi="ar"/>
              </w:rPr>
              <w:t>单价。实际委托检测样品数量（不含内部质控样品数）以最终确认的数量为准。采购人最终支付总价不超出本</w:t>
            </w:r>
            <w:r>
              <w:rPr>
                <w:rFonts w:hint="eastAsia" w:ascii="宋体" w:hAnsi="宋体" w:cs="宋体"/>
                <w:color w:val="auto"/>
                <w:szCs w:val="21"/>
                <w:lang w:val="en-US" w:eastAsia="zh-CN" w:bidi="ar"/>
              </w:rPr>
              <w:t>标项</w:t>
            </w:r>
            <w:r>
              <w:rPr>
                <w:rFonts w:hint="eastAsia" w:ascii="宋体" w:hAnsi="宋体" w:cs="宋体"/>
                <w:color w:val="auto"/>
                <w:szCs w:val="21"/>
                <w:lang w:bidi="ar"/>
              </w:rPr>
              <w:t>的预算价。</w:t>
            </w:r>
          </w:p>
        </w:tc>
      </w:tr>
      <w:tr w14:paraId="255D1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2490" w:type="dxa"/>
            <w:gridSpan w:val="2"/>
            <w:tcBorders>
              <w:top w:val="single" w:color="auto" w:sz="4" w:space="0"/>
              <w:left w:val="single" w:color="auto" w:sz="4" w:space="0"/>
              <w:bottom w:val="single" w:color="auto" w:sz="4" w:space="0"/>
              <w:right w:val="single" w:color="auto" w:sz="4" w:space="0"/>
            </w:tcBorders>
            <w:noWrap w:val="0"/>
            <w:vAlign w:val="center"/>
          </w:tcPr>
          <w:p w14:paraId="77156058">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jc w:val="center"/>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2"/>
                <w:sz w:val="21"/>
                <w:szCs w:val="21"/>
                <w:highlight w:val="none"/>
              </w:rPr>
              <w:t>服务期限</w:t>
            </w:r>
          </w:p>
        </w:tc>
        <w:tc>
          <w:tcPr>
            <w:tcW w:w="7715" w:type="dxa"/>
            <w:gridSpan w:val="2"/>
            <w:tcBorders>
              <w:top w:val="single" w:color="auto" w:sz="4" w:space="0"/>
              <w:left w:val="single" w:color="auto" w:sz="4" w:space="0"/>
              <w:bottom w:val="single" w:color="auto" w:sz="4" w:space="0"/>
              <w:right w:val="single" w:color="auto" w:sz="4" w:space="0"/>
            </w:tcBorders>
            <w:noWrap w:val="0"/>
            <w:vAlign w:val="center"/>
          </w:tcPr>
          <w:p w14:paraId="68696712">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20" w:firstLineChars="200"/>
              <w:jc w:val="left"/>
              <w:textAlignment w:val="auto"/>
              <w:rPr>
                <w:rFonts w:hint="eastAsia" w:ascii="宋体" w:hAnsi="宋体" w:eastAsia="宋体" w:cs="宋体"/>
                <w:b w:val="0"/>
                <w:bCs w:val="0"/>
                <w:color w:val="auto"/>
                <w:kern w:val="0"/>
                <w:sz w:val="21"/>
                <w:szCs w:val="21"/>
                <w:highlight w:val="yellow"/>
                <w:lang w:eastAsia="zh-CN"/>
              </w:rPr>
            </w:pPr>
            <w:r>
              <w:rPr>
                <w:rFonts w:hint="eastAsia" w:ascii="宋体" w:hAnsi="宋体" w:eastAsia="宋体" w:cs="宋体"/>
                <w:b w:val="0"/>
                <w:bCs w:val="0"/>
                <w:color w:val="auto"/>
                <w:kern w:val="0"/>
                <w:sz w:val="21"/>
                <w:szCs w:val="21"/>
                <w:highlight w:val="none"/>
              </w:rPr>
              <w:t>1.服务期限：自签订合同之日起开始提供农产品检测服务，直至</w:t>
            </w:r>
            <w:r>
              <w:rPr>
                <w:rFonts w:hint="eastAsia" w:ascii="宋体" w:hAnsi="宋体" w:eastAsia="宋体" w:cs="宋体"/>
                <w:b w:val="0"/>
                <w:bCs w:val="0"/>
                <w:color w:val="auto"/>
                <w:kern w:val="0"/>
                <w:sz w:val="21"/>
                <w:szCs w:val="21"/>
                <w:highlight w:val="none"/>
                <w:lang w:val="en-US" w:eastAsia="zh-CN"/>
              </w:rPr>
              <w:t>202</w:t>
            </w:r>
            <w:r>
              <w:rPr>
                <w:rFonts w:hint="eastAsia" w:ascii="宋体" w:hAnsi="宋体" w:cs="宋体"/>
                <w:b w:val="0"/>
                <w:bCs w:val="0"/>
                <w:color w:val="auto"/>
                <w:kern w:val="0"/>
                <w:sz w:val="21"/>
                <w:szCs w:val="21"/>
                <w:highlight w:val="none"/>
                <w:lang w:val="en-US" w:eastAsia="zh-CN"/>
              </w:rPr>
              <w:t>6</w:t>
            </w:r>
            <w:r>
              <w:rPr>
                <w:rFonts w:hint="eastAsia" w:ascii="宋体" w:hAnsi="宋体" w:eastAsia="宋体" w:cs="宋体"/>
                <w:b w:val="0"/>
                <w:bCs w:val="0"/>
                <w:color w:val="auto"/>
                <w:kern w:val="0"/>
                <w:sz w:val="21"/>
                <w:szCs w:val="21"/>
                <w:highlight w:val="none"/>
              </w:rPr>
              <w:t>年</w:t>
            </w:r>
            <w:r>
              <w:rPr>
                <w:rFonts w:hint="eastAsia" w:ascii="宋体" w:hAnsi="宋体" w:cs="宋体"/>
                <w:b w:val="0"/>
                <w:bCs w:val="0"/>
                <w:color w:val="auto"/>
                <w:kern w:val="0"/>
                <w:sz w:val="21"/>
                <w:szCs w:val="21"/>
                <w:highlight w:val="none"/>
                <w:lang w:val="en-US" w:eastAsia="zh-CN"/>
              </w:rPr>
              <w:t>12</w:t>
            </w:r>
            <w:r>
              <w:rPr>
                <w:rFonts w:hint="eastAsia" w:ascii="宋体" w:hAnsi="宋体" w:eastAsia="宋体" w:cs="宋体"/>
                <w:b w:val="0"/>
                <w:bCs w:val="0"/>
                <w:color w:val="auto"/>
                <w:kern w:val="0"/>
                <w:sz w:val="21"/>
                <w:szCs w:val="21"/>
                <w:highlight w:val="none"/>
              </w:rPr>
              <w:t>月30日止</w:t>
            </w:r>
            <w:r>
              <w:rPr>
                <w:rFonts w:hint="eastAsia" w:ascii="宋体" w:hAnsi="宋体" w:eastAsia="宋体" w:cs="宋体"/>
                <w:b w:val="0"/>
                <w:bCs w:val="0"/>
                <w:color w:val="auto"/>
                <w:kern w:val="0"/>
                <w:sz w:val="21"/>
                <w:szCs w:val="21"/>
                <w:highlight w:val="none"/>
                <w:lang w:eastAsia="zh-CN"/>
              </w:rPr>
              <w:t>。</w:t>
            </w:r>
          </w:p>
          <w:p w14:paraId="6B656337">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20" w:firstLineChars="200"/>
              <w:jc w:val="left"/>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2.服务地点：</w:t>
            </w:r>
            <w:r>
              <w:rPr>
                <w:rFonts w:hint="eastAsia" w:ascii="宋体" w:hAnsi="宋体" w:cs="宋体"/>
                <w:b w:val="0"/>
                <w:bCs w:val="0"/>
                <w:color w:val="auto"/>
                <w:kern w:val="0"/>
                <w:sz w:val="21"/>
                <w:szCs w:val="21"/>
                <w:highlight w:val="none"/>
                <w:lang w:eastAsia="zh-CN"/>
              </w:rPr>
              <w:t>北海</w:t>
            </w:r>
            <w:r>
              <w:rPr>
                <w:rFonts w:hint="eastAsia" w:ascii="宋体" w:hAnsi="宋体" w:eastAsia="宋体" w:cs="宋体"/>
                <w:b w:val="0"/>
                <w:bCs w:val="0"/>
                <w:color w:val="auto"/>
                <w:kern w:val="0"/>
                <w:sz w:val="21"/>
                <w:szCs w:val="21"/>
                <w:highlight w:val="none"/>
              </w:rPr>
              <w:t>市农业农村局指定地点。</w:t>
            </w:r>
          </w:p>
        </w:tc>
      </w:tr>
      <w:tr w14:paraId="0090E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490" w:type="dxa"/>
            <w:gridSpan w:val="2"/>
            <w:tcBorders>
              <w:top w:val="single" w:color="auto" w:sz="4" w:space="0"/>
              <w:left w:val="single" w:color="auto" w:sz="4" w:space="0"/>
              <w:bottom w:val="single" w:color="auto" w:sz="4" w:space="0"/>
              <w:right w:val="single" w:color="auto" w:sz="4" w:space="0"/>
            </w:tcBorders>
            <w:noWrap w:val="0"/>
            <w:vAlign w:val="center"/>
          </w:tcPr>
          <w:p w14:paraId="1C8D3659">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jc w:val="center"/>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2"/>
                <w:sz w:val="21"/>
                <w:szCs w:val="21"/>
                <w:highlight w:val="none"/>
              </w:rPr>
              <w:t>处理问题响应时间</w:t>
            </w:r>
          </w:p>
        </w:tc>
        <w:tc>
          <w:tcPr>
            <w:tcW w:w="7715" w:type="dxa"/>
            <w:gridSpan w:val="2"/>
            <w:tcBorders>
              <w:top w:val="single" w:color="auto" w:sz="4" w:space="0"/>
              <w:left w:val="single" w:color="auto" w:sz="4" w:space="0"/>
              <w:bottom w:val="single" w:color="auto" w:sz="4" w:space="0"/>
              <w:right w:val="single" w:color="auto" w:sz="4" w:space="0"/>
            </w:tcBorders>
            <w:noWrap w:val="0"/>
            <w:vAlign w:val="center"/>
          </w:tcPr>
          <w:p w14:paraId="2DF0673B">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20" w:firstLineChars="200"/>
              <w:jc w:val="left"/>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2"/>
                <w:sz w:val="21"/>
                <w:szCs w:val="21"/>
                <w:highlight w:val="none"/>
                <w:lang w:val="en-GB"/>
              </w:rPr>
              <w:t>接到采购人通知后</w:t>
            </w:r>
            <w:r>
              <w:rPr>
                <w:rFonts w:hint="eastAsia" w:ascii="宋体" w:hAnsi="宋体" w:eastAsia="宋体" w:cs="宋体"/>
                <w:b w:val="0"/>
                <w:bCs w:val="0"/>
                <w:color w:val="auto"/>
                <w:kern w:val="2"/>
                <w:sz w:val="21"/>
                <w:szCs w:val="21"/>
                <w:highlight w:val="none"/>
                <w:lang w:val="en-US" w:eastAsia="zh-CN"/>
              </w:rPr>
              <w:t>6小时</w:t>
            </w:r>
            <w:r>
              <w:rPr>
                <w:rFonts w:hint="eastAsia" w:ascii="宋体" w:hAnsi="宋体" w:eastAsia="宋体" w:cs="宋体"/>
                <w:b w:val="0"/>
                <w:bCs w:val="0"/>
                <w:color w:val="auto"/>
                <w:kern w:val="2"/>
                <w:sz w:val="21"/>
                <w:szCs w:val="21"/>
                <w:highlight w:val="none"/>
                <w:lang w:val="en-GB"/>
              </w:rPr>
              <w:t>内到达采购人指定现场。</w:t>
            </w:r>
          </w:p>
        </w:tc>
      </w:tr>
      <w:tr w14:paraId="617DE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2490" w:type="dxa"/>
            <w:gridSpan w:val="2"/>
            <w:tcBorders>
              <w:top w:val="single" w:color="auto" w:sz="4" w:space="0"/>
              <w:left w:val="single" w:color="auto" w:sz="4" w:space="0"/>
              <w:bottom w:val="single" w:color="auto" w:sz="4" w:space="0"/>
              <w:right w:val="single" w:color="auto" w:sz="4" w:space="0"/>
            </w:tcBorders>
            <w:noWrap w:val="0"/>
            <w:vAlign w:val="center"/>
          </w:tcPr>
          <w:p w14:paraId="3312A5DF">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jc w:val="center"/>
              <w:textAlignment w:val="auto"/>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kern w:val="2"/>
                <w:sz w:val="21"/>
                <w:szCs w:val="21"/>
                <w:highlight w:val="none"/>
              </w:rPr>
              <w:t>验收标准及要求</w:t>
            </w:r>
          </w:p>
        </w:tc>
        <w:tc>
          <w:tcPr>
            <w:tcW w:w="7715" w:type="dxa"/>
            <w:gridSpan w:val="2"/>
            <w:tcBorders>
              <w:top w:val="single" w:color="auto" w:sz="4" w:space="0"/>
              <w:left w:val="single" w:color="auto" w:sz="4" w:space="0"/>
              <w:bottom w:val="single" w:color="auto" w:sz="4" w:space="0"/>
              <w:right w:val="single" w:color="auto" w:sz="4" w:space="0"/>
            </w:tcBorders>
            <w:noWrap w:val="0"/>
            <w:vAlign w:val="center"/>
          </w:tcPr>
          <w:p w14:paraId="1BDFBC4D">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20" w:firstLineChars="200"/>
              <w:jc w:val="left"/>
              <w:textAlignment w:val="auto"/>
              <w:rPr>
                <w:rFonts w:hint="eastAsia" w:ascii="宋体" w:hAnsi="宋体" w:eastAsia="宋体" w:cs="宋体"/>
                <w:b w:val="0"/>
                <w:bCs w:val="0"/>
                <w:color w:val="auto"/>
                <w:kern w:val="2"/>
                <w:sz w:val="21"/>
                <w:szCs w:val="21"/>
                <w:highlight w:val="none"/>
                <w:lang w:val="en-GB"/>
              </w:rPr>
            </w:pPr>
            <w:r>
              <w:rPr>
                <w:rFonts w:hint="eastAsia" w:ascii="宋体" w:hAnsi="宋体" w:eastAsia="宋体" w:cs="宋体"/>
                <w:b w:val="0"/>
                <w:bCs w:val="0"/>
                <w:color w:val="auto"/>
                <w:kern w:val="2"/>
                <w:sz w:val="21"/>
                <w:szCs w:val="21"/>
                <w:highlight w:val="none"/>
                <w:lang w:val="en-GB"/>
              </w:rPr>
              <w:t>1.验收及相关费用需包含在</w:t>
            </w:r>
            <w:r>
              <w:rPr>
                <w:rFonts w:hint="eastAsia" w:ascii="宋体" w:hAnsi="宋体" w:cs="宋体"/>
                <w:b w:val="0"/>
                <w:bCs w:val="0"/>
                <w:color w:val="auto"/>
                <w:kern w:val="2"/>
                <w:sz w:val="21"/>
                <w:szCs w:val="21"/>
                <w:highlight w:val="none"/>
                <w:lang w:val="en-US" w:eastAsia="zh-CN"/>
              </w:rPr>
              <w:t>响应</w:t>
            </w:r>
            <w:r>
              <w:rPr>
                <w:rFonts w:hint="eastAsia" w:ascii="宋体" w:hAnsi="宋体" w:eastAsia="宋体" w:cs="宋体"/>
                <w:b w:val="0"/>
                <w:bCs w:val="0"/>
                <w:color w:val="auto"/>
                <w:kern w:val="2"/>
                <w:sz w:val="21"/>
                <w:szCs w:val="21"/>
                <w:highlight w:val="none"/>
                <w:lang w:val="en-GB"/>
              </w:rPr>
              <w:t>报价内，</w:t>
            </w:r>
            <w:r>
              <w:rPr>
                <w:rFonts w:hint="eastAsia" w:ascii="宋体" w:hAnsi="宋体"/>
                <w:color w:val="auto"/>
                <w:kern w:val="0"/>
                <w:szCs w:val="21"/>
                <w:lang w:val="en-US" w:eastAsia="zh-CN"/>
              </w:rPr>
              <w:t>成交</w:t>
            </w:r>
            <w:r>
              <w:rPr>
                <w:rFonts w:hint="eastAsia" w:ascii="宋体" w:hAnsi="宋体" w:eastAsia="宋体" w:cs="宋体"/>
                <w:b w:val="0"/>
                <w:bCs w:val="0"/>
                <w:color w:val="auto"/>
                <w:kern w:val="2"/>
                <w:sz w:val="21"/>
                <w:szCs w:val="21"/>
                <w:highlight w:val="none"/>
                <w:lang w:val="en-GB"/>
              </w:rPr>
              <w:t>后由</w:t>
            </w:r>
            <w:r>
              <w:rPr>
                <w:rFonts w:hint="eastAsia" w:ascii="宋体" w:hAnsi="宋体"/>
                <w:color w:val="auto"/>
                <w:kern w:val="0"/>
                <w:szCs w:val="21"/>
                <w:lang w:val="en-US" w:eastAsia="zh-CN"/>
              </w:rPr>
              <w:t>成交</w:t>
            </w:r>
            <w:r>
              <w:rPr>
                <w:rFonts w:hint="eastAsia" w:ascii="宋体" w:hAnsi="宋体"/>
                <w:color w:val="auto"/>
                <w:kern w:val="0"/>
                <w:szCs w:val="21"/>
              </w:rPr>
              <w:t>人</w:t>
            </w:r>
            <w:r>
              <w:rPr>
                <w:rFonts w:hint="eastAsia" w:ascii="宋体" w:hAnsi="宋体" w:eastAsia="宋体" w:cs="宋体"/>
                <w:b w:val="0"/>
                <w:bCs w:val="0"/>
                <w:color w:val="auto"/>
                <w:kern w:val="2"/>
                <w:sz w:val="21"/>
                <w:szCs w:val="21"/>
                <w:highlight w:val="none"/>
                <w:lang w:val="en-GB"/>
              </w:rPr>
              <w:t>自行承担。</w:t>
            </w:r>
          </w:p>
          <w:p w14:paraId="3836E4C4">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20" w:firstLineChars="200"/>
              <w:jc w:val="left"/>
              <w:textAlignment w:val="auto"/>
              <w:rPr>
                <w:rFonts w:hint="eastAsia" w:ascii="宋体" w:hAnsi="宋体" w:eastAsia="宋体" w:cs="宋体"/>
                <w:b w:val="0"/>
                <w:bCs w:val="0"/>
                <w:color w:val="auto"/>
                <w:kern w:val="2"/>
                <w:sz w:val="21"/>
                <w:szCs w:val="21"/>
                <w:highlight w:val="none"/>
                <w:lang w:val="en-GB"/>
              </w:rPr>
            </w:pPr>
            <w:r>
              <w:rPr>
                <w:rFonts w:hint="eastAsia" w:ascii="宋体" w:hAnsi="宋体" w:eastAsia="宋体" w:cs="宋体"/>
                <w:b w:val="0"/>
                <w:bCs w:val="0"/>
                <w:color w:val="auto"/>
                <w:kern w:val="2"/>
                <w:sz w:val="21"/>
                <w:szCs w:val="21"/>
                <w:highlight w:val="none"/>
                <w:lang w:val="en-GB"/>
              </w:rPr>
              <w:t>2.成果交付：服务期限内，按采购人要求提供检验检测报告</w:t>
            </w:r>
            <w:r>
              <w:rPr>
                <w:rFonts w:hint="eastAsia" w:ascii="宋体" w:hAnsi="宋体" w:eastAsia="宋体" w:cs="宋体"/>
                <w:b w:val="0"/>
                <w:bCs w:val="0"/>
                <w:color w:val="auto"/>
                <w:kern w:val="2"/>
                <w:sz w:val="21"/>
                <w:szCs w:val="21"/>
                <w:highlight w:val="none"/>
                <w:lang w:val="en-GB" w:eastAsia="zh-CN"/>
              </w:rPr>
              <w:t>，</w:t>
            </w:r>
            <w:r>
              <w:rPr>
                <w:rFonts w:hint="eastAsia" w:ascii="宋体" w:hAnsi="宋体" w:eastAsia="宋体" w:cs="宋体"/>
                <w:b w:val="0"/>
                <w:bCs w:val="0"/>
                <w:color w:val="auto"/>
                <w:kern w:val="2"/>
                <w:sz w:val="21"/>
                <w:szCs w:val="21"/>
                <w:highlight w:val="none"/>
                <w:lang w:val="en-GB"/>
              </w:rPr>
              <w:t>项目结束前提供总的分析报告。</w:t>
            </w:r>
          </w:p>
          <w:p w14:paraId="497F0A11">
            <w:pPr>
              <w:keepNext/>
              <w:keepLines/>
              <w:tabs>
                <w:tab w:val="left" w:pos="180"/>
                <w:tab w:val="left" w:pos="1620"/>
              </w:tabs>
              <w:spacing w:line="400" w:lineRule="exact"/>
              <w:ind w:firstLine="420" w:firstLineChars="200"/>
              <w:rPr>
                <w:rFonts w:hint="eastAsia" w:ascii="宋体" w:hAnsi="宋体" w:eastAsia="宋体" w:cs="宋体"/>
                <w:b w:val="0"/>
                <w:bCs w:val="0"/>
                <w:color w:val="auto"/>
                <w:kern w:val="2"/>
                <w:sz w:val="21"/>
                <w:szCs w:val="21"/>
                <w:highlight w:val="none"/>
                <w:lang w:val="en-GB"/>
              </w:rPr>
            </w:pPr>
            <w:r>
              <w:rPr>
                <w:rFonts w:hint="eastAsia" w:ascii="宋体" w:hAnsi="宋体" w:eastAsia="宋体" w:cs="宋体"/>
                <w:b w:val="0"/>
                <w:bCs w:val="0"/>
                <w:color w:val="auto"/>
                <w:kern w:val="2"/>
                <w:sz w:val="21"/>
                <w:szCs w:val="21"/>
                <w:highlight w:val="none"/>
                <w:lang w:val="en-GB"/>
              </w:rPr>
              <w:t>3.项目验收：</w:t>
            </w:r>
            <w:r>
              <w:rPr>
                <w:rFonts w:hint="eastAsia" w:ascii="宋体" w:hAnsi="宋体" w:cs="宋体"/>
                <w:color w:val="auto"/>
                <w:szCs w:val="21"/>
              </w:rPr>
              <w:t>所有检测任务完成后采购人对</w:t>
            </w:r>
            <w:r>
              <w:rPr>
                <w:rFonts w:hint="eastAsia" w:ascii="宋体" w:hAnsi="宋体"/>
                <w:color w:val="auto"/>
                <w:kern w:val="0"/>
                <w:szCs w:val="21"/>
                <w:lang w:val="en-US" w:eastAsia="zh-CN"/>
              </w:rPr>
              <w:t>成交</w:t>
            </w:r>
            <w:r>
              <w:rPr>
                <w:rFonts w:hint="eastAsia" w:ascii="宋体" w:hAnsi="宋体"/>
                <w:color w:val="auto"/>
                <w:kern w:val="0"/>
                <w:szCs w:val="21"/>
              </w:rPr>
              <w:t>人</w:t>
            </w:r>
            <w:r>
              <w:rPr>
                <w:rFonts w:hint="eastAsia" w:ascii="宋体" w:hAnsi="宋体" w:cs="宋体"/>
                <w:color w:val="auto"/>
                <w:szCs w:val="21"/>
              </w:rPr>
              <w:t>履约情况进行</w:t>
            </w:r>
            <w:r>
              <w:rPr>
                <w:rFonts w:hint="eastAsia" w:ascii="宋体" w:hAnsi="宋体" w:cs="宋体"/>
                <w:color w:val="auto"/>
                <w:szCs w:val="21"/>
                <w:lang w:eastAsia="zh-CN"/>
              </w:rPr>
              <w:t>验收考评</w:t>
            </w:r>
            <w:r>
              <w:rPr>
                <w:rFonts w:hint="eastAsia" w:ascii="宋体" w:hAnsi="宋体" w:cs="宋体"/>
                <w:color w:val="auto"/>
                <w:szCs w:val="21"/>
              </w:rPr>
              <w:t>，</w:t>
            </w:r>
            <w:r>
              <w:rPr>
                <w:rFonts w:hint="eastAsia" w:ascii="宋体" w:hAnsi="宋体" w:eastAsia="宋体" w:cs="宋体"/>
                <w:color w:val="auto"/>
                <w:sz w:val="21"/>
                <w:szCs w:val="21"/>
                <w:highlight w:val="none"/>
              </w:rPr>
              <w:t>项目整体验收通过后</w:t>
            </w:r>
            <w:r>
              <w:rPr>
                <w:rFonts w:hint="eastAsia" w:ascii="宋体" w:hAnsi="宋体" w:cs="宋体"/>
                <w:color w:val="auto"/>
                <w:sz w:val="21"/>
                <w:szCs w:val="21"/>
                <w:highlight w:val="none"/>
                <w:lang w:eastAsia="zh-CN"/>
              </w:rPr>
              <w:t>向财政申请</w:t>
            </w:r>
            <w:r>
              <w:rPr>
                <w:rFonts w:hint="eastAsia" w:ascii="宋体" w:hAnsi="宋体" w:eastAsia="宋体" w:cs="宋体"/>
                <w:color w:val="auto"/>
                <w:sz w:val="21"/>
                <w:szCs w:val="21"/>
                <w:highlight w:val="none"/>
              </w:rPr>
              <w:t>支付合同金额的5%</w:t>
            </w:r>
            <w:r>
              <w:rPr>
                <w:rFonts w:hint="eastAsia" w:ascii="宋体" w:hAnsi="宋体" w:eastAsia="宋体" w:cs="宋体"/>
                <w:color w:val="auto"/>
                <w:sz w:val="21"/>
                <w:szCs w:val="21"/>
                <w:highlight w:val="none"/>
                <w:lang w:val="en-US" w:eastAsia="zh-CN"/>
              </w:rPr>
              <w:t xml:space="preserve"> </w:t>
            </w:r>
            <w:r>
              <w:rPr>
                <w:rFonts w:hint="eastAsia" w:ascii="宋体" w:hAnsi="宋体" w:cs="宋体"/>
                <w:color w:val="auto"/>
                <w:szCs w:val="21"/>
              </w:rPr>
              <w:t>。若</w:t>
            </w:r>
            <w:r>
              <w:rPr>
                <w:rFonts w:hint="eastAsia" w:ascii="宋体" w:hAnsi="宋体"/>
                <w:color w:val="auto"/>
                <w:kern w:val="0"/>
                <w:szCs w:val="21"/>
                <w:lang w:val="en-US" w:eastAsia="zh-CN"/>
              </w:rPr>
              <w:t>成交</w:t>
            </w:r>
            <w:r>
              <w:rPr>
                <w:rFonts w:hint="eastAsia" w:ascii="宋体" w:hAnsi="宋体"/>
                <w:color w:val="auto"/>
                <w:kern w:val="0"/>
                <w:szCs w:val="21"/>
              </w:rPr>
              <w:t>人</w:t>
            </w:r>
            <w:r>
              <w:rPr>
                <w:rFonts w:hint="eastAsia" w:ascii="宋体" w:hAnsi="宋体" w:cs="宋体"/>
                <w:color w:val="auto"/>
                <w:szCs w:val="21"/>
              </w:rPr>
              <w:t>未达到</w:t>
            </w:r>
            <w:r>
              <w:rPr>
                <w:rFonts w:hint="eastAsia" w:ascii="宋体" w:hAnsi="宋体" w:cs="宋体"/>
                <w:color w:val="auto"/>
                <w:szCs w:val="21"/>
                <w:lang w:eastAsia="zh-CN"/>
              </w:rPr>
              <w:t>验收</w:t>
            </w:r>
            <w:r>
              <w:rPr>
                <w:rFonts w:hint="eastAsia" w:ascii="宋体" w:hAnsi="宋体" w:cs="宋体"/>
                <w:color w:val="auto"/>
                <w:szCs w:val="21"/>
              </w:rPr>
              <w:t>考评标准（考核评分低于</w:t>
            </w:r>
            <w:r>
              <w:rPr>
                <w:rFonts w:hint="eastAsia" w:ascii="宋体" w:hAnsi="宋体" w:cs="宋体"/>
                <w:color w:val="auto"/>
                <w:szCs w:val="21"/>
                <w:lang w:val="en-US" w:eastAsia="zh-CN"/>
              </w:rPr>
              <w:t>7</w:t>
            </w:r>
            <w:r>
              <w:rPr>
                <w:rFonts w:hint="eastAsia" w:ascii="宋体" w:hAnsi="宋体" w:cs="宋体"/>
                <w:color w:val="auto"/>
                <w:szCs w:val="21"/>
              </w:rPr>
              <w:t>0分的），将扣除</w:t>
            </w:r>
            <w:r>
              <w:rPr>
                <w:rFonts w:hint="eastAsia" w:ascii="宋体" w:hAnsi="宋体" w:eastAsia="宋体" w:cs="宋体"/>
                <w:color w:val="auto"/>
                <w:sz w:val="21"/>
                <w:szCs w:val="21"/>
                <w:highlight w:val="none"/>
              </w:rPr>
              <w:t>合同金额的5%</w:t>
            </w:r>
            <w:r>
              <w:rPr>
                <w:rFonts w:hint="eastAsia" w:ascii="宋体" w:hAnsi="宋体" w:eastAsia="宋体" w:cs="宋体"/>
                <w:color w:val="auto"/>
                <w:sz w:val="21"/>
                <w:szCs w:val="21"/>
                <w:highlight w:val="none"/>
                <w:lang w:val="en-US" w:eastAsia="zh-CN"/>
              </w:rPr>
              <w:t xml:space="preserve"> </w:t>
            </w:r>
            <w:r>
              <w:rPr>
                <w:rFonts w:hint="eastAsia" w:ascii="宋体" w:hAnsi="宋体" w:cs="宋体"/>
                <w:color w:val="auto"/>
                <w:szCs w:val="21"/>
              </w:rPr>
              <w:t>。考核评分表详见附表</w:t>
            </w:r>
            <w:r>
              <w:rPr>
                <w:rFonts w:hint="eastAsia" w:ascii="宋体" w:hAnsi="宋体" w:cs="宋体"/>
                <w:color w:val="auto"/>
                <w:szCs w:val="21"/>
                <w:lang w:val="en-US" w:eastAsia="zh-CN"/>
              </w:rPr>
              <w:t>2</w:t>
            </w:r>
            <w:r>
              <w:rPr>
                <w:rFonts w:hint="eastAsia" w:ascii="宋体" w:hAnsi="宋体" w:cs="宋体"/>
                <w:color w:val="auto"/>
                <w:szCs w:val="21"/>
              </w:rPr>
              <w:t>（广西壮族自治区政府采购项目验收考核评分表）。</w:t>
            </w:r>
          </w:p>
          <w:p w14:paraId="3FAE8494">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20" w:firstLineChars="200"/>
              <w:jc w:val="left"/>
              <w:textAlignment w:val="auto"/>
              <w:rPr>
                <w:rFonts w:hint="eastAsia" w:ascii="宋体" w:hAnsi="宋体" w:eastAsia="宋体" w:cs="宋体"/>
                <w:b w:val="0"/>
                <w:bCs w:val="0"/>
                <w:color w:val="auto"/>
                <w:kern w:val="2"/>
                <w:sz w:val="21"/>
                <w:szCs w:val="21"/>
                <w:highlight w:val="none"/>
                <w:lang w:val="en-GB"/>
              </w:rPr>
            </w:pPr>
            <w:r>
              <w:rPr>
                <w:rFonts w:hint="eastAsia" w:ascii="宋体" w:hAnsi="宋体" w:cs="宋体"/>
                <w:b w:val="0"/>
                <w:bCs w:val="0"/>
                <w:color w:val="auto"/>
                <w:kern w:val="2"/>
                <w:sz w:val="21"/>
                <w:szCs w:val="21"/>
                <w:highlight w:val="none"/>
                <w:lang w:val="en-US" w:eastAsia="zh-CN"/>
              </w:rPr>
              <w:t>4</w:t>
            </w:r>
            <w:r>
              <w:rPr>
                <w:rFonts w:hint="eastAsia" w:ascii="宋体" w:hAnsi="宋体" w:eastAsia="宋体" w:cs="宋体"/>
                <w:b w:val="0"/>
                <w:bCs w:val="0"/>
                <w:color w:val="auto"/>
                <w:kern w:val="2"/>
                <w:sz w:val="21"/>
                <w:szCs w:val="21"/>
                <w:highlight w:val="none"/>
                <w:lang w:val="en-GB"/>
              </w:rPr>
              <w:t>.服务方案：</w:t>
            </w:r>
            <w:r>
              <w:rPr>
                <w:rFonts w:hint="eastAsia" w:ascii="宋体" w:hAnsi="宋体" w:eastAsia="宋体" w:cs="宋体"/>
                <w:color w:val="auto"/>
                <w:kern w:val="2"/>
                <w:sz w:val="21"/>
                <w:szCs w:val="21"/>
                <w:lang w:val="en-US" w:eastAsia="zh-CN"/>
              </w:rPr>
              <w:t>供应商</w:t>
            </w:r>
            <w:r>
              <w:rPr>
                <w:rFonts w:hint="eastAsia" w:ascii="宋体" w:hAnsi="宋体" w:eastAsia="宋体" w:cs="宋体"/>
                <w:b w:val="0"/>
                <w:bCs w:val="0"/>
                <w:color w:val="auto"/>
                <w:kern w:val="2"/>
                <w:sz w:val="21"/>
                <w:szCs w:val="21"/>
                <w:highlight w:val="none"/>
                <w:lang w:val="en-GB"/>
              </w:rPr>
              <w:t>提供详细的服务方案。</w:t>
            </w:r>
          </w:p>
          <w:p w14:paraId="50A36168">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20" w:firstLineChars="200"/>
              <w:jc w:val="left"/>
              <w:textAlignment w:val="auto"/>
              <w:rPr>
                <w:rFonts w:hint="eastAsia" w:ascii="宋体" w:hAnsi="宋体" w:eastAsia="宋体" w:cs="宋体"/>
                <w:b w:val="0"/>
                <w:bCs w:val="0"/>
                <w:color w:val="auto"/>
                <w:kern w:val="2"/>
                <w:sz w:val="21"/>
                <w:szCs w:val="21"/>
                <w:highlight w:val="none"/>
                <w:lang w:val="en-GB"/>
              </w:rPr>
            </w:pPr>
            <w:r>
              <w:rPr>
                <w:rFonts w:hint="eastAsia" w:ascii="宋体" w:hAnsi="宋体" w:cs="宋体"/>
                <w:b w:val="0"/>
                <w:bCs w:val="0"/>
                <w:color w:val="auto"/>
                <w:kern w:val="2"/>
                <w:sz w:val="21"/>
                <w:szCs w:val="21"/>
                <w:highlight w:val="none"/>
                <w:lang w:val="en-US" w:eastAsia="zh-CN"/>
              </w:rPr>
              <w:t>5</w:t>
            </w:r>
            <w:r>
              <w:rPr>
                <w:rFonts w:hint="eastAsia" w:ascii="宋体" w:hAnsi="宋体" w:eastAsia="宋体" w:cs="宋体"/>
                <w:b w:val="0"/>
                <w:bCs w:val="0"/>
                <w:color w:val="auto"/>
                <w:kern w:val="2"/>
                <w:sz w:val="21"/>
                <w:szCs w:val="21"/>
                <w:highlight w:val="none"/>
                <w:lang w:val="en-GB"/>
              </w:rPr>
              <w:t>.根据监管的实际要求，采购人可适当调整品种和检</w:t>
            </w:r>
            <w:r>
              <w:rPr>
                <w:rFonts w:hint="eastAsia" w:ascii="宋体" w:hAnsi="宋体" w:cs="宋体"/>
                <w:b w:val="0"/>
                <w:bCs w:val="0"/>
                <w:color w:val="auto"/>
                <w:kern w:val="2"/>
                <w:sz w:val="21"/>
                <w:szCs w:val="21"/>
                <w:highlight w:val="none"/>
                <w:lang w:val="en-GB" w:eastAsia="zh-CN"/>
              </w:rPr>
              <w:t>测</w:t>
            </w:r>
            <w:r>
              <w:rPr>
                <w:rFonts w:hint="eastAsia" w:ascii="宋体" w:hAnsi="宋体" w:eastAsia="宋体" w:cs="宋体"/>
                <w:b w:val="0"/>
                <w:bCs w:val="0"/>
                <w:color w:val="auto"/>
                <w:kern w:val="2"/>
                <w:sz w:val="21"/>
                <w:szCs w:val="21"/>
                <w:highlight w:val="none"/>
                <w:lang w:val="en-GB"/>
              </w:rPr>
              <w:t>项目。</w:t>
            </w:r>
          </w:p>
        </w:tc>
      </w:tr>
      <w:tr w14:paraId="573BF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2490" w:type="dxa"/>
            <w:gridSpan w:val="2"/>
            <w:tcBorders>
              <w:top w:val="single" w:color="auto" w:sz="4" w:space="0"/>
              <w:left w:val="single" w:color="auto" w:sz="4" w:space="0"/>
              <w:bottom w:val="single" w:color="auto" w:sz="4" w:space="0"/>
              <w:right w:val="single" w:color="auto" w:sz="4" w:space="0"/>
            </w:tcBorders>
            <w:noWrap w:val="0"/>
            <w:vAlign w:val="center"/>
          </w:tcPr>
          <w:p w14:paraId="7E99B718">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jc w:val="center"/>
              <w:textAlignment w:val="auto"/>
              <w:rPr>
                <w:rFonts w:hint="eastAsia" w:ascii="宋体" w:hAnsi="宋体" w:eastAsia="宋体" w:cs="宋体"/>
                <w:b w:val="0"/>
                <w:bCs w:val="0"/>
                <w:color w:val="auto"/>
                <w:kern w:val="2"/>
                <w:sz w:val="21"/>
                <w:szCs w:val="21"/>
                <w:highlight w:val="none"/>
                <w:lang w:eastAsia="zh-CN"/>
              </w:rPr>
            </w:pPr>
            <w:r>
              <w:rPr>
                <w:rFonts w:hint="eastAsia" w:ascii="宋体" w:hAnsi="宋体" w:eastAsia="宋体" w:cs="宋体"/>
                <w:b w:val="0"/>
                <w:bCs w:val="0"/>
                <w:color w:val="auto"/>
                <w:kern w:val="2"/>
                <w:sz w:val="21"/>
                <w:szCs w:val="21"/>
                <w:highlight w:val="none"/>
              </w:rPr>
              <w:t>付款</w:t>
            </w:r>
            <w:r>
              <w:rPr>
                <w:rFonts w:hint="eastAsia" w:ascii="宋体" w:hAnsi="宋体" w:eastAsia="宋体" w:cs="宋体"/>
                <w:b w:val="0"/>
                <w:bCs w:val="0"/>
                <w:color w:val="auto"/>
                <w:kern w:val="2"/>
                <w:sz w:val="21"/>
                <w:szCs w:val="21"/>
                <w:highlight w:val="none"/>
                <w:lang w:eastAsia="zh-CN"/>
              </w:rPr>
              <w:t>条件</w:t>
            </w:r>
          </w:p>
        </w:tc>
        <w:tc>
          <w:tcPr>
            <w:tcW w:w="7715" w:type="dxa"/>
            <w:gridSpan w:val="2"/>
            <w:tcBorders>
              <w:top w:val="single" w:color="auto" w:sz="4" w:space="0"/>
              <w:left w:val="single" w:color="auto" w:sz="4" w:space="0"/>
              <w:bottom w:val="single" w:color="auto" w:sz="4" w:space="0"/>
              <w:right w:val="single" w:color="auto" w:sz="4" w:space="0"/>
            </w:tcBorders>
            <w:noWrap w:val="0"/>
            <w:vAlign w:val="center"/>
          </w:tcPr>
          <w:p w14:paraId="11D739B4">
            <w:pPr>
              <w:spacing w:line="400" w:lineRule="exact"/>
              <w:ind w:firstLine="210" w:firstLineChars="100"/>
              <w:jc w:val="left"/>
              <w:rPr>
                <w:rFonts w:hint="eastAsia" w:ascii="宋体" w:hAnsi="宋体" w:eastAsia="宋体" w:cs="宋体"/>
                <w:b w:val="0"/>
                <w:bCs w:val="0"/>
                <w:color w:val="auto"/>
                <w:kern w:val="0"/>
                <w:sz w:val="21"/>
                <w:szCs w:val="21"/>
                <w:highlight w:val="none"/>
              </w:rPr>
            </w:pPr>
            <w:r>
              <w:rPr>
                <w:rFonts w:hint="eastAsia" w:ascii="宋体" w:hAnsi="宋体" w:eastAsia="宋体" w:cs="宋体"/>
                <w:color w:val="auto"/>
                <w:sz w:val="21"/>
                <w:szCs w:val="21"/>
                <w:highlight w:val="none"/>
              </w:rPr>
              <w:t>分期付款，在合同生效及具备实施条件后十个工作日内向财政申请付合同金额的30%，完成本项目80%的检测批次任务后向财政支付合同金额的65%的检测服务费，项目整体验收通过后向财政申请付合同金额的5% 。(财政资金延迟不视为违约)。</w:t>
            </w:r>
          </w:p>
        </w:tc>
      </w:tr>
    </w:tbl>
    <w:p w14:paraId="3D766E64">
      <w:pPr>
        <w:pStyle w:val="24"/>
        <w:rPr>
          <w:rFonts w:hint="eastAsia"/>
          <w:color w:val="auto"/>
          <w:lang w:eastAsia="zh-CN"/>
        </w:rPr>
      </w:pPr>
    </w:p>
    <w:p w14:paraId="218763AA">
      <w:pPr>
        <w:bidi w:val="0"/>
        <w:ind w:left="-420" w:leftChars="-200" w:firstLine="0" w:firstLineChars="0"/>
        <w:rPr>
          <w:rFonts w:hint="eastAsia"/>
          <w:color w:val="auto"/>
          <w:lang w:val="en-US" w:eastAsia="zh-CN"/>
        </w:rPr>
      </w:pPr>
      <w:r>
        <w:rPr>
          <w:rFonts w:hint="eastAsia"/>
          <w:color w:val="auto"/>
          <w:lang w:eastAsia="zh-CN"/>
        </w:rPr>
        <w:t>附表</w:t>
      </w:r>
      <w:r>
        <w:rPr>
          <w:rFonts w:hint="eastAsia"/>
          <w:color w:val="auto"/>
          <w:lang w:val="en-US" w:eastAsia="zh-CN"/>
        </w:rPr>
        <w:t>1</w:t>
      </w:r>
    </w:p>
    <w:tbl>
      <w:tblPr>
        <w:tblStyle w:val="62"/>
        <w:tblW w:w="10118" w:type="dxa"/>
        <w:tblInd w:w="-4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6"/>
        <w:gridCol w:w="852"/>
        <w:gridCol w:w="1084"/>
        <w:gridCol w:w="4675"/>
        <w:gridCol w:w="715"/>
        <w:gridCol w:w="873"/>
        <w:gridCol w:w="1043"/>
      </w:tblGrid>
      <w:tr w14:paraId="2C899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876" w:type="dxa"/>
            <w:vMerge w:val="restart"/>
            <w:tcBorders>
              <w:top w:val="single" w:color="000000" w:sz="4" w:space="0"/>
              <w:left w:val="single" w:color="000000" w:sz="4" w:space="0"/>
              <w:bottom w:val="single" w:color="000000" w:sz="4" w:space="0"/>
              <w:right w:val="single" w:color="000000" w:sz="4" w:space="0"/>
            </w:tcBorders>
            <w:noWrap w:val="0"/>
            <w:vAlign w:val="center"/>
          </w:tcPr>
          <w:p w14:paraId="6E87DA3D">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标项号</w:t>
            </w:r>
          </w:p>
        </w:tc>
        <w:tc>
          <w:tcPr>
            <w:tcW w:w="852" w:type="dxa"/>
            <w:vMerge w:val="restart"/>
            <w:tcBorders>
              <w:top w:val="single" w:color="000000" w:sz="4" w:space="0"/>
              <w:left w:val="single" w:color="000000" w:sz="4" w:space="0"/>
              <w:bottom w:val="single" w:color="000000" w:sz="4" w:space="0"/>
              <w:right w:val="single" w:color="000000" w:sz="4" w:space="0"/>
            </w:tcBorders>
            <w:noWrap w:val="0"/>
            <w:vAlign w:val="center"/>
          </w:tcPr>
          <w:p w14:paraId="223AB19F">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产品类别</w:t>
            </w:r>
          </w:p>
        </w:tc>
        <w:tc>
          <w:tcPr>
            <w:tcW w:w="1084" w:type="dxa"/>
            <w:vMerge w:val="restart"/>
            <w:tcBorders>
              <w:top w:val="single" w:color="000000" w:sz="4" w:space="0"/>
              <w:left w:val="single" w:color="000000" w:sz="4" w:space="0"/>
              <w:bottom w:val="single" w:color="000000" w:sz="4" w:space="0"/>
              <w:right w:val="single" w:color="000000" w:sz="4" w:space="0"/>
            </w:tcBorders>
            <w:noWrap w:val="0"/>
            <w:vAlign w:val="center"/>
          </w:tcPr>
          <w:p w14:paraId="42CA2C01">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检测类别</w:t>
            </w:r>
          </w:p>
        </w:tc>
        <w:tc>
          <w:tcPr>
            <w:tcW w:w="4675" w:type="dxa"/>
            <w:vMerge w:val="restart"/>
            <w:tcBorders>
              <w:top w:val="single" w:color="000000" w:sz="4" w:space="0"/>
              <w:left w:val="single" w:color="000000" w:sz="4" w:space="0"/>
              <w:bottom w:val="single" w:color="000000" w:sz="4" w:space="0"/>
              <w:right w:val="single" w:color="000000" w:sz="4" w:space="0"/>
            </w:tcBorders>
            <w:noWrap w:val="0"/>
            <w:vAlign w:val="center"/>
          </w:tcPr>
          <w:p w14:paraId="41577C9B">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检测项目</w:t>
            </w:r>
            <w:r>
              <w:rPr>
                <w:rFonts w:hint="eastAsia" w:ascii="宋体" w:hAnsi="宋体" w:cs="宋体"/>
                <w:b/>
                <w:bCs/>
                <w:color w:val="auto"/>
                <w:sz w:val="21"/>
                <w:szCs w:val="21"/>
                <w:highlight w:val="none"/>
                <w:lang w:val="en-US" w:eastAsia="zh-CN"/>
              </w:rPr>
              <w:t>（根据实际工作需要可能临时调整）</w:t>
            </w:r>
          </w:p>
        </w:tc>
        <w:tc>
          <w:tcPr>
            <w:tcW w:w="715" w:type="dxa"/>
            <w:vMerge w:val="restart"/>
            <w:tcBorders>
              <w:top w:val="single" w:color="000000" w:sz="4" w:space="0"/>
              <w:left w:val="single" w:color="000000" w:sz="4" w:space="0"/>
              <w:bottom w:val="single" w:color="000000" w:sz="4" w:space="0"/>
              <w:right w:val="single" w:color="000000" w:sz="4" w:space="0"/>
            </w:tcBorders>
            <w:noWrap w:val="0"/>
            <w:vAlign w:val="center"/>
          </w:tcPr>
          <w:p w14:paraId="268FE79F">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批次数量</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03C2E894">
            <w:pPr>
              <w:keepNext w:val="0"/>
              <w:keepLines w:val="0"/>
              <w:widowControl/>
              <w:suppressLineNumbers w:val="0"/>
              <w:jc w:val="center"/>
              <w:textAlignment w:val="center"/>
              <w:rPr>
                <w:rFonts w:hint="eastAsia" w:ascii="宋体" w:hAnsi="宋体" w:cs="宋体"/>
                <w:i w:val="0"/>
                <w:color w:val="auto"/>
                <w:kern w:val="0"/>
                <w:sz w:val="21"/>
                <w:szCs w:val="21"/>
                <w:u w:val="none"/>
                <w:lang w:val="en-US" w:eastAsia="zh-CN" w:bidi="ar"/>
              </w:rPr>
            </w:pPr>
            <w:r>
              <w:rPr>
                <w:rFonts w:hint="eastAsia" w:ascii="宋体" w:hAnsi="宋体" w:cs="宋体"/>
                <w:i w:val="0"/>
                <w:color w:val="auto"/>
                <w:kern w:val="0"/>
                <w:sz w:val="21"/>
                <w:szCs w:val="21"/>
                <w:u w:val="none"/>
                <w:lang w:val="en-US" w:eastAsia="zh-CN" w:bidi="ar"/>
              </w:rPr>
              <w:t>上限</w:t>
            </w:r>
          </w:p>
          <w:p w14:paraId="11A698A6">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单价</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68B0ADCD">
            <w:pPr>
              <w:keepNext w:val="0"/>
              <w:keepLines w:val="0"/>
              <w:widowControl/>
              <w:suppressLineNumbers w:val="0"/>
              <w:jc w:val="center"/>
              <w:textAlignment w:val="center"/>
              <w:rPr>
                <w:rFonts w:hint="eastAsia" w:ascii="宋体" w:hAnsi="宋体" w:cs="宋体"/>
                <w:i w:val="0"/>
                <w:color w:val="auto"/>
                <w:kern w:val="0"/>
                <w:sz w:val="21"/>
                <w:szCs w:val="21"/>
                <w:u w:val="none"/>
                <w:lang w:val="en-US" w:eastAsia="zh-CN" w:bidi="ar"/>
              </w:rPr>
            </w:pPr>
            <w:r>
              <w:rPr>
                <w:rFonts w:hint="eastAsia" w:ascii="宋体" w:hAnsi="宋体" w:cs="宋体"/>
                <w:i w:val="0"/>
                <w:color w:val="auto"/>
                <w:kern w:val="0"/>
                <w:sz w:val="21"/>
                <w:szCs w:val="21"/>
                <w:u w:val="none"/>
                <w:lang w:val="en-US" w:eastAsia="zh-CN" w:bidi="ar"/>
              </w:rPr>
              <w:t>上限</w:t>
            </w:r>
          </w:p>
          <w:p w14:paraId="650FDE53">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小计</w:t>
            </w:r>
          </w:p>
        </w:tc>
      </w:tr>
      <w:tr w14:paraId="4113F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trPr>
        <w:tc>
          <w:tcPr>
            <w:tcW w:w="87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F6B55C">
            <w:pPr>
              <w:jc w:val="center"/>
              <w:rPr>
                <w:rFonts w:hint="eastAsia" w:ascii="宋体" w:hAnsi="宋体" w:eastAsia="宋体" w:cs="宋体"/>
                <w:i w:val="0"/>
                <w:color w:val="auto"/>
                <w:sz w:val="21"/>
                <w:szCs w:val="21"/>
                <w:u w:val="none"/>
              </w:rPr>
            </w:pPr>
          </w:p>
        </w:tc>
        <w:tc>
          <w:tcPr>
            <w:tcW w:w="8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A014B4">
            <w:pPr>
              <w:jc w:val="center"/>
              <w:rPr>
                <w:rFonts w:hint="eastAsia" w:ascii="宋体" w:hAnsi="宋体" w:eastAsia="宋体" w:cs="宋体"/>
                <w:i w:val="0"/>
                <w:color w:val="auto"/>
                <w:sz w:val="21"/>
                <w:szCs w:val="21"/>
                <w:u w:val="none"/>
              </w:rPr>
            </w:pPr>
          </w:p>
        </w:tc>
        <w:tc>
          <w:tcPr>
            <w:tcW w:w="108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B159B3">
            <w:pPr>
              <w:jc w:val="center"/>
              <w:rPr>
                <w:rFonts w:hint="eastAsia" w:ascii="宋体" w:hAnsi="宋体" w:eastAsia="宋体" w:cs="宋体"/>
                <w:i w:val="0"/>
                <w:color w:val="auto"/>
                <w:sz w:val="21"/>
                <w:szCs w:val="21"/>
                <w:u w:val="none"/>
              </w:rPr>
            </w:pPr>
          </w:p>
        </w:tc>
        <w:tc>
          <w:tcPr>
            <w:tcW w:w="4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C3F66C">
            <w:pPr>
              <w:jc w:val="center"/>
              <w:rPr>
                <w:rFonts w:hint="eastAsia" w:ascii="宋体" w:hAnsi="宋体" w:eastAsia="宋体" w:cs="宋体"/>
                <w:i w:val="0"/>
                <w:color w:val="auto"/>
                <w:sz w:val="21"/>
                <w:szCs w:val="21"/>
                <w:u w:val="none"/>
              </w:rPr>
            </w:pPr>
          </w:p>
        </w:tc>
        <w:tc>
          <w:tcPr>
            <w:tcW w:w="7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982751">
            <w:pPr>
              <w:jc w:val="center"/>
              <w:rPr>
                <w:rFonts w:hint="eastAsia" w:ascii="宋体" w:hAnsi="宋体" w:eastAsia="宋体" w:cs="宋体"/>
                <w:i w:val="0"/>
                <w:color w:val="auto"/>
                <w:sz w:val="21"/>
                <w:szCs w:val="21"/>
                <w:u w:val="none"/>
              </w:rPr>
            </w:pP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06E267DE">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(元）</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782D95AB">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(元）</w:t>
            </w:r>
          </w:p>
        </w:tc>
      </w:tr>
      <w:tr w14:paraId="054CA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1" w:hRule="atLeast"/>
        </w:trPr>
        <w:tc>
          <w:tcPr>
            <w:tcW w:w="876" w:type="dxa"/>
            <w:vMerge w:val="restart"/>
            <w:tcBorders>
              <w:top w:val="single" w:color="000000" w:sz="4" w:space="0"/>
              <w:left w:val="single" w:color="000000" w:sz="4" w:space="0"/>
              <w:bottom w:val="single" w:color="000000" w:sz="4" w:space="0"/>
              <w:right w:val="single" w:color="000000" w:sz="4" w:space="0"/>
            </w:tcBorders>
            <w:noWrap w:val="0"/>
            <w:vAlign w:val="center"/>
          </w:tcPr>
          <w:p w14:paraId="0C1932CC">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Ⅰ</w:t>
            </w:r>
          </w:p>
        </w:tc>
        <w:tc>
          <w:tcPr>
            <w:tcW w:w="852" w:type="dxa"/>
            <w:vMerge w:val="restart"/>
            <w:tcBorders>
              <w:top w:val="single" w:color="000000" w:sz="4" w:space="0"/>
              <w:left w:val="single" w:color="000000" w:sz="4" w:space="0"/>
              <w:bottom w:val="single" w:color="000000" w:sz="4" w:space="0"/>
              <w:right w:val="single" w:color="000000" w:sz="4" w:space="0"/>
            </w:tcBorders>
            <w:noWrap w:val="0"/>
            <w:vAlign w:val="center"/>
          </w:tcPr>
          <w:p w14:paraId="34CB796F">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种植业产品</w:t>
            </w:r>
          </w:p>
        </w:tc>
        <w:tc>
          <w:tcPr>
            <w:tcW w:w="1084" w:type="dxa"/>
            <w:tcBorders>
              <w:top w:val="single" w:color="000000" w:sz="4" w:space="0"/>
              <w:left w:val="single" w:color="000000" w:sz="4" w:space="0"/>
              <w:bottom w:val="single" w:color="000000" w:sz="4" w:space="0"/>
              <w:right w:val="single" w:color="000000" w:sz="4" w:space="0"/>
            </w:tcBorders>
            <w:noWrap w:val="0"/>
            <w:vAlign w:val="center"/>
          </w:tcPr>
          <w:p w14:paraId="6F1F2079">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风险监测</w:t>
            </w:r>
          </w:p>
        </w:tc>
        <w:tc>
          <w:tcPr>
            <w:tcW w:w="4675" w:type="dxa"/>
            <w:vMerge w:val="restart"/>
            <w:tcBorders>
              <w:top w:val="single" w:color="000000" w:sz="4" w:space="0"/>
              <w:left w:val="single" w:color="000000" w:sz="4" w:space="0"/>
              <w:bottom w:val="single" w:color="000000" w:sz="4" w:space="0"/>
              <w:right w:val="single" w:color="000000" w:sz="4" w:space="0"/>
            </w:tcBorders>
            <w:noWrap w:val="0"/>
            <w:vAlign w:val="center"/>
          </w:tcPr>
          <w:p w14:paraId="1ECCB38D">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甲胺磷、特丁硫磷、乙酰甲胺磷、甲拌磷（包括甲拌磷砜和甲拌磷亚砜）、氧乐果、克百威（包括3-羟基克百威）、涕灭威（包括涕灭威砜、涕灭威亚砜）、灭多威、毒死蜱、水胺硫磷、甲基异柳磷、三唑磷、氟虫腈（包括氟甲腈、氟虫腈硫醚、氟虫腈砜）、乐果、治螟磷、内吸磷、三氯杀螨醇、杀扑磷、久效磷、丙溴磷、灭蝇胺，倍硫磷、噻虫嗪、噻虫胺、吡唑醚菌酯、甲氨基阿维菌素苯甲酸盐、氯氰菊酯、氯氟氰菊酯、啶虫脒、抑霉唑、咪鲜胺等多种农药，韭菜、番茄、辣椒、芒果、荔枝等样品加测腐霉利。</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7B7DC967">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342</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590FFAFD">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650</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7EC3C2B1">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222300</w:t>
            </w:r>
          </w:p>
        </w:tc>
      </w:tr>
      <w:tr w14:paraId="4A5B5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6" w:hRule="atLeast"/>
        </w:trPr>
        <w:tc>
          <w:tcPr>
            <w:tcW w:w="87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EFB8D5">
            <w:pPr>
              <w:jc w:val="center"/>
              <w:rPr>
                <w:rFonts w:hint="eastAsia" w:ascii="宋体" w:hAnsi="宋体" w:eastAsia="宋体" w:cs="宋体"/>
                <w:i w:val="0"/>
                <w:color w:val="auto"/>
                <w:sz w:val="21"/>
                <w:szCs w:val="21"/>
                <w:u w:val="none"/>
              </w:rPr>
            </w:pPr>
          </w:p>
        </w:tc>
        <w:tc>
          <w:tcPr>
            <w:tcW w:w="8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D1F93E">
            <w:pPr>
              <w:jc w:val="center"/>
              <w:rPr>
                <w:rFonts w:hint="eastAsia" w:ascii="宋体" w:hAnsi="宋体" w:eastAsia="宋体" w:cs="宋体"/>
                <w:i w:val="0"/>
                <w:color w:val="auto"/>
                <w:sz w:val="21"/>
                <w:szCs w:val="21"/>
                <w:u w:val="none"/>
              </w:rPr>
            </w:pPr>
          </w:p>
        </w:tc>
        <w:tc>
          <w:tcPr>
            <w:tcW w:w="1084" w:type="dxa"/>
            <w:tcBorders>
              <w:top w:val="single" w:color="000000" w:sz="4" w:space="0"/>
              <w:left w:val="single" w:color="000000" w:sz="4" w:space="0"/>
              <w:bottom w:val="single" w:color="000000" w:sz="4" w:space="0"/>
              <w:right w:val="single" w:color="000000" w:sz="4" w:space="0"/>
            </w:tcBorders>
            <w:noWrap w:val="0"/>
            <w:vAlign w:val="center"/>
          </w:tcPr>
          <w:p w14:paraId="063C3E49">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监督抽检</w:t>
            </w:r>
          </w:p>
        </w:tc>
        <w:tc>
          <w:tcPr>
            <w:tcW w:w="4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8A68D9">
            <w:pPr>
              <w:jc w:val="center"/>
              <w:rPr>
                <w:rFonts w:hint="eastAsia" w:ascii="宋体" w:hAnsi="宋体" w:eastAsia="宋体" w:cs="宋体"/>
                <w:i w:val="0"/>
                <w:color w:val="auto"/>
                <w:sz w:val="21"/>
                <w:szCs w:val="21"/>
                <w:u w:val="none"/>
              </w:rPr>
            </w:pP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3BDD64DF">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548</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66BD48E7">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650</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26F51089">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356200</w:t>
            </w:r>
          </w:p>
        </w:tc>
      </w:tr>
      <w:tr w14:paraId="72358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6" w:hRule="atLeast"/>
        </w:trPr>
        <w:tc>
          <w:tcPr>
            <w:tcW w:w="87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1D888C">
            <w:pPr>
              <w:jc w:val="center"/>
              <w:rPr>
                <w:rFonts w:hint="eastAsia" w:ascii="宋体" w:hAnsi="宋体" w:eastAsia="宋体" w:cs="宋体"/>
                <w:i w:val="0"/>
                <w:color w:val="auto"/>
                <w:sz w:val="21"/>
                <w:szCs w:val="21"/>
                <w:u w:val="none"/>
              </w:rPr>
            </w:pPr>
          </w:p>
        </w:tc>
        <w:tc>
          <w:tcPr>
            <w:tcW w:w="852" w:type="dxa"/>
            <w:vMerge w:val="restart"/>
            <w:tcBorders>
              <w:top w:val="single" w:color="000000" w:sz="4" w:space="0"/>
              <w:left w:val="single" w:color="000000" w:sz="4" w:space="0"/>
              <w:bottom w:val="single" w:color="000000" w:sz="4" w:space="0"/>
              <w:right w:val="single" w:color="000000" w:sz="4" w:space="0"/>
            </w:tcBorders>
            <w:noWrap w:val="0"/>
            <w:vAlign w:val="center"/>
          </w:tcPr>
          <w:p w14:paraId="614EA3A1">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畜牧产品</w:t>
            </w:r>
          </w:p>
        </w:tc>
        <w:tc>
          <w:tcPr>
            <w:tcW w:w="1084" w:type="dxa"/>
            <w:tcBorders>
              <w:top w:val="single" w:color="000000" w:sz="4" w:space="0"/>
              <w:left w:val="single" w:color="000000" w:sz="4" w:space="0"/>
              <w:bottom w:val="single" w:color="000000" w:sz="4" w:space="0"/>
              <w:right w:val="single" w:color="000000" w:sz="4" w:space="0"/>
            </w:tcBorders>
            <w:noWrap w:val="0"/>
            <w:vAlign w:val="center"/>
          </w:tcPr>
          <w:p w14:paraId="4F2956A5">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风险监测</w:t>
            </w:r>
          </w:p>
        </w:tc>
        <w:tc>
          <w:tcPr>
            <w:tcW w:w="4675" w:type="dxa"/>
            <w:vMerge w:val="restart"/>
            <w:tcBorders>
              <w:top w:val="single" w:color="000000" w:sz="4" w:space="0"/>
              <w:left w:val="single" w:color="000000" w:sz="4" w:space="0"/>
              <w:bottom w:val="single" w:color="000000" w:sz="4" w:space="0"/>
              <w:right w:val="single" w:color="000000" w:sz="4" w:space="0"/>
            </w:tcBorders>
            <w:noWrap w:val="0"/>
            <w:vAlign w:val="center"/>
          </w:tcPr>
          <w:p w14:paraId="32BE5D87">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磺胺类、氟苯尼考、氟喹诺酮类、硝基呋喃代谢物、四环素、氯霉素、青霉素、多西环素、土霉素、金霉素、金刚烷胺等，猪牛羊产品加测盐酸克伦特罗、沙丁胺醇、莱克多巴胺、硫酸特布他林、马布特罗、溴布特罗。</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3CB76716">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246359A8">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750</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0C12E90E">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22500</w:t>
            </w:r>
          </w:p>
        </w:tc>
      </w:tr>
      <w:tr w14:paraId="25D82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87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247807">
            <w:pPr>
              <w:jc w:val="center"/>
              <w:rPr>
                <w:rFonts w:hint="eastAsia" w:ascii="宋体" w:hAnsi="宋体" w:eastAsia="宋体" w:cs="宋体"/>
                <w:i w:val="0"/>
                <w:color w:val="auto"/>
                <w:sz w:val="21"/>
                <w:szCs w:val="21"/>
                <w:u w:val="none"/>
              </w:rPr>
            </w:pPr>
          </w:p>
        </w:tc>
        <w:tc>
          <w:tcPr>
            <w:tcW w:w="8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E2040F">
            <w:pPr>
              <w:jc w:val="center"/>
              <w:rPr>
                <w:rFonts w:hint="eastAsia" w:ascii="宋体" w:hAnsi="宋体" w:eastAsia="宋体" w:cs="宋体"/>
                <w:i w:val="0"/>
                <w:color w:val="auto"/>
                <w:sz w:val="21"/>
                <w:szCs w:val="21"/>
                <w:u w:val="none"/>
              </w:rPr>
            </w:pPr>
          </w:p>
        </w:tc>
        <w:tc>
          <w:tcPr>
            <w:tcW w:w="1084" w:type="dxa"/>
            <w:tcBorders>
              <w:top w:val="single" w:color="000000" w:sz="4" w:space="0"/>
              <w:left w:val="single" w:color="000000" w:sz="4" w:space="0"/>
              <w:bottom w:val="single" w:color="000000" w:sz="4" w:space="0"/>
              <w:right w:val="single" w:color="000000" w:sz="4" w:space="0"/>
            </w:tcBorders>
            <w:noWrap w:val="0"/>
            <w:vAlign w:val="center"/>
          </w:tcPr>
          <w:p w14:paraId="4B179CAD">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监督抽检</w:t>
            </w:r>
          </w:p>
        </w:tc>
        <w:tc>
          <w:tcPr>
            <w:tcW w:w="4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7FB53C">
            <w:pPr>
              <w:jc w:val="center"/>
              <w:rPr>
                <w:rFonts w:hint="eastAsia" w:ascii="宋体" w:hAnsi="宋体" w:eastAsia="宋体" w:cs="宋体"/>
                <w:i w:val="0"/>
                <w:color w:val="auto"/>
                <w:sz w:val="21"/>
                <w:szCs w:val="21"/>
                <w:u w:val="none"/>
              </w:rPr>
            </w:pP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43D5173A">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76CCBBA9">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750</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24D29FD0">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22500</w:t>
            </w:r>
          </w:p>
        </w:tc>
      </w:tr>
      <w:tr w14:paraId="3FBF5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atLeast"/>
        </w:trPr>
        <w:tc>
          <w:tcPr>
            <w:tcW w:w="87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D7AC16">
            <w:pPr>
              <w:jc w:val="center"/>
              <w:rPr>
                <w:rFonts w:hint="eastAsia" w:ascii="宋体" w:hAnsi="宋体" w:eastAsia="宋体" w:cs="宋体"/>
                <w:i w:val="0"/>
                <w:color w:val="auto"/>
                <w:sz w:val="21"/>
                <w:szCs w:val="21"/>
                <w:u w:val="none"/>
              </w:rPr>
            </w:pPr>
          </w:p>
        </w:tc>
        <w:tc>
          <w:tcPr>
            <w:tcW w:w="852" w:type="dxa"/>
            <w:vMerge w:val="restart"/>
            <w:tcBorders>
              <w:top w:val="single" w:color="000000" w:sz="4" w:space="0"/>
              <w:left w:val="single" w:color="000000" w:sz="4" w:space="0"/>
              <w:right w:val="single" w:color="000000" w:sz="4" w:space="0"/>
            </w:tcBorders>
            <w:noWrap w:val="0"/>
            <w:vAlign w:val="center"/>
          </w:tcPr>
          <w:p w14:paraId="08F6D669">
            <w:pPr>
              <w:keepNext w:val="0"/>
              <w:keepLines w:val="0"/>
              <w:widowControl/>
              <w:suppressLineNumbers w:val="0"/>
              <w:jc w:val="center"/>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淡水产品</w:t>
            </w:r>
          </w:p>
          <w:p w14:paraId="158F3015">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1084" w:type="dxa"/>
            <w:tcBorders>
              <w:top w:val="single" w:color="000000" w:sz="4" w:space="0"/>
              <w:left w:val="single" w:color="000000" w:sz="4" w:space="0"/>
              <w:bottom w:val="single" w:color="000000" w:sz="4" w:space="0"/>
              <w:right w:val="single" w:color="000000" w:sz="4" w:space="0"/>
            </w:tcBorders>
            <w:noWrap w:val="0"/>
            <w:vAlign w:val="center"/>
          </w:tcPr>
          <w:p w14:paraId="2E89B836">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风险监测</w:t>
            </w:r>
          </w:p>
        </w:tc>
        <w:tc>
          <w:tcPr>
            <w:tcW w:w="4675" w:type="dxa"/>
            <w:vMerge w:val="restart"/>
            <w:tcBorders>
              <w:top w:val="single" w:color="000000" w:sz="4" w:space="0"/>
              <w:left w:val="single" w:color="000000" w:sz="4" w:space="0"/>
              <w:bottom w:val="single" w:color="000000" w:sz="4" w:space="0"/>
              <w:right w:val="single" w:color="000000" w:sz="4" w:space="0"/>
            </w:tcBorders>
            <w:noWrap w:val="0"/>
            <w:vAlign w:val="center"/>
          </w:tcPr>
          <w:p w14:paraId="258EB5CF">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氯霉素、孔雀石绿、硝基呋喃代谢物、洛美沙星、培氟沙星、诺氟沙星、氧氟沙星、地西泮、恩诺沙星和环丙沙星、磺胺类(磺胺嘧啶、磺胺二甲基嘧啶、磺胺间甲氧嘧啶、磺胺甲基异噁唑4种)等。</w:t>
            </w: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61E28A11">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65107CA4">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719.5</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11C7A3FE">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21585</w:t>
            </w:r>
          </w:p>
        </w:tc>
      </w:tr>
      <w:tr w14:paraId="7FED9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2" w:hRule="atLeast"/>
        </w:trPr>
        <w:tc>
          <w:tcPr>
            <w:tcW w:w="87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817A48">
            <w:pPr>
              <w:jc w:val="center"/>
              <w:rPr>
                <w:rFonts w:hint="eastAsia" w:ascii="宋体" w:hAnsi="宋体" w:eastAsia="宋体" w:cs="宋体"/>
                <w:i w:val="0"/>
                <w:color w:val="auto"/>
                <w:sz w:val="21"/>
                <w:szCs w:val="21"/>
                <w:u w:val="none"/>
              </w:rPr>
            </w:pPr>
          </w:p>
        </w:tc>
        <w:tc>
          <w:tcPr>
            <w:tcW w:w="852" w:type="dxa"/>
            <w:vMerge w:val="continue"/>
            <w:tcBorders>
              <w:left w:val="single" w:color="000000" w:sz="4" w:space="0"/>
              <w:bottom w:val="single" w:color="000000" w:sz="4" w:space="0"/>
              <w:right w:val="single" w:color="000000" w:sz="4" w:space="0"/>
            </w:tcBorders>
            <w:noWrap w:val="0"/>
            <w:vAlign w:val="center"/>
          </w:tcPr>
          <w:p w14:paraId="529AB430">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1084" w:type="dxa"/>
            <w:tcBorders>
              <w:top w:val="single" w:color="000000" w:sz="4" w:space="0"/>
              <w:left w:val="single" w:color="000000" w:sz="4" w:space="0"/>
              <w:bottom w:val="single" w:color="000000" w:sz="4" w:space="0"/>
              <w:right w:val="single" w:color="000000" w:sz="4" w:space="0"/>
            </w:tcBorders>
            <w:noWrap w:val="0"/>
            <w:vAlign w:val="center"/>
          </w:tcPr>
          <w:p w14:paraId="773E3E59">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监督抽检</w:t>
            </w:r>
          </w:p>
        </w:tc>
        <w:tc>
          <w:tcPr>
            <w:tcW w:w="4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DCD838">
            <w:pPr>
              <w:jc w:val="center"/>
              <w:rPr>
                <w:rFonts w:hint="eastAsia" w:ascii="宋体" w:hAnsi="宋体" w:eastAsia="宋体" w:cs="宋体"/>
                <w:i w:val="0"/>
                <w:color w:val="auto"/>
                <w:sz w:val="21"/>
                <w:szCs w:val="21"/>
                <w:u w:val="none"/>
              </w:rPr>
            </w:pP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7FC41435">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63263711">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719.5</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4FF58207">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21585</w:t>
            </w:r>
          </w:p>
        </w:tc>
      </w:tr>
      <w:tr w14:paraId="1E593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7" w:hRule="atLeast"/>
        </w:trPr>
        <w:tc>
          <w:tcPr>
            <w:tcW w:w="87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6F8E3C">
            <w:pPr>
              <w:jc w:val="center"/>
              <w:rPr>
                <w:rFonts w:hint="eastAsia" w:ascii="宋体" w:hAnsi="宋体" w:eastAsia="宋体" w:cs="宋体"/>
                <w:i w:val="0"/>
                <w:color w:val="auto"/>
                <w:sz w:val="21"/>
                <w:szCs w:val="21"/>
                <w:u w:val="none"/>
              </w:rPr>
            </w:pPr>
          </w:p>
        </w:tc>
        <w:tc>
          <w:tcPr>
            <w:tcW w:w="852" w:type="dxa"/>
            <w:tcBorders>
              <w:top w:val="single" w:color="000000" w:sz="4" w:space="0"/>
              <w:left w:val="single" w:color="000000" w:sz="4" w:space="0"/>
              <w:bottom w:val="single" w:color="000000" w:sz="4" w:space="0"/>
              <w:right w:val="single" w:color="000000" w:sz="4" w:space="0"/>
            </w:tcBorders>
            <w:noWrap w:val="0"/>
            <w:vAlign w:val="center"/>
          </w:tcPr>
          <w:p w14:paraId="6F31E495">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合计</w:t>
            </w:r>
          </w:p>
        </w:tc>
        <w:tc>
          <w:tcPr>
            <w:tcW w:w="1084" w:type="dxa"/>
            <w:tcBorders>
              <w:top w:val="single" w:color="000000" w:sz="4" w:space="0"/>
              <w:left w:val="single" w:color="000000" w:sz="4" w:space="0"/>
              <w:bottom w:val="single" w:color="000000" w:sz="4" w:space="0"/>
              <w:right w:val="single" w:color="000000" w:sz="4" w:space="0"/>
            </w:tcBorders>
            <w:noWrap w:val="0"/>
            <w:vAlign w:val="center"/>
          </w:tcPr>
          <w:p w14:paraId="0C5D7721">
            <w:pPr>
              <w:jc w:val="center"/>
              <w:rPr>
                <w:rFonts w:hint="eastAsia" w:ascii="宋体" w:hAnsi="宋体" w:eastAsia="宋体" w:cs="宋体"/>
                <w:i w:val="0"/>
                <w:color w:val="auto"/>
                <w:sz w:val="21"/>
                <w:szCs w:val="21"/>
                <w:u w:val="none"/>
              </w:rPr>
            </w:pPr>
          </w:p>
        </w:tc>
        <w:tc>
          <w:tcPr>
            <w:tcW w:w="4675" w:type="dxa"/>
            <w:tcBorders>
              <w:top w:val="single" w:color="000000" w:sz="4" w:space="0"/>
              <w:left w:val="single" w:color="000000" w:sz="4" w:space="0"/>
              <w:bottom w:val="single" w:color="000000" w:sz="4" w:space="0"/>
              <w:right w:val="single" w:color="000000" w:sz="4" w:space="0"/>
            </w:tcBorders>
            <w:noWrap w:val="0"/>
            <w:vAlign w:val="center"/>
          </w:tcPr>
          <w:p w14:paraId="26E225CF">
            <w:pPr>
              <w:jc w:val="center"/>
              <w:rPr>
                <w:rFonts w:hint="eastAsia" w:ascii="宋体" w:hAnsi="宋体" w:eastAsia="宋体" w:cs="宋体"/>
                <w:i w:val="0"/>
                <w:color w:val="auto"/>
                <w:sz w:val="21"/>
                <w:szCs w:val="21"/>
                <w:u w:val="none"/>
              </w:rPr>
            </w:pP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606E537A">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1010</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20B98054">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74DA4FD3">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666670</w:t>
            </w:r>
          </w:p>
        </w:tc>
      </w:tr>
    </w:tbl>
    <w:p w14:paraId="6BBF67B1">
      <w:pPr>
        <w:keepNext w:val="0"/>
        <w:keepLines w:val="0"/>
        <w:pageBreakBefore w:val="0"/>
        <w:widowControl w:val="0"/>
        <w:kinsoku/>
        <w:wordWrap/>
        <w:overflowPunct/>
        <w:topLinePunct w:val="0"/>
        <w:autoSpaceDE/>
        <w:autoSpaceDN/>
        <w:bidi w:val="0"/>
        <w:adjustRightInd w:val="0"/>
        <w:snapToGrid/>
        <w:ind w:firstLine="482" w:firstLineChars="200"/>
        <w:textAlignment w:val="auto"/>
        <w:rPr>
          <w:rFonts w:hint="eastAsia"/>
          <w:color w:val="auto"/>
          <w:lang w:eastAsia="zh-CN"/>
        </w:rPr>
      </w:pPr>
      <w:r>
        <w:rPr>
          <w:rFonts w:hint="eastAsia" w:asciiTheme="minorEastAsia" w:hAnsiTheme="minorEastAsia" w:eastAsiaTheme="minorEastAsia" w:cstheme="minorEastAsia"/>
          <w:b/>
          <w:bCs/>
          <w:color w:val="auto"/>
          <w:kern w:val="0"/>
          <w:sz w:val="24"/>
          <w:szCs w:val="24"/>
          <w:highlight w:val="none"/>
          <w:lang w:eastAsia="zh-CN"/>
        </w:rPr>
        <w:t>注：报价时均不能超过预算单价，否则响应无效。</w:t>
      </w:r>
    </w:p>
    <w:p w14:paraId="527346B0">
      <w:pPr>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br w:type="page"/>
      </w:r>
    </w:p>
    <w:p w14:paraId="0BF03B3B">
      <w:pPr>
        <w:spacing w:line="360" w:lineRule="auto"/>
        <w:outlineLvl w:val="1"/>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b/>
          <w:bCs/>
          <w:color w:val="auto"/>
          <w:sz w:val="24"/>
          <w:highlight w:val="none"/>
          <w:lang w:val="en-US" w:eastAsia="zh-CN"/>
        </w:rPr>
        <w:t>标项二</w:t>
      </w:r>
    </w:p>
    <w:tbl>
      <w:tblPr>
        <w:tblStyle w:val="641"/>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1811"/>
        <w:gridCol w:w="889"/>
        <w:gridCol w:w="6826"/>
      </w:tblGrid>
      <w:tr w14:paraId="2F763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05" w:type="dxa"/>
            <w:gridSpan w:val="4"/>
            <w:tcBorders>
              <w:top w:val="single" w:color="000000" w:sz="2" w:space="0"/>
              <w:left w:val="single" w:color="000000" w:sz="2" w:space="0"/>
              <w:bottom w:val="single" w:color="000000" w:sz="2" w:space="0"/>
              <w:right w:val="single" w:color="000000" w:sz="2" w:space="0"/>
            </w:tcBorders>
            <w:noWrap w:val="0"/>
            <w:vAlign w:val="center"/>
          </w:tcPr>
          <w:p w14:paraId="5CEF3DB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eastAsia="zh-CN"/>
              </w:rPr>
              <w:t>▲</w:t>
            </w:r>
            <w:r>
              <w:rPr>
                <w:rFonts w:hint="eastAsia" w:ascii="宋体" w:hAnsi="宋体" w:eastAsia="宋体" w:cs="宋体"/>
                <w:b/>
                <w:color w:val="auto"/>
                <w:kern w:val="0"/>
                <w:sz w:val="21"/>
                <w:szCs w:val="21"/>
                <w:highlight w:val="none"/>
              </w:rPr>
              <w:t>一、项目要求及服务需求</w:t>
            </w:r>
          </w:p>
        </w:tc>
      </w:tr>
      <w:tr w14:paraId="2FBE5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679" w:type="dxa"/>
            <w:tcBorders>
              <w:top w:val="single" w:color="000000" w:sz="2" w:space="0"/>
              <w:left w:val="single" w:color="auto" w:sz="4" w:space="0"/>
              <w:bottom w:val="single" w:color="auto" w:sz="4" w:space="0"/>
              <w:right w:val="single" w:color="auto" w:sz="4" w:space="0"/>
            </w:tcBorders>
            <w:noWrap w:val="0"/>
            <w:vAlign w:val="center"/>
          </w:tcPr>
          <w:p w14:paraId="4CFCC7FE">
            <w:pPr>
              <w:pStyle w:val="642"/>
              <w:keepNext w:val="0"/>
              <w:keepLines w:val="0"/>
              <w:pageBreakBefore w:val="0"/>
              <w:kinsoku/>
              <w:wordWrap/>
              <w:overflowPunct/>
              <w:topLinePunct w:val="0"/>
              <w:autoSpaceDE/>
              <w:autoSpaceDN/>
              <w:bidi w:val="0"/>
              <w:adjustRightInd/>
              <w:snapToGrid/>
              <w:spacing w:line="240" w:lineRule="auto"/>
              <w:ind w:left="0" w:leftChars="0" w:right="0" w:rightChars="0"/>
              <w:jc w:val="center"/>
              <w:textAlignment w:val="auto"/>
              <w:rPr>
                <w:rFonts w:hint="default" w:ascii="宋体" w:hAnsi="宋体" w:eastAsia="宋体" w:cs="宋体"/>
                <w:b/>
                <w:bCs/>
                <w:color w:val="auto"/>
                <w:kern w:val="0"/>
                <w:sz w:val="21"/>
                <w:szCs w:val="21"/>
                <w:highlight w:val="none"/>
                <w:lang w:val="en-US" w:eastAsia="zh-CN"/>
              </w:rPr>
            </w:pPr>
            <w:r>
              <w:rPr>
                <w:rFonts w:hint="eastAsia" w:hAnsi="宋体" w:cs="宋体"/>
                <w:b/>
                <w:bCs/>
                <w:color w:val="auto"/>
                <w:kern w:val="0"/>
                <w:sz w:val="21"/>
                <w:szCs w:val="21"/>
                <w:highlight w:val="none"/>
                <w:lang w:val="en-US" w:eastAsia="zh-CN"/>
              </w:rPr>
              <w:t>标项</w:t>
            </w:r>
            <w:r>
              <w:rPr>
                <w:rFonts w:hint="eastAsia" w:ascii="宋体" w:hAnsi="宋体" w:eastAsia="宋体" w:cs="宋体"/>
                <w:b/>
                <w:bCs/>
                <w:color w:val="auto"/>
                <w:kern w:val="0"/>
                <w:sz w:val="21"/>
                <w:szCs w:val="21"/>
                <w:highlight w:val="none"/>
                <w:lang w:val="en-US" w:eastAsia="zh-CN"/>
              </w:rPr>
              <w:t>号</w:t>
            </w:r>
          </w:p>
        </w:tc>
        <w:tc>
          <w:tcPr>
            <w:tcW w:w="1811" w:type="dxa"/>
            <w:tcBorders>
              <w:top w:val="single" w:color="000000" w:sz="2" w:space="0"/>
              <w:left w:val="single" w:color="auto" w:sz="4" w:space="0"/>
              <w:bottom w:val="single" w:color="auto" w:sz="4" w:space="0"/>
              <w:right w:val="single" w:color="auto" w:sz="4" w:space="0"/>
            </w:tcBorders>
            <w:noWrap w:val="0"/>
            <w:vAlign w:val="center"/>
          </w:tcPr>
          <w:p w14:paraId="182601F2">
            <w:pPr>
              <w:pStyle w:val="642"/>
              <w:keepNext w:val="0"/>
              <w:keepLines w:val="0"/>
              <w:pageBreakBefore w:val="0"/>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标项</w:t>
            </w:r>
            <w:r>
              <w:rPr>
                <w:rFonts w:hint="eastAsia" w:ascii="宋体" w:hAnsi="宋体" w:eastAsia="宋体" w:cs="宋体"/>
                <w:b/>
                <w:bCs/>
                <w:color w:val="auto"/>
                <w:kern w:val="0"/>
                <w:sz w:val="21"/>
                <w:szCs w:val="21"/>
                <w:highlight w:val="none"/>
              </w:rPr>
              <w:t>名称</w:t>
            </w:r>
          </w:p>
        </w:tc>
        <w:tc>
          <w:tcPr>
            <w:tcW w:w="889" w:type="dxa"/>
            <w:tcBorders>
              <w:top w:val="single" w:color="000000" w:sz="2" w:space="0"/>
              <w:left w:val="single" w:color="auto" w:sz="4" w:space="0"/>
              <w:bottom w:val="single" w:color="auto" w:sz="4" w:space="0"/>
              <w:right w:val="single" w:color="auto" w:sz="4" w:space="0"/>
            </w:tcBorders>
            <w:noWrap w:val="0"/>
            <w:vAlign w:val="center"/>
          </w:tcPr>
          <w:p w14:paraId="29780ACC">
            <w:pPr>
              <w:pStyle w:val="642"/>
              <w:keepNext w:val="0"/>
              <w:keepLines w:val="0"/>
              <w:pageBreakBefore w:val="0"/>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rPr>
              <w:t>数量及单位</w:t>
            </w:r>
            <w:r>
              <w:rPr>
                <w:rFonts w:hint="eastAsia" w:hAnsi="宋体" w:cs="宋体"/>
                <w:b/>
                <w:bCs/>
                <w:color w:val="auto"/>
                <w:kern w:val="0"/>
                <w:sz w:val="21"/>
                <w:szCs w:val="21"/>
                <w:highlight w:val="none"/>
                <w:lang w:eastAsia="zh-CN"/>
              </w:rPr>
              <w:t>（批次）</w:t>
            </w:r>
          </w:p>
        </w:tc>
        <w:tc>
          <w:tcPr>
            <w:tcW w:w="6826" w:type="dxa"/>
            <w:tcBorders>
              <w:top w:val="single" w:color="000000" w:sz="2" w:space="0"/>
              <w:left w:val="single" w:color="auto" w:sz="4" w:space="0"/>
              <w:bottom w:val="single" w:color="auto" w:sz="4" w:space="0"/>
              <w:right w:val="single" w:color="auto" w:sz="4" w:space="0"/>
            </w:tcBorders>
            <w:noWrap w:val="0"/>
            <w:vAlign w:val="center"/>
          </w:tcPr>
          <w:p w14:paraId="56A6A3D8">
            <w:pPr>
              <w:pStyle w:val="642"/>
              <w:keepNext w:val="0"/>
              <w:keepLines w:val="0"/>
              <w:pageBreakBefore w:val="0"/>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s="宋体"/>
                <w:b/>
                <w:bCs/>
                <w:color w:val="auto"/>
                <w:kern w:val="0"/>
                <w:sz w:val="21"/>
                <w:szCs w:val="21"/>
                <w:highlight w:val="none"/>
              </w:rPr>
            </w:pPr>
            <w:r>
              <w:rPr>
                <w:rFonts w:hint="eastAsia" w:hAnsi="宋体" w:cs="宋体"/>
                <w:b/>
                <w:bCs/>
                <w:color w:val="auto"/>
                <w:kern w:val="0"/>
                <w:sz w:val="21"/>
                <w:szCs w:val="21"/>
                <w:highlight w:val="none"/>
                <w:lang w:eastAsia="zh-CN"/>
              </w:rPr>
              <w:t>服务及</w:t>
            </w:r>
            <w:r>
              <w:rPr>
                <w:rFonts w:hint="eastAsia" w:ascii="宋体" w:hAnsi="宋体" w:eastAsia="宋体" w:cs="宋体"/>
                <w:b/>
                <w:bCs/>
                <w:color w:val="auto"/>
                <w:kern w:val="0"/>
                <w:sz w:val="21"/>
                <w:szCs w:val="21"/>
                <w:highlight w:val="none"/>
                <w:lang w:eastAsia="zh-CN"/>
              </w:rPr>
              <w:t>技术</w:t>
            </w:r>
            <w:r>
              <w:rPr>
                <w:rFonts w:hint="eastAsia" w:ascii="宋体" w:hAnsi="宋体" w:eastAsia="宋体" w:cs="宋体"/>
                <w:b/>
                <w:bCs/>
                <w:color w:val="auto"/>
                <w:kern w:val="0"/>
                <w:sz w:val="21"/>
                <w:szCs w:val="21"/>
                <w:highlight w:val="none"/>
              </w:rPr>
              <w:t>要求</w:t>
            </w:r>
          </w:p>
        </w:tc>
      </w:tr>
      <w:tr w14:paraId="0E278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9" w:hRule="atLeast"/>
          <w:jc w:val="center"/>
        </w:trPr>
        <w:tc>
          <w:tcPr>
            <w:tcW w:w="679" w:type="dxa"/>
            <w:tcBorders>
              <w:top w:val="single" w:color="auto" w:sz="4" w:space="0"/>
              <w:left w:val="single" w:color="auto" w:sz="4" w:space="0"/>
              <w:right w:val="single" w:color="auto" w:sz="4" w:space="0"/>
            </w:tcBorders>
            <w:noWrap w:val="0"/>
            <w:vAlign w:val="center"/>
          </w:tcPr>
          <w:p w14:paraId="039E82AE">
            <w:pPr>
              <w:pStyle w:val="642"/>
              <w:keepNext w:val="0"/>
              <w:keepLines w:val="0"/>
              <w:pageBreakBefore w:val="0"/>
              <w:kinsoku/>
              <w:wordWrap/>
              <w:overflowPunct/>
              <w:topLinePunct w:val="0"/>
              <w:autoSpaceDE/>
              <w:autoSpaceDN/>
              <w:bidi w:val="0"/>
              <w:adjustRightInd/>
              <w:snapToGrid/>
              <w:spacing w:line="360" w:lineRule="auto"/>
              <w:ind w:left="0" w:leftChars="0" w:right="0" w:rightChars="0"/>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Ⅱ</w:t>
            </w:r>
          </w:p>
        </w:tc>
        <w:tc>
          <w:tcPr>
            <w:tcW w:w="1811" w:type="dxa"/>
            <w:tcBorders>
              <w:top w:val="single" w:color="auto" w:sz="4" w:space="0"/>
              <w:left w:val="single" w:color="auto" w:sz="4" w:space="0"/>
              <w:right w:val="single" w:color="auto" w:sz="4" w:space="0"/>
            </w:tcBorders>
            <w:noWrap w:val="0"/>
            <w:vAlign w:val="center"/>
          </w:tcPr>
          <w:p w14:paraId="16884EC3">
            <w:pPr>
              <w:pStyle w:val="642"/>
              <w:keepNext w:val="0"/>
              <w:keepLines w:val="0"/>
              <w:pageBreakBefore w:val="0"/>
              <w:kinsoku/>
              <w:wordWrap/>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bCs/>
                <w:color w:val="auto"/>
                <w:kern w:val="0"/>
                <w:sz w:val="21"/>
                <w:szCs w:val="21"/>
                <w:highlight w:val="none"/>
              </w:rPr>
            </w:pPr>
            <w:r>
              <w:rPr>
                <w:rFonts w:hint="eastAsia" w:hAnsi="宋体" w:cs="宋体"/>
                <w:color w:val="auto"/>
                <w:kern w:val="0"/>
                <w:sz w:val="21"/>
                <w:szCs w:val="21"/>
                <w:highlight w:val="none"/>
                <w:lang w:eastAsia="zh-CN"/>
              </w:rPr>
              <w:t>市本级</w:t>
            </w:r>
            <w:r>
              <w:rPr>
                <w:rFonts w:hint="eastAsia" w:ascii="宋体" w:hAnsi="宋体" w:eastAsia="宋体" w:cs="宋体"/>
                <w:color w:val="auto"/>
                <w:kern w:val="0"/>
                <w:sz w:val="21"/>
                <w:szCs w:val="21"/>
                <w:highlight w:val="none"/>
              </w:rPr>
              <w:t>202</w:t>
            </w:r>
            <w:r>
              <w:rPr>
                <w:rFonts w:hint="eastAsia" w:hAnsi="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rPr>
              <w:t>年农产品质量安全</w:t>
            </w:r>
            <w:r>
              <w:rPr>
                <w:rFonts w:hint="eastAsia" w:hAnsi="宋体" w:cs="宋体"/>
                <w:color w:val="auto"/>
                <w:kern w:val="0"/>
                <w:sz w:val="21"/>
                <w:szCs w:val="21"/>
                <w:highlight w:val="none"/>
                <w:lang w:eastAsia="zh-CN"/>
              </w:rPr>
              <w:t>定量检测经费</w:t>
            </w:r>
            <w:r>
              <w:rPr>
                <w:rFonts w:hint="eastAsia" w:ascii="宋体" w:hAnsi="宋体" w:eastAsia="宋体" w:cs="宋体"/>
                <w:color w:val="auto"/>
                <w:kern w:val="0"/>
                <w:sz w:val="21"/>
                <w:szCs w:val="21"/>
                <w:highlight w:val="none"/>
              </w:rPr>
              <w:t>（Ⅱ标段）</w:t>
            </w:r>
          </w:p>
        </w:tc>
        <w:tc>
          <w:tcPr>
            <w:tcW w:w="889" w:type="dxa"/>
            <w:tcBorders>
              <w:left w:val="single" w:color="auto" w:sz="4" w:space="0"/>
              <w:right w:val="single" w:color="auto" w:sz="4" w:space="0"/>
            </w:tcBorders>
            <w:noWrap w:val="0"/>
            <w:vAlign w:val="center"/>
          </w:tcPr>
          <w:p w14:paraId="7BC977F0">
            <w:pPr>
              <w:pStyle w:val="642"/>
              <w:keepNext w:val="0"/>
              <w:keepLines w:val="0"/>
              <w:pageBreakBefore w:val="0"/>
              <w:kinsoku/>
              <w:wordWrap/>
              <w:overflowPunct/>
              <w:topLinePunct w:val="0"/>
              <w:autoSpaceDE/>
              <w:autoSpaceDN/>
              <w:bidi w:val="0"/>
              <w:adjustRightInd/>
              <w:snapToGrid/>
              <w:spacing w:line="360" w:lineRule="auto"/>
              <w:ind w:left="0" w:leftChars="0" w:right="0" w:rightChars="0"/>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color w:val="auto"/>
                <w:szCs w:val="21"/>
              </w:rPr>
              <w:t>≥</w:t>
            </w:r>
            <w:r>
              <w:rPr>
                <w:rFonts w:hint="eastAsia" w:hAnsi="宋体"/>
                <w:color w:val="auto"/>
                <w:szCs w:val="21"/>
                <w:lang w:val="en-US" w:eastAsia="zh-CN"/>
              </w:rPr>
              <w:t>960</w:t>
            </w:r>
          </w:p>
        </w:tc>
        <w:tc>
          <w:tcPr>
            <w:tcW w:w="6826" w:type="dxa"/>
            <w:tcBorders>
              <w:left w:val="single" w:color="auto" w:sz="4" w:space="0"/>
              <w:right w:val="single" w:color="auto" w:sz="4" w:space="0"/>
            </w:tcBorders>
            <w:noWrap w:val="0"/>
            <w:vAlign w:val="center"/>
          </w:tcPr>
          <w:p w14:paraId="1BD658D8">
            <w:pPr>
              <w:keepNext/>
              <w:keepLines/>
              <w:spacing w:line="400" w:lineRule="exact"/>
              <w:ind w:firstLine="422" w:firstLineChars="200"/>
              <w:rPr>
                <w:rFonts w:ascii="宋体" w:hAnsi="宋体"/>
                <w:color w:val="auto"/>
                <w:kern w:val="0"/>
                <w:szCs w:val="21"/>
              </w:rPr>
            </w:pPr>
            <w:r>
              <w:rPr>
                <w:rFonts w:hint="eastAsia" w:ascii="宋体" w:hAnsi="宋体"/>
                <w:b/>
                <w:color w:val="auto"/>
                <w:kern w:val="0"/>
                <w:szCs w:val="21"/>
              </w:rPr>
              <w:t>一、项目任务要求</w:t>
            </w:r>
          </w:p>
          <w:p w14:paraId="391A0A43">
            <w:pPr>
              <w:keepNext/>
              <w:keepLines/>
              <w:spacing w:line="40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由</w:t>
            </w:r>
            <w:r>
              <w:rPr>
                <w:rFonts w:hint="eastAsia" w:ascii="宋体" w:hAnsi="宋体"/>
                <w:color w:val="auto"/>
                <w:kern w:val="0"/>
                <w:szCs w:val="21"/>
                <w:highlight w:val="none"/>
                <w:lang w:val="en-US" w:eastAsia="zh-CN"/>
              </w:rPr>
              <w:t>成交</w:t>
            </w:r>
            <w:r>
              <w:rPr>
                <w:rFonts w:hint="eastAsia" w:ascii="宋体" w:hAnsi="宋体"/>
                <w:color w:val="auto"/>
                <w:kern w:val="0"/>
                <w:szCs w:val="21"/>
                <w:highlight w:val="none"/>
              </w:rPr>
              <w:t>人协助采购人开展</w:t>
            </w:r>
            <w:r>
              <w:rPr>
                <w:rFonts w:hint="eastAsia" w:ascii="宋体" w:hAnsi="宋体"/>
                <w:color w:val="auto"/>
                <w:kern w:val="0"/>
                <w:szCs w:val="21"/>
                <w:highlight w:val="none"/>
                <w:lang w:eastAsia="zh-CN"/>
              </w:rPr>
              <w:t>北海市农产品质量安全定量检测，包含种植业、畜牧业、淡水产品</w:t>
            </w:r>
            <w:r>
              <w:rPr>
                <w:rFonts w:hint="eastAsia" w:ascii="宋体" w:hAnsi="宋体"/>
                <w:color w:val="auto"/>
                <w:kern w:val="0"/>
                <w:szCs w:val="21"/>
                <w:highlight w:val="none"/>
              </w:rPr>
              <w:t>例行监测和监督抽查。</w:t>
            </w:r>
          </w:p>
          <w:p w14:paraId="59797B8E">
            <w:pPr>
              <w:keepNext/>
              <w:keepLines/>
              <w:spacing w:line="400" w:lineRule="exact"/>
              <w:ind w:firstLine="422" w:firstLineChars="200"/>
              <w:rPr>
                <w:rFonts w:hint="eastAsia" w:ascii="宋体" w:hAnsi="宋体"/>
                <w:b/>
                <w:color w:val="auto"/>
                <w:kern w:val="0"/>
                <w:szCs w:val="21"/>
                <w:highlight w:val="none"/>
              </w:rPr>
            </w:pPr>
            <w:r>
              <w:rPr>
                <w:rFonts w:hint="eastAsia" w:ascii="宋体" w:hAnsi="宋体"/>
                <w:b/>
                <w:color w:val="auto"/>
                <w:kern w:val="0"/>
                <w:szCs w:val="21"/>
                <w:highlight w:val="none"/>
              </w:rPr>
              <w:t>二、服务内容：</w:t>
            </w:r>
          </w:p>
          <w:p w14:paraId="5C34F186">
            <w:pPr>
              <w:widowControl/>
              <w:spacing w:line="40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lang w:val="en-US" w:eastAsia="zh-CN"/>
              </w:rPr>
              <w:t>成交</w:t>
            </w:r>
            <w:r>
              <w:rPr>
                <w:rFonts w:hint="eastAsia" w:ascii="宋体" w:hAnsi="宋体"/>
                <w:color w:val="auto"/>
                <w:kern w:val="0"/>
                <w:szCs w:val="21"/>
                <w:highlight w:val="none"/>
              </w:rPr>
              <w:t>人负责完成</w:t>
            </w:r>
            <w:r>
              <w:rPr>
                <w:rFonts w:hint="eastAsia" w:ascii="宋体" w:hAnsi="宋体"/>
                <w:color w:val="auto"/>
                <w:szCs w:val="21"/>
                <w:highlight w:val="none"/>
              </w:rPr>
              <w:t>采购人指定区域内</w:t>
            </w:r>
            <w:r>
              <w:rPr>
                <w:rFonts w:hint="eastAsia" w:ascii="宋体" w:hAnsi="宋体"/>
                <w:color w:val="auto"/>
                <w:szCs w:val="21"/>
                <w:highlight w:val="none"/>
                <w:lang w:eastAsia="zh-CN"/>
              </w:rPr>
              <w:t>（银海区、铁山港区）</w:t>
            </w:r>
            <w:r>
              <w:rPr>
                <w:rFonts w:hint="eastAsia" w:ascii="宋体" w:hAnsi="宋体"/>
                <w:color w:val="auto"/>
                <w:kern w:val="0"/>
                <w:szCs w:val="21"/>
                <w:highlight w:val="none"/>
              </w:rPr>
              <w:t>农产品质量安全例行监测和监督抽查工作，</w:t>
            </w:r>
            <w:r>
              <w:rPr>
                <w:rFonts w:ascii="宋体" w:hAnsi="宋体"/>
                <w:color w:val="auto"/>
                <w:kern w:val="0"/>
                <w:szCs w:val="21"/>
                <w:highlight w:val="none"/>
              </w:rPr>
              <w:t>加大重点品种抽样比例，</w:t>
            </w:r>
            <w:r>
              <w:rPr>
                <w:rFonts w:hint="eastAsia" w:ascii="宋体" w:hAnsi="宋体"/>
                <w:color w:val="auto"/>
                <w:kern w:val="0"/>
                <w:szCs w:val="21"/>
                <w:highlight w:val="none"/>
              </w:rPr>
              <w:t>豇豆、甘薯、葱、荔枝、柑橘类（包括沃柑、金桔、砂糖橘等）、香蕉</w:t>
            </w:r>
            <w:r>
              <w:rPr>
                <w:rFonts w:hint="eastAsia" w:ascii="宋体" w:hAnsi="宋体"/>
                <w:color w:val="auto"/>
                <w:kern w:val="0"/>
                <w:szCs w:val="21"/>
                <w:highlight w:val="none"/>
                <w:lang w:eastAsia="zh-CN"/>
              </w:rPr>
              <w:t>、大口黑鲈、鸡蛋</w:t>
            </w:r>
            <w:r>
              <w:rPr>
                <w:rFonts w:hint="eastAsia" w:ascii="宋体" w:hAnsi="宋体"/>
                <w:color w:val="auto"/>
                <w:kern w:val="0"/>
                <w:szCs w:val="21"/>
                <w:highlight w:val="none"/>
              </w:rPr>
              <w:t>等重点品种应抽尽抽</w:t>
            </w:r>
            <w:r>
              <w:rPr>
                <w:rFonts w:ascii="宋体" w:hAnsi="宋体"/>
                <w:color w:val="auto"/>
                <w:kern w:val="0"/>
                <w:szCs w:val="21"/>
                <w:highlight w:val="none"/>
              </w:rPr>
              <w:t>。</w:t>
            </w:r>
          </w:p>
          <w:p w14:paraId="3E8F0765">
            <w:pPr>
              <w:keepNext w:val="0"/>
              <w:keepLines w:val="0"/>
              <w:pageBreakBefore w:val="0"/>
              <w:widowControl w:val="0"/>
              <w:kinsoku/>
              <w:wordWrap/>
              <w:overflowPunct/>
              <w:topLinePunct w:val="0"/>
              <w:bidi w:val="0"/>
              <w:adjustRightInd/>
              <w:snapToGrid/>
              <w:spacing w:line="360" w:lineRule="exact"/>
              <w:ind w:left="0" w:leftChars="0" w:firstLine="422" w:firstLineChars="200"/>
              <w:jc w:val="left"/>
              <w:textAlignment w:val="auto"/>
              <w:rPr>
                <w:rFonts w:hint="eastAsia" w:ascii="宋体" w:hAnsi="宋体" w:eastAsia="宋体" w:cs="宋体"/>
                <w:b/>
                <w:bCs/>
                <w:color w:val="auto"/>
                <w:kern w:val="2"/>
                <w:sz w:val="21"/>
                <w:szCs w:val="21"/>
                <w:highlight w:val="none"/>
              </w:rPr>
            </w:pPr>
            <w:r>
              <w:rPr>
                <w:rFonts w:hint="eastAsia" w:ascii="宋体" w:hAnsi="宋体" w:cs="宋体"/>
                <w:b/>
                <w:bCs/>
                <w:color w:val="auto"/>
                <w:kern w:val="2"/>
                <w:sz w:val="21"/>
                <w:szCs w:val="21"/>
                <w:highlight w:val="none"/>
                <w:lang w:eastAsia="zh-CN"/>
              </w:rPr>
              <w:t>三、</w:t>
            </w:r>
            <w:r>
              <w:rPr>
                <w:rFonts w:hint="eastAsia" w:ascii="宋体" w:hAnsi="宋体" w:eastAsia="宋体" w:cs="宋体"/>
                <w:b/>
                <w:bCs/>
                <w:color w:val="auto"/>
                <w:kern w:val="2"/>
                <w:sz w:val="21"/>
                <w:szCs w:val="21"/>
                <w:highlight w:val="none"/>
              </w:rPr>
              <w:t>主要服务要求</w:t>
            </w:r>
          </w:p>
          <w:p w14:paraId="66969D18">
            <w:pPr>
              <w:keepNext w:val="0"/>
              <w:keepLines w:val="0"/>
              <w:pageBreakBefore w:val="0"/>
              <w:widowControl w:val="0"/>
              <w:kinsoku/>
              <w:wordWrap/>
              <w:overflowPunct/>
              <w:topLinePunct w:val="0"/>
              <w:autoSpaceDE/>
              <w:autoSpaceDN/>
              <w:bidi w:val="0"/>
              <w:adjustRightInd/>
              <w:snapToGrid/>
              <w:spacing w:line="360" w:lineRule="exact"/>
              <w:ind w:left="0" w:leftChars="0" w:firstLine="420" w:firstLineChars="200"/>
              <w:jc w:val="left"/>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highlight w:val="none"/>
              </w:rPr>
              <w:t>（1）严格遵守法律法规的规定和检验工作有关纪律要求，样品检测过程要求严格进行实验室质量控制，并在</w:t>
            </w:r>
            <w:r>
              <w:rPr>
                <w:rFonts w:hint="eastAsia" w:ascii="宋体" w:hAnsi="宋体" w:cs="宋体"/>
                <w:color w:val="auto"/>
                <w:kern w:val="2"/>
                <w:sz w:val="21"/>
                <w:szCs w:val="21"/>
                <w:highlight w:val="none"/>
                <w:lang w:val="en-US" w:eastAsia="zh-CN"/>
              </w:rPr>
              <w:t>响应</w:t>
            </w:r>
            <w:r>
              <w:rPr>
                <w:rFonts w:hint="eastAsia" w:ascii="宋体" w:hAnsi="宋体" w:eastAsia="宋体" w:cs="宋体"/>
                <w:color w:val="auto"/>
                <w:kern w:val="2"/>
                <w:sz w:val="21"/>
                <w:szCs w:val="21"/>
                <w:highlight w:val="none"/>
              </w:rPr>
              <w:t>文</w:t>
            </w:r>
            <w:r>
              <w:rPr>
                <w:rFonts w:hint="eastAsia" w:ascii="宋体" w:hAnsi="宋体" w:eastAsia="宋体" w:cs="宋体"/>
                <w:color w:val="auto"/>
                <w:kern w:val="2"/>
                <w:sz w:val="21"/>
                <w:szCs w:val="21"/>
              </w:rPr>
              <w:t>件中提供具体的质量控制实施方案。</w:t>
            </w:r>
          </w:p>
          <w:p w14:paraId="53B8B05F">
            <w:pPr>
              <w:keepNext w:val="0"/>
              <w:keepLines w:val="0"/>
              <w:pageBreakBefore w:val="0"/>
              <w:widowControl w:val="0"/>
              <w:kinsoku/>
              <w:wordWrap/>
              <w:overflowPunct/>
              <w:topLinePunct w:val="0"/>
              <w:autoSpaceDE/>
              <w:autoSpaceDN/>
              <w:bidi w:val="0"/>
              <w:adjustRightInd/>
              <w:snapToGrid/>
              <w:spacing w:line="360" w:lineRule="exact"/>
              <w:ind w:left="0" w:leftChars="0" w:firstLine="420" w:firstLineChars="200"/>
              <w:jc w:val="left"/>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（2）按照采购人要求进行协助抽样、样品制备和检测，按具体方案时间节点要求提交检测报告、原始记录和检测结果汇总表和</w:t>
            </w:r>
            <w:r>
              <w:rPr>
                <w:rFonts w:hint="eastAsia" w:ascii="宋体" w:hAnsi="宋体" w:eastAsia="宋体" w:cs="宋体"/>
                <w:color w:val="auto"/>
                <w:kern w:val="2"/>
                <w:sz w:val="21"/>
                <w:szCs w:val="21"/>
                <w:lang w:eastAsia="zh-CN"/>
              </w:rPr>
              <w:t>中标</w:t>
            </w:r>
            <w:r>
              <w:rPr>
                <w:rFonts w:hint="eastAsia" w:ascii="宋体" w:hAnsi="宋体" w:eastAsia="宋体" w:cs="宋体"/>
                <w:color w:val="auto"/>
                <w:kern w:val="2"/>
                <w:sz w:val="21"/>
                <w:szCs w:val="21"/>
              </w:rPr>
              <w:t>项目的准备、检验检测、质量控制、分析报告（纸质版和电子版），汇总表按照采购人要求的格式和内容进行统计分析，并将所有样品妥善保管至采购人提出送交的指定地点。</w:t>
            </w:r>
          </w:p>
          <w:p w14:paraId="6D06AA20">
            <w:pPr>
              <w:keepNext w:val="0"/>
              <w:keepLines w:val="0"/>
              <w:pageBreakBefore w:val="0"/>
              <w:widowControl w:val="0"/>
              <w:kinsoku/>
              <w:wordWrap/>
              <w:overflowPunct/>
              <w:topLinePunct w:val="0"/>
              <w:autoSpaceDE/>
              <w:autoSpaceDN/>
              <w:bidi w:val="0"/>
              <w:adjustRightInd/>
              <w:snapToGrid/>
              <w:spacing w:line="360" w:lineRule="exact"/>
              <w:ind w:left="0" w:leftChars="0" w:firstLine="420" w:firstLineChars="200"/>
              <w:jc w:val="left"/>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（3）检测结果归采购人所有，</w:t>
            </w:r>
            <w:r>
              <w:rPr>
                <w:rFonts w:hint="eastAsia" w:ascii="宋体" w:hAnsi="宋体"/>
                <w:color w:val="auto"/>
                <w:kern w:val="0"/>
                <w:szCs w:val="21"/>
                <w:lang w:val="en-US" w:eastAsia="zh-CN"/>
              </w:rPr>
              <w:t>成交</w:t>
            </w:r>
            <w:r>
              <w:rPr>
                <w:rFonts w:hint="eastAsia" w:ascii="宋体" w:hAnsi="宋体"/>
                <w:color w:val="auto"/>
                <w:kern w:val="0"/>
                <w:szCs w:val="21"/>
              </w:rPr>
              <w:t>人</w:t>
            </w:r>
            <w:r>
              <w:rPr>
                <w:rFonts w:hint="eastAsia" w:ascii="宋体" w:hAnsi="宋体" w:eastAsia="宋体" w:cs="宋体"/>
                <w:color w:val="auto"/>
                <w:kern w:val="2"/>
                <w:sz w:val="21"/>
                <w:szCs w:val="21"/>
              </w:rPr>
              <w:t>必须对一切检测数据和检测技术资料保密，不得泄露给任何第三方，也不得将与样品有关的技术资料用于任何经营、开发及学术活动，否则后果自负。</w:t>
            </w:r>
          </w:p>
          <w:p w14:paraId="6DE8EA54">
            <w:pPr>
              <w:keepNext w:val="0"/>
              <w:keepLines w:val="0"/>
              <w:pageBreakBefore w:val="0"/>
              <w:widowControl w:val="0"/>
              <w:kinsoku/>
              <w:wordWrap/>
              <w:overflowPunct/>
              <w:topLinePunct w:val="0"/>
              <w:autoSpaceDE/>
              <w:autoSpaceDN/>
              <w:bidi w:val="0"/>
              <w:adjustRightInd/>
              <w:snapToGrid/>
              <w:spacing w:line="360" w:lineRule="exact"/>
              <w:ind w:left="0" w:leftChars="0" w:firstLine="420" w:firstLineChars="200"/>
              <w:jc w:val="left"/>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（4）</w:t>
            </w:r>
            <w:r>
              <w:rPr>
                <w:rFonts w:hint="eastAsia" w:ascii="宋体" w:hAnsi="宋体"/>
                <w:color w:val="auto"/>
                <w:kern w:val="0"/>
                <w:szCs w:val="21"/>
                <w:lang w:val="en-US" w:eastAsia="zh-CN"/>
              </w:rPr>
              <w:t>成交</w:t>
            </w:r>
            <w:r>
              <w:rPr>
                <w:rFonts w:hint="eastAsia" w:ascii="宋体" w:hAnsi="宋体"/>
                <w:color w:val="auto"/>
                <w:kern w:val="0"/>
                <w:szCs w:val="21"/>
              </w:rPr>
              <w:t>人</w:t>
            </w:r>
            <w:r>
              <w:rPr>
                <w:rFonts w:hint="eastAsia" w:ascii="宋体" w:hAnsi="宋体" w:eastAsia="宋体" w:cs="宋体"/>
                <w:color w:val="auto"/>
                <w:kern w:val="2"/>
                <w:sz w:val="21"/>
                <w:szCs w:val="21"/>
              </w:rPr>
              <w:t>需对</w:t>
            </w:r>
            <w:r>
              <w:rPr>
                <w:rFonts w:hint="eastAsia" w:ascii="宋体" w:hAnsi="宋体" w:cs="宋体"/>
                <w:color w:val="auto"/>
                <w:kern w:val="2"/>
                <w:sz w:val="21"/>
                <w:szCs w:val="21"/>
                <w:lang w:val="en-US" w:eastAsia="zh-CN"/>
              </w:rPr>
              <w:t>成交</w:t>
            </w:r>
            <w:r>
              <w:rPr>
                <w:rFonts w:hint="eastAsia" w:ascii="宋体" w:hAnsi="宋体" w:eastAsia="宋体" w:cs="宋体"/>
                <w:color w:val="auto"/>
                <w:kern w:val="2"/>
                <w:sz w:val="21"/>
                <w:szCs w:val="21"/>
              </w:rPr>
              <w:t>项目的准备、抽样、制样、检测、质量控制、结果分析等各环节进行总结分析，并提交报告。</w:t>
            </w:r>
          </w:p>
          <w:p w14:paraId="6D3B04C1">
            <w:pPr>
              <w:keepNext w:val="0"/>
              <w:keepLines w:val="0"/>
              <w:pageBreakBefore w:val="0"/>
              <w:widowControl w:val="0"/>
              <w:kinsoku/>
              <w:wordWrap/>
              <w:overflowPunct/>
              <w:topLinePunct w:val="0"/>
              <w:autoSpaceDE/>
              <w:autoSpaceDN/>
              <w:bidi w:val="0"/>
              <w:adjustRightInd/>
              <w:snapToGrid/>
              <w:spacing w:line="360" w:lineRule="exact"/>
              <w:ind w:left="0" w:leftChars="0" w:firstLine="420" w:firstLineChars="200"/>
              <w:jc w:val="left"/>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w:t>
            </w:r>
            <w:r>
              <w:rPr>
                <w:rFonts w:hint="eastAsia" w:ascii="宋体" w:hAnsi="宋体" w:eastAsia="宋体" w:cs="宋体"/>
                <w:color w:val="auto"/>
                <w:kern w:val="2"/>
                <w:sz w:val="21"/>
                <w:szCs w:val="21"/>
                <w:lang w:val="en-US" w:eastAsia="zh-CN"/>
              </w:rPr>
              <w:t>5</w:t>
            </w:r>
            <w:r>
              <w:rPr>
                <w:rFonts w:hint="eastAsia" w:ascii="宋体" w:hAnsi="宋体" w:eastAsia="宋体" w:cs="宋体"/>
                <w:color w:val="auto"/>
                <w:kern w:val="2"/>
                <w:sz w:val="21"/>
                <w:szCs w:val="21"/>
              </w:rPr>
              <w:t>）</w:t>
            </w:r>
            <w:r>
              <w:rPr>
                <w:rFonts w:hint="eastAsia" w:ascii="宋体" w:hAnsi="宋体"/>
                <w:color w:val="auto"/>
                <w:kern w:val="0"/>
                <w:szCs w:val="21"/>
                <w:lang w:val="en-US" w:eastAsia="zh-CN"/>
              </w:rPr>
              <w:t>成交</w:t>
            </w:r>
            <w:r>
              <w:rPr>
                <w:rFonts w:hint="eastAsia" w:ascii="宋体" w:hAnsi="宋体"/>
                <w:color w:val="auto"/>
                <w:kern w:val="0"/>
                <w:szCs w:val="21"/>
              </w:rPr>
              <w:t>人</w:t>
            </w:r>
            <w:r>
              <w:rPr>
                <w:rFonts w:hint="eastAsia" w:ascii="宋体" w:hAnsi="宋体" w:eastAsia="宋体" w:cs="宋体"/>
                <w:color w:val="auto"/>
                <w:kern w:val="2"/>
                <w:sz w:val="21"/>
                <w:szCs w:val="21"/>
              </w:rPr>
              <w:t>需严格按照</w:t>
            </w:r>
            <w:r>
              <w:rPr>
                <w:rFonts w:hint="eastAsia" w:ascii="宋体" w:hAnsi="宋体" w:cs="宋体"/>
                <w:color w:val="auto"/>
                <w:kern w:val="2"/>
                <w:sz w:val="21"/>
                <w:szCs w:val="21"/>
                <w:lang w:val="en-US" w:eastAsia="zh-CN"/>
              </w:rPr>
              <w:t>成交</w:t>
            </w:r>
            <w:r>
              <w:rPr>
                <w:rFonts w:hint="eastAsia" w:ascii="宋体" w:hAnsi="宋体" w:eastAsia="宋体" w:cs="宋体"/>
                <w:color w:val="auto"/>
                <w:kern w:val="2"/>
                <w:sz w:val="21"/>
                <w:szCs w:val="21"/>
                <w:lang w:val="en-US" w:eastAsia="zh-CN"/>
              </w:rPr>
              <w:t>标项</w:t>
            </w:r>
            <w:r>
              <w:rPr>
                <w:rFonts w:hint="eastAsia" w:ascii="宋体" w:hAnsi="宋体" w:eastAsia="宋体" w:cs="宋体"/>
                <w:color w:val="auto"/>
                <w:kern w:val="2"/>
                <w:sz w:val="21"/>
                <w:szCs w:val="21"/>
              </w:rPr>
              <w:t>及采购人要求开展项目服务、抽样与制样、农产品风险预警培训等工作，同时接受项目</w:t>
            </w:r>
            <w:r>
              <w:rPr>
                <w:rFonts w:hint="eastAsia" w:ascii="宋体" w:hAnsi="宋体" w:cs="宋体"/>
                <w:color w:val="auto"/>
                <w:kern w:val="2"/>
                <w:sz w:val="21"/>
                <w:szCs w:val="21"/>
                <w:lang w:eastAsia="zh-CN"/>
              </w:rPr>
              <w:t>验收考评</w:t>
            </w:r>
            <w:r>
              <w:rPr>
                <w:rFonts w:hint="eastAsia" w:ascii="宋体" w:hAnsi="宋体" w:eastAsia="宋体" w:cs="宋体"/>
                <w:color w:val="auto"/>
                <w:kern w:val="2"/>
                <w:sz w:val="21"/>
                <w:szCs w:val="21"/>
              </w:rPr>
              <w:t>。</w:t>
            </w:r>
          </w:p>
          <w:p w14:paraId="42A60D88">
            <w:pPr>
              <w:keepNext w:val="0"/>
              <w:keepLines w:val="0"/>
              <w:pageBreakBefore w:val="0"/>
              <w:widowControl w:val="0"/>
              <w:tabs>
                <w:tab w:val="left" w:pos="3061"/>
              </w:tabs>
              <w:kinsoku/>
              <w:wordWrap/>
              <w:overflowPunct/>
              <w:topLinePunct w:val="0"/>
              <w:bidi w:val="0"/>
              <w:adjustRightInd/>
              <w:snapToGrid/>
              <w:spacing w:line="360" w:lineRule="exact"/>
              <w:ind w:left="0" w:leftChars="0" w:firstLine="422" w:firstLineChars="200"/>
              <w:jc w:val="left"/>
              <w:textAlignment w:val="auto"/>
              <w:rPr>
                <w:rFonts w:hint="eastAsia" w:ascii="宋体" w:hAnsi="宋体" w:eastAsia="宋体" w:cs="宋体"/>
                <w:color w:val="auto"/>
                <w:kern w:val="2"/>
                <w:sz w:val="21"/>
                <w:szCs w:val="21"/>
                <w:lang w:eastAsia="zh-CN"/>
              </w:rPr>
            </w:pPr>
            <w:r>
              <w:rPr>
                <w:rFonts w:hint="eastAsia" w:ascii="宋体" w:hAnsi="宋体" w:cs="宋体"/>
                <w:b/>
                <w:bCs/>
                <w:color w:val="auto"/>
                <w:kern w:val="2"/>
                <w:sz w:val="21"/>
                <w:szCs w:val="21"/>
                <w:lang w:eastAsia="zh-CN"/>
              </w:rPr>
              <w:t>四、</w:t>
            </w:r>
            <w:r>
              <w:rPr>
                <w:rFonts w:hint="eastAsia" w:ascii="宋体" w:hAnsi="宋体" w:eastAsia="宋体" w:cs="宋体"/>
                <w:b/>
                <w:bCs/>
                <w:color w:val="auto"/>
                <w:kern w:val="2"/>
                <w:sz w:val="21"/>
                <w:szCs w:val="21"/>
              </w:rPr>
              <w:t>主要技术要求</w:t>
            </w:r>
          </w:p>
          <w:p w14:paraId="7269D22B">
            <w:pPr>
              <w:keepNext w:val="0"/>
              <w:keepLines w:val="0"/>
              <w:pageBreakBefore w:val="0"/>
              <w:widowControl w:val="0"/>
              <w:kinsoku/>
              <w:wordWrap/>
              <w:overflowPunct/>
              <w:topLinePunct w:val="0"/>
              <w:autoSpaceDE w:val="0"/>
              <w:autoSpaceDN w:val="0"/>
              <w:bidi w:val="0"/>
              <w:adjustRightInd/>
              <w:snapToGrid/>
              <w:spacing w:line="360" w:lineRule="exact"/>
              <w:ind w:left="0" w:leftChars="0" w:firstLine="420" w:firstLineChars="200"/>
              <w:jc w:val="left"/>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（1）属于风险检测类任务的，由</w:t>
            </w:r>
            <w:r>
              <w:rPr>
                <w:rFonts w:hint="eastAsia" w:ascii="宋体" w:hAnsi="宋体"/>
                <w:color w:val="auto"/>
                <w:kern w:val="0"/>
                <w:szCs w:val="21"/>
                <w:lang w:val="en-US" w:eastAsia="zh-CN"/>
              </w:rPr>
              <w:t>成交</w:t>
            </w:r>
            <w:r>
              <w:rPr>
                <w:rFonts w:hint="eastAsia" w:ascii="宋体" w:hAnsi="宋体"/>
                <w:color w:val="auto"/>
                <w:kern w:val="0"/>
                <w:szCs w:val="21"/>
              </w:rPr>
              <w:t>人</w:t>
            </w:r>
            <w:r>
              <w:rPr>
                <w:rFonts w:hint="eastAsia" w:ascii="宋体" w:hAnsi="宋体" w:eastAsia="宋体" w:cs="宋体"/>
                <w:color w:val="auto"/>
                <w:kern w:val="2"/>
                <w:sz w:val="21"/>
                <w:szCs w:val="21"/>
              </w:rPr>
              <w:t>负责样品抽样和样品预处理等全部工作，采购</w:t>
            </w:r>
            <w:r>
              <w:rPr>
                <w:rFonts w:hint="eastAsia" w:ascii="宋体" w:hAnsi="宋体" w:cs="宋体"/>
                <w:color w:val="auto"/>
                <w:kern w:val="2"/>
                <w:sz w:val="21"/>
                <w:szCs w:val="21"/>
                <w:lang w:val="en-US" w:eastAsia="zh-CN"/>
              </w:rPr>
              <w:t>人</w:t>
            </w:r>
            <w:r>
              <w:rPr>
                <w:rFonts w:hint="eastAsia" w:ascii="宋体" w:hAnsi="宋体" w:eastAsia="宋体" w:cs="宋体"/>
                <w:color w:val="auto"/>
                <w:kern w:val="2"/>
                <w:sz w:val="21"/>
                <w:szCs w:val="21"/>
              </w:rPr>
              <w:t>依法依规对抽样工作进行监督，确保抽样工作的公正性以及样品的代表性、真实性和完整性;属于监督抽查类任务的，</w:t>
            </w:r>
            <w:r>
              <w:rPr>
                <w:rFonts w:hint="eastAsia" w:ascii="宋体" w:hAnsi="宋体"/>
                <w:color w:val="auto"/>
                <w:kern w:val="0"/>
                <w:szCs w:val="21"/>
                <w:lang w:val="en-US" w:eastAsia="zh-CN"/>
              </w:rPr>
              <w:t>成交</w:t>
            </w:r>
            <w:r>
              <w:rPr>
                <w:rFonts w:hint="eastAsia" w:ascii="宋体" w:hAnsi="宋体"/>
                <w:color w:val="auto"/>
                <w:kern w:val="0"/>
                <w:szCs w:val="21"/>
              </w:rPr>
              <w:t>人</w:t>
            </w:r>
            <w:r>
              <w:rPr>
                <w:rFonts w:hint="eastAsia" w:ascii="宋体" w:hAnsi="宋体" w:eastAsia="宋体" w:cs="宋体"/>
                <w:color w:val="auto"/>
                <w:kern w:val="2"/>
                <w:sz w:val="21"/>
                <w:szCs w:val="21"/>
              </w:rPr>
              <w:t>需要陪同执法人员到</w:t>
            </w:r>
            <w:r>
              <w:rPr>
                <w:rFonts w:hint="eastAsia" w:ascii="宋体" w:hAnsi="宋体" w:cs="宋体"/>
                <w:color w:val="auto"/>
                <w:kern w:val="2"/>
                <w:sz w:val="21"/>
                <w:szCs w:val="21"/>
                <w:lang w:eastAsia="zh-CN"/>
              </w:rPr>
              <w:t>北海</w:t>
            </w:r>
            <w:r>
              <w:rPr>
                <w:rFonts w:hint="eastAsia" w:ascii="宋体" w:hAnsi="宋体" w:eastAsia="宋体" w:cs="宋体"/>
                <w:color w:val="auto"/>
                <w:kern w:val="2"/>
                <w:sz w:val="21"/>
                <w:szCs w:val="21"/>
              </w:rPr>
              <w:t>市农业农村局指定的辖区农产品产地协助实施抽样和样品预处理等工作。</w:t>
            </w:r>
          </w:p>
          <w:p w14:paraId="748832DA">
            <w:pPr>
              <w:keepNext w:val="0"/>
              <w:keepLines w:val="0"/>
              <w:pageBreakBefore w:val="0"/>
              <w:widowControl w:val="0"/>
              <w:kinsoku/>
              <w:wordWrap/>
              <w:overflowPunct/>
              <w:topLinePunct w:val="0"/>
              <w:autoSpaceDE w:val="0"/>
              <w:autoSpaceDN w:val="0"/>
              <w:bidi w:val="0"/>
              <w:adjustRightInd/>
              <w:snapToGrid/>
              <w:spacing w:line="360" w:lineRule="exact"/>
              <w:ind w:left="0" w:leftChars="0" w:firstLine="420" w:firstLineChars="200"/>
              <w:jc w:val="left"/>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（2）</w:t>
            </w:r>
            <w:r>
              <w:rPr>
                <w:rFonts w:hint="eastAsia" w:ascii="宋体" w:hAnsi="宋体"/>
                <w:color w:val="auto"/>
                <w:kern w:val="0"/>
                <w:szCs w:val="21"/>
                <w:lang w:val="en-US" w:eastAsia="zh-CN"/>
              </w:rPr>
              <w:t>成交</w:t>
            </w:r>
            <w:r>
              <w:rPr>
                <w:rFonts w:hint="eastAsia" w:ascii="宋体" w:hAnsi="宋体"/>
                <w:color w:val="auto"/>
                <w:kern w:val="0"/>
                <w:szCs w:val="21"/>
              </w:rPr>
              <w:t>人</w:t>
            </w:r>
            <w:r>
              <w:rPr>
                <w:rFonts w:hint="eastAsia" w:ascii="宋体" w:hAnsi="宋体" w:eastAsia="宋体" w:cs="宋体"/>
                <w:color w:val="auto"/>
                <w:kern w:val="2"/>
                <w:sz w:val="21"/>
                <w:szCs w:val="21"/>
              </w:rPr>
              <w:t>负责协助将抽取的每批次农产品样品制备成3份，</w:t>
            </w:r>
            <w:r>
              <w:rPr>
                <w:rFonts w:hint="eastAsia" w:ascii="宋体" w:hAnsi="宋体" w:eastAsia="宋体" w:cs="宋体"/>
                <w:color w:val="auto"/>
                <w:kern w:val="2"/>
                <w:sz w:val="21"/>
                <w:szCs w:val="21"/>
                <w:lang w:eastAsia="zh-CN"/>
              </w:rPr>
              <w:t>每份</w:t>
            </w:r>
            <w:r>
              <w:rPr>
                <w:rFonts w:hint="eastAsia" w:ascii="宋体" w:hAnsi="宋体" w:eastAsia="宋体" w:cs="宋体"/>
                <w:color w:val="auto"/>
                <w:kern w:val="2"/>
                <w:sz w:val="21"/>
                <w:szCs w:val="21"/>
              </w:rPr>
              <w:t>约150～300g，1份供分析检测，1份留作备样备查</w:t>
            </w:r>
            <w:r>
              <w:rPr>
                <w:rFonts w:hint="eastAsia" w:ascii="宋体" w:hAnsi="宋体" w:eastAsia="宋体" w:cs="宋体"/>
                <w:color w:val="auto"/>
                <w:kern w:val="2"/>
                <w:sz w:val="21"/>
                <w:szCs w:val="21"/>
                <w:lang w:eastAsia="zh-CN"/>
              </w:rPr>
              <w:t>，</w:t>
            </w:r>
            <w:r>
              <w:rPr>
                <w:rFonts w:hint="eastAsia" w:ascii="宋体" w:hAnsi="宋体" w:eastAsia="宋体" w:cs="宋体"/>
                <w:color w:val="auto"/>
                <w:kern w:val="2"/>
                <w:sz w:val="21"/>
                <w:szCs w:val="21"/>
              </w:rPr>
              <w:t>1份留被抽样单位。</w:t>
            </w:r>
          </w:p>
          <w:p w14:paraId="669267BD">
            <w:pPr>
              <w:keepNext w:val="0"/>
              <w:keepLines w:val="0"/>
              <w:pageBreakBefore w:val="0"/>
              <w:widowControl w:val="0"/>
              <w:kinsoku/>
              <w:wordWrap/>
              <w:overflowPunct/>
              <w:topLinePunct w:val="0"/>
              <w:autoSpaceDE w:val="0"/>
              <w:autoSpaceDN w:val="0"/>
              <w:bidi w:val="0"/>
              <w:adjustRightInd/>
              <w:snapToGrid/>
              <w:spacing w:line="360" w:lineRule="exact"/>
              <w:ind w:left="0" w:leftChars="0" w:firstLine="420" w:firstLineChars="200"/>
              <w:jc w:val="left"/>
              <w:textAlignment w:val="auto"/>
              <w:rPr>
                <w:rFonts w:hint="eastAsia" w:ascii="宋体" w:hAnsi="宋体" w:eastAsia="宋体" w:cs="宋体"/>
                <w:color w:val="auto"/>
                <w:kern w:val="2"/>
                <w:sz w:val="21"/>
                <w:szCs w:val="21"/>
                <w:lang w:val="en-US" w:eastAsia="zh-CN"/>
              </w:rPr>
            </w:pPr>
            <w:r>
              <w:rPr>
                <w:rFonts w:hint="eastAsia" w:ascii="宋体" w:hAnsi="宋体" w:eastAsia="宋体" w:cs="宋体"/>
                <w:color w:val="auto"/>
                <w:kern w:val="2"/>
                <w:sz w:val="21"/>
                <w:szCs w:val="21"/>
              </w:rPr>
              <w:t>（3）检测项目</w:t>
            </w:r>
            <w:r>
              <w:rPr>
                <w:rFonts w:hint="eastAsia" w:ascii="宋体" w:hAnsi="宋体" w:eastAsia="宋体" w:cs="宋体"/>
                <w:color w:val="auto"/>
                <w:kern w:val="2"/>
                <w:sz w:val="21"/>
                <w:szCs w:val="21"/>
                <w:lang w:val="en-US" w:eastAsia="zh-CN"/>
              </w:rPr>
              <w:t>内容、数量、单价、分项预算合计</w:t>
            </w:r>
            <w:r>
              <w:rPr>
                <w:rFonts w:hint="eastAsia" w:ascii="宋体" w:hAnsi="宋体" w:eastAsia="宋体" w:cs="宋体"/>
                <w:color w:val="auto"/>
                <w:kern w:val="2"/>
                <w:sz w:val="21"/>
                <w:szCs w:val="21"/>
              </w:rPr>
              <w:t>：详见“</w:t>
            </w:r>
            <w:r>
              <w:rPr>
                <w:rFonts w:hint="eastAsia" w:ascii="宋体" w:hAnsi="宋体" w:eastAsia="宋体" w:cs="宋体"/>
                <w:b/>
                <w:bCs/>
                <w:color w:val="auto"/>
                <w:kern w:val="2"/>
                <w:sz w:val="21"/>
                <w:szCs w:val="21"/>
              </w:rPr>
              <w:t>检测服务品种及检测项目（附表1）</w:t>
            </w:r>
            <w:r>
              <w:rPr>
                <w:rFonts w:hint="eastAsia" w:ascii="宋体" w:hAnsi="宋体" w:eastAsia="宋体" w:cs="宋体"/>
                <w:color w:val="auto"/>
                <w:kern w:val="2"/>
                <w:sz w:val="21"/>
                <w:szCs w:val="21"/>
              </w:rPr>
              <w:t>”。</w:t>
            </w:r>
            <w:r>
              <w:rPr>
                <w:rFonts w:hint="eastAsia" w:ascii="宋体" w:hAnsi="宋体" w:cs="宋体"/>
                <w:b/>
                <w:bCs/>
                <w:color w:val="auto"/>
                <w:kern w:val="2"/>
                <w:sz w:val="21"/>
                <w:szCs w:val="21"/>
                <w:lang w:val="en-US" w:eastAsia="zh-CN"/>
              </w:rPr>
              <w:t>供应商</w:t>
            </w:r>
            <w:r>
              <w:rPr>
                <w:rFonts w:hint="eastAsia" w:ascii="宋体" w:hAnsi="宋体" w:eastAsia="宋体" w:cs="宋体"/>
                <w:b/>
                <w:bCs/>
                <w:color w:val="auto"/>
                <w:kern w:val="2"/>
                <w:sz w:val="21"/>
                <w:szCs w:val="21"/>
                <w:lang w:val="en-US" w:eastAsia="zh-CN"/>
              </w:rPr>
              <w:t>响应时需详细响应附表1中各标段对应内容（产品类别、</w:t>
            </w:r>
            <w:r>
              <w:rPr>
                <w:rFonts w:hint="eastAsia" w:ascii="宋体" w:hAnsi="宋体" w:cs="宋体"/>
                <w:b/>
                <w:bCs/>
                <w:color w:val="auto"/>
                <w:kern w:val="2"/>
                <w:sz w:val="21"/>
                <w:szCs w:val="21"/>
                <w:lang w:val="en-US" w:eastAsia="zh-CN"/>
              </w:rPr>
              <w:t>检测类别</w:t>
            </w:r>
            <w:r>
              <w:rPr>
                <w:rFonts w:hint="eastAsia" w:ascii="宋体" w:hAnsi="宋体" w:eastAsia="宋体" w:cs="宋体"/>
                <w:b/>
                <w:bCs/>
                <w:color w:val="auto"/>
                <w:kern w:val="2"/>
                <w:sz w:val="21"/>
                <w:szCs w:val="21"/>
                <w:lang w:val="en-US" w:eastAsia="zh-CN"/>
              </w:rPr>
              <w:t>、检测项目等）</w:t>
            </w:r>
            <w:r>
              <w:rPr>
                <w:rFonts w:hint="eastAsia" w:ascii="宋体" w:hAnsi="宋体" w:eastAsia="宋体" w:cs="宋体"/>
                <w:color w:val="auto"/>
                <w:kern w:val="2"/>
                <w:sz w:val="21"/>
                <w:szCs w:val="21"/>
                <w:lang w:val="en-US" w:eastAsia="zh-CN"/>
              </w:rPr>
              <w:t>。</w:t>
            </w:r>
          </w:p>
          <w:p w14:paraId="52ADFD90">
            <w:pPr>
              <w:tabs>
                <w:tab w:val="left" w:pos="180"/>
                <w:tab w:val="left" w:pos="1620"/>
              </w:tabs>
              <w:spacing w:line="360" w:lineRule="auto"/>
              <w:ind w:firstLine="210" w:firstLineChars="100"/>
              <w:jc w:val="left"/>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（4）检测方法：根据</w:t>
            </w:r>
            <w:r>
              <w:rPr>
                <w:rFonts w:hint="eastAsia" w:ascii="宋体" w:hAnsi="宋体" w:eastAsia="宋体" w:cs="宋体"/>
                <w:color w:val="auto"/>
                <w:kern w:val="2"/>
                <w:sz w:val="21"/>
                <w:szCs w:val="21"/>
                <w:lang w:val="en-US" w:eastAsia="zh-CN"/>
              </w:rPr>
              <w:t>供应商</w:t>
            </w:r>
            <w:r>
              <w:rPr>
                <w:rFonts w:hint="eastAsia" w:ascii="宋体" w:hAnsi="宋体" w:eastAsia="宋体" w:cs="宋体"/>
                <w:color w:val="auto"/>
                <w:kern w:val="2"/>
                <w:sz w:val="21"/>
                <w:szCs w:val="21"/>
              </w:rPr>
              <w:t>实验室能力提出响应</w:t>
            </w:r>
            <w:r>
              <w:rPr>
                <w:rFonts w:hint="eastAsia" w:ascii="宋体" w:hAnsi="宋体" w:eastAsia="宋体" w:cs="宋体"/>
                <w:color w:val="auto"/>
                <w:kern w:val="2"/>
                <w:sz w:val="21"/>
                <w:szCs w:val="21"/>
                <w:lang w:eastAsia="zh-CN"/>
              </w:rPr>
              <w:t>的</w:t>
            </w:r>
            <w:r>
              <w:rPr>
                <w:rFonts w:hint="eastAsia" w:ascii="宋体" w:hAnsi="宋体" w:eastAsia="宋体" w:cs="宋体"/>
                <w:color w:val="auto"/>
                <w:kern w:val="2"/>
                <w:sz w:val="21"/>
                <w:szCs w:val="21"/>
              </w:rPr>
              <w:t>技术标准</w:t>
            </w:r>
            <w:r>
              <w:rPr>
                <w:rFonts w:hint="eastAsia" w:ascii="宋体" w:hAnsi="宋体" w:eastAsia="宋体" w:cs="宋体"/>
                <w:color w:val="auto"/>
                <w:kern w:val="2"/>
                <w:sz w:val="21"/>
                <w:szCs w:val="21"/>
                <w:lang w:val="en-US" w:eastAsia="zh-CN"/>
              </w:rPr>
              <w:t>(</w:t>
            </w:r>
            <w:r>
              <w:rPr>
                <w:rFonts w:hint="eastAsia" w:ascii="宋体" w:hAnsi="宋体" w:eastAsia="宋体" w:cs="宋体"/>
                <w:color w:val="auto"/>
                <w:kern w:val="2"/>
                <w:sz w:val="21"/>
                <w:szCs w:val="21"/>
              </w:rPr>
              <w:t>国家</w:t>
            </w:r>
            <w:r>
              <w:rPr>
                <w:rFonts w:hint="eastAsia" w:ascii="宋体" w:hAnsi="宋体" w:eastAsia="宋体" w:cs="宋体"/>
                <w:color w:val="auto"/>
                <w:kern w:val="2"/>
                <w:sz w:val="21"/>
                <w:szCs w:val="21"/>
                <w:lang w:eastAsia="zh-CN"/>
              </w:rPr>
              <w:t>标准</w:t>
            </w:r>
            <w:r>
              <w:rPr>
                <w:rFonts w:hint="eastAsia" w:ascii="宋体" w:hAnsi="宋体" w:eastAsia="宋体" w:cs="宋体"/>
                <w:color w:val="auto"/>
                <w:kern w:val="2"/>
                <w:sz w:val="21"/>
                <w:szCs w:val="21"/>
              </w:rPr>
              <w:t>或者行业标准</w:t>
            </w:r>
            <w:r>
              <w:rPr>
                <w:rFonts w:hint="eastAsia" w:ascii="宋体" w:hAnsi="宋体" w:eastAsia="宋体" w:cs="宋体"/>
                <w:color w:val="auto"/>
                <w:kern w:val="2"/>
                <w:sz w:val="21"/>
                <w:szCs w:val="21"/>
                <w:lang w:val="en-US" w:eastAsia="zh-CN"/>
              </w:rPr>
              <w:t>)</w:t>
            </w:r>
            <w:r>
              <w:rPr>
                <w:rFonts w:hint="eastAsia" w:ascii="宋体" w:hAnsi="宋体" w:eastAsia="宋体" w:cs="宋体"/>
                <w:color w:val="auto"/>
                <w:kern w:val="2"/>
                <w:sz w:val="21"/>
                <w:szCs w:val="21"/>
              </w:rPr>
              <w:t>，</w:t>
            </w:r>
            <w:r>
              <w:rPr>
                <w:rFonts w:hint="eastAsia" w:ascii="宋体" w:hAnsi="宋体" w:cs="宋体"/>
                <w:b/>
                <w:bCs/>
                <w:color w:val="auto"/>
                <w:kern w:val="2"/>
                <w:sz w:val="21"/>
                <w:szCs w:val="21"/>
                <w:lang w:val="en-US" w:eastAsia="zh-CN"/>
              </w:rPr>
              <w:t>响应时</w:t>
            </w:r>
            <w:r>
              <w:rPr>
                <w:rFonts w:hint="eastAsia" w:ascii="宋体" w:hAnsi="宋体" w:eastAsia="宋体" w:cs="宋体"/>
                <w:color w:val="auto"/>
                <w:kern w:val="2"/>
                <w:sz w:val="21"/>
                <w:szCs w:val="21"/>
              </w:rPr>
              <w:t>提供开展检测项目所采用的标准方法编号、名称</w:t>
            </w:r>
            <w:r>
              <w:rPr>
                <w:rFonts w:hint="eastAsia" w:ascii="宋体" w:hAnsi="宋体" w:eastAsia="宋体" w:cs="宋体"/>
                <w:color w:val="auto"/>
                <w:kern w:val="2"/>
                <w:sz w:val="21"/>
                <w:szCs w:val="21"/>
                <w:lang w:eastAsia="zh-CN"/>
              </w:rPr>
              <w:t>、</w:t>
            </w:r>
            <w:r>
              <w:rPr>
                <w:rFonts w:hint="eastAsia" w:ascii="宋体" w:hAnsi="宋体" w:eastAsia="宋体" w:cs="宋体"/>
                <w:color w:val="auto"/>
                <w:kern w:val="2"/>
                <w:sz w:val="21"/>
                <w:szCs w:val="21"/>
              </w:rPr>
              <w:t>相对应标准文本正文第1页以及该</w:t>
            </w:r>
            <w:r>
              <w:rPr>
                <w:rFonts w:hint="eastAsia" w:ascii="宋体" w:hAnsi="宋体" w:eastAsia="宋体" w:cs="宋体"/>
                <w:color w:val="auto"/>
                <w:kern w:val="2"/>
                <w:sz w:val="21"/>
                <w:szCs w:val="21"/>
                <w:lang w:eastAsia="zh-CN"/>
              </w:rPr>
              <w:t>检测</w:t>
            </w:r>
            <w:r>
              <w:rPr>
                <w:rFonts w:hint="eastAsia" w:ascii="宋体" w:hAnsi="宋体" w:eastAsia="宋体" w:cs="宋体"/>
                <w:color w:val="auto"/>
                <w:kern w:val="2"/>
                <w:sz w:val="21"/>
                <w:szCs w:val="21"/>
              </w:rPr>
              <w:t>参数的所在页并</w:t>
            </w:r>
            <w:r>
              <w:rPr>
                <w:rFonts w:hint="eastAsia" w:ascii="宋体" w:hAnsi="宋体" w:eastAsia="宋体" w:cs="宋体"/>
                <w:color w:val="auto"/>
                <w:kern w:val="2"/>
                <w:sz w:val="21"/>
                <w:szCs w:val="21"/>
                <w:lang w:eastAsia="zh-CN"/>
              </w:rPr>
              <w:t>用</w:t>
            </w:r>
            <w:r>
              <w:rPr>
                <w:rFonts w:hint="eastAsia" w:ascii="宋体" w:hAnsi="宋体" w:eastAsia="宋体" w:cs="宋体"/>
                <w:color w:val="auto"/>
                <w:kern w:val="2"/>
                <w:sz w:val="21"/>
                <w:szCs w:val="21"/>
              </w:rPr>
              <w:t>记号标出。</w:t>
            </w:r>
          </w:p>
          <w:p w14:paraId="0ED70C88">
            <w:pPr>
              <w:tabs>
                <w:tab w:val="left" w:pos="180"/>
                <w:tab w:val="left" w:pos="1620"/>
              </w:tabs>
              <w:spacing w:line="360" w:lineRule="auto"/>
              <w:ind w:firstLine="210" w:firstLineChars="100"/>
              <w:jc w:val="left"/>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（5）检测时限：从</w:t>
            </w:r>
            <w:r>
              <w:rPr>
                <w:rFonts w:hint="eastAsia" w:ascii="宋体" w:hAnsi="宋体" w:eastAsia="宋体" w:cs="宋体"/>
                <w:color w:val="auto"/>
                <w:kern w:val="2"/>
                <w:sz w:val="21"/>
                <w:szCs w:val="21"/>
                <w:lang w:val="en-US" w:eastAsia="zh-CN"/>
              </w:rPr>
              <w:t>成交</w:t>
            </w:r>
            <w:r>
              <w:rPr>
                <w:rFonts w:hint="eastAsia" w:ascii="宋体" w:hAnsi="宋体" w:eastAsia="宋体" w:cs="宋体"/>
                <w:color w:val="auto"/>
                <w:kern w:val="2"/>
                <w:sz w:val="21"/>
                <w:szCs w:val="21"/>
              </w:rPr>
              <w:t>人收到样品之日起开始计算，监督抽检完成检测并出具检测报告时间不得超过7个工作日，检出不合格样品的应在检验结果确定后24小时内，将检验结果告知抽样单位并立即将检验报告寄送到抽样单位；风险监测完成检测并出具检测报告时间不得超过</w:t>
            </w:r>
            <w:r>
              <w:rPr>
                <w:rFonts w:hint="eastAsia" w:ascii="宋体" w:hAnsi="宋体" w:eastAsia="宋体" w:cs="宋体"/>
                <w:color w:val="auto"/>
                <w:kern w:val="2"/>
                <w:sz w:val="21"/>
                <w:szCs w:val="21"/>
                <w:lang w:val="en-US" w:eastAsia="zh-CN"/>
              </w:rPr>
              <w:t>12</w:t>
            </w:r>
            <w:r>
              <w:rPr>
                <w:rFonts w:hint="eastAsia" w:ascii="宋体" w:hAnsi="宋体" w:eastAsia="宋体" w:cs="宋体"/>
                <w:color w:val="auto"/>
                <w:kern w:val="2"/>
                <w:sz w:val="21"/>
                <w:szCs w:val="21"/>
              </w:rPr>
              <w:t>个工作日，检出不合格样品的应在检验结果确定后</w:t>
            </w:r>
            <w:r>
              <w:rPr>
                <w:rFonts w:hint="eastAsia" w:ascii="宋体" w:hAnsi="宋体" w:eastAsia="宋体" w:cs="宋体"/>
                <w:color w:val="auto"/>
                <w:kern w:val="2"/>
                <w:sz w:val="21"/>
                <w:szCs w:val="21"/>
                <w:lang w:val="en-US" w:eastAsia="zh-CN"/>
              </w:rPr>
              <w:t>24小时内</w:t>
            </w:r>
            <w:r>
              <w:rPr>
                <w:rFonts w:hint="eastAsia" w:ascii="宋体" w:hAnsi="宋体" w:eastAsia="宋体" w:cs="宋体"/>
                <w:color w:val="auto"/>
                <w:kern w:val="2"/>
                <w:sz w:val="21"/>
                <w:szCs w:val="21"/>
              </w:rPr>
              <w:t>，将检验结果告知抽样单位并立即将检验报告寄送到抽样单位</w:t>
            </w:r>
            <w:r>
              <w:rPr>
                <w:rFonts w:hint="eastAsia" w:ascii="宋体" w:hAnsi="宋体" w:cs="宋体"/>
                <w:color w:val="auto"/>
                <w:kern w:val="2"/>
                <w:sz w:val="21"/>
                <w:szCs w:val="21"/>
                <w:lang w:eastAsia="zh-CN"/>
              </w:rPr>
              <w:t>；</w:t>
            </w:r>
            <w:r>
              <w:rPr>
                <w:rFonts w:hint="eastAsia" w:ascii="宋体" w:hAnsi="宋体" w:cs="宋体"/>
                <w:color w:val="auto"/>
                <w:szCs w:val="21"/>
              </w:rPr>
              <w:t>涉及应急</w:t>
            </w:r>
            <w:r>
              <w:rPr>
                <w:rFonts w:hint="eastAsia" w:ascii="宋体" w:hAnsi="宋体" w:cs="宋体"/>
                <w:color w:val="auto"/>
                <w:szCs w:val="21"/>
                <w:lang w:eastAsia="zh-CN"/>
              </w:rPr>
              <w:t>抽检</w:t>
            </w:r>
            <w:r>
              <w:rPr>
                <w:rFonts w:hint="eastAsia" w:ascii="宋体" w:hAnsi="宋体" w:cs="宋体"/>
                <w:color w:val="auto"/>
                <w:szCs w:val="21"/>
              </w:rPr>
              <w:t>任务的，</w:t>
            </w:r>
            <w:r>
              <w:rPr>
                <w:rFonts w:hint="eastAsia" w:ascii="宋体" w:hAnsi="宋体" w:eastAsia="宋体" w:cs="宋体"/>
                <w:color w:val="auto"/>
                <w:sz w:val="21"/>
                <w:szCs w:val="21"/>
                <w:highlight w:val="none"/>
                <w:lang w:val="en-US" w:eastAsia="zh-CN"/>
              </w:rPr>
              <w:t>接收到样品后</w:t>
            </w:r>
            <w:r>
              <w:rPr>
                <w:rFonts w:hint="eastAsia" w:ascii="宋体" w:hAnsi="宋体" w:cs="宋体"/>
                <w:color w:val="auto"/>
                <w:sz w:val="21"/>
                <w:szCs w:val="21"/>
                <w:highlight w:val="none"/>
                <w:lang w:val="en-US" w:eastAsia="zh-CN"/>
              </w:rPr>
              <w:t>48</w:t>
            </w:r>
            <w:r>
              <w:rPr>
                <w:rFonts w:hint="eastAsia" w:ascii="宋体" w:hAnsi="宋体" w:eastAsia="宋体" w:cs="宋体"/>
                <w:color w:val="auto"/>
                <w:sz w:val="21"/>
                <w:szCs w:val="21"/>
                <w:highlight w:val="none"/>
                <w:lang w:val="en-US" w:eastAsia="zh-CN"/>
              </w:rPr>
              <w:t>小时内出具检测数据和判定结果</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12个工作日内出具检测报告。</w:t>
            </w:r>
          </w:p>
          <w:p w14:paraId="2672E8F1">
            <w:pPr>
              <w:keepNext w:val="0"/>
              <w:keepLines w:val="0"/>
              <w:pageBreakBefore w:val="0"/>
              <w:widowControl w:val="0"/>
              <w:kinsoku/>
              <w:wordWrap/>
              <w:overflowPunct/>
              <w:topLinePunct w:val="0"/>
              <w:autoSpaceDE w:val="0"/>
              <w:autoSpaceDN w:val="0"/>
              <w:bidi w:val="0"/>
              <w:adjustRightInd/>
              <w:snapToGrid/>
              <w:spacing w:line="360" w:lineRule="exact"/>
              <w:ind w:left="0" w:leftChars="0" w:firstLine="420" w:firstLineChars="200"/>
              <w:jc w:val="left"/>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w:t>
            </w:r>
            <w:r>
              <w:rPr>
                <w:rFonts w:hint="eastAsia" w:ascii="宋体" w:hAnsi="宋体" w:eastAsia="宋体" w:cs="宋体"/>
                <w:color w:val="auto"/>
                <w:kern w:val="2"/>
                <w:sz w:val="21"/>
                <w:szCs w:val="21"/>
                <w:lang w:val="en-US" w:eastAsia="zh-CN"/>
              </w:rPr>
              <w:t>6</w:t>
            </w:r>
            <w:r>
              <w:rPr>
                <w:rFonts w:hint="eastAsia" w:ascii="宋体" w:hAnsi="宋体" w:eastAsia="宋体" w:cs="宋体"/>
                <w:color w:val="auto"/>
                <w:kern w:val="2"/>
                <w:sz w:val="21"/>
                <w:szCs w:val="21"/>
              </w:rPr>
              <w:t>）项目最终完成</w:t>
            </w:r>
            <w:r>
              <w:rPr>
                <w:rFonts w:hint="eastAsia" w:ascii="宋体" w:hAnsi="宋体" w:eastAsia="宋体" w:cs="宋体"/>
                <w:color w:val="auto"/>
                <w:kern w:val="2"/>
                <w:sz w:val="21"/>
                <w:szCs w:val="21"/>
                <w:lang w:eastAsia="zh-CN"/>
              </w:rPr>
              <w:t>后，须</w:t>
            </w:r>
            <w:r>
              <w:rPr>
                <w:rFonts w:hint="eastAsia" w:ascii="宋体" w:hAnsi="宋体" w:eastAsia="宋体" w:cs="宋体"/>
                <w:color w:val="auto"/>
                <w:kern w:val="2"/>
                <w:sz w:val="21"/>
                <w:szCs w:val="21"/>
              </w:rPr>
              <w:t>提交正式的《检验报告》和《质控报告》及其电子版的原始记录、Microsoft Excel检测结果汇总表和</w:t>
            </w:r>
            <w:r>
              <w:rPr>
                <w:rFonts w:hint="eastAsia" w:ascii="宋体" w:hAnsi="宋体" w:eastAsia="宋体" w:cs="宋体"/>
                <w:color w:val="auto"/>
                <w:kern w:val="2"/>
                <w:sz w:val="21"/>
                <w:szCs w:val="21"/>
                <w:lang w:val="en-US" w:eastAsia="zh-CN"/>
              </w:rPr>
              <w:t>PDF文档</w:t>
            </w:r>
            <w:r>
              <w:rPr>
                <w:rFonts w:hint="eastAsia" w:ascii="宋体" w:hAnsi="宋体" w:eastAsia="宋体" w:cs="宋体"/>
                <w:color w:val="auto"/>
                <w:kern w:val="2"/>
                <w:sz w:val="21"/>
                <w:szCs w:val="21"/>
              </w:rPr>
              <w:t>的质控报告检验报告。</w:t>
            </w:r>
          </w:p>
          <w:p w14:paraId="03D771F0">
            <w:pPr>
              <w:keepNext w:val="0"/>
              <w:keepLines w:val="0"/>
              <w:pageBreakBefore w:val="0"/>
              <w:widowControl w:val="0"/>
              <w:kinsoku/>
              <w:wordWrap/>
              <w:overflowPunct/>
              <w:topLinePunct w:val="0"/>
              <w:autoSpaceDE w:val="0"/>
              <w:autoSpaceDN w:val="0"/>
              <w:bidi w:val="0"/>
              <w:adjustRightInd/>
              <w:snapToGrid/>
              <w:spacing w:line="360" w:lineRule="exact"/>
              <w:ind w:left="0" w:leftChars="0" w:firstLine="420" w:firstLineChars="200"/>
              <w:jc w:val="left"/>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w:t>
            </w:r>
            <w:r>
              <w:rPr>
                <w:rFonts w:hint="eastAsia" w:ascii="宋体" w:hAnsi="宋体" w:eastAsia="宋体" w:cs="宋体"/>
                <w:color w:val="auto"/>
                <w:kern w:val="2"/>
                <w:sz w:val="21"/>
                <w:szCs w:val="21"/>
                <w:lang w:val="en-US" w:eastAsia="zh-CN"/>
              </w:rPr>
              <w:t>7</w:t>
            </w:r>
            <w:r>
              <w:rPr>
                <w:rFonts w:hint="eastAsia" w:ascii="宋体" w:hAnsi="宋体" w:eastAsia="宋体" w:cs="宋体"/>
                <w:color w:val="auto"/>
                <w:kern w:val="2"/>
                <w:sz w:val="21"/>
                <w:szCs w:val="21"/>
              </w:rPr>
              <w:t>）</w:t>
            </w:r>
            <w:r>
              <w:rPr>
                <w:rFonts w:hint="eastAsia" w:ascii="宋体" w:hAnsi="宋体"/>
                <w:color w:val="auto"/>
                <w:kern w:val="0"/>
                <w:szCs w:val="21"/>
                <w:lang w:val="en-US" w:eastAsia="zh-CN"/>
              </w:rPr>
              <w:t>成交</w:t>
            </w:r>
            <w:r>
              <w:rPr>
                <w:rFonts w:hint="eastAsia" w:ascii="宋体" w:hAnsi="宋体"/>
                <w:color w:val="auto"/>
                <w:kern w:val="0"/>
                <w:szCs w:val="21"/>
              </w:rPr>
              <w:t>人</w:t>
            </w:r>
            <w:r>
              <w:rPr>
                <w:rFonts w:hint="eastAsia" w:ascii="宋体" w:hAnsi="宋体" w:eastAsia="宋体" w:cs="宋体"/>
                <w:color w:val="auto"/>
                <w:kern w:val="2"/>
                <w:sz w:val="21"/>
                <w:szCs w:val="21"/>
              </w:rPr>
              <w:t>必须按照国家或者行业标准要求，开展检测服务和质量控制，并接受采购人采取不定期的电话、电子邮件以及现场检查等方式加强对中标方进行本项服务的监督检查，必要时参加采购人安排的质控样品测试，以保证样品检测的进度和质量。</w:t>
            </w:r>
          </w:p>
          <w:p w14:paraId="156325EE">
            <w:pPr>
              <w:keepNext w:val="0"/>
              <w:keepLines w:val="0"/>
              <w:pageBreakBefore w:val="0"/>
              <w:widowControl w:val="0"/>
              <w:kinsoku/>
              <w:wordWrap/>
              <w:overflowPunct/>
              <w:topLinePunct w:val="0"/>
              <w:bidi w:val="0"/>
              <w:adjustRightInd/>
              <w:snapToGrid/>
              <w:spacing w:line="360" w:lineRule="exact"/>
              <w:ind w:left="0" w:leftChars="0" w:firstLine="422" w:firstLineChars="200"/>
              <w:jc w:val="left"/>
              <w:textAlignment w:val="auto"/>
              <w:rPr>
                <w:rFonts w:hint="eastAsia" w:ascii="宋体" w:hAnsi="宋体" w:eastAsia="宋体" w:cs="宋体"/>
                <w:color w:val="auto"/>
                <w:kern w:val="2"/>
                <w:sz w:val="21"/>
                <w:szCs w:val="21"/>
              </w:rPr>
            </w:pPr>
            <w:r>
              <w:rPr>
                <w:rFonts w:hint="eastAsia" w:ascii="宋体" w:hAnsi="宋体" w:cs="宋体"/>
                <w:b/>
                <w:bCs/>
                <w:color w:val="auto"/>
                <w:kern w:val="2"/>
                <w:sz w:val="21"/>
                <w:szCs w:val="21"/>
                <w:lang w:eastAsia="zh-CN"/>
              </w:rPr>
              <w:t>五、</w:t>
            </w:r>
            <w:r>
              <w:rPr>
                <w:rFonts w:hint="eastAsia" w:ascii="宋体" w:hAnsi="宋体" w:eastAsia="宋体" w:cs="宋体"/>
                <w:b/>
                <w:bCs/>
                <w:color w:val="auto"/>
                <w:kern w:val="2"/>
                <w:sz w:val="21"/>
                <w:szCs w:val="21"/>
              </w:rPr>
              <w:t>其他要求</w:t>
            </w:r>
          </w:p>
          <w:p w14:paraId="1C987766">
            <w:pPr>
              <w:keepNext w:val="0"/>
              <w:keepLines w:val="0"/>
              <w:pageBreakBefore w:val="0"/>
              <w:widowControl w:val="0"/>
              <w:kinsoku/>
              <w:wordWrap/>
              <w:overflowPunct/>
              <w:topLinePunct w:val="0"/>
              <w:autoSpaceDE w:val="0"/>
              <w:autoSpaceDN w:val="0"/>
              <w:bidi w:val="0"/>
              <w:adjustRightInd/>
              <w:snapToGrid/>
              <w:spacing w:line="360" w:lineRule="exact"/>
              <w:ind w:left="0" w:leftChars="0" w:firstLine="420" w:firstLineChars="200"/>
              <w:jc w:val="left"/>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（1）根据项目实施期间的实际需求和承检机构的服务实效情况，由</w:t>
            </w:r>
            <w:r>
              <w:rPr>
                <w:rFonts w:hint="eastAsia" w:ascii="宋体" w:hAnsi="宋体"/>
                <w:color w:val="auto"/>
                <w:kern w:val="0"/>
                <w:szCs w:val="21"/>
                <w:lang w:val="en-US" w:eastAsia="zh-CN"/>
              </w:rPr>
              <w:t>成交</w:t>
            </w:r>
            <w:r>
              <w:rPr>
                <w:rFonts w:hint="eastAsia" w:ascii="宋体" w:hAnsi="宋体"/>
                <w:color w:val="auto"/>
                <w:kern w:val="0"/>
                <w:szCs w:val="21"/>
              </w:rPr>
              <w:t>人</w:t>
            </w:r>
            <w:r>
              <w:rPr>
                <w:rFonts w:hint="eastAsia" w:ascii="宋体" w:hAnsi="宋体" w:eastAsia="宋体" w:cs="宋体"/>
                <w:color w:val="auto"/>
                <w:kern w:val="2"/>
                <w:sz w:val="21"/>
                <w:szCs w:val="21"/>
              </w:rPr>
              <w:t>提供若干批次（不超过合同批次的5%)）的应急抽检服务</w:t>
            </w:r>
            <w:r>
              <w:rPr>
                <w:rFonts w:hint="eastAsia" w:ascii="宋体" w:hAnsi="宋体" w:cs="宋体"/>
                <w:color w:val="auto"/>
                <w:kern w:val="2"/>
                <w:sz w:val="21"/>
                <w:szCs w:val="21"/>
                <w:lang w:eastAsia="zh-CN"/>
              </w:rPr>
              <w:t>，</w:t>
            </w:r>
            <w:r>
              <w:rPr>
                <w:rFonts w:hint="eastAsia" w:ascii="宋体" w:hAnsi="宋体" w:eastAsia="宋体" w:cs="宋体"/>
                <w:color w:val="auto"/>
                <w:sz w:val="21"/>
                <w:szCs w:val="21"/>
                <w:highlight w:val="none"/>
                <w:lang w:val="en-US" w:eastAsia="zh-CN"/>
              </w:rPr>
              <w:t>应急</w:t>
            </w:r>
            <w:r>
              <w:rPr>
                <w:rFonts w:hint="eastAsia" w:ascii="宋体" w:hAnsi="宋体" w:cs="宋体"/>
                <w:color w:val="auto"/>
                <w:sz w:val="21"/>
                <w:szCs w:val="21"/>
                <w:highlight w:val="none"/>
                <w:lang w:val="en-US" w:eastAsia="zh-CN"/>
              </w:rPr>
              <w:t>抽检</w:t>
            </w:r>
            <w:r>
              <w:rPr>
                <w:rFonts w:hint="eastAsia" w:ascii="宋体" w:hAnsi="宋体" w:eastAsia="宋体" w:cs="宋体"/>
                <w:color w:val="auto"/>
                <w:sz w:val="21"/>
                <w:szCs w:val="21"/>
                <w:highlight w:val="none"/>
                <w:lang w:val="en-US" w:eastAsia="zh-CN"/>
              </w:rPr>
              <w:t>数量不计入</w:t>
            </w:r>
            <w:r>
              <w:rPr>
                <w:rFonts w:hint="eastAsia" w:ascii="宋体" w:hAnsi="宋体" w:cs="宋体"/>
                <w:color w:val="auto"/>
                <w:sz w:val="21"/>
                <w:szCs w:val="21"/>
                <w:highlight w:val="none"/>
                <w:lang w:val="en-US" w:eastAsia="zh-CN"/>
              </w:rPr>
              <w:t>项目检测批次</w:t>
            </w:r>
            <w:r>
              <w:rPr>
                <w:rFonts w:hint="eastAsia" w:ascii="宋体" w:hAnsi="宋体" w:eastAsia="宋体" w:cs="宋体"/>
                <w:color w:val="auto"/>
                <w:sz w:val="21"/>
                <w:szCs w:val="21"/>
                <w:highlight w:val="none"/>
                <w:lang w:val="en-US" w:eastAsia="zh-CN"/>
              </w:rPr>
              <w:t>数量，由采购人另行通知</w:t>
            </w:r>
            <w:r>
              <w:rPr>
                <w:rFonts w:hint="eastAsia" w:ascii="宋体" w:hAnsi="宋体" w:eastAsia="宋体" w:cs="宋体"/>
                <w:color w:val="auto"/>
                <w:kern w:val="2"/>
                <w:sz w:val="21"/>
                <w:szCs w:val="21"/>
              </w:rPr>
              <w:t>。</w:t>
            </w:r>
          </w:p>
          <w:p w14:paraId="4C66CD84">
            <w:pPr>
              <w:keepNext w:val="0"/>
              <w:keepLines w:val="0"/>
              <w:pageBreakBefore w:val="0"/>
              <w:widowControl w:val="0"/>
              <w:kinsoku/>
              <w:wordWrap/>
              <w:overflowPunct/>
              <w:topLinePunct w:val="0"/>
              <w:autoSpaceDE w:val="0"/>
              <w:autoSpaceDN w:val="0"/>
              <w:bidi w:val="0"/>
              <w:adjustRightInd/>
              <w:snapToGrid/>
              <w:spacing w:line="360" w:lineRule="exact"/>
              <w:ind w:left="0" w:leftChars="0" w:firstLine="420" w:firstLineChars="200"/>
              <w:jc w:val="left"/>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（2）</w:t>
            </w:r>
            <w:r>
              <w:rPr>
                <w:rFonts w:hint="eastAsia" w:ascii="宋体" w:hAnsi="宋体"/>
                <w:color w:val="auto"/>
                <w:kern w:val="0"/>
                <w:szCs w:val="21"/>
                <w:lang w:val="en-US" w:eastAsia="zh-CN"/>
              </w:rPr>
              <w:t>成交</w:t>
            </w:r>
            <w:r>
              <w:rPr>
                <w:rFonts w:hint="eastAsia" w:ascii="宋体" w:hAnsi="宋体"/>
                <w:color w:val="auto"/>
                <w:kern w:val="0"/>
                <w:szCs w:val="21"/>
              </w:rPr>
              <w:t>人</w:t>
            </w:r>
            <w:r>
              <w:rPr>
                <w:rFonts w:hint="eastAsia" w:ascii="宋体" w:hAnsi="宋体" w:eastAsia="宋体" w:cs="宋体"/>
                <w:color w:val="auto"/>
                <w:kern w:val="2"/>
                <w:sz w:val="21"/>
                <w:szCs w:val="21"/>
              </w:rPr>
              <w:t>须配合采购人开展相应的复检工作，复检结果与</w:t>
            </w:r>
            <w:r>
              <w:rPr>
                <w:rFonts w:hint="eastAsia" w:ascii="宋体" w:hAnsi="宋体" w:eastAsia="宋体" w:cs="宋体"/>
                <w:color w:val="auto"/>
                <w:kern w:val="2"/>
                <w:sz w:val="21"/>
                <w:szCs w:val="21"/>
                <w:lang w:eastAsia="zh-CN"/>
              </w:rPr>
              <w:t>原</w:t>
            </w:r>
            <w:r>
              <w:rPr>
                <w:rFonts w:hint="eastAsia" w:ascii="宋体" w:hAnsi="宋体" w:eastAsia="宋体" w:cs="宋体"/>
                <w:color w:val="auto"/>
                <w:kern w:val="2"/>
                <w:sz w:val="21"/>
                <w:szCs w:val="21"/>
              </w:rPr>
              <w:t>检验结果不一致的，以复检结果为最终结果。复检结果为合格的，复检费用由抽样检验的部门承担；复检结果为不合格的，复检费用和由此对采购人造成的不良影响由</w:t>
            </w:r>
            <w:r>
              <w:rPr>
                <w:rFonts w:hint="eastAsia" w:ascii="宋体" w:hAnsi="宋体"/>
                <w:color w:val="auto"/>
                <w:kern w:val="0"/>
                <w:szCs w:val="21"/>
                <w:lang w:val="en-US" w:eastAsia="zh-CN"/>
              </w:rPr>
              <w:t>成交</w:t>
            </w:r>
            <w:r>
              <w:rPr>
                <w:rFonts w:hint="eastAsia" w:ascii="宋体" w:hAnsi="宋体"/>
                <w:color w:val="auto"/>
                <w:kern w:val="0"/>
                <w:szCs w:val="21"/>
              </w:rPr>
              <w:t>人</w:t>
            </w:r>
            <w:r>
              <w:rPr>
                <w:rFonts w:hint="eastAsia" w:ascii="宋体" w:hAnsi="宋体" w:eastAsia="宋体" w:cs="宋体"/>
                <w:color w:val="auto"/>
                <w:kern w:val="2"/>
                <w:sz w:val="21"/>
                <w:szCs w:val="21"/>
              </w:rPr>
              <w:t>负责。</w:t>
            </w:r>
          </w:p>
          <w:p w14:paraId="27373D67">
            <w:pPr>
              <w:keepNext w:val="0"/>
              <w:keepLines w:val="0"/>
              <w:pageBreakBefore w:val="0"/>
              <w:widowControl w:val="0"/>
              <w:kinsoku/>
              <w:wordWrap/>
              <w:overflowPunct/>
              <w:topLinePunct w:val="0"/>
              <w:autoSpaceDE w:val="0"/>
              <w:autoSpaceDN w:val="0"/>
              <w:bidi w:val="0"/>
              <w:adjustRightInd/>
              <w:snapToGrid/>
              <w:spacing w:line="360" w:lineRule="exact"/>
              <w:ind w:left="0" w:leftChars="0" w:firstLine="420" w:firstLineChars="200"/>
              <w:jc w:val="left"/>
              <w:textAlignment w:val="auto"/>
              <w:rPr>
                <w:rFonts w:hint="eastAsia" w:ascii="宋体" w:hAnsi="宋体" w:eastAsia="宋体" w:cs="宋体"/>
                <w:color w:val="auto"/>
                <w:kern w:val="2"/>
                <w:sz w:val="21"/>
                <w:szCs w:val="21"/>
                <w:lang w:eastAsia="zh-CN"/>
              </w:rPr>
            </w:pPr>
            <w:r>
              <w:rPr>
                <w:rFonts w:hint="eastAsia" w:ascii="宋体" w:hAnsi="宋体" w:eastAsia="宋体" w:cs="宋体"/>
                <w:color w:val="auto"/>
                <w:kern w:val="2"/>
                <w:sz w:val="21"/>
                <w:szCs w:val="21"/>
                <w:lang w:eastAsia="zh-CN"/>
              </w:rPr>
              <w:t>（</w:t>
            </w:r>
            <w:r>
              <w:rPr>
                <w:rFonts w:hint="eastAsia" w:ascii="宋体" w:hAnsi="宋体" w:eastAsia="宋体" w:cs="宋体"/>
                <w:color w:val="auto"/>
                <w:kern w:val="2"/>
                <w:sz w:val="21"/>
                <w:szCs w:val="21"/>
                <w:lang w:val="en-US" w:eastAsia="zh-CN"/>
              </w:rPr>
              <w:t>3</w:t>
            </w:r>
            <w:r>
              <w:rPr>
                <w:rFonts w:hint="eastAsia" w:ascii="宋体" w:hAnsi="宋体" w:eastAsia="宋体" w:cs="宋体"/>
                <w:color w:val="auto"/>
                <w:kern w:val="2"/>
                <w:sz w:val="21"/>
                <w:szCs w:val="21"/>
                <w:lang w:eastAsia="zh-CN"/>
              </w:rPr>
              <w:t>）</w:t>
            </w:r>
            <w:r>
              <w:rPr>
                <w:rFonts w:hint="eastAsia" w:ascii="宋体" w:hAnsi="宋体"/>
                <w:color w:val="auto"/>
                <w:kern w:val="0"/>
                <w:szCs w:val="21"/>
                <w:lang w:val="en-US" w:eastAsia="zh-CN"/>
              </w:rPr>
              <w:t>成交</w:t>
            </w:r>
            <w:r>
              <w:rPr>
                <w:rFonts w:hint="eastAsia" w:ascii="宋体" w:hAnsi="宋体"/>
                <w:color w:val="auto"/>
                <w:kern w:val="0"/>
                <w:szCs w:val="21"/>
              </w:rPr>
              <w:t>人</w:t>
            </w:r>
            <w:r>
              <w:rPr>
                <w:rFonts w:hint="eastAsia" w:ascii="宋体" w:hAnsi="宋体" w:eastAsia="宋体" w:cs="宋体"/>
                <w:color w:val="auto"/>
                <w:kern w:val="2"/>
                <w:sz w:val="21"/>
                <w:szCs w:val="21"/>
                <w:lang w:eastAsia="zh-CN"/>
              </w:rPr>
              <w:t>除按合同约定完成检测批次外，还应发挥自身资质优势与行业资源整合能力，围绕我市地方</w:t>
            </w:r>
            <w:r>
              <w:rPr>
                <w:rFonts w:hint="eastAsia" w:ascii="宋体" w:hAnsi="宋体" w:cs="宋体"/>
                <w:color w:val="auto"/>
                <w:kern w:val="2"/>
                <w:sz w:val="21"/>
                <w:szCs w:val="21"/>
                <w:lang w:eastAsia="zh-CN"/>
              </w:rPr>
              <w:t>农业</w:t>
            </w:r>
            <w:r>
              <w:rPr>
                <w:rFonts w:hint="eastAsia" w:ascii="宋体" w:hAnsi="宋体" w:eastAsia="宋体" w:cs="宋体"/>
                <w:color w:val="auto"/>
                <w:kern w:val="2"/>
                <w:sz w:val="21"/>
                <w:szCs w:val="21"/>
                <w:lang w:eastAsia="zh-CN"/>
              </w:rPr>
              <w:t>产业提供</w:t>
            </w:r>
            <w:r>
              <w:rPr>
                <w:rFonts w:hint="eastAsia" w:ascii="宋体" w:hAnsi="宋体" w:cs="宋体"/>
                <w:color w:val="auto"/>
                <w:kern w:val="2"/>
                <w:sz w:val="21"/>
                <w:szCs w:val="21"/>
                <w:lang w:eastAsia="zh-CN"/>
              </w:rPr>
              <w:t>一项以上</w:t>
            </w:r>
            <w:r>
              <w:rPr>
                <w:rFonts w:hint="eastAsia" w:ascii="宋体" w:hAnsi="宋体" w:eastAsia="宋体" w:cs="宋体"/>
                <w:color w:val="auto"/>
                <w:kern w:val="2"/>
                <w:sz w:val="21"/>
                <w:szCs w:val="21"/>
                <w:lang w:eastAsia="zh-CN"/>
              </w:rPr>
              <w:t>增值服务（服务内容可包括但不限于</w:t>
            </w:r>
            <w:r>
              <w:rPr>
                <w:rFonts w:hint="eastAsia" w:ascii="宋体" w:hAnsi="宋体" w:cs="宋体"/>
                <w:color w:val="auto"/>
                <w:kern w:val="2"/>
                <w:sz w:val="21"/>
                <w:szCs w:val="21"/>
                <w:lang w:eastAsia="zh-CN"/>
              </w:rPr>
              <w:t>绿色有机认证产品检测</w:t>
            </w:r>
            <w:r>
              <w:rPr>
                <w:rFonts w:hint="eastAsia" w:ascii="宋体" w:hAnsi="宋体" w:eastAsia="宋体" w:cs="宋体"/>
                <w:color w:val="auto"/>
                <w:kern w:val="2"/>
                <w:sz w:val="21"/>
                <w:szCs w:val="21"/>
                <w:lang w:eastAsia="zh-CN"/>
              </w:rPr>
              <w:t>、</w:t>
            </w:r>
            <w:r>
              <w:rPr>
                <w:rFonts w:hint="eastAsia" w:ascii="宋体" w:hAnsi="宋体" w:cs="宋体"/>
                <w:color w:val="auto"/>
                <w:kern w:val="2"/>
                <w:sz w:val="21"/>
                <w:szCs w:val="21"/>
                <w:lang w:eastAsia="zh-CN"/>
              </w:rPr>
              <w:t>绿色有机</w:t>
            </w:r>
            <w:r>
              <w:rPr>
                <w:rFonts w:hint="eastAsia" w:ascii="宋体" w:hAnsi="宋体" w:eastAsia="宋体" w:cs="宋体"/>
                <w:color w:val="auto"/>
                <w:kern w:val="2"/>
                <w:sz w:val="21"/>
                <w:szCs w:val="21"/>
                <w:lang w:eastAsia="zh-CN"/>
              </w:rPr>
              <w:t>质量认证</w:t>
            </w:r>
            <w:r>
              <w:rPr>
                <w:rFonts w:hint="eastAsia" w:ascii="宋体" w:hAnsi="宋体" w:cs="宋体"/>
                <w:color w:val="auto"/>
                <w:kern w:val="2"/>
                <w:sz w:val="21"/>
                <w:szCs w:val="21"/>
                <w:lang w:eastAsia="zh-CN"/>
              </w:rPr>
              <w:t>、</w:t>
            </w:r>
            <w:r>
              <w:rPr>
                <w:rFonts w:hint="eastAsia" w:ascii="宋体" w:hAnsi="宋体" w:eastAsia="宋体" w:cs="宋体"/>
                <w:color w:val="auto"/>
                <w:kern w:val="2"/>
                <w:sz w:val="21"/>
                <w:szCs w:val="21"/>
                <w:lang w:eastAsia="zh-CN"/>
              </w:rPr>
              <w:t>检测技术培训等方面的专业指导和帮扶），助力我市农业产业绿色高质量发展，实现“尽企业所长，服务我市急需”的目标。</w:t>
            </w:r>
          </w:p>
          <w:p w14:paraId="38025DEA">
            <w:pPr>
              <w:keepNext w:val="0"/>
              <w:keepLines w:val="0"/>
              <w:pageBreakBefore w:val="0"/>
              <w:widowControl w:val="0"/>
              <w:kinsoku/>
              <w:wordWrap/>
              <w:overflowPunct/>
              <w:topLinePunct w:val="0"/>
              <w:autoSpaceDE w:val="0"/>
              <w:autoSpaceDN w:val="0"/>
              <w:bidi w:val="0"/>
              <w:adjustRightInd/>
              <w:snapToGrid/>
              <w:spacing w:line="360" w:lineRule="exact"/>
              <w:ind w:left="0" w:leftChars="0" w:firstLine="420" w:firstLineChars="200"/>
              <w:jc w:val="left"/>
              <w:textAlignment w:val="auto"/>
              <w:rPr>
                <w:rFonts w:hint="eastAsia" w:ascii="宋体" w:hAnsi="宋体" w:eastAsia="宋体" w:cs="宋体"/>
                <w:color w:val="auto"/>
                <w:kern w:val="2"/>
                <w:sz w:val="21"/>
                <w:szCs w:val="21"/>
              </w:rPr>
            </w:pPr>
            <w:r>
              <w:rPr>
                <w:rFonts w:hint="eastAsia" w:ascii="宋体" w:hAnsi="宋体" w:cs="宋体"/>
                <w:color w:val="auto"/>
                <w:kern w:val="2"/>
                <w:sz w:val="21"/>
                <w:szCs w:val="21"/>
                <w:lang w:eastAsia="zh-CN"/>
              </w:rPr>
              <w:t>六、</w:t>
            </w:r>
            <w:r>
              <w:rPr>
                <w:rFonts w:hint="eastAsia" w:ascii="宋体" w:hAnsi="宋体" w:eastAsia="宋体" w:cs="宋体"/>
                <w:b/>
                <w:bCs/>
                <w:color w:val="auto"/>
                <w:kern w:val="2"/>
                <w:sz w:val="21"/>
                <w:szCs w:val="21"/>
                <w:lang w:val="en-US" w:eastAsia="zh-CN"/>
              </w:rPr>
              <w:t>供应商</w:t>
            </w:r>
            <w:r>
              <w:rPr>
                <w:rFonts w:hint="eastAsia" w:ascii="宋体" w:hAnsi="宋体" w:eastAsia="宋体" w:cs="宋体"/>
                <w:b/>
                <w:bCs/>
                <w:color w:val="auto"/>
                <w:kern w:val="2"/>
                <w:sz w:val="21"/>
                <w:szCs w:val="21"/>
              </w:rPr>
              <w:t>资质及其他实质性要求</w:t>
            </w:r>
          </w:p>
          <w:p w14:paraId="6BBE00B3">
            <w:pPr>
              <w:keepNext w:val="0"/>
              <w:keepLines w:val="0"/>
              <w:pageBreakBefore w:val="0"/>
              <w:widowControl w:val="0"/>
              <w:kinsoku/>
              <w:wordWrap/>
              <w:overflowPunct/>
              <w:topLinePunct w:val="0"/>
              <w:autoSpaceDE w:val="0"/>
              <w:autoSpaceDN w:val="0"/>
              <w:bidi w:val="0"/>
              <w:adjustRightInd/>
              <w:snapToGrid/>
              <w:spacing w:line="360" w:lineRule="exact"/>
              <w:ind w:left="0" w:leftChars="0" w:firstLine="420" w:firstLineChars="200"/>
              <w:jc w:val="left"/>
              <w:textAlignment w:val="auto"/>
              <w:rPr>
                <w:rFonts w:hint="eastAsia" w:ascii="宋体" w:hAnsi="宋体" w:eastAsia="宋体" w:cs="宋体"/>
                <w:color w:val="auto"/>
                <w:kern w:val="2"/>
                <w:sz w:val="21"/>
                <w:szCs w:val="21"/>
                <w:lang w:eastAsia="zh-CN"/>
              </w:rPr>
            </w:pPr>
            <w:r>
              <w:rPr>
                <w:rFonts w:hint="eastAsia" w:ascii="宋体" w:hAnsi="宋体" w:eastAsia="宋体" w:cs="宋体"/>
                <w:color w:val="auto"/>
                <w:kern w:val="2"/>
                <w:sz w:val="21"/>
                <w:szCs w:val="21"/>
              </w:rPr>
              <w:t>（1）</w:t>
            </w:r>
            <w:r>
              <w:rPr>
                <w:rFonts w:hint="eastAsia" w:ascii="宋体" w:hAnsi="宋体" w:cs="宋体"/>
                <w:color w:val="auto"/>
                <w:kern w:val="2"/>
                <w:sz w:val="21"/>
                <w:szCs w:val="21"/>
                <w:lang w:val="en-US" w:eastAsia="zh-CN"/>
              </w:rPr>
              <w:t>提供</w:t>
            </w:r>
            <w:r>
              <w:rPr>
                <w:rFonts w:hint="eastAsia" w:ascii="宋体" w:hAnsi="宋体" w:eastAsia="宋体" w:cs="宋体"/>
                <w:color w:val="auto"/>
                <w:kern w:val="2"/>
                <w:sz w:val="21"/>
                <w:szCs w:val="21"/>
              </w:rPr>
              <w:t>有效的行政主管部门颁发的检验检测机构资质认定证书（CMA）和农业行政主管部门颁发的农产品质量安全检测机构考核合格证书（CATL）</w:t>
            </w:r>
            <w:r>
              <w:rPr>
                <w:rFonts w:hint="eastAsia" w:ascii="宋体" w:hAnsi="宋体" w:eastAsia="宋体" w:cs="宋体"/>
                <w:color w:val="auto"/>
                <w:kern w:val="2"/>
                <w:sz w:val="21"/>
                <w:szCs w:val="21"/>
                <w:lang w:eastAsia="zh-CN"/>
              </w:rPr>
              <w:t>，附</w:t>
            </w:r>
            <w:r>
              <w:rPr>
                <w:rFonts w:hint="eastAsia" w:ascii="宋体" w:hAnsi="宋体" w:eastAsia="宋体" w:cs="宋体"/>
                <w:color w:val="auto"/>
                <w:kern w:val="2"/>
                <w:sz w:val="21"/>
                <w:szCs w:val="21"/>
              </w:rPr>
              <w:t>检验检测机构资质认定证书能力附表、农产品质量检测机构考核证书能力附表</w:t>
            </w:r>
            <w:r>
              <w:rPr>
                <w:rFonts w:hint="eastAsia" w:ascii="宋体" w:hAnsi="宋体" w:eastAsia="宋体" w:cs="宋体"/>
                <w:color w:val="auto"/>
                <w:kern w:val="2"/>
                <w:sz w:val="21"/>
                <w:szCs w:val="21"/>
                <w:lang w:eastAsia="zh-CN"/>
              </w:rPr>
              <w:t>（</w:t>
            </w:r>
            <w:r>
              <w:rPr>
                <w:rFonts w:hint="eastAsia" w:ascii="宋体" w:hAnsi="宋体" w:cs="宋体"/>
                <w:b/>
                <w:bCs/>
                <w:color w:val="auto"/>
                <w:kern w:val="2"/>
                <w:sz w:val="21"/>
                <w:szCs w:val="21"/>
                <w:lang w:val="en-US" w:eastAsia="zh-CN"/>
              </w:rPr>
              <w:t>响应时</w:t>
            </w:r>
            <w:r>
              <w:rPr>
                <w:rFonts w:hint="eastAsia" w:ascii="宋体" w:hAnsi="宋体" w:eastAsia="宋体" w:cs="宋体"/>
                <w:color w:val="auto"/>
                <w:kern w:val="2"/>
                <w:sz w:val="21"/>
                <w:szCs w:val="21"/>
                <w:lang w:eastAsia="zh-CN"/>
              </w:rPr>
              <w:t>提供所投标项检测项目的对应页并加以标记）。</w:t>
            </w:r>
          </w:p>
          <w:p w14:paraId="05A1F462">
            <w:pPr>
              <w:keepNext w:val="0"/>
              <w:keepLines w:val="0"/>
              <w:pageBreakBefore w:val="0"/>
              <w:widowControl w:val="0"/>
              <w:kinsoku/>
              <w:wordWrap/>
              <w:overflowPunct/>
              <w:topLinePunct w:val="0"/>
              <w:autoSpaceDE w:val="0"/>
              <w:autoSpaceDN w:val="0"/>
              <w:bidi w:val="0"/>
              <w:adjustRightInd/>
              <w:snapToGrid/>
              <w:spacing w:line="360" w:lineRule="exact"/>
              <w:ind w:left="0" w:leftChars="0" w:firstLine="420" w:firstLineChars="200"/>
              <w:jc w:val="left"/>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（2）</w:t>
            </w:r>
            <w:r>
              <w:rPr>
                <w:rFonts w:hint="eastAsia" w:ascii="宋体" w:hAnsi="宋体" w:eastAsia="宋体" w:cs="宋体"/>
                <w:color w:val="auto"/>
                <w:kern w:val="2"/>
                <w:sz w:val="21"/>
                <w:szCs w:val="21"/>
                <w:lang w:val="en-US" w:eastAsia="zh-CN"/>
              </w:rPr>
              <w:t>供应商</w:t>
            </w:r>
            <w:r>
              <w:rPr>
                <w:rFonts w:hint="eastAsia" w:ascii="宋体" w:hAnsi="宋体" w:eastAsia="宋体" w:cs="宋体"/>
                <w:color w:val="auto"/>
                <w:kern w:val="2"/>
                <w:sz w:val="21"/>
                <w:szCs w:val="21"/>
              </w:rPr>
              <w:t>具备固定的检验工作场所以及</w:t>
            </w:r>
            <w:r>
              <w:rPr>
                <w:rFonts w:hint="eastAsia" w:ascii="宋体" w:hAnsi="宋体" w:cs="宋体"/>
                <w:color w:val="auto"/>
                <w:kern w:val="2"/>
                <w:sz w:val="21"/>
                <w:szCs w:val="21"/>
                <w:lang w:val="en-US" w:eastAsia="zh-CN"/>
              </w:rPr>
              <w:t>响应</w:t>
            </w:r>
            <w:r>
              <w:rPr>
                <w:rFonts w:hint="eastAsia" w:ascii="宋体" w:hAnsi="宋体" w:eastAsia="宋体" w:cs="宋体"/>
                <w:color w:val="auto"/>
                <w:kern w:val="2"/>
                <w:sz w:val="21"/>
                <w:szCs w:val="21"/>
              </w:rPr>
              <w:t>项目检测所需的检测设施设备、冷藏、数据处理与分析、信息传输设施和设备等工作条件，拥有运行良好的实验室管理体系，授权范围涵盖承担的检测任务中相应的检测项目。</w:t>
            </w:r>
          </w:p>
          <w:p w14:paraId="3E5A106A">
            <w:pPr>
              <w:pStyle w:val="642"/>
              <w:keepNext w:val="0"/>
              <w:keepLines w:val="0"/>
              <w:pageBreakBefore w:val="0"/>
              <w:kinsoku/>
              <w:wordWrap/>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kern w:val="0"/>
                <w:sz w:val="21"/>
                <w:szCs w:val="21"/>
                <w:highlight w:val="none"/>
              </w:rPr>
            </w:pPr>
            <w:r>
              <w:rPr>
                <w:rFonts w:hint="eastAsia" w:hAnsi="宋体" w:cs="宋体"/>
                <w:color w:val="auto"/>
                <w:kern w:val="2"/>
                <w:sz w:val="21"/>
                <w:szCs w:val="21"/>
                <w:lang w:val="en-US" w:eastAsia="zh-CN"/>
              </w:rPr>
              <w:t xml:space="preserve">   </w:t>
            </w:r>
            <w:r>
              <w:rPr>
                <w:rFonts w:hint="eastAsia" w:ascii="宋体" w:hAnsi="宋体" w:eastAsia="宋体" w:cs="宋体"/>
                <w:color w:val="auto"/>
                <w:kern w:val="2"/>
                <w:sz w:val="21"/>
                <w:szCs w:val="21"/>
              </w:rPr>
              <w:t>（3）</w:t>
            </w:r>
            <w:r>
              <w:rPr>
                <w:rFonts w:hint="eastAsia" w:ascii="宋体" w:hAnsi="宋体" w:eastAsia="宋体" w:cs="宋体"/>
                <w:color w:val="auto"/>
                <w:kern w:val="2"/>
                <w:sz w:val="21"/>
                <w:szCs w:val="21"/>
                <w:lang w:val="en-US" w:eastAsia="zh-CN"/>
              </w:rPr>
              <w:t>供应商</w:t>
            </w:r>
            <w:r>
              <w:rPr>
                <w:rFonts w:hint="eastAsia" w:ascii="宋体" w:hAnsi="宋体" w:eastAsia="宋体" w:cs="宋体"/>
                <w:color w:val="auto"/>
                <w:kern w:val="2"/>
                <w:sz w:val="21"/>
                <w:szCs w:val="21"/>
              </w:rPr>
              <w:t>具有相应的项目管理、样品检测和质量控制人员，参与检测的有关人员具有检验员证，并具备相应的专业知识和能力。</w:t>
            </w:r>
          </w:p>
        </w:tc>
      </w:tr>
      <w:tr w14:paraId="0DEA9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0205" w:type="dxa"/>
            <w:gridSpan w:val="4"/>
            <w:tcBorders>
              <w:top w:val="single" w:color="auto" w:sz="4" w:space="0"/>
              <w:left w:val="single" w:color="auto" w:sz="4" w:space="0"/>
              <w:bottom w:val="single" w:color="auto" w:sz="4" w:space="0"/>
              <w:right w:val="single" w:color="auto" w:sz="4" w:space="0"/>
            </w:tcBorders>
            <w:noWrap w:val="0"/>
            <w:vAlign w:val="center"/>
          </w:tcPr>
          <w:p w14:paraId="20E46BC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lang w:eastAsia="zh-CN"/>
              </w:rPr>
              <w:t>▲二、商务要求</w:t>
            </w:r>
          </w:p>
        </w:tc>
      </w:tr>
      <w:tr w14:paraId="1913E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2490" w:type="dxa"/>
            <w:gridSpan w:val="2"/>
            <w:tcBorders>
              <w:top w:val="single" w:color="auto" w:sz="4" w:space="0"/>
              <w:left w:val="single" w:color="auto" w:sz="4" w:space="0"/>
              <w:bottom w:val="single" w:color="auto" w:sz="4" w:space="0"/>
              <w:right w:val="single" w:color="auto" w:sz="4" w:space="0"/>
            </w:tcBorders>
            <w:noWrap w:val="0"/>
            <w:vAlign w:val="center"/>
          </w:tcPr>
          <w:p w14:paraId="59075F5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b w:val="0"/>
                <w:bCs w:val="0"/>
                <w:color w:val="auto"/>
                <w:kern w:val="2"/>
                <w:sz w:val="21"/>
                <w:szCs w:val="21"/>
                <w:highlight w:val="none"/>
              </w:rPr>
            </w:pPr>
            <w:r>
              <w:rPr>
                <w:rFonts w:hint="eastAsia" w:ascii="宋体" w:hAnsi="宋体" w:eastAsia="宋体" w:cs="宋体"/>
                <w:color w:val="auto"/>
                <w:sz w:val="21"/>
                <w:szCs w:val="21"/>
                <w:highlight w:val="none"/>
              </w:rPr>
              <w:t>签订合同时间</w:t>
            </w:r>
          </w:p>
        </w:tc>
        <w:tc>
          <w:tcPr>
            <w:tcW w:w="7715" w:type="dxa"/>
            <w:gridSpan w:val="2"/>
            <w:tcBorders>
              <w:top w:val="single" w:color="auto" w:sz="4" w:space="0"/>
              <w:left w:val="single" w:color="auto" w:sz="4" w:space="0"/>
              <w:bottom w:val="single" w:color="auto" w:sz="4" w:space="0"/>
              <w:right w:val="single" w:color="auto" w:sz="4" w:space="0"/>
            </w:tcBorders>
            <w:noWrap w:val="0"/>
            <w:vAlign w:val="center"/>
          </w:tcPr>
          <w:p w14:paraId="15B21D39">
            <w:pPr>
              <w:numPr>
                <w:ilvl w:val="0"/>
                <w:numId w:val="0"/>
              </w:numPr>
              <w:spacing w:line="400" w:lineRule="exact"/>
              <w:ind w:left="0" w:leftChars="0" w:firstLine="210" w:firstLineChars="100"/>
              <w:jc w:val="left"/>
              <w:rPr>
                <w:rFonts w:hint="eastAsia" w:ascii="宋体" w:hAnsi="宋体" w:cs="宋体"/>
                <w:color w:val="auto"/>
                <w:szCs w:val="21"/>
                <w:lang w:val="en-US" w:eastAsia="zh-CN"/>
              </w:rPr>
            </w:pPr>
            <w:r>
              <w:rPr>
                <w:rFonts w:hint="eastAsia" w:ascii="宋体" w:hAnsi="宋体" w:cs="宋体"/>
                <w:color w:val="auto"/>
                <w:sz w:val="21"/>
                <w:szCs w:val="21"/>
                <w:highlight w:val="none"/>
                <w:lang w:val="en-US" w:eastAsia="zh-CN"/>
              </w:rPr>
              <w:t>成交</w:t>
            </w:r>
            <w:r>
              <w:rPr>
                <w:rFonts w:hint="eastAsia" w:ascii="宋体" w:hAnsi="宋体" w:eastAsia="宋体" w:cs="宋体"/>
                <w:color w:val="auto"/>
                <w:sz w:val="21"/>
                <w:szCs w:val="21"/>
                <w:highlight w:val="none"/>
                <w:lang w:eastAsia="zh-CN"/>
              </w:rPr>
              <w:t>通知书发出之日起</w:t>
            </w:r>
            <w:r>
              <w:rPr>
                <w:rFonts w:hint="eastAsia" w:ascii="宋体" w:hAnsi="宋体" w:eastAsia="宋体" w:cs="宋体"/>
                <w:color w:val="auto"/>
                <w:sz w:val="21"/>
                <w:szCs w:val="21"/>
                <w:highlight w:val="none"/>
                <w:lang w:val="en-US" w:eastAsia="zh-CN"/>
              </w:rPr>
              <w:t>25</w:t>
            </w:r>
            <w:r>
              <w:rPr>
                <w:rFonts w:hint="eastAsia" w:ascii="宋体" w:hAnsi="宋体" w:eastAsia="宋体" w:cs="宋体"/>
                <w:color w:val="auto"/>
                <w:sz w:val="21"/>
                <w:szCs w:val="21"/>
                <w:highlight w:val="none"/>
                <w:lang w:eastAsia="zh-CN"/>
              </w:rPr>
              <w:t>日内。</w:t>
            </w:r>
            <w:r>
              <w:rPr>
                <w:rFonts w:hint="eastAsia" w:ascii="宋体" w:hAnsi="宋体"/>
                <w:color w:val="auto"/>
                <w:kern w:val="0"/>
                <w:szCs w:val="21"/>
                <w:lang w:val="en-US" w:eastAsia="zh-CN"/>
              </w:rPr>
              <w:t>成交</w:t>
            </w:r>
            <w:r>
              <w:rPr>
                <w:rFonts w:hint="eastAsia" w:ascii="宋体" w:hAnsi="宋体"/>
                <w:color w:val="auto"/>
                <w:kern w:val="0"/>
                <w:szCs w:val="21"/>
              </w:rPr>
              <w:t>人</w:t>
            </w:r>
            <w:r>
              <w:rPr>
                <w:rFonts w:hint="eastAsia" w:ascii="宋体" w:hAnsi="宋体" w:eastAsia="宋体" w:cs="宋体"/>
                <w:color w:val="auto"/>
                <w:sz w:val="21"/>
                <w:szCs w:val="21"/>
                <w:highlight w:val="none"/>
                <w:lang w:eastAsia="zh-CN"/>
              </w:rPr>
              <w:t>领取</w:t>
            </w:r>
            <w:r>
              <w:rPr>
                <w:rFonts w:hint="eastAsia" w:ascii="宋体" w:hAnsi="宋体" w:cs="宋体"/>
                <w:color w:val="auto"/>
                <w:sz w:val="21"/>
                <w:szCs w:val="21"/>
                <w:highlight w:val="none"/>
                <w:lang w:val="en-US" w:eastAsia="zh-CN"/>
              </w:rPr>
              <w:t>成交</w:t>
            </w:r>
            <w:r>
              <w:rPr>
                <w:rFonts w:hint="eastAsia" w:ascii="宋体" w:hAnsi="宋体" w:eastAsia="宋体" w:cs="宋体"/>
                <w:color w:val="auto"/>
                <w:sz w:val="21"/>
                <w:szCs w:val="21"/>
                <w:highlight w:val="none"/>
                <w:lang w:eastAsia="zh-CN"/>
              </w:rPr>
              <w:t>通知书后，应按规定与采购人签订合同。</w:t>
            </w:r>
          </w:p>
        </w:tc>
      </w:tr>
      <w:tr w14:paraId="52669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2490" w:type="dxa"/>
            <w:gridSpan w:val="2"/>
            <w:tcBorders>
              <w:top w:val="single" w:color="auto" w:sz="4" w:space="0"/>
              <w:left w:val="single" w:color="auto" w:sz="4" w:space="0"/>
              <w:bottom w:val="single" w:color="auto" w:sz="4" w:space="0"/>
              <w:right w:val="single" w:color="auto" w:sz="4" w:space="0"/>
            </w:tcBorders>
            <w:noWrap w:val="0"/>
            <w:vAlign w:val="center"/>
          </w:tcPr>
          <w:p w14:paraId="612B37A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2"/>
                <w:sz w:val="21"/>
                <w:szCs w:val="21"/>
                <w:highlight w:val="none"/>
              </w:rPr>
              <w:t>报价要求</w:t>
            </w:r>
          </w:p>
        </w:tc>
        <w:tc>
          <w:tcPr>
            <w:tcW w:w="7715" w:type="dxa"/>
            <w:gridSpan w:val="2"/>
            <w:tcBorders>
              <w:top w:val="single" w:color="auto" w:sz="4" w:space="0"/>
              <w:left w:val="single" w:color="auto" w:sz="4" w:space="0"/>
              <w:bottom w:val="single" w:color="auto" w:sz="4" w:space="0"/>
              <w:right w:val="single" w:color="auto" w:sz="4" w:space="0"/>
            </w:tcBorders>
            <w:noWrap w:val="0"/>
            <w:vAlign w:val="center"/>
          </w:tcPr>
          <w:p w14:paraId="6648B3C3">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20" w:firstLineChars="200"/>
              <w:jc w:val="left"/>
              <w:textAlignment w:val="auto"/>
              <w:rPr>
                <w:rFonts w:hint="eastAsia" w:ascii="宋体" w:hAnsi="宋体" w:eastAsia="宋体" w:cs="宋体"/>
                <w:b w:val="0"/>
                <w:bCs w:val="0"/>
                <w:color w:val="auto"/>
                <w:kern w:val="0"/>
                <w:sz w:val="21"/>
                <w:szCs w:val="21"/>
                <w:highlight w:val="none"/>
                <w:lang w:eastAsia="zh-CN"/>
              </w:rPr>
            </w:pPr>
            <w:r>
              <w:rPr>
                <w:rFonts w:hint="eastAsia" w:ascii="宋体" w:hAnsi="宋体" w:eastAsia="宋体" w:cs="宋体"/>
                <w:b w:val="0"/>
                <w:bCs w:val="0"/>
                <w:color w:val="auto"/>
                <w:kern w:val="0"/>
                <w:sz w:val="21"/>
                <w:szCs w:val="21"/>
                <w:highlight w:val="none"/>
              </w:rPr>
              <w:t>1.</w:t>
            </w:r>
            <w:r>
              <w:rPr>
                <w:rFonts w:hint="eastAsia" w:ascii="宋体" w:hAnsi="宋体" w:eastAsia="宋体" w:cs="宋体"/>
                <w:color w:val="auto"/>
                <w:kern w:val="2"/>
                <w:sz w:val="21"/>
                <w:szCs w:val="21"/>
                <w:lang w:val="en-US" w:eastAsia="zh-CN"/>
              </w:rPr>
              <w:t>供应商</w:t>
            </w:r>
            <w:r>
              <w:rPr>
                <w:rFonts w:hint="eastAsia" w:ascii="宋体" w:hAnsi="宋体" w:eastAsia="宋体" w:cs="宋体"/>
                <w:b w:val="0"/>
                <w:bCs w:val="0"/>
                <w:color w:val="auto"/>
                <w:kern w:val="0"/>
                <w:sz w:val="21"/>
                <w:szCs w:val="21"/>
                <w:highlight w:val="none"/>
              </w:rPr>
              <w:t>的</w:t>
            </w:r>
            <w:r>
              <w:rPr>
                <w:rFonts w:hint="eastAsia" w:ascii="宋体" w:hAnsi="宋体" w:cs="宋体"/>
                <w:b w:val="0"/>
                <w:bCs w:val="0"/>
                <w:color w:val="auto"/>
                <w:kern w:val="0"/>
                <w:sz w:val="21"/>
                <w:szCs w:val="21"/>
                <w:highlight w:val="none"/>
                <w:lang w:val="en-US" w:eastAsia="zh-CN"/>
              </w:rPr>
              <w:t>响应</w:t>
            </w:r>
            <w:r>
              <w:rPr>
                <w:rFonts w:hint="eastAsia" w:ascii="宋体" w:hAnsi="宋体" w:eastAsia="宋体" w:cs="宋体"/>
                <w:b w:val="0"/>
                <w:bCs w:val="0"/>
                <w:color w:val="auto"/>
                <w:kern w:val="0"/>
                <w:sz w:val="21"/>
                <w:szCs w:val="21"/>
                <w:highlight w:val="none"/>
              </w:rPr>
              <w:t>报价应包括但不限于完成</w:t>
            </w:r>
            <w:r>
              <w:rPr>
                <w:rFonts w:hint="eastAsia" w:ascii="宋体" w:hAnsi="宋体" w:eastAsia="宋体" w:cs="宋体"/>
                <w:b w:val="0"/>
                <w:bCs w:val="0"/>
                <w:color w:val="auto"/>
                <w:kern w:val="0"/>
                <w:sz w:val="21"/>
                <w:szCs w:val="21"/>
                <w:highlight w:val="none"/>
                <w:lang w:eastAsia="zh-CN"/>
              </w:rPr>
              <w:t>本项目</w:t>
            </w:r>
            <w:r>
              <w:rPr>
                <w:rFonts w:hint="eastAsia" w:ascii="宋体" w:hAnsi="宋体" w:eastAsia="宋体" w:cs="宋体"/>
                <w:b w:val="0"/>
                <w:bCs w:val="0"/>
                <w:color w:val="auto"/>
                <w:kern w:val="0"/>
                <w:sz w:val="21"/>
                <w:szCs w:val="21"/>
                <w:highlight w:val="none"/>
              </w:rPr>
              <w:t>所需的一切费用（含购买</w:t>
            </w:r>
            <w:r>
              <w:rPr>
                <w:rFonts w:hint="eastAsia" w:ascii="宋体" w:hAnsi="宋体" w:eastAsia="宋体" w:cs="宋体"/>
                <w:b w:val="0"/>
                <w:bCs w:val="0"/>
                <w:color w:val="auto"/>
                <w:kern w:val="0"/>
                <w:sz w:val="21"/>
                <w:szCs w:val="21"/>
                <w:highlight w:val="none"/>
                <w:lang w:eastAsia="zh-CN"/>
              </w:rPr>
              <w:t>样品、</w:t>
            </w:r>
            <w:r>
              <w:rPr>
                <w:rFonts w:hint="eastAsia" w:ascii="宋体" w:hAnsi="宋体" w:eastAsia="宋体" w:cs="宋体"/>
                <w:b w:val="0"/>
                <w:bCs w:val="0"/>
                <w:color w:val="auto"/>
                <w:kern w:val="0"/>
                <w:sz w:val="21"/>
                <w:szCs w:val="21"/>
                <w:highlight w:val="none"/>
              </w:rPr>
              <w:t>协助抽样与制样、各项检测指标、技术服务、</w:t>
            </w:r>
            <w:r>
              <w:rPr>
                <w:rFonts w:hint="eastAsia" w:ascii="宋体" w:hAnsi="宋体" w:cs="宋体"/>
                <w:b w:val="0"/>
                <w:bCs w:val="0"/>
                <w:color w:val="auto"/>
                <w:kern w:val="0"/>
                <w:sz w:val="21"/>
                <w:szCs w:val="21"/>
                <w:highlight w:val="none"/>
                <w:lang w:eastAsia="zh-CN"/>
              </w:rPr>
              <w:t>代理机构服务费、</w:t>
            </w:r>
            <w:r>
              <w:rPr>
                <w:rFonts w:hint="eastAsia" w:ascii="宋体" w:hAnsi="宋体" w:eastAsia="宋体" w:cs="宋体"/>
                <w:b w:val="0"/>
                <w:bCs w:val="0"/>
                <w:color w:val="auto"/>
                <w:kern w:val="0"/>
                <w:sz w:val="21"/>
                <w:szCs w:val="21"/>
                <w:highlight w:val="none"/>
              </w:rPr>
              <w:t>验收</w:t>
            </w:r>
            <w:r>
              <w:rPr>
                <w:rFonts w:hint="eastAsia" w:ascii="宋体" w:hAnsi="宋体" w:eastAsia="宋体" w:cs="宋体"/>
                <w:b w:val="0"/>
                <w:bCs w:val="0"/>
                <w:color w:val="auto"/>
                <w:kern w:val="0"/>
                <w:sz w:val="21"/>
                <w:szCs w:val="21"/>
                <w:highlight w:val="none"/>
                <w:lang w:eastAsia="zh-CN"/>
              </w:rPr>
              <w:t>及税费</w:t>
            </w:r>
            <w:r>
              <w:rPr>
                <w:rFonts w:hint="eastAsia" w:ascii="宋体" w:hAnsi="宋体" w:eastAsia="宋体" w:cs="宋体"/>
                <w:b w:val="0"/>
                <w:bCs w:val="0"/>
                <w:color w:val="auto"/>
                <w:kern w:val="0"/>
                <w:sz w:val="21"/>
                <w:szCs w:val="21"/>
                <w:highlight w:val="none"/>
              </w:rPr>
              <w:t>等费用）。</w:t>
            </w:r>
            <w:r>
              <w:rPr>
                <w:rFonts w:hint="eastAsia" w:ascii="宋体" w:hAnsi="宋体" w:eastAsia="宋体" w:cs="宋体"/>
                <w:b w:val="0"/>
                <w:bCs w:val="0"/>
                <w:color w:val="auto"/>
                <w:kern w:val="0"/>
                <w:sz w:val="21"/>
                <w:szCs w:val="21"/>
                <w:highlight w:val="none"/>
                <w:lang w:eastAsia="zh-CN"/>
              </w:rPr>
              <w:t>凡</w:t>
            </w:r>
            <w:r>
              <w:rPr>
                <w:rFonts w:hint="eastAsia" w:ascii="宋体" w:hAnsi="宋体" w:eastAsia="宋体" w:cs="宋体"/>
                <w:color w:val="auto"/>
                <w:kern w:val="2"/>
                <w:sz w:val="21"/>
                <w:szCs w:val="21"/>
                <w:lang w:val="en-US" w:eastAsia="zh-CN"/>
              </w:rPr>
              <w:t>供应商</w:t>
            </w:r>
            <w:r>
              <w:rPr>
                <w:rFonts w:hint="eastAsia" w:ascii="宋体" w:hAnsi="宋体" w:eastAsia="宋体" w:cs="宋体"/>
                <w:b w:val="0"/>
                <w:bCs w:val="0"/>
                <w:color w:val="auto"/>
                <w:kern w:val="0"/>
                <w:sz w:val="21"/>
                <w:szCs w:val="21"/>
                <w:highlight w:val="none"/>
                <w:lang w:eastAsia="zh-CN"/>
              </w:rPr>
              <w:t>未单独列明的费用，均视为已包含在</w:t>
            </w:r>
            <w:r>
              <w:rPr>
                <w:rFonts w:hint="eastAsia" w:ascii="宋体" w:hAnsi="宋体" w:cs="宋体"/>
                <w:b w:val="0"/>
                <w:bCs w:val="0"/>
                <w:color w:val="auto"/>
                <w:kern w:val="0"/>
                <w:sz w:val="21"/>
                <w:szCs w:val="21"/>
                <w:highlight w:val="none"/>
                <w:lang w:val="en-US" w:eastAsia="zh-CN"/>
              </w:rPr>
              <w:t>响应</w:t>
            </w:r>
            <w:r>
              <w:rPr>
                <w:rFonts w:hint="eastAsia" w:ascii="宋体" w:hAnsi="宋体" w:eastAsia="宋体" w:cs="宋体"/>
                <w:b w:val="0"/>
                <w:bCs w:val="0"/>
                <w:color w:val="auto"/>
                <w:kern w:val="0"/>
                <w:sz w:val="21"/>
                <w:szCs w:val="21"/>
                <w:highlight w:val="none"/>
                <w:lang w:eastAsia="zh-CN"/>
              </w:rPr>
              <w:t>总价中，采购</w:t>
            </w:r>
            <w:r>
              <w:rPr>
                <w:rFonts w:hint="eastAsia" w:ascii="宋体" w:hAnsi="宋体" w:cs="宋体"/>
                <w:b w:val="0"/>
                <w:bCs w:val="0"/>
                <w:color w:val="auto"/>
                <w:kern w:val="0"/>
                <w:sz w:val="21"/>
                <w:szCs w:val="21"/>
                <w:highlight w:val="none"/>
                <w:lang w:val="en-US" w:eastAsia="zh-CN"/>
              </w:rPr>
              <w:t>人</w:t>
            </w:r>
            <w:r>
              <w:rPr>
                <w:rFonts w:hint="eastAsia" w:ascii="宋体" w:hAnsi="宋体" w:eastAsia="宋体" w:cs="宋体"/>
                <w:b w:val="0"/>
                <w:bCs w:val="0"/>
                <w:color w:val="auto"/>
                <w:kern w:val="0"/>
                <w:sz w:val="21"/>
                <w:szCs w:val="21"/>
                <w:highlight w:val="none"/>
                <w:lang w:eastAsia="zh-CN"/>
              </w:rPr>
              <w:t>不再另行支付。</w:t>
            </w:r>
          </w:p>
          <w:p w14:paraId="54A6F44D">
            <w:pPr>
              <w:keepNext/>
              <w:keepLines/>
              <w:tabs>
                <w:tab w:val="left" w:pos="180"/>
                <w:tab w:val="left" w:pos="1620"/>
              </w:tabs>
              <w:spacing w:line="400" w:lineRule="exact"/>
              <w:ind w:firstLine="420" w:firstLineChars="200"/>
              <w:jc w:val="left"/>
              <w:rPr>
                <w:rFonts w:hint="default"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rPr>
              <w:t>2.</w:t>
            </w:r>
            <w:r>
              <w:rPr>
                <w:rFonts w:hint="eastAsia" w:ascii="宋体" w:hAnsi="宋体" w:eastAsia="宋体" w:cs="宋体"/>
                <w:color w:val="auto"/>
                <w:kern w:val="2"/>
                <w:sz w:val="21"/>
                <w:szCs w:val="21"/>
                <w:lang w:val="en-US" w:eastAsia="zh-CN"/>
              </w:rPr>
              <w:t>供应商</w:t>
            </w:r>
            <w:r>
              <w:rPr>
                <w:rFonts w:hint="eastAsia" w:ascii="宋体" w:hAnsi="宋体" w:cs="宋体"/>
                <w:b w:val="0"/>
                <w:bCs w:val="0"/>
                <w:color w:val="auto"/>
                <w:sz w:val="21"/>
                <w:szCs w:val="21"/>
                <w:highlight w:val="none"/>
                <w:lang w:val="en-US" w:eastAsia="zh-CN"/>
              </w:rPr>
              <w:t>响应</w:t>
            </w:r>
            <w:r>
              <w:rPr>
                <w:rFonts w:hint="eastAsia" w:ascii="宋体" w:hAnsi="宋体" w:eastAsia="宋体" w:cs="宋体"/>
                <w:b w:val="0"/>
                <w:bCs w:val="0"/>
                <w:color w:val="auto"/>
                <w:sz w:val="21"/>
                <w:szCs w:val="21"/>
                <w:highlight w:val="none"/>
                <w:lang w:val="en-US" w:eastAsia="zh-CN"/>
              </w:rPr>
              <w:t>时必须按照单价进行报价，</w:t>
            </w:r>
            <w:r>
              <w:rPr>
                <w:rFonts w:hint="eastAsia" w:ascii="宋体" w:hAnsi="宋体" w:cs="宋体"/>
                <w:b w:val="0"/>
                <w:bCs w:val="0"/>
                <w:color w:val="auto"/>
                <w:sz w:val="21"/>
                <w:szCs w:val="21"/>
                <w:highlight w:val="none"/>
                <w:lang w:val="en-US" w:eastAsia="zh-CN"/>
              </w:rPr>
              <w:t>需对</w:t>
            </w:r>
            <w:r>
              <w:rPr>
                <w:rFonts w:hint="eastAsia" w:ascii="宋体" w:hAnsi="宋体" w:cs="宋体"/>
                <w:b w:val="0"/>
                <w:bCs w:val="0"/>
                <w:color w:val="auto"/>
                <w:kern w:val="0"/>
                <w:sz w:val="21"/>
                <w:szCs w:val="21"/>
                <w:highlight w:val="none"/>
                <w:lang w:eastAsia="zh-CN"/>
              </w:rPr>
              <w:t>标段内所有品种检测类别分别响应报价。</w:t>
            </w:r>
            <w:r>
              <w:rPr>
                <w:rFonts w:hint="eastAsia" w:ascii="宋体" w:hAnsi="宋体" w:eastAsia="宋体" w:cs="宋体"/>
                <w:b w:val="0"/>
                <w:bCs w:val="0"/>
                <w:i w:val="0"/>
                <w:color w:val="auto"/>
                <w:kern w:val="0"/>
                <w:sz w:val="21"/>
                <w:szCs w:val="21"/>
                <w:u w:val="none"/>
                <w:lang w:val="en-US" w:eastAsia="zh-CN" w:bidi="ar"/>
              </w:rPr>
              <w:t>种植业产品</w:t>
            </w:r>
            <w:r>
              <w:rPr>
                <w:rFonts w:hint="eastAsia" w:ascii="宋体" w:hAnsi="宋体" w:cs="宋体"/>
                <w:b w:val="0"/>
                <w:bCs w:val="0"/>
                <w:i w:val="0"/>
                <w:color w:val="auto"/>
                <w:kern w:val="0"/>
                <w:sz w:val="21"/>
                <w:szCs w:val="21"/>
                <w:u w:val="none"/>
                <w:lang w:val="en-US" w:eastAsia="zh-CN" w:bidi="ar"/>
              </w:rPr>
              <w:t>检测单价最高限价650元/批次，畜牧业</w:t>
            </w:r>
            <w:r>
              <w:rPr>
                <w:rFonts w:hint="eastAsia" w:ascii="宋体" w:hAnsi="宋体" w:eastAsia="宋体" w:cs="宋体"/>
                <w:b w:val="0"/>
                <w:bCs w:val="0"/>
                <w:i w:val="0"/>
                <w:color w:val="auto"/>
                <w:kern w:val="0"/>
                <w:sz w:val="21"/>
                <w:szCs w:val="21"/>
                <w:u w:val="none"/>
                <w:lang w:val="en-US" w:eastAsia="zh-CN" w:bidi="ar"/>
              </w:rPr>
              <w:t>产品</w:t>
            </w:r>
            <w:r>
              <w:rPr>
                <w:rFonts w:hint="eastAsia" w:ascii="宋体" w:hAnsi="宋体" w:cs="宋体"/>
                <w:b w:val="0"/>
                <w:bCs w:val="0"/>
                <w:i w:val="0"/>
                <w:color w:val="auto"/>
                <w:kern w:val="0"/>
                <w:sz w:val="21"/>
                <w:szCs w:val="21"/>
                <w:u w:val="none"/>
                <w:lang w:val="en-US" w:eastAsia="zh-CN" w:bidi="ar"/>
              </w:rPr>
              <w:t>检测单价最高限价750元/批次，淡水</w:t>
            </w:r>
            <w:r>
              <w:rPr>
                <w:rFonts w:hint="eastAsia" w:ascii="宋体" w:hAnsi="宋体" w:eastAsia="宋体" w:cs="宋体"/>
                <w:b w:val="0"/>
                <w:bCs w:val="0"/>
                <w:i w:val="0"/>
                <w:color w:val="auto"/>
                <w:kern w:val="0"/>
                <w:sz w:val="21"/>
                <w:szCs w:val="21"/>
                <w:u w:val="none"/>
                <w:lang w:val="en-US" w:eastAsia="zh-CN" w:bidi="ar"/>
              </w:rPr>
              <w:t>产品</w:t>
            </w:r>
            <w:r>
              <w:rPr>
                <w:rFonts w:hint="eastAsia" w:ascii="宋体" w:hAnsi="宋体" w:cs="宋体"/>
                <w:b w:val="0"/>
                <w:bCs w:val="0"/>
                <w:i w:val="0"/>
                <w:color w:val="auto"/>
                <w:kern w:val="0"/>
                <w:sz w:val="21"/>
                <w:szCs w:val="21"/>
                <w:u w:val="none"/>
                <w:lang w:val="en-US" w:eastAsia="zh-CN" w:bidi="ar"/>
              </w:rPr>
              <w:t>检测单价最高限价719.5元/批次。</w:t>
            </w:r>
            <w:r>
              <w:rPr>
                <w:rFonts w:hint="eastAsia" w:ascii="宋体" w:hAnsi="宋体" w:eastAsia="宋体" w:cs="宋体"/>
                <w:color w:val="auto"/>
                <w:kern w:val="2"/>
                <w:sz w:val="21"/>
                <w:szCs w:val="21"/>
                <w:lang w:val="en-US" w:eastAsia="zh-CN"/>
              </w:rPr>
              <w:t>供应商</w:t>
            </w:r>
            <w:r>
              <w:rPr>
                <w:rFonts w:hint="eastAsia" w:ascii="宋体" w:hAnsi="宋体" w:cs="宋体"/>
                <w:b w:val="0"/>
                <w:bCs w:val="0"/>
                <w:color w:val="auto"/>
                <w:szCs w:val="21"/>
                <w:lang w:bidi="ar"/>
              </w:rPr>
              <w:t>的</w:t>
            </w:r>
            <w:r>
              <w:rPr>
                <w:rFonts w:hint="eastAsia" w:ascii="宋体" w:hAnsi="宋体" w:cs="宋体"/>
                <w:b w:val="0"/>
                <w:bCs w:val="0"/>
                <w:color w:val="auto"/>
                <w:szCs w:val="21"/>
                <w:lang w:val="en-US" w:eastAsia="zh-CN" w:bidi="ar"/>
              </w:rPr>
              <w:t>响应</w:t>
            </w:r>
            <w:r>
              <w:rPr>
                <w:rFonts w:hint="eastAsia" w:ascii="宋体" w:hAnsi="宋体" w:cs="宋体"/>
                <w:b w:val="0"/>
                <w:bCs w:val="0"/>
                <w:color w:val="auto"/>
                <w:szCs w:val="21"/>
                <w:lang w:bidi="ar"/>
              </w:rPr>
              <w:t>单价超过单价最高限价的</w:t>
            </w:r>
            <w:r>
              <w:rPr>
                <w:rFonts w:hint="eastAsia" w:ascii="宋体" w:hAnsi="宋体" w:cs="宋体"/>
                <w:b w:val="0"/>
                <w:bCs w:val="0"/>
                <w:color w:val="auto"/>
                <w:kern w:val="0"/>
                <w:sz w:val="21"/>
                <w:szCs w:val="21"/>
                <w:highlight w:val="none"/>
                <w:lang w:val="en-US" w:eastAsia="zh-CN"/>
              </w:rPr>
              <w:t>响应</w:t>
            </w:r>
            <w:r>
              <w:rPr>
                <w:rFonts w:hint="eastAsia" w:ascii="宋体" w:hAnsi="宋体" w:cs="宋体"/>
                <w:b w:val="0"/>
                <w:bCs w:val="0"/>
                <w:color w:val="auto"/>
                <w:szCs w:val="21"/>
                <w:lang w:bidi="ar"/>
              </w:rPr>
              <w:t>无效。</w:t>
            </w:r>
          </w:p>
          <w:p w14:paraId="7C57E5B2">
            <w:pPr>
              <w:keepNext/>
              <w:keepLines/>
              <w:tabs>
                <w:tab w:val="left" w:pos="180"/>
                <w:tab w:val="left" w:pos="1620"/>
              </w:tabs>
              <w:spacing w:line="400" w:lineRule="exact"/>
              <w:ind w:firstLine="420" w:firstLineChars="200"/>
              <w:jc w:val="left"/>
              <w:rPr>
                <w:rFonts w:hint="default" w:ascii="宋体" w:hAnsi="宋体" w:eastAsia="宋体" w:cs="宋体"/>
                <w:color w:val="auto"/>
                <w:kern w:val="0"/>
                <w:sz w:val="21"/>
                <w:szCs w:val="21"/>
                <w:lang w:val="en-US" w:eastAsia="zh-CN"/>
              </w:rPr>
            </w:pPr>
            <w:r>
              <w:rPr>
                <w:rFonts w:hint="eastAsia" w:ascii="宋体" w:hAnsi="宋体" w:cs="宋体"/>
                <w:color w:val="auto"/>
                <w:szCs w:val="21"/>
                <w:lang w:val="en-US" w:eastAsia="zh-CN"/>
              </w:rPr>
              <w:t>3.</w:t>
            </w:r>
            <w:r>
              <w:rPr>
                <w:rFonts w:hint="eastAsia" w:ascii="宋体" w:hAnsi="宋体" w:eastAsia="宋体" w:cs="宋体"/>
                <w:color w:val="auto"/>
                <w:kern w:val="2"/>
                <w:sz w:val="21"/>
                <w:szCs w:val="21"/>
                <w:lang w:val="en-US" w:eastAsia="zh-CN"/>
              </w:rPr>
              <w:t>供应商</w:t>
            </w:r>
            <w:r>
              <w:rPr>
                <w:rFonts w:hint="eastAsia" w:ascii="宋体" w:hAnsi="宋体" w:cs="宋体"/>
                <w:color w:val="auto"/>
                <w:szCs w:val="21"/>
                <w:lang w:bidi="ar"/>
              </w:rPr>
              <w:t>成为</w:t>
            </w:r>
            <w:r>
              <w:rPr>
                <w:rFonts w:hint="eastAsia" w:ascii="宋体" w:hAnsi="宋体"/>
                <w:color w:val="auto"/>
                <w:kern w:val="0"/>
                <w:szCs w:val="21"/>
                <w:lang w:val="en-US" w:eastAsia="zh-CN"/>
              </w:rPr>
              <w:t>成交</w:t>
            </w:r>
            <w:r>
              <w:rPr>
                <w:rFonts w:hint="eastAsia" w:ascii="宋体" w:hAnsi="宋体"/>
                <w:color w:val="auto"/>
                <w:kern w:val="0"/>
                <w:szCs w:val="21"/>
              </w:rPr>
              <w:t>人</w:t>
            </w:r>
            <w:r>
              <w:rPr>
                <w:rFonts w:hint="eastAsia" w:ascii="宋体" w:hAnsi="宋体" w:cs="宋体"/>
                <w:color w:val="auto"/>
                <w:szCs w:val="21"/>
                <w:lang w:bidi="ar"/>
              </w:rPr>
              <w:t>后，所报价格为服务期内的最终</w:t>
            </w:r>
            <w:r>
              <w:rPr>
                <w:rFonts w:hint="eastAsia" w:ascii="宋体" w:hAnsi="宋体" w:cs="宋体"/>
                <w:color w:val="auto"/>
                <w:szCs w:val="21"/>
                <w:lang w:val="en-US" w:eastAsia="zh-CN" w:bidi="ar"/>
              </w:rPr>
              <w:t>成交</w:t>
            </w:r>
            <w:r>
              <w:rPr>
                <w:rFonts w:hint="eastAsia" w:ascii="宋体" w:hAnsi="宋体" w:cs="宋体"/>
                <w:color w:val="auto"/>
                <w:szCs w:val="21"/>
                <w:lang w:bidi="ar"/>
              </w:rPr>
              <w:t>单价。实际委托检测样品数量（不含内部质控样品数）以最终确认的数量为准。采购人最终支付总价不超出本</w:t>
            </w:r>
            <w:r>
              <w:rPr>
                <w:rFonts w:hint="eastAsia" w:ascii="宋体" w:hAnsi="宋体" w:cs="宋体"/>
                <w:color w:val="auto"/>
                <w:szCs w:val="21"/>
                <w:lang w:val="en-US" w:eastAsia="zh-CN" w:bidi="ar"/>
              </w:rPr>
              <w:t>标项</w:t>
            </w:r>
            <w:r>
              <w:rPr>
                <w:rFonts w:hint="eastAsia" w:ascii="宋体" w:hAnsi="宋体" w:cs="宋体"/>
                <w:color w:val="auto"/>
                <w:szCs w:val="21"/>
                <w:lang w:bidi="ar"/>
              </w:rPr>
              <w:t>的预算价。</w:t>
            </w:r>
          </w:p>
        </w:tc>
      </w:tr>
      <w:tr w14:paraId="1D2CB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2490" w:type="dxa"/>
            <w:gridSpan w:val="2"/>
            <w:tcBorders>
              <w:top w:val="single" w:color="auto" w:sz="4" w:space="0"/>
              <w:left w:val="single" w:color="auto" w:sz="4" w:space="0"/>
              <w:bottom w:val="single" w:color="auto" w:sz="4" w:space="0"/>
              <w:right w:val="single" w:color="auto" w:sz="4" w:space="0"/>
            </w:tcBorders>
            <w:noWrap w:val="0"/>
            <w:vAlign w:val="center"/>
          </w:tcPr>
          <w:p w14:paraId="13DDA75F">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2"/>
                <w:sz w:val="21"/>
                <w:szCs w:val="21"/>
                <w:highlight w:val="none"/>
              </w:rPr>
              <w:t>服务期限</w:t>
            </w:r>
          </w:p>
        </w:tc>
        <w:tc>
          <w:tcPr>
            <w:tcW w:w="7715" w:type="dxa"/>
            <w:gridSpan w:val="2"/>
            <w:tcBorders>
              <w:top w:val="single" w:color="auto" w:sz="4" w:space="0"/>
              <w:left w:val="single" w:color="auto" w:sz="4" w:space="0"/>
              <w:bottom w:val="single" w:color="auto" w:sz="4" w:space="0"/>
              <w:right w:val="single" w:color="auto" w:sz="4" w:space="0"/>
            </w:tcBorders>
            <w:noWrap w:val="0"/>
            <w:vAlign w:val="center"/>
          </w:tcPr>
          <w:p w14:paraId="78E33DDD">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20" w:firstLineChars="200"/>
              <w:jc w:val="left"/>
              <w:textAlignment w:val="auto"/>
              <w:rPr>
                <w:rFonts w:hint="eastAsia" w:ascii="宋体" w:hAnsi="宋体" w:eastAsia="宋体" w:cs="宋体"/>
                <w:b w:val="0"/>
                <w:bCs w:val="0"/>
                <w:color w:val="auto"/>
                <w:kern w:val="0"/>
                <w:sz w:val="21"/>
                <w:szCs w:val="21"/>
                <w:highlight w:val="yellow"/>
                <w:lang w:eastAsia="zh-CN"/>
              </w:rPr>
            </w:pPr>
            <w:r>
              <w:rPr>
                <w:rFonts w:hint="eastAsia" w:ascii="宋体" w:hAnsi="宋体" w:eastAsia="宋体" w:cs="宋体"/>
                <w:b w:val="0"/>
                <w:bCs w:val="0"/>
                <w:color w:val="auto"/>
                <w:kern w:val="0"/>
                <w:sz w:val="21"/>
                <w:szCs w:val="21"/>
                <w:highlight w:val="none"/>
              </w:rPr>
              <w:t>1.服务期限：自签订合同之日起开始提供农产品检测服务，直至</w:t>
            </w:r>
            <w:r>
              <w:rPr>
                <w:rFonts w:hint="eastAsia" w:ascii="宋体" w:hAnsi="宋体" w:eastAsia="宋体" w:cs="宋体"/>
                <w:b w:val="0"/>
                <w:bCs w:val="0"/>
                <w:color w:val="auto"/>
                <w:kern w:val="0"/>
                <w:sz w:val="21"/>
                <w:szCs w:val="21"/>
                <w:highlight w:val="none"/>
                <w:lang w:val="en-US" w:eastAsia="zh-CN"/>
              </w:rPr>
              <w:t>202</w:t>
            </w:r>
            <w:r>
              <w:rPr>
                <w:rFonts w:hint="eastAsia" w:ascii="宋体" w:hAnsi="宋体" w:cs="宋体"/>
                <w:b w:val="0"/>
                <w:bCs w:val="0"/>
                <w:color w:val="auto"/>
                <w:kern w:val="0"/>
                <w:sz w:val="21"/>
                <w:szCs w:val="21"/>
                <w:highlight w:val="none"/>
                <w:lang w:val="en-US" w:eastAsia="zh-CN"/>
              </w:rPr>
              <w:t>6</w:t>
            </w:r>
            <w:r>
              <w:rPr>
                <w:rFonts w:hint="eastAsia" w:ascii="宋体" w:hAnsi="宋体" w:eastAsia="宋体" w:cs="宋体"/>
                <w:b w:val="0"/>
                <w:bCs w:val="0"/>
                <w:color w:val="auto"/>
                <w:kern w:val="0"/>
                <w:sz w:val="21"/>
                <w:szCs w:val="21"/>
                <w:highlight w:val="none"/>
              </w:rPr>
              <w:t>年</w:t>
            </w:r>
            <w:r>
              <w:rPr>
                <w:rFonts w:hint="eastAsia" w:ascii="宋体" w:hAnsi="宋体" w:cs="宋体"/>
                <w:b w:val="0"/>
                <w:bCs w:val="0"/>
                <w:color w:val="auto"/>
                <w:kern w:val="0"/>
                <w:sz w:val="21"/>
                <w:szCs w:val="21"/>
                <w:highlight w:val="none"/>
                <w:lang w:val="en-US" w:eastAsia="zh-CN"/>
              </w:rPr>
              <w:t>12</w:t>
            </w:r>
            <w:r>
              <w:rPr>
                <w:rFonts w:hint="eastAsia" w:ascii="宋体" w:hAnsi="宋体" w:eastAsia="宋体" w:cs="宋体"/>
                <w:b w:val="0"/>
                <w:bCs w:val="0"/>
                <w:color w:val="auto"/>
                <w:kern w:val="0"/>
                <w:sz w:val="21"/>
                <w:szCs w:val="21"/>
                <w:highlight w:val="none"/>
              </w:rPr>
              <w:t>月30日止</w:t>
            </w:r>
            <w:r>
              <w:rPr>
                <w:rFonts w:hint="eastAsia" w:ascii="宋体" w:hAnsi="宋体" w:eastAsia="宋体" w:cs="宋体"/>
                <w:b w:val="0"/>
                <w:bCs w:val="0"/>
                <w:color w:val="auto"/>
                <w:kern w:val="0"/>
                <w:sz w:val="21"/>
                <w:szCs w:val="21"/>
                <w:highlight w:val="none"/>
                <w:lang w:eastAsia="zh-CN"/>
              </w:rPr>
              <w:t>。</w:t>
            </w:r>
          </w:p>
          <w:p w14:paraId="13C0908C">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20" w:firstLineChars="200"/>
              <w:jc w:val="left"/>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2.服务地点：</w:t>
            </w:r>
            <w:r>
              <w:rPr>
                <w:rFonts w:hint="eastAsia" w:ascii="宋体" w:hAnsi="宋体" w:cs="宋体"/>
                <w:b w:val="0"/>
                <w:bCs w:val="0"/>
                <w:color w:val="auto"/>
                <w:kern w:val="0"/>
                <w:sz w:val="21"/>
                <w:szCs w:val="21"/>
                <w:highlight w:val="none"/>
                <w:lang w:eastAsia="zh-CN"/>
              </w:rPr>
              <w:t>北海</w:t>
            </w:r>
            <w:r>
              <w:rPr>
                <w:rFonts w:hint="eastAsia" w:ascii="宋体" w:hAnsi="宋体" w:eastAsia="宋体" w:cs="宋体"/>
                <w:b w:val="0"/>
                <w:bCs w:val="0"/>
                <w:color w:val="auto"/>
                <w:kern w:val="0"/>
                <w:sz w:val="21"/>
                <w:szCs w:val="21"/>
                <w:highlight w:val="none"/>
              </w:rPr>
              <w:t>市农业农村局指定地点。</w:t>
            </w:r>
          </w:p>
        </w:tc>
      </w:tr>
      <w:tr w14:paraId="607D1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490" w:type="dxa"/>
            <w:gridSpan w:val="2"/>
            <w:tcBorders>
              <w:top w:val="single" w:color="auto" w:sz="4" w:space="0"/>
              <w:left w:val="single" w:color="auto" w:sz="4" w:space="0"/>
              <w:bottom w:val="single" w:color="auto" w:sz="4" w:space="0"/>
              <w:right w:val="single" w:color="auto" w:sz="4" w:space="0"/>
            </w:tcBorders>
            <w:noWrap w:val="0"/>
            <w:vAlign w:val="center"/>
          </w:tcPr>
          <w:p w14:paraId="3880F792">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2"/>
                <w:sz w:val="21"/>
                <w:szCs w:val="21"/>
                <w:highlight w:val="none"/>
              </w:rPr>
              <w:t>处理问题响应时间</w:t>
            </w:r>
          </w:p>
        </w:tc>
        <w:tc>
          <w:tcPr>
            <w:tcW w:w="7715" w:type="dxa"/>
            <w:gridSpan w:val="2"/>
            <w:tcBorders>
              <w:top w:val="single" w:color="auto" w:sz="4" w:space="0"/>
              <w:left w:val="single" w:color="auto" w:sz="4" w:space="0"/>
              <w:bottom w:val="single" w:color="auto" w:sz="4" w:space="0"/>
              <w:right w:val="single" w:color="auto" w:sz="4" w:space="0"/>
            </w:tcBorders>
            <w:noWrap w:val="0"/>
            <w:vAlign w:val="center"/>
          </w:tcPr>
          <w:p w14:paraId="65404D76">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20" w:firstLineChars="200"/>
              <w:jc w:val="left"/>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2"/>
                <w:sz w:val="21"/>
                <w:szCs w:val="21"/>
                <w:highlight w:val="none"/>
                <w:lang w:val="en-GB"/>
              </w:rPr>
              <w:t>接到采购人通知后</w:t>
            </w:r>
            <w:r>
              <w:rPr>
                <w:rFonts w:hint="eastAsia" w:ascii="宋体" w:hAnsi="宋体" w:eastAsia="宋体" w:cs="宋体"/>
                <w:b w:val="0"/>
                <w:bCs w:val="0"/>
                <w:color w:val="auto"/>
                <w:kern w:val="2"/>
                <w:sz w:val="21"/>
                <w:szCs w:val="21"/>
                <w:highlight w:val="none"/>
                <w:lang w:val="en-US" w:eastAsia="zh-CN"/>
              </w:rPr>
              <w:t>6小时</w:t>
            </w:r>
            <w:r>
              <w:rPr>
                <w:rFonts w:hint="eastAsia" w:ascii="宋体" w:hAnsi="宋体" w:eastAsia="宋体" w:cs="宋体"/>
                <w:b w:val="0"/>
                <w:bCs w:val="0"/>
                <w:color w:val="auto"/>
                <w:kern w:val="2"/>
                <w:sz w:val="21"/>
                <w:szCs w:val="21"/>
                <w:highlight w:val="none"/>
                <w:lang w:val="en-GB"/>
              </w:rPr>
              <w:t>内到达采购人指定现场。</w:t>
            </w:r>
          </w:p>
        </w:tc>
      </w:tr>
      <w:tr w14:paraId="0D716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2490" w:type="dxa"/>
            <w:gridSpan w:val="2"/>
            <w:tcBorders>
              <w:top w:val="single" w:color="auto" w:sz="4" w:space="0"/>
              <w:left w:val="single" w:color="auto" w:sz="4" w:space="0"/>
              <w:bottom w:val="single" w:color="auto" w:sz="4" w:space="0"/>
              <w:right w:val="single" w:color="auto" w:sz="4" w:space="0"/>
            </w:tcBorders>
            <w:noWrap w:val="0"/>
            <w:vAlign w:val="center"/>
          </w:tcPr>
          <w:p w14:paraId="4D3CEE5C">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kern w:val="2"/>
                <w:sz w:val="21"/>
                <w:szCs w:val="21"/>
                <w:highlight w:val="none"/>
              </w:rPr>
              <w:t>验收标准及要求</w:t>
            </w:r>
          </w:p>
        </w:tc>
        <w:tc>
          <w:tcPr>
            <w:tcW w:w="7715" w:type="dxa"/>
            <w:gridSpan w:val="2"/>
            <w:tcBorders>
              <w:top w:val="single" w:color="auto" w:sz="4" w:space="0"/>
              <w:left w:val="single" w:color="auto" w:sz="4" w:space="0"/>
              <w:bottom w:val="single" w:color="auto" w:sz="4" w:space="0"/>
              <w:right w:val="single" w:color="auto" w:sz="4" w:space="0"/>
            </w:tcBorders>
            <w:noWrap w:val="0"/>
            <w:vAlign w:val="center"/>
          </w:tcPr>
          <w:p w14:paraId="385F7AD0">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20" w:firstLineChars="200"/>
              <w:jc w:val="left"/>
              <w:textAlignment w:val="auto"/>
              <w:rPr>
                <w:rFonts w:hint="eastAsia" w:ascii="宋体" w:hAnsi="宋体" w:eastAsia="宋体" w:cs="宋体"/>
                <w:b w:val="0"/>
                <w:bCs w:val="0"/>
                <w:color w:val="auto"/>
                <w:kern w:val="2"/>
                <w:sz w:val="21"/>
                <w:szCs w:val="21"/>
                <w:highlight w:val="none"/>
                <w:lang w:val="en-GB"/>
              </w:rPr>
            </w:pPr>
            <w:r>
              <w:rPr>
                <w:rFonts w:hint="eastAsia" w:ascii="宋体" w:hAnsi="宋体" w:eastAsia="宋体" w:cs="宋体"/>
                <w:b w:val="0"/>
                <w:bCs w:val="0"/>
                <w:color w:val="auto"/>
                <w:kern w:val="2"/>
                <w:sz w:val="21"/>
                <w:szCs w:val="21"/>
                <w:highlight w:val="none"/>
                <w:lang w:val="en-GB"/>
              </w:rPr>
              <w:t>1.验收及相关费用需包含在</w:t>
            </w:r>
            <w:r>
              <w:rPr>
                <w:rFonts w:hint="eastAsia" w:ascii="宋体" w:hAnsi="宋体" w:cs="宋体"/>
                <w:b w:val="0"/>
                <w:bCs w:val="0"/>
                <w:color w:val="auto"/>
                <w:kern w:val="2"/>
                <w:sz w:val="21"/>
                <w:szCs w:val="21"/>
                <w:highlight w:val="none"/>
                <w:lang w:val="en-US" w:eastAsia="zh-CN"/>
              </w:rPr>
              <w:t>响应</w:t>
            </w:r>
            <w:r>
              <w:rPr>
                <w:rFonts w:hint="eastAsia" w:ascii="宋体" w:hAnsi="宋体" w:eastAsia="宋体" w:cs="宋体"/>
                <w:b w:val="0"/>
                <w:bCs w:val="0"/>
                <w:color w:val="auto"/>
                <w:kern w:val="2"/>
                <w:sz w:val="21"/>
                <w:szCs w:val="21"/>
                <w:highlight w:val="none"/>
                <w:lang w:val="en-GB"/>
              </w:rPr>
              <w:t>报价内，</w:t>
            </w:r>
            <w:r>
              <w:rPr>
                <w:rFonts w:hint="eastAsia" w:ascii="宋体" w:hAnsi="宋体"/>
                <w:color w:val="auto"/>
                <w:kern w:val="0"/>
                <w:szCs w:val="21"/>
                <w:lang w:val="en-US" w:eastAsia="zh-CN"/>
              </w:rPr>
              <w:t>成交</w:t>
            </w:r>
            <w:r>
              <w:rPr>
                <w:rFonts w:hint="eastAsia" w:ascii="宋体" w:hAnsi="宋体" w:eastAsia="宋体" w:cs="宋体"/>
                <w:b w:val="0"/>
                <w:bCs w:val="0"/>
                <w:color w:val="auto"/>
                <w:kern w:val="2"/>
                <w:sz w:val="21"/>
                <w:szCs w:val="21"/>
                <w:highlight w:val="none"/>
                <w:lang w:val="en-GB"/>
              </w:rPr>
              <w:t>后由</w:t>
            </w:r>
            <w:r>
              <w:rPr>
                <w:rFonts w:hint="eastAsia" w:ascii="宋体" w:hAnsi="宋体"/>
                <w:color w:val="auto"/>
                <w:kern w:val="0"/>
                <w:szCs w:val="21"/>
                <w:lang w:val="en-US" w:eastAsia="zh-CN"/>
              </w:rPr>
              <w:t>成交</w:t>
            </w:r>
            <w:r>
              <w:rPr>
                <w:rFonts w:hint="eastAsia" w:ascii="宋体" w:hAnsi="宋体"/>
                <w:color w:val="auto"/>
                <w:kern w:val="0"/>
                <w:szCs w:val="21"/>
              </w:rPr>
              <w:t>人</w:t>
            </w:r>
            <w:r>
              <w:rPr>
                <w:rFonts w:hint="eastAsia" w:ascii="宋体" w:hAnsi="宋体" w:eastAsia="宋体" w:cs="宋体"/>
                <w:b w:val="0"/>
                <w:bCs w:val="0"/>
                <w:color w:val="auto"/>
                <w:kern w:val="2"/>
                <w:sz w:val="21"/>
                <w:szCs w:val="21"/>
                <w:highlight w:val="none"/>
                <w:lang w:val="en-GB"/>
              </w:rPr>
              <w:t>自行承担。</w:t>
            </w:r>
          </w:p>
          <w:p w14:paraId="57972D58">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20" w:firstLineChars="200"/>
              <w:jc w:val="left"/>
              <w:textAlignment w:val="auto"/>
              <w:rPr>
                <w:rFonts w:hint="eastAsia" w:ascii="宋体" w:hAnsi="宋体" w:eastAsia="宋体" w:cs="宋体"/>
                <w:b w:val="0"/>
                <w:bCs w:val="0"/>
                <w:color w:val="auto"/>
                <w:kern w:val="2"/>
                <w:sz w:val="21"/>
                <w:szCs w:val="21"/>
                <w:highlight w:val="none"/>
                <w:lang w:val="en-GB"/>
              </w:rPr>
            </w:pPr>
            <w:r>
              <w:rPr>
                <w:rFonts w:hint="eastAsia" w:ascii="宋体" w:hAnsi="宋体" w:eastAsia="宋体" w:cs="宋体"/>
                <w:b w:val="0"/>
                <w:bCs w:val="0"/>
                <w:color w:val="auto"/>
                <w:kern w:val="2"/>
                <w:sz w:val="21"/>
                <w:szCs w:val="21"/>
                <w:highlight w:val="none"/>
                <w:lang w:val="en-GB"/>
              </w:rPr>
              <w:t>2.成果交付：服务期限内，按采购人要求提供检验检测报告</w:t>
            </w:r>
            <w:r>
              <w:rPr>
                <w:rFonts w:hint="eastAsia" w:ascii="宋体" w:hAnsi="宋体" w:eastAsia="宋体" w:cs="宋体"/>
                <w:b w:val="0"/>
                <w:bCs w:val="0"/>
                <w:color w:val="auto"/>
                <w:kern w:val="2"/>
                <w:sz w:val="21"/>
                <w:szCs w:val="21"/>
                <w:highlight w:val="none"/>
                <w:lang w:val="en-GB" w:eastAsia="zh-CN"/>
              </w:rPr>
              <w:t>，</w:t>
            </w:r>
            <w:r>
              <w:rPr>
                <w:rFonts w:hint="eastAsia" w:ascii="宋体" w:hAnsi="宋体" w:eastAsia="宋体" w:cs="宋体"/>
                <w:b w:val="0"/>
                <w:bCs w:val="0"/>
                <w:color w:val="auto"/>
                <w:kern w:val="2"/>
                <w:sz w:val="21"/>
                <w:szCs w:val="21"/>
                <w:highlight w:val="none"/>
                <w:lang w:val="en-GB"/>
              </w:rPr>
              <w:t>项目结束前提供总的分析报告。</w:t>
            </w:r>
          </w:p>
          <w:p w14:paraId="1BE69ED2">
            <w:pPr>
              <w:keepNext/>
              <w:keepLines/>
              <w:tabs>
                <w:tab w:val="left" w:pos="180"/>
                <w:tab w:val="left" w:pos="1620"/>
              </w:tabs>
              <w:spacing w:line="400" w:lineRule="exact"/>
              <w:ind w:firstLine="420" w:firstLineChars="200"/>
              <w:rPr>
                <w:rFonts w:hint="eastAsia" w:ascii="宋体" w:hAnsi="宋体" w:eastAsia="宋体" w:cs="宋体"/>
                <w:b w:val="0"/>
                <w:bCs w:val="0"/>
                <w:color w:val="auto"/>
                <w:kern w:val="2"/>
                <w:sz w:val="21"/>
                <w:szCs w:val="21"/>
                <w:highlight w:val="none"/>
                <w:lang w:val="en-GB"/>
              </w:rPr>
            </w:pPr>
            <w:r>
              <w:rPr>
                <w:rFonts w:hint="eastAsia" w:ascii="宋体" w:hAnsi="宋体" w:eastAsia="宋体" w:cs="宋体"/>
                <w:b w:val="0"/>
                <w:bCs w:val="0"/>
                <w:color w:val="auto"/>
                <w:kern w:val="2"/>
                <w:sz w:val="21"/>
                <w:szCs w:val="21"/>
                <w:highlight w:val="none"/>
                <w:lang w:val="en-GB"/>
              </w:rPr>
              <w:t>3.项目验收：</w:t>
            </w:r>
            <w:r>
              <w:rPr>
                <w:rFonts w:hint="eastAsia" w:ascii="宋体" w:hAnsi="宋体" w:cs="宋体"/>
                <w:color w:val="auto"/>
                <w:szCs w:val="21"/>
              </w:rPr>
              <w:t>所有检测任务完成后采购人对</w:t>
            </w:r>
            <w:r>
              <w:rPr>
                <w:rFonts w:hint="eastAsia" w:ascii="宋体" w:hAnsi="宋体"/>
                <w:color w:val="auto"/>
                <w:kern w:val="0"/>
                <w:szCs w:val="21"/>
                <w:lang w:val="en-US" w:eastAsia="zh-CN"/>
              </w:rPr>
              <w:t>成交</w:t>
            </w:r>
            <w:r>
              <w:rPr>
                <w:rFonts w:hint="eastAsia" w:ascii="宋体" w:hAnsi="宋体"/>
                <w:color w:val="auto"/>
                <w:kern w:val="0"/>
                <w:szCs w:val="21"/>
              </w:rPr>
              <w:t>人</w:t>
            </w:r>
            <w:r>
              <w:rPr>
                <w:rFonts w:hint="eastAsia" w:ascii="宋体" w:hAnsi="宋体" w:cs="宋体"/>
                <w:color w:val="auto"/>
                <w:szCs w:val="21"/>
              </w:rPr>
              <w:t>履约情况进行</w:t>
            </w:r>
            <w:r>
              <w:rPr>
                <w:rFonts w:hint="eastAsia" w:ascii="宋体" w:hAnsi="宋体" w:cs="宋体"/>
                <w:color w:val="auto"/>
                <w:szCs w:val="21"/>
                <w:lang w:eastAsia="zh-CN"/>
              </w:rPr>
              <w:t>验收考评</w:t>
            </w:r>
            <w:r>
              <w:rPr>
                <w:rFonts w:hint="eastAsia" w:ascii="宋体" w:hAnsi="宋体" w:cs="宋体"/>
                <w:color w:val="auto"/>
                <w:szCs w:val="21"/>
              </w:rPr>
              <w:t>，</w:t>
            </w:r>
            <w:r>
              <w:rPr>
                <w:rFonts w:hint="eastAsia" w:ascii="宋体" w:hAnsi="宋体" w:eastAsia="宋体" w:cs="宋体"/>
                <w:color w:val="auto"/>
                <w:sz w:val="21"/>
                <w:szCs w:val="21"/>
                <w:highlight w:val="none"/>
              </w:rPr>
              <w:t>项目整体验收通过后</w:t>
            </w:r>
            <w:r>
              <w:rPr>
                <w:rFonts w:hint="eastAsia" w:ascii="宋体" w:hAnsi="宋体" w:cs="宋体"/>
                <w:color w:val="auto"/>
                <w:sz w:val="21"/>
                <w:szCs w:val="21"/>
                <w:highlight w:val="none"/>
                <w:lang w:eastAsia="zh-CN"/>
              </w:rPr>
              <w:t>向财政申请</w:t>
            </w:r>
            <w:r>
              <w:rPr>
                <w:rFonts w:hint="eastAsia" w:ascii="宋体" w:hAnsi="宋体" w:eastAsia="宋体" w:cs="宋体"/>
                <w:color w:val="auto"/>
                <w:sz w:val="21"/>
                <w:szCs w:val="21"/>
                <w:highlight w:val="none"/>
              </w:rPr>
              <w:t>支付合同金额的5%</w:t>
            </w:r>
            <w:r>
              <w:rPr>
                <w:rFonts w:hint="eastAsia" w:ascii="宋体" w:hAnsi="宋体" w:eastAsia="宋体" w:cs="宋体"/>
                <w:color w:val="auto"/>
                <w:sz w:val="21"/>
                <w:szCs w:val="21"/>
                <w:highlight w:val="none"/>
                <w:lang w:val="en-US" w:eastAsia="zh-CN"/>
              </w:rPr>
              <w:t xml:space="preserve"> </w:t>
            </w:r>
            <w:r>
              <w:rPr>
                <w:rFonts w:hint="eastAsia" w:ascii="宋体" w:hAnsi="宋体" w:cs="宋体"/>
                <w:color w:val="auto"/>
                <w:szCs w:val="21"/>
              </w:rPr>
              <w:t>。若</w:t>
            </w:r>
            <w:r>
              <w:rPr>
                <w:rFonts w:hint="eastAsia" w:ascii="宋体" w:hAnsi="宋体"/>
                <w:color w:val="auto"/>
                <w:kern w:val="0"/>
                <w:szCs w:val="21"/>
                <w:lang w:val="en-US" w:eastAsia="zh-CN"/>
              </w:rPr>
              <w:t>成交</w:t>
            </w:r>
            <w:r>
              <w:rPr>
                <w:rFonts w:hint="eastAsia" w:ascii="宋体" w:hAnsi="宋体"/>
                <w:color w:val="auto"/>
                <w:kern w:val="0"/>
                <w:szCs w:val="21"/>
              </w:rPr>
              <w:t>人</w:t>
            </w:r>
            <w:r>
              <w:rPr>
                <w:rFonts w:hint="eastAsia" w:ascii="宋体" w:hAnsi="宋体" w:cs="宋体"/>
                <w:color w:val="auto"/>
                <w:szCs w:val="21"/>
              </w:rPr>
              <w:t>未达到</w:t>
            </w:r>
            <w:r>
              <w:rPr>
                <w:rFonts w:hint="eastAsia" w:ascii="宋体" w:hAnsi="宋体" w:cs="宋体"/>
                <w:color w:val="auto"/>
                <w:szCs w:val="21"/>
                <w:lang w:eastAsia="zh-CN"/>
              </w:rPr>
              <w:t>验收</w:t>
            </w:r>
            <w:r>
              <w:rPr>
                <w:rFonts w:hint="eastAsia" w:ascii="宋体" w:hAnsi="宋体" w:cs="宋体"/>
                <w:color w:val="auto"/>
                <w:szCs w:val="21"/>
              </w:rPr>
              <w:t>考评标准（考核评分低于</w:t>
            </w:r>
            <w:r>
              <w:rPr>
                <w:rFonts w:hint="eastAsia" w:ascii="宋体" w:hAnsi="宋体" w:cs="宋体"/>
                <w:color w:val="auto"/>
                <w:szCs w:val="21"/>
                <w:lang w:val="en-US" w:eastAsia="zh-CN"/>
              </w:rPr>
              <w:t>7</w:t>
            </w:r>
            <w:r>
              <w:rPr>
                <w:rFonts w:hint="eastAsia" w:ascii="宋体" w:hAnsi="宋体" w:cs="宋体"/>
                <w:color w:val="auto"/>
                <w:szCs w:val="21"/>
              </w:rPr>
              <w:t>0分的），将扣除</w:t>
            </w:r>
            <w:r>
              <w:rPr>
                <w:rFonts w:hint="eastAsia" w:ascii="宋体" w:hAnsi="宋体" w:eastAsia="宋体" w:cs="宋体"/>
                <w:color w:val="auto"/>
                <w:sz w:val="21"/>
                <w:szCs w:val="21"/>
                <w:highlight w:val="none"/>
              </w:rPr>
              <w:t>合同金额的5%</w:t>
            </w:r>
            <w:r>
              <w:rPr>
                <w:rFonts w:hint="eastAsia" w:ascii="宋体" w:hAnsi="宋体" w:eastAsia="宋体" w:cs="宋体"/>
                <w:color w:val="auto"/>
                <w:sz w:val="21"/>
                <w:szCs w:val="21"/>
                <w:highlight w:val="none"/>
                <w:lang w:val="en-US" w:eastAsia="zh-CN"/>
              </w:rPr>
              <w:t xml:space="preserve"> </w:t>
            </w:r>
            <w:r>
              <w:rPr>
                <w:rFonts w:hint="eastAsia" w:ascii="宋体" w:hAnsi="宋体" w:cs="宋体"/>
                <w:color w:val="auto"/>
                <w:szCs w:val="21"/>
              </w:rPr>
              <w:t>。考核评分表详见附表</w:t>
            </w:r>
            <w:r>
              <w:rPr>
                <w:rFonts w:hint="eastAsia" w:ascii="宋体" w:hAnsi="宋体" w:cs="宋体"/>
                <w:color w:val="auto"/>
                <w:szCs w:val="21"/>
                <w:lang w:val="en-US" w:eastAsia="zh-CN"/>
              </w:rPr>
              <w:t>2</w:t>
            </w:r>
            <w:r>
              <w:rPr>
                <w:rFonts w:hint="eastAsia" w:ascii="宋体" w:hAnsi="宋体" w:cs="宋体"/>
                <w:color w:val="auto"/>
                <w:szCs w:val="21"/>
              </w:rPr>
              <w:t>（广西壮族自治区政府采购项目验收考核评分表）。</w:t>
            </w:r>
          </w:p>
          <w:p w14:paraId="747437F7">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20" w:firstLineChars="200"/>
              <w:jc w:val="left"/>
              <w:textAlignment w:val="auto"/>
              <w:rPr>
                <w:rFonts w:hint="eastAsia" w:ascii="宋体" w:hAnsi="宋体" w:eastAsia="宋体" w:cs="宋体"/>
                <w:b w:val="0"/>
                <w:bCs w:val="0"/>
                <w:color w:val="auto"/>
                <w:kern w:val="2"/>
                <w:sz w:val="21"/>
                <w:szCs w:val="21"/>
                <w:highlight w:val="none"/>
                <w:lang w:val="en-GB"/>
              </w:rPr>
            </w:pPr>
            <w:r>
              <w:rPr>
                <w:rFonts w:hint="eastAsia" w:ascii="宋体" w:hAnsi="宋体" w:cs="宋体"/>
                <w:b w:val="0"/>
                <w:bCs w:val="0"/>
                <w:color w:val="auto"/>
                <w:kern w:val="2"/>
                <w:sz w:val="21"/>
                <w:szCs w:val="21"/>
                <w:highlight w:val="none"/>
                <w:lang w:val="en-US" w:eastAsia="zh-CN"/>
              </w:rPr>
              <w:t>4</w:t>
            </w:r>
            <w:r>
              <w:rPr>
                <w:rFonts w:hint="eastAsia" w:ascii="宋体" w:hAnsi="宋体" w:eastAsia="宋体" w:cs="宋体"/>
                <w:b w:val="0"/>
                <w:bCs w:val="0"/>
                <w:color w:val="auto"/>
                <w:kern w:val="2"/>
                <w:sz w:val="21"/>
                <w:szCs w:val="21"/>
                <w:highlight w:val="none"/>
                <w:lang w:val="en-GB"/>
              </w:rPr>
              <w:t>.服务方案：</w:t>
            </w:r>
            <w:r>
              <w:rPr>
                <w:rFonts w:hint="eastAsia" w:ascii="宋体" w:hAnsi="宋体" w:eastAsia="宋体" w:cs="宋体"/>
                <w:color w:val="auto"/>
                <w:kern w:val="2"/>
                <w:sz w:val="21"/>
                <w:szCs w:val="21"/>
                <w:lang w:val="en-US" w:eastAsia="zh-CN"/>
              </w:rPr>
              <w:t>供应商</w:t>
            </w:r>
            <w:r>
              <w:rPr>
                <w:rFonts w:hint="eastAsia" w:ascii="宋体" w:hAnsi="宋体" w:eastAsia="宋体" w:cs="宋体"/>
                <w:b w:val="0"/>
                <w:bCs w:val="0"/>
                <w:color w:val="auto"/>
                <w:kern w:val="2"/>
                <w:sz w:val="21"/>
                <w:szCs w:val="21"/>
                <w:highlight w:val="none"/>
                <w:lang w:val="en-GB"/>
              </w:rPr>
              <w:t>提供详细的服务方案。</w:t>
            </w:r>
          </w:p>
          <w:p w14:paraId="43386064">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20" w:firstLineChars="200"/>
              <w:jc w:val="left"/>
              <w:textAlignment w:val="auto"/>
              <w:rPr>
                <w:rFonts w:hint="eastAsia" w:ascii="宋体" w:hAnsi="宋体" w:eastAsia="宋体" w:cs="宋体"/>
                <w:b w:val="0"/>
                <w:bCs w:val="0"/>
                <w:color w:val="auto"/>
                <w:kern w:val="2"/>
                <w:sz w:val="21"/>
                <w:szCs w:val="21"/>
                <w:highlight w:val="none"/>
                <w:lang w:val="en-GB"/>
              </w:rPr>
            </w:pPr>
            <w:r>
              <w:rPr>
                <w:rFonts w:hint="eastAsia" w:ascii="宋体" w:hAnsi="宋体" w:cs="宋体"/>
                <w:b w:val="0"/>
                <w:bCs w:val="0"/>
                <w:color w:val="auto"/>
                <w:kern w:val="2"/>
                <w:sz w:val="21"/>
                <w:szCs w:val="21"/>
                <w:highlight w:val="none"/>
                <w:lang w:val="en-US" w:eastAsia="zh-CN"/>
              </w:rPr>
              <w:t>5</w:t>
            </w:r>
            <w:r>
              <w:rPr>
                <w:rFonts w:hint="eastAsia" w:ascii="宋体" w:hAnsi="宋体" w:eastAsia="宋体" w:cs="宋体"/>
                <w:b w:val="0"/>
                <w:bCs w:val="0"/>
                <w:color w:val="auto"/>
                <w:kern w:val="2"/>
                <w:sz w:val="21"/>
                <w:szCs w:val="21"/>
                <w:highlight w:val="none"/>
                <w:lang w:val="en-GB"/>
              </w:rPr>
              <w:t>.根据监管的实际要求，采购人可适当调整品种和检</w:t>
            </w:r>
            <w:r>
              <w:rPr>
                <w:rFonts w:hint="eastAsia" w:ascii="宋体" w:hAnsi="宋体" w:cs="宋体"/>
                <w:b w:val="0"/>
                <w:bCs w:val="0"/>
                <w:color w:val="auto"/>
                <w:kern w:val="2"/>
                <w:sz w:val="21"/>
                <w:szCs w:val="21"/>
                <w:highlight w:val="none"/>
                <w:lang w:val="en-GB" w:eastAsia="zh-CN"/>
              </w:rPr>
              <w:t>测</w:t>
            </w:r>
            <w:r>
              <w:rPr>
                <w:rFonts w:hint="eastAsia" w:ascii="宋体" w:hAnsi="宋体" w:eastAsia="宋体" w:cs="宋体"/>
                <w:b w:val="0"/>
                <w:bCs w:val="0"/>
                <w:color w:val="auto"/>
                <w:kern w:val="2"/>
                <w:sz w:val="21"/>
                <w:szCs w:val="21"/>
                <w:highlight w:val="none"/>
                <w:lang w:val="en-GB"/>
              </w:rPr>
              <w:t>项目。</w:t>
            </w:r>
          </w:p>
        </w:tc>
      </w:tr>
      <w:tr w14:paraId="6F3BF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2490" w:type="dxa"/>
            <w:gridSpan w:val="2"/>
            <w:tcBorders>
              <w:top w:val="single" w:color="auto" w:sz="4" w:space="0"/>
              <w:left w:val="single" w:color="auto" w:sz="4" w:space="0"/>
              <w:bottom w:val="single" w:color="auto" w:sz="4" w:space="0"/>
              <w:right w:val="single" w:color="auto" w:sz="4" w:space="0"/>
            </w:tcBorders>
            <w:noWrap w:val="0"/>
            <w:vAlign w:val="center"/>
          </w:tcPr>
          <w:p w14:paraId="2F4E7B03">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eastAsia" w:ascii="宋体" w:hAnsi="宋体" w:eastAsia="宋体" w:cs="宋体"/>
                <w:b w:val="0"/>
                <w:bCs w:val="0"/>
                <w:color w:val="auto"/>
                <w:kern w:val="2"/>
                <w:sz w:val="21"/>
                <w:szCs w:val="21"/>
                <w:highlight w:val="none"/>
                <w:lang w:eastAsia="zh-CN"/>
              </w:rPr>
            </w:pPr>
            <w:r>
              <w:rPr>
                <w:rFonts w:hint="eastAsia" w:ascii="宋体" w:hAnsi="宋体" w:eastAsia="宋体" w:cs="宋体"/>
                <w:b w:val="0"/>
                <w:bCs w:val="0"/>
                <w:color w:val="auto"/>
                <w:kern w:val="2"/>
                <w:sz w:val="21"/>
                <w:szCs w:val="21"/>
                <w:highlight w:val="none"/>
              </w:rPr>
              <w:t>付款</w:t>
            </w:r>
            <w:r>
              <w:rPr>
                <w:rFonts w:hint="eastAsia" w:ascii="宋体" w:hAnsi="宋体" w:eastAsia="宋体" w:cs="宋体"/>
                <w:b w:val="0"/>
                <w:bCs w:val="0"/>
                <w:color w:val="auto"/>
                <w:kern w:val="2"/>
                <w:sz w:val="21"/>
                <w:szCs w:val="21"/>
                <w:highlight w:val="none"/>
                <w:lang w:eastAsia="zh-CN"/>
              </w:rPr>
              <w:t>条件</w:t>
            </w:r>
          </w:p>
        </w:tc>
        <w:tc>
          <w:tcPr>
            <w:tcW w:w="7715" w:type="dxa"/>
            <w:gridSpan w:val="2"/>
            <w:tcBorders>
              <w:top w:val="single" w:color="auto" w:sz="4" w:space="0"/>
              <w:left w:val="single" w:color="auto" w:sz="4" w:space="0"/>
              <w:bottom w:val="single" w:color="auto" w:sz="4" w:space="0"/>
              <w:right w:val="single" w:color="auto" w:sz="4" w:space="0"/>
            </w:tcBorders>
            <w:noWrap w:val="0"/>
            <w:vAlign w:val="center"/>
          </w:tcPr>
          <w:p w14:paraId="78861E71">
            <w:pPr>
              <w:spacing w:line="400" w:lineRule="exact"/>
              <w:ind w:firstLine="210" w:firstLineChars="100"/>
              <w:jc w:val="left"/>
              <w:rPr>
                <w:rFonts w:hint="eastAsia" w:ascii="宋体" w:hAnsi="宋体" w:eastAsia="宋体" w:cs="宋体"/>
                <w:b w:val="0"/>
                <w:bCs w:val="0"/>
                <w:color w:val="auto"/>
                <w:kern w:val="0"/>
                <w:sz w:val="21"/>
                <w:szCs w:val="21"/>
                <w:highlight w:val="none"/>
              </w:rPr>
            </w:pPr>
            <w:r>
              <w:rPr>
                <w:rFonts w:hint="eastAsia" w:ascii="宋体" w:hAnsi="宋体" w:eastAsia="宋体" w:cs="宋体"/>
                <w:color w:val="auto"/>
                <w:sz w:val="21"/>
                <w:szCs w:val="21"/>
                <w:highlight w:val="none"/>
              </w:rPr>
              <w:t>分期付款，在合同生效及具备实施条件后十个工作日内向财政申请付合同金额的30%，完成本项目80%的检测批次任务后向财政支付合同金额的65%的检测服务费，项目整体验收通过后向财政申请付合同金额的5% 。(财政资金延迟不视为违约)。</w:t>
            </w:r>
          </w:p>
        </w:tc>
      </w:tr>
    </w:tbl>
    <w:p w14:paraId="474A6686">
      <w:pPr>
        <w:bidi w:val="0"/>
        <w:rPr>
          <w:rFonts w:hint="eastAsia"/>
          <w:color w:val="auto"/>
          <w:lang w:eastAsia="zh-CN"/>
        </w:rPr>
      </w:pPr>
    </w:p>
    <w:p w14:paraId="0F48EBF5">
      <w:pPr>
        <w:bidi w:val="0"/>
        <w:rPr>
          <w:rFonts w:hint="eastAsia"/>
          <w:color w:val="auto"/>
          <w:lang w:eastAsia="zh-CN"/>
        </w:rPr>
      </w:pPr>
    </w:p>
    <w:p w14:paraId="329D960F">
      <w:pPr>
        <w:bidi w:val="0"/>
        <w:ind w:left="-420" w:leftChars="-200" w:firstLine="0" w:firstLineChars="0"/>
        <w:rPr>
          <w:rFonts w:hint="eastAsia"/>
          <w:color w:val="auto"/>
          <w:lang w:val="en-US" w:eastAsia="zh-CN"/>
        </w:rPr>
      </w:pPr>
      <w:r>
        <w:rPr>
          <w:rFonts w:hint="eastAsia"/>
          <w:color w:val="auto"/>
          <w:lang w:eastAsia="zh-CN"/>
        </w:rPr>
        <w:t>附表</w:t>
      </w:r>
      <w:r>
        <w:rPr>
          <w:rFonts w:hint="eastAsia"/>
          <w:color w:val="auto"/>
          <w:lang w:val="en-US" w:eastAsia="zh-CN"/>
        </w:rPr>
        <w:t>1</w:t>
      </w:r>
    </w:p>
    <w:tbl>
      <w:tblPr>
        <w:tblStyle w:val="62"/>
        <w:tblW w:w="10157" w:type="dxa"/>
        <w:tblInd w:w="-44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7"/>
        <w:gridCol w:w="832"/>
        <w:gridCol w:w="1059"/>
        <w:gridCol w:w="4559"/>
        <w:gridCol w:w="698"/>
        <w:gridCol w:w="941"/>
        <w:gridCol w:w="1211"/>
      </w:tblGrid>
      <w:tr w14:paraId="3A2E0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857" w:type="dxa"/>
            <w:vMerge w:val="restart"/>
            <w:tcBorders>
              <w:top w:val="single" w:color="000000" w:sz="4" w:space="0"/>
              <w:left w:val="single" w:color="000000" w:sz="4" w:space="0"/>
              <w:bottom w:val="single" w:color="000000" w:sz="4" w:space="0"/>
              <w:right w:val="single" w:color="000000" w:sz="4" w:space="0"/>
            </w:tcBorders>
            <w:noWrap w:val="0"/>
            <w:vAlign w:val="center"/>
          </w:tcPr>
          <w:p w14:paraId="3127FDD5">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标项号</w:t>
            </w:r>
          </w:p>
        </w:tc>
        <w:tc>
          <w:tcPr>
            <w:tcW w:w="832" w:type="dxa"/>
            <w:vMerge w:val="restart"/>
            <w:tcBorders>
              <w:top w:val="single" w:color="000000" w:sz="4" w:space="0"/>
              <w:left w:val="single" w:color="000000" w:sz="4" w:space="0"/>
              <w:bottom w:val="single" w:color="000000" w:sz="4" w:space="0"/>
              <w:right w:val="single" w:color="000000" w:sz="4" w:space="0"/>
            </w:tcBorders>
            <w:noWrap w:val="0"/>
            <w:vAlign w:val="center"/>
          </w:tcPr>
          <w:p w14:paraId="21CA3789">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产品类别</w:t>
            </w:r>
          </w:p>
        </w:tc>
        <w:tc>
          <w:tcPr>
            <w:tcW w:w="1059" w:type="dxa"/>
            <w:vMerge w:val="restart"/>
            <w:tcBorders>
              <w:top w:val="single" w:color="000000" w:sz="4" w:space="0"/>
              <w:left w:val="single" w:color="000000" w:sz="4" w:space="0"/>
              <w:bottom w:val="single" w:color="000000" w:sz="4" w:space="0"/>
              <w:right w:val="single" w:color="000000" w:sz="4" w:space="0"/>
            </w:tcBorders>
            <w:noWrap w:val="0"/>
            <w:vAlign w:val="center"/>
          </w:tcPr>
          <w:p w14:paraId="4FA9C5FB">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检测类别</w:t>
            </w:r>
          </w:p>
        </w:tc>
        <w:tc>
          <w:tcPr>
            <w:tcW w:w="4559" w:type="dxa"/>
            <w:vMerge w:val="restart"/>
            <w:tcBorders>
              <w:top w:val="single" w:color="000000" w:sz="4" w:space="0"/>
              <w:left w:val="single" w:color="000000" w:sz="4" w:space="0"/>
              <w:bottom w:val="single" w:color="000000" w:sz="4" w:space="0"/>
              <w:right w:val="single" w:color="000000" w:sz="4" w:space="0"/>
            </w:tcBorders>
            <w:noWrap w:val="0"/>
            <w:vAlign w:val="center"/>
          </w:tcPr>
          <w:p w14:paraId="092810AA">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检测项目</w:t>
            </w:r>
            <w:r>
              <w:rPr>
                <w:rFonts w:hint="eastAsia" w:ascii="宋体" w:hAnsi="宋体" w:cs="宋体"/>
                <w:b/>
                <w:bCs/>
                <w:color w:val="auto"/>
                <w:sz w:val="21"/>
                <w:szCs w:val="21"/>
                <w:highlight w:val="none"/>
                <w:lang w:val="en-US" w:eastAsia="zh-CN"/>
              </w:rPr>
              <w:t>（根据实际工作需要可能临时调整）</w:t>
            </w:r>
          </w:p>
        </w:tc>
        <w:tc>
          <w:tcPr>
            <w:tcW w:w="698" w:type="dxa"/>
            <w:vMerge w:val="restart"/>
            <w:tcBorders>
              <w:top w:val="single" w:color="000000" w:sz="4" w:space="0"/>
              <w:left w:val="single" w:color="000000" w:sz="4" w:space="0"/>
              <w:bottom w:val="single" w:color="000000" w:sz="4" w:space="0"/>
              <w:right w:val="single" w:color="000000" w:sz="4" w:space="0"/>
            </w:tcBorders>
            <w:noWrap w:val="0"/>
            <w:vAlign w:val="center"/>
          </w:tcPr>
          <w:p w14:paraId="51E55A99">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批次数量</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3D8B636F">
            <w:pPr>
              <w:keepNext w:val="0"/>
              <w:keepLines w:val="0"/>
              <w:widowControl/>
              <w:suppressLineNumbers w:val="0"/>
              <w:jc w:val="center"/>
              <w:textAlignment w:val="center"/>
              <w:rPr>
                <w:rFonts w:hint="eastAsia" w:ascii="宋体" w:hAnsi="宋体" w:cs="宋体"/>
                <w:i w:val="0"/>
                <w:color w:val="auto"/>
                <w:kern w:val="0"/>
                <w:sz w:val="21"/>
                <w:szCs w:val="21"/>
                <w:u w:val="none"/>
                <w:lang w:val="en-US" w:eastAsia="zh-CN" w:bidi="ar"/>
              </w:rPr>
            </w:pPr>
            <w:r>
              <w:rPr>
                <w:rFonts w:hint="eastAsia" w:ascii="宋体" w:hAnsi="宋体" w:cs="宋体"/>
                <w:i w:val="0"/>
                <w:color w:val="auto"/>
                <w:kern w:val="0"/>
                <w:sz w:val="21"/>
                <w:szCs w:val="21"/>
                <w:u w:val="none"/>
                <w:lang w:val="en-US" w:eastAsia="zh-CN" w:bidi="ar"/>
              </w:rPr>
              <w:t>上限</w:t>
            </w:r>
          </w:p>
          <w:p w14:paraId="077AEA00">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单价</w:t>
            </w:r>
          </w:p>
        </w:tc>
        <w:tc>
          <w:tcPr>
            <w:tcW w:w="1211" w:type="dxa"/>
            <w:tcBorders>
              <w:top w:val="single" w:color="000000" w:sz="4" w:space="0"/>
              <w:left w:val="single" w:color="000000" w:sz="4" w:space="0"/>
              <w:bottom w:val="single" w:color="000000" w:sz="4" w:space="0"/>
              <w:right w:val="single" w:color="000000" w:sz="4" w:space="0"/>
            </w:tcBorders>
            <w:noWrap w:val="0"/>
            <w:vAlign w:val="center"/>
          </w:tcPr>
          <w:p w14:paraId="221580E1">
            <w:pPr>
              <w:keepNext w:val="0"/>
              <w:keepLines w:val="0"/>
              <w:widowControl/>
              <w:suppressLineNumbers w:val="0"/>
              <w:jc w:val="center"/>
              <w:textAlignment w:val="center"/>
              <w:rPr>
                <w:rFonts w:hint="eastAsia" w:ascii="宋体" w:hAnsi="宋体" w:cs="宋体"/>
                <w:i w:val="0"/>
                <w:color w:val="auto"/>
                <w:kern w:val="0"/>
                <w:sz w:val="21"/>
                <w:szCs w:val="21"/>
                <w:u w:val="none"/>
                <w:lang w:val="en-US" w:eastAsia="zh-CN" w:bidi="ar"/>
              </w:rPr>
            </w:pPr>
            <w:r>
              <w:rPr>
                <w:rFonts w:hint="eastAsia" w:ascii="宋体" w:hAnsi="宋体" w:cs="宋体"/>
                <w:i w:val="0"/>
                <w:color w:val="auto"/>
                <w:kern w:val="0"/>
                <w:sz w:val="21"/>
                <w:szCs w:val="21"/>
                <w:u w:val="none"/>
                <w:lang w:val="en-US" w:eastAsia="zh-CN" w:bidi="ar"/>
              </w:rPr>
              <w:t>上限</w:t>
            </w:r>
          </w:p>
          <w:p w14:paraId="6EFF345C">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小计</w:t>
            </w:r>
          </w:p>
        </w:tc>
      </w:tr>
      <w:tr w14:paraId="08925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8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57CA3C">
            <w:pPr>
              <w:jc w:val="center"/>
              <w:rPr>
                <w:rFonts w:hint="eastAsia" w:ascii="宋体" w:hAnsi="宋体" w:eastAsia="宋体" w:cs="宋体"/>
                <w:i w:val="0"/>
                <w:color w:val="auto"/>
                <w:sz w:val="21"/>
                <w:szCs w:val="21"/>
                <w:u w:val="none"/>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A07512">
            <w:pPr>
              <w:jc w:val="center"/>
              <w:rPr>
                <w:rFonts w:hint="eastAsia" w:ascii="宋体" w:hAnsi="宋体" w:eastAsia="宋体" w:cs="宋体"/>
                <w:i w:val="0"/>
                <w:color w:val="auto"/>
                <w:sz w:val="21"/>
                <w:szCs w:val="21"/>
                <w:u w:val="none"/>
              </w:rPr>
            </w:pPr>
          </w:p>
        </w:tc>
        <w:tc>
          <w:tcPr>
            <w:tcW w:w="10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385540">
            <w:pPr>
              <w:jc w:val="center"/>
              <w:rPr>
                <w:rFonts w:hint="eastAsia" w:ascii="宋体" w:hAnsi="宋体" w:eastAsia="宋体" w:cs="宋体"/>
                <w:i w:val="0"/>
                <w:color w:val="auto"/>
                <w:sz w:val="21"/>
                <w:szCs w:val="21"/>
                <w:u w:val="none"/>
              </w:rPr>
            </w:pPr>
          </w:p>
        </w:tc>
        <w:tc>
          <w:tcPr>
            <w:tcW w:w="45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FBBF96">
            <w:pPr>
              <w:jc w:val="center"/>
              <w:rPr>
                <w:rFonts w:hint="eastAsia" w:ascii="宋体" w:hAnsi="宋体" w:eastAsia="宋体" w:cs="宋体"/>
                <w:i w:val="0"/>
                <w:color w:val="auto"/>
                <w:sz w:val="21"/>
                <w:szCs w:val="21"/>
                <w:u w:val="none"/>
              </w:rPr>
            </w:pPr>
          </w:p>
        </w:tc>
        <w:tc>
          <w:tcPr>
            <w:tcW w:w="6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0E41DA">
            <w:pPr>
              <w:jc w:val="center"/>
              <w:rPr>
                <w:rFonts w:hint="eastAsia" w:ascii="宋体" w:hAnsi="宋体" w:eastAsia="宋体" w:cs="宋体"/>
                <w:i w:val="0"/>
                <w:color w:val="auto"/>
                <w:sz w:val="21"/>
                <w:szCs w:val="21"/>
                <w:u w:val="none"/>
              </w:rPr>
            </w:pP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491C942C">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(元）</w:t>
            </w:r>
          </w:p>
        </w:tc>
        <w:tc>
          <w:tcPr>
            <w:tcW w:w="1211" w:type="dxa"/>
            <w:tcBorders>
              <w:top w:val="single" w:color="000000" w:sz="4" w:space="0"/>
              <w:left w:val="single" w:color="000000" w:sz="4" w:space="0"/>
              <w:bottom w:val="single" w:color="000000" w:sz="4" w:space="0"/>
              <w:right w:val="single" w:color="000000" w:sz="4" w:space="0"/>
            </w:tcBorders>
            <w:noWrap w:val="0"/>
            <w:vAlign w:val="center"/>
          </w:tcPr>
          <w:p w14:paraId="048BE566">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(元）</w:t>
            </w:r>
          </w:p>
        </w:tc>
      </w:tr>
      <w:tr w14:paraId="04522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7" w:hRule="atLeast"/>
        </w:trPr>
        <w:tc>
          <w:tcPr>
            <w:tcW w:w="857" w:type="dxa"/>
            <w:vMerge w:val="restart"/>
            <w:tcBorders>
              <w:top w:val="single" w:color="000000" w:sz="4" w:space="0"/>
              <w:left w:val="single" w:color="000000" w:sz="4" w:space="0"/>
              <w:bottom w:val="single" w:color="000000" w:sz="4" w:space="0"/>
              <w:right w:val="single" w:color="000000" w:sz="4" w:space="0"/>
            </w:tcBorders>
            <w:noWrap w:val="0"/>
            <w:vAlign w:val="center"/>
          </w:tcPr>
          <w:p w14:paraId="53E668A4">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Ⅱ</w:t>
            </w:r>
          </w:p>
        </w:tc>
        <w:tc>
          <w:tcPr>
            <w:tcW w:w="832" w:type="dxa"/>
            <w:vMerge w:val="restart"/>
            <w:tcBorders>
              <w:top w:val="single" w:color="000000" w:sz="4" w:space="0"/>
              <w:left w:val="single" w:color="000000" w:sz="4" w:space="0"/>
              <w:bottom w:val="single" w:color="000000" w:sz="4" w:space="0"/>
              <w:right w:val="single" w:color="000000" w:sz="4" w:space="0"/>
            </w:tcBorders>
            <w:noWrap w:val="0"/>
            <w:vAlign w:val="center"/>
          </w:tcPr>
          <w:p w14:paraId="42FFAAA6">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种植业产品</w:t>
            </w:r>
          </w:p>
        </w:tc>
        <w:tc>
          <w:tcPr>
            <w:tcW w:w="1059" w:type="dxa"/>
            <w:tcBorders>
              <w:top w:val="single" w:color="000000" w:sz="4" w:space="0"/>
              <w:left w:val="single" w:color="000000" w:sz="4" w:space="0"/>
              <w:bottom w:val="single" w:color="000000" w:sz="4" w:space="0"/>
              <w:right w:val="single" w:color="000000" w:sz="4" w:space="0"/>
            </w:tcBorders>
            <w:noWrap w:val="0"/>
            <w:vAlign w:val="center"/>
          </w:tcPr>
          <w:p w14:paraId="163E349F">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风险监测</w:t>
            </w:r>
          </w:p>
        </w:tc>
        <w:tc>
          <w:tcPr>
            <w:tcW w:w="4559" w:type="dxa"/>
            <w:vMerge w:val="restart"/>
            <w:tcBorders>
              <w:top w:val="single" w:color="000000" w:sz="4" w:space="0"/>
              <w:left w:val="single" w:color="000000" w:sz="4" w:space="0"/>
              <w:bottom w:val="single" w:color="000000" w:sz="4" w:space="0"/>
              <w:right w:val="single" w:color="000000" w:sz="4" w:space="0"/>
            </w:tcBorders>
            <w:noWrap w:val="0"/>
            <w:vAlign w:val="center"/>
          </w:tcPr>
          <w:p w14:paraId="6F18884A">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甲胺磷、特丁硫磷、乙酰甲胺磷、甲拌磷（包括甲拌磷砜和甲拌磷亚砜）、氧乐果、克百威（包括3-羟基克百威）、涕灭威（包括涕灭威砜、涕灭威亚砜）、灭多威、毒死蜱、水胺硫磷、甲基异柳磷、三唑磷、氟虫腈（包括氟甲腈、氟虫腈硫醚、氟虫腈砜）、乐果、治螟磷、内吸磷、三氯杀螨醇、杀扑磷、久效磷、丙溴磷、灭蝇胺，倍硫磷、噻虫嗪、噻虫胺、吡唑醚菌酯、甲氨基阿维菌素苯甲酸盐、氯氰菊酯、氯氟氰菊酯、啶虫脒、抑霉唑、咪鲜胺等多种农药，韭菜、番茄、辣椒、芒果、荔枝等样品加测腐霉利。</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40C36B3E">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340</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228912BC">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650</w:t>
            </w:r>
          </w:p>
        </w:tc>
        <w:tc>
          <w:tcPr>
            <w:tcW w:w="1211" w:type="dxa"/>
            <w:tcBorders>
              <w:top w:val="single" w:color="000000" w:sz="4" w:space="0"/>
              <w:left w:val="single" w:color="000000" w:sz="4" w:space="0"/>
              <w:bottom w:val="single" w:color="000000" w:sz="4" w:space="0"/>
              <w:right w:val="single" w:color="000000" w:sz="4" w:space="0"/>
            </w:tcBorders>
            <w:noWrap/>
            <w:vAlign w:val="center"/>
          </w:tcPr>
          <w:p w14:paraId="47D82B74">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221000</w:t>
            </w:r>
          </w:p>
        </w:tc>
      </w:tr>
      <w:tr w14:paraId="18389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5" w:hRule="atLeast"/>
        </w:trPr>
        <w:tc>
          <w:tcPr>
            <w:tcW w:w="8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9BC531">
            <w:pPr>
              <w:jc w:val="center"/>
              <w:rPr>
                <w:rFonts w:hint="eastAsia" w:ascii="宋体" w:hAnsi="宋体" w:eastAsia="宋体" w:cs="宋体"/>
                <w:i w:val="0"/>
                <w:color w:val="auto"/>
                <w:sz w:val="21"/>
                <w:szCs w:val="21"/>
                <w:u w:val="none"/>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0163E4">
            <w:pPr>
              <w:jc w:val="center"/>
              <w:rPr>
                <w:rFonts w:hint="eastAsia" w:ascii="宋体" w:hAnsi="宋体" w:eastAsia="宋体" w:cs="宋体"/>
                <w:i w:val="0"/>
                <w:color w:val="auto"/>
                <w:sz w:val="21"/>
                <w:szCs w:val="21"/>
                <w:u w:val="none"/>
              </w:rPr>
            </w:pPr>
          </w:p>
        </w:tc>
        <w:tc>
          <w:tcPr>
            <w:tcW w:w="1059" w:type="dxa"/>
            <w:tcBorders>
              <w:top w:val="single" w:color="000000" w:sz="4" w:space="0"/>
              <w:left w:val="single" w:color="000000" w:sz="4" w:space="0"/>
              <w:bottom w:val="single" w:color="000000" w:sz="4" w:space="0"/>
              <w:right w:val="single" w:color="000000" w:sz="4" w:space="0"/>
            </w:tcBorders>
            <w:noWrap w:val="0"/>
            <w:vAlign w:val="center"/>
          </w:tcPr>
          <w:p w14:paraId="5CC0D886">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监督抽检</w:t>
            </w:r>
          </w:p>
        </w:tc>
        <w:tc>
          <w:tcPr>
            <w:tcW w:w="45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EAAB83">
            <w:pPr>
              <w:jc w:val="center"/>
              <w:rPr>
                <w:rFonts w:hint="eastAsia" w:ascii="宋体" w:hAnsi="宋体" w:eastAsia="宋体" w:cs="宋体"/>
                <w:i w:val="0"/>
                <w:color w:val="auto"/>
                <w:sz w:val="21"/>
                <w:szCs w:val="21"/>
                <w:u w:val="none"/>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6E59FD17">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540</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50982C8C">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650</w:t>
            </w:r>
          </w:p>
        </w:tc>
        <w:tc>
          <w:tcPr>
            <w:tcW w:w="1211" w:type="dxa"/>
            <w:tcBorders>
              <w:top w:val="single" w:color="000000" w:sz="4" w:space="0"/>
              <w:left w:val="single" w:color="000000" w:sz="4" w:space="0"/>
              <w:bottom w:val="single" w:color="000000" w:sz="4" w:space="0"/>
              <w:right w:val="single" w:color="000000" w:sz="4" w:space="0"/>
            </w:tcBorders>
            <w:noWrap/>
            <w:vAlign w:val="center"/>
          </w:tcPr>
          <w:p w14:paraId="77B59B21">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351000</w:t>
            </w:r>
          </w:p>
        </w:tc>
      </w:tr>
      <w:tr w14:paraId="64F6A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8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0E262D">
            <w:pPr>
              <w:jc w:val="center"/>
              <w:rPr>
                <w:rFonts w:hint="eastAsia" w:ascii="宋体" w:hAnsi="宋体" w:eastAsia="宋体" w:cs="宋体"/>
                <w:i w:val="0"/>
                <w:color w:val="auto"/>
                <w:sz w:val="21"/>
                <w:szCs w:val="21"/>
                <w:u w:val="none"/>
              </w:rPr>
            </w:pPr>
          </w:p>
        </w:tc>
        <w:tc>
          <w:tcPr>
            <w:tcW w:w="832" w:type="dxa"/>
            <w:vMerge w:val="restart"/>
            <w:tcBorders>
              <w:top w:val="single" w:color="000000" w:sz="4" w:space="0"/>
              <w:left w:val="single" w:color="000000" w:sz="4" w:space="0"/>
              <w:bottom w:val="single" w:color="000000" w:sz="4" w:space="0"/>
              <w:right w:val="single" w:color="000000" w:sz="4" w:space="0"/>
            </w:tcBorders>
            <w:noWrap w:val="0"/>
            <w:vAlign w:val="center"/>
          </w:tcPr>
          <w:p w14:paraId="6491B8F3">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畜牧产品</w:t>
            </w:r>
          </w:p>
        </w:tc>
        <w:tc>
          <w:tcPr>
            <w:tcW w:w="1059" w:type="dxa"/>
            <w:tcBorders>
              <w:top w:val="single" w:color="000000" w:sz="4" w:space="0"/>
              <w:left w:val="single" w:color="000000" w:sz="4" w:space="0"/>
              <w:bottom w:val="single" w:color="000000" w:sz="4" w:space="0"/>
              <w:right w:val="single" w:color="000000" w:sz="4" w:space="0"/>
            </w:tcBorders>
            <w:noWrap w:val="0"/>
            <w:vAlign w:val="center"/>
          </w:tcPr>
          <w:p w14:paraId="56B86DF7">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风险监测</w:t>
            </w:r>
          </w:p>
        </w:tc>
        <w:tc>
          <w:tcPr>
            <w:tcW w:w="4559" w:type="dxa"/>
            <w:vMerge w:val="restart"/>
            <w:tcBorders>
              <w:top w:val="single" w:color="000000" w:sz="4" w:space="0"/>
              <w:left w:val="single" w:color="000000" w:sz="4" w:space="0"/>
              <w:bottom w:val="single" w:color="000000" w:sz="4" w:space="0"/>
              <w:right w:val="single" w:color="000000" w:sz="4" w:space="0"/>
            </w:tcBorders>
            <w:noWrap w:val="0"/>
            <w:vAlign w:val="center"/>
          </w:tcPr>
          <w:p w14:paraId="39A6CFD5">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磺胺类、氟苯尼考、氟喹诺酮类、硝基呋喃代谢物、四环素、氯霉素、青霉素、多西环素、土霉素、金霉素、金刚烷胺等，猪牛羊产品加测盐酸克伦特罗、沙丁胺醇、莱克多巴胺、硫酸特布他林、马布特罗、溴布特罗。</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11632E44">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271B4BA3">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750</w:t>
            </w:r>
          </w:p>
        </w:tc>
        <w:tc>
          <w:tcPr>
            <w:tcW w:w="1211" w:type="dxa"/>
            <w:tcBorders>
              <w:top w:val="single" w:color="000000" w:sz="4" w:space="0"/>
              <w:left w:val="single" w:color="000000" w:sz="4" w:space="0"/>
              <w:bottom w:val="single" w:color="000000" w:sz="4" w:space="0"/>
              <w:right w:val="single" w:color="000000" w:sz="4" w:space="0"/>
            </w:tcBorders>
            <w:noWrap/>
            <w:vAlign w:val="center"/>
          </w:tcPr>
          <w:p w14:paraId="1677BFB0">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15000</w:t>
            </w:r>
          </w:p>
        </w:tc>
      </w:tr>
      <w:tr w14:paraId="587E3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trPr>
        <w:tc>
          <w:tcPr>
            <w:tcW w:w="8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948A52">
            <w:pPr>
              <w:jc w:val="center"/>
              <w:rPr>
                <w:rFonts w:hint="eastAsia" w:ascii="宋体" w:hAnsi="宋体" w:eastAsia="宋体" w:cs="宋体"/>
                <w:i w:val="0"/>
                <w:color w:val="auto"/>
                <w:sz w:val="21"/>
                <w:szCs w:val="21"/>
                <w:u w:val="none"/>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292748">
            <w:pPr>
              <w:jc w:val="center"/>
              <w:rPr>
                <w:rFonts w:hint="eastAsia" w:ascii="宋体" w:hAnsi="宋体" w:eastAsia="宋体" w:cs="宋体"/>
                <w:i w:val="0"/>
                <w:color w:val="auto"/>
                <w:sz w:val="21"/>
                <w:szCs w:val="21"/>
                <w:u w:val="none"/>
              </w:rPr>
            </w:pPr>
          </w:p>
        </w:tc>
        <w:tc>
          <w:tcPr>
            <w:tcW w:w="1059" w:type="dxa"/>
            <w:tcBorders>
              <w:top w:val="single" w:color="000000" w:sz="4" w:space="0"/>
              <w:left w:val="single" w:color="000000" w:sz="4" w:space="0"/>
              <w:bottom w:val="single" w:color="000000" w:sz="4" w:space="0"/>
              <w:right w:val="single" w:color="000000" w:sz="4" w:space="0"/>
            </w:tcBorders>
            <w:noWrap w:val="0"/>
            <w:vAlign w:val="center"/>
          </w:tcPr>
          <w:p w14:paraId="3A060C33">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监督抽检</w:t>
            </w:r>
          </w:p>
        </w:tc>
        <w:tc>
          <w:tcPr>
            <w:tcW w:w="45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4BF368">
            <w:pPr>
              <w:jc w:val="center"/>
              <w:rPr>
                <w:rFonts w:hint="eastAsia" w:ascii="宋体" w:hAnsi="宋体" w:eastAsia="宋体" w:cs="宋体"/>
                <w:i w:val="0"/>
                <w:color w:val="auto"/>
                <w:sz w:val="21"/>
                <w:szCs w:val="21"/>
                <w:u w:val="none"/>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4A9E1DC8">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56F801FA">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750</w:t>
            </w:r>
          </w:p>
        </w:tc>
        <w:tc>
          <w:tcPr>
            <w:tcW w:w="1211" w:type="dxa"/>
            <w:tcBorders>
              <w:top w:val="single" w:color="000000" w:sz="4" w:space="0"/>
              <w:left w:val="single" w:color="000000" w:sz="4" w:space="0"/>
              <w:bottom w:val="single" w:color="000000" w:sz="4" w:space="0"/>
              <w:right w:val="single" w:color="000000" w:sz="4" w:space="0"/>
            </w:tcBorders>
            <w:noWrap/>
            <w:vAlign w:val="center"/>
          </w:tcPr>
          <w:p w14:paraId="77915AC4">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15000</w:t>
            </w:r>
          </w:p>
        </w:tc>
      </w:tr>
      <w:tr w14:paraId="706D4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8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86E9F9">
            <w:pPr>
              <w:jc w:val="center"/>
              <w:rPr>
                <w:rFonts w:hint="eastAsia" w:ascii="宋体" w:hAnsi="宋体" w:eastAsia="宋体" w:cs="宋体"/>
                <w:i w:val="0"/>
                <w:color w:val="auto"/>
                <w:sz w:val="21"/>
                <w:szCs w:val="21"/>
                <w:u w:val="none"/>
              </w:rPr>
            </w:pPr>
          </w:p>
        </w:tc>
        <w:tc>
          <w:tcPr>
            <w:tcW w:w="832" w:type="dxa"/>
            <w:vMerge w:val="restart"/>
            <w:tcBorders>
              <w:top w:val="single" w:color="000000" w:sz="4" w:space="0"/>
              <w:left w:val="single" w:color="000000" w:sz="4" w:space="0"/>
              <w:right w:val="single" w:color="000000" w:sz="4" w:space="0"/>
            </w:tcBorders>
            <w:noWrap w:val="0"/>
            <w:vAlign w:val="center"/>
          </w:tcPr>
          <w:p w14:paraId="2A4099B0">
            <w:pPr>
              <w:keepNext w:val="0"/>
              <w:keepLines w:val="0"/>
              <w:widowControl/>
              <w:suppressLineNumbers w:val="0"/>
              <w:jc w:val="center"/>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淡水产品</w:t>
            </w:r>
          </w:p>
          <w:p w14:paraId="22867F78">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1059" w:type="dxa"/>
            <w:tcBorders>
              <w:top w:val="single" w:color="000000" w:sz="4" w:space="0"/>
              <w:left w:val="single" w:color="000000" w:sz="4" w:space="0"/>
              <w:bottom w:val="single" w:color="000000" w:sz="4" w:space="0"/>
              <w:right w:val="single" w:color="000000" w:sz="4" w:space="0"/>
            </w:tcBorders>
            <w:noWrap w:val="0"/>
            <w:vAlign w:val="center"/>
          </w:tcPr>
          <w:p w14:paraId="2709B6DE">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风险监测</w:t>
            </w:r>
          </w:p>
        </w:tc>
        <w:tc>
          <w:tcPr>
            <w:tcW w:w="4559" w:type="dxa"/>
            <w:vMerge w:val="restart"/>
            <w:tcBorders>
              <w:top w:val="single" w:color="000000" w:sz="4" w:space="0"/>
              <w:left w:val="single" w:color="000000" w:sz="4" w:space="0"/>
              <w:bottom w:val="single" w:color="000000" w:sz="4" w:space="0"/>
              <w:right w:val="single" w:color="000000" w:sz="4" w:space="0"/>
            </w:tcBorders>
            <w:noWrap w:val="0"/>
            <w:vAlign w:val="center"/>
          </w:tcPr>
          <w:p w14:paraId="41F6ADB0">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氯霉素、孔雀石绿、硝基呋喃代谢物、洛美沙星、培氟沙星、诺氟沙星、氧氟沙星、地西泮、恩诺沙星和环丙沙星、磺胺类(磺胺嘧啶、磺胺二甲基嘧啶、磺胺间甲氧嘧啶、磺胺甲基异噁唑4种)等。</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1644B294">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479C6668">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719.5</w:t>
            </w:r>
          </w:p>
        </w:tc>
        <w:tc>
          <w:tcPr>
            <w:tcW w:w="1211" w:type="dxa"/>
            <w:tcBorders>
              <w:top w:val="single" w:color="000000" w:sz="4" w:space="0"/>
              <w:left w:val="single" w:color="000000" w:sz="4" w:space="0"/>
              <w:bottom w:val="single" w:color="000000" w:sz="4" w:space="0"/>
              <w:right w:val="single" w:color="000000" w:sz="4" w:space="0"/>
            </w:tcBorders>
            <w:noWrap/>
            <w:vAlign w:val="center"/>
          </w:tcPr>
          <w:p w14:paraId="38B99787">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14390</w:t>
            </w:r>
          </w:p>
        </w:tc>
      </w:tr>
      <w:tr w14:paraId="22E9D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trPr>
        <w:tc>
          <w:tcPr>
            <w:tcW w:w="8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F8F185">
            <w:pPr>
              <w:jc w:val="center"/>
              <w:rPr>
                <w:rFonts w:hint="eastAsia" w:ascii="宋体" w:hAnsi="宋体" w:eastAsia="宋体" w:cs="宋体"/>
                <w:i w:val="0"/>
                <w:color w:val="auto"/>
                <w:sz w:val="21"/>
                <w:szCs w:val="21"/>
                <w:u w:val="none"/>
              </w:rPr>
            </w:pPr>
          </w:p>
        </w:tc>
        <w:tc>
          <w:tcPr>
            <w:tcW w:w="832" w:type="dxa"/>
            <w:vMerge w:val="continue"/>
            <w:tcBorders>
              <w:left w:val="single" w:color="000000" w:sz="4" w:space="0"/>
              <w:bottom w:val="single" w:color="000000" w:sz="4" w:space="0"/>
              <w:right w:val="single" w:color="000000" w:sz="4" w:space="0"/>
            </w:tcBorders>
            <w:noWrap w:val="0"/>
            <w:vAlign w:val="center"/>
          </w:tcPr>
          <w:p w14:paraId="3C84F008">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1059" w:type="dxa"/>
            <w:tcBorders>
              <w:top w:val="single" w:color="000000" w:sz="4" w:space="0"/>
              <w:left w:val="single" w:color="000000" w:sz="4" w:space="0"/>
              <w:bottom w:val="single" w:color="000000" w:sz="4" w:space="0"/>
              <w:right w:val="single" w:color="000000" w:sz="4" w:space="0"/>
            </w:tcBorders>
            <w:noWrap w:val="0"/>
            <w:vAlign w:val="center"/>
          </w:tcPr>
          <w:p w14:paraId="36B50189">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监督抽检</w:t>
            </w:r>
          </w:p>
        </w:tc>
        <w:tc>
          <w:tcPr>
            <w:tcW w:w="45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1D14C1">
            <w:pPr>
              <w:jc w:val="center"/>
              <w:rPr>
                <w:rFonts w:hint="eastAsia" w:ascii="宋体" w:hAnsi="宋体" w:eastAsia="宋体" w:cs="宋体"/>
                <w:i w:val="0"/>
                <w:color w:val="auto"/>
                <w:sz w:val="21"/>
                <w:szCs w:val="21"/>
                <w:u w:val="none"/>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094DBA2D">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62F36A13">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719.5</w:t>
            </w:r>
          </w:p>
        </w:tc>
        <w:tc>
          <w:tcPr>
            <w:tcW w:w="1211" w:type="dxa"/>
            <w:tcBorders>
              <w:top w:val="single" w:color="000000" w:sz="4" w:space="0"/>
              <w:left w:val="single" w:color="000000" w:sz="4" w:space="0"/>
              <w:bottom w:val="single" w:color="000000" w:sz="4" w:space="0"/>
              <w:right w:val="single" w:color="000000" w:sz="4" w:space="0"/>
            </w:tcBorders>
            <w:noWrap/>
            <w:vAlign w:val="center"/>
          </w:tcPr>
          <w:p w14:paraId="65ECCDFA">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14390</w:t>
            </w:r>
          </w:p>
        </w:tc>
      </w:tr>
      <w:tr w14:paraId="1E1EC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8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7F74E8">
            <w:pPr>
              <w:jc w:val="center"/>
              <w:rPr>
                <w:rFonts w:hint="eastAsia" w:ascii="宋体" w:hAnsi="宋体" w:eastAsia="宋体" w:cs="宋体"/>
                <w:i w:val="0"/>
                <w:color w:val="auto"/>
                <w:sz w:val="21"/>
                <w:szCs w:val="21"/>
                <w:u w:val="none"/>
              </w:rPr>
            </w:pPr>
          </w:p>
        </w:tc>
        <w:tc>
          <w:tcPr>
            <w:tcW w:w="832" w:type="dxa"/>
            <w:tcBorders>
              <w:top w:val="single" w:color="000000" w:sz="4" w:space="0"/>
              <w:left w:val="single" w:color="000000" w:sz="4" w:space="0"/>
              <w:bottom w:val="single" w:color="000000" w:sz="4" w:space="0"/>
              <w:right w:val="single" w:color="000000" w:sz="4" w:space="0"/>
            </w:tcBorders>
            <w:noWrap/>
            <w:vAlign w:val="center"/>
          </w:tcPr>
          <w:p w14:paraId="7A5A1580">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合计</w:t>
            </w:r>
          </w:p>
        </w:tc>
        <w:tc>
          <w:tcPr>
            <w:tcW w:w="1059" w:type="dxa"/>
            <w:tcBorders>
              <w:top w:val="single" w:color="000000" w:sz="4" w:space="0"/>
              <w:left w:val="single" w:color="000000" w:sz="4" w:space="0"/>
              <w:bottom w:val="single" w:color="000000" w:sz="4" w:space="0"/>
              <w:right w:val="single" w:color="000000" w:sz="4" w:space="0"/>
            </w:tcBorders>
            <w:noWrap/>
            <w:vAlign w:val="center"/>
          </w:tcPr>
          <w:p w14:paraId="684EE6C5">
            <w:pPr>
              <w:jc w:val="center"/>
              <w:rPr>
                <w:rFonts w:hint="eastAsia" w:ascii="宋体" w:hAnsi="宋体" w:eastAsia="宋体" w:cs="宋体"/>
                <w:i w:val="0"/>
                <w:color w:val="auto"/>
                <w:sz w:val="22"/>
                <w:szCs w:val="22"/>
                <w:u w:val="none"/>
              </w:rPr>
            </w:pPr>
          </w:p>
        </w:tc>
        <w:tc>
          <w:tcPr>
            <w:tcW w:w="4559" w:type="dxa"/>
            <w:tcBorders>
              <w:top w:val="single" w:color="000000" w:sz="4" w:space="0"/>
              <w:left w:val="single" w:color="000000" w:sz="4" w:space="0"/>
              <w:bottom w:val="single" w:color="000000" w:sz="4" w:space="0"/>
              <w:right w:val="single" w:color="000000" w:sz="4" w:space="0"/>
            </w:tcBorders>
            <w:noWrap/>
            <w:vAlign w:val="center"/>
          </w:tcPr>
          <w:p w14:paraId="26C1490D">
            <w:pPr>
              <w:jc w:val="center"/>
              <w:rPr>
                <w:rFonts w:hint="eastAsia" w:ascii="宋体" w:hAnsi="宋体" w:eastAsia="宋体" w:cs="宋体"/>
                <w:i w:val="0"/>
                <w:color w:val="auto"/>
                <w:sz w:val="22"/>
                <w:szCs w:val="22"/>
                <w:u w:val="none"/>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17280DA7">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960</w:t>
            </w: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23BBBA07">
            <w:pPr>
              <w:keepNext w:val="0"/>
              <w:keepLines w:val="0"/>
              <w:widowControl/>
              <w:suppressLineNumbers w:val="0"/>
              <w:jc w:val="center"/>
              <w:textAlignment w:val="center"/>
              <w:rPr>
                <w:rFonts w:hint="eastAsia" w:ascii="宋体" w:hAnsi="宋体" w:eastAsia="宋体" w:cs="宋体"/>
                <w:i w:val="0"/>
                <w:color w:val="auto"/>
                <w:sz w:val="22"/>
                <w:szCs w:val="22"/>
                <w:u w:val="none"/>
              </w:rPr>
            </w:pPr>
          </w:p>
        </w:tc>
        <w:tc>
          <w:tcPr>
            <w:tcW w:w="1211" w:type="dxa"/>
            <w:tcBorders>
              <w:top w:val="single" w:color="000000" w:sz="4" w:space="0"/>
              <w:left w:val="single" w:color="000000" w:sz="4" w:space="0"/>
              <w:bottom w:val="single" w:color="000000" w:sz="4" w:space="0"/>
              <w:right w:val="single" w:color="000000" w:sz="4" w:space="0"/>
            </w:tcBorders>
            <w:noWrap/>
            <w:vAlign w:val="center"/>
          </w:tcPr>
          <w:p w14:paraId="75E0D6AB">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630780</w:t>
            </w:r>
          </w:p>
        </w:tc>
      </w:tr>
    </w:tbl>
    <w:p w14:paraId="3790BB4D">
      <w:pPr>
        <w:keepNext w:val="0"/>
        <w:keepLines w:val="0"/>
        <w:pageBreakBefore w:val="0"/>
        <w:widowControl w:val="0"/>
        <w:kinsoku/>
        <w:wordWrap/>
        <w:overflowPunct/>
        <w:topLinePunct w:val="0"/>
        <w:autoSpaceDE/>
        <w:autoSpaceDN/>
        <w:bidi w:val="0"/>
        <w:adjustRightInd w:val="0"/>
        <w:snapToGrid/>
        <w:ind w:firstLine="482" w:firstLineChars="200"/>
        <w:textAlignment w:val="auto"/>
        <w:rPr>
          <w:rFonts w:hint="eastAsia" w:asciiTheme="minorEastAsia" w:hAnsiTheme="minorEastAsia" w:eastAsiaTheme="minorEastAsia" w:cstheme="minorEastAsia"/>
          <w:b/>
          <w:bCs/>
          <w:color w:val="auto"/>
          <w:kern w:val="0"/>
          <w:sz w:val="24"/>
          <w:szCs w:val="24"/>
          <w:highlight w:val="none"/>
          <w:lang w:eastAsia="zh-CN"/>
        </w:rPr>
      </w:pPr>
      <w:r>
        <w:rPr>
          <w:rFonts w:hint="eastAsia" w:asciiTheme="minorEastAsia" w:hAnsiTheme="minorEastAsia" w:eastAsiaTheme="minorEastAsia" w:cstheme="minorEastAsia"/>
          <w:b/>
          <w:bCs/>
          <w:color w:val="auto"/>
          <w:kern w:val="0"/>
          <w:sz w:val="24"/>
          <w:szCs w:val="24"/>
          <w:highlight w:val="none"/>
          <w:lang w:eastAsia="zh-CN"/>
        </w:rPr>
        <w:t>注：报价时均不能超过预算单价，否则响应无效。</w:t>
      </w:r>
    </w:p>
    <w:p w14:paraId="63ECEE9F">
      <w:pPr>
        <w:keepNext/>
        <w:keepLines/>
        <w:tabs>
          <w:tab w:val="left" w:pos="180"/>
          <w:tab w:val="left" w:pos="1620"/>
        </w:tabs>
        <w:spacing w:line="400" w:lineRule="exact"/>
        <w:rPr>
          <w:rFonts w:ascii="宋体" w:hAnsi="宋体" w:cs="宋体"/>
          <w:color w:val="auto"/>
          <w:szCs w:val="21"/>
        </w:rPr>
      </w:pPr>
      <w:r>
        <w:rPr>
          <w:rFonts w:hint="eastAsia" w:ascii="宋体" w:hAnsi="宋体" w:cs="宋体"/>
          <w:color w:val="auto"/>
          <w:szCs w:val="21"/>
        </w:rPr>
        <w:t>附表</w:t>
      </w:r>
      <w:r>
        <w:rPr>
          <w:rFonts w:hint="eastAsia" w:ascii="宋体" w:hAnsi="宋体" w:cs="宋体"/>
          <w:color w:val="auto"/>
          <w:szCs w:val="21"/>
          <w:lang w:val="en-US" w:eastAsia="zh-CN"/>
        </w:rPr>
        <w:t>2</w:t>
      </w:r>
      <w:r>
        <w:rPr>
          <w:rFonts w:hint="eastAsia" w:ascii="宋体" w:hAnsi="宋体" w:cs="宋体"/>
          <w:color w:val="auto"/>
          <w:szCs w:val="21"/>
        </w:rPr>
        <w:t>：</w:t>
      </w:r>
    </w:p>
    <w:p w14:paraId="0DEC4DF9">
      <w:pPr>
        <w:pStyle w:val="407"/>
        <w:keepNext/>
        <w:keepLines/>
        <w:spacing w:line="360" w:lineRule="auto"/>
        <w:jc w:val="center"/>
        <w:rPr>
          <w:rFonts w:ascii="宋体" w:hAnsi="宋体" w:cs="宋体"/>
          <w:b/>
          <w:color w:val="auto"/>
        </w:rPr>
      </w:pPr>
      <w:r>
        <w:rPr>
          <w:rFonts w:hint="eastAsia" w:ascii="宋体" w:hAnsi="宋体" w:cs="宋体"/>
          <w:b/>
          <w:color w:val="auto"/>
        </w:rPr>
        <w:t>广西壮族自治区政府采购项目验收考核评分表</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61"/>
        <w:gridCol w:w="1437"/>
        <w:gridCol w:w="1701"/>
        <w:gridCol w:w="1371"/>
      </w:tblGrid>
      <w:tr w14:paraId="770CE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5061" w:type="dxa"/>
            <w:vMerge w:val="restart"/>
            <w:noWrap w:val="0"/>
            <w:vAlign w:val="center"/>
          </w:tcPr>
          <w:p w14:paraId="08CA7EC0">
            <w:pPr>
              <w:pStyle w:val="407"/>
              <w:keepNext/>
              <w:keepLines/>
              <w:spacing w:line="360" w:lineRule="auto"/>
              <w:jc w:val="center"/>
              <w:rPr>
                <w:rFonts w:ascii="宋体" w:hAnsi="宋体" w:cs="宋体"/>
                <w:color w:val="auto"/>
                <w:sz w:val="21"/>
                <w:szCs w:val="21"/>
              </w:rPr>
            </w:pPr>
            <w:r>
              <w:rPr>
                <w:rFonts w:hint="eastAsia" w:ascii="宋体" w:hAnsi="宋体" w:cs="宋体"/>
                <w:color w:val="auto"/>
                <w:sz w:val="21"/>
                <w:szCs w:val="21"/>
              </w:rPr>
              <w:t>评价指标（满分100分）</w:t>
            </w:r>
          </w:p>
        </w:tc>
        <w:tc>
          <w:tcPr>
            <w:tcW w:w="4509" w:type="dxa"/>
            <w:gridSpan w:val="3"/>
            <w:noWrap w:val="0"/>
            <w:vAlign w:val="center"/>
          </w:tcPr>
          <w:p w14:paraId="46454EC3">
            <w:pPr>
              <w:pStyle w:val="407"/>
              <w:keepNext/>
              <w:keepLines/>
              <w:spacing w:line="360" w:lineRule="auto"/>
              <w:rPr>
                <w:rFonts w:ascii="宋体" w:hAnsi="宋体" w:cs="宋体"/>
                <w:color w:val="auto"/>
                <w:sz w:val="21"/>
                <w:szCs w:val="21"/>
              </w:rPr>
            </w:pPr>
            <w:r>
              <w:rPr>
                <w:rFonts w:hint="eastAsia" w:ascii="宋体" w:hAnsi="宋体" w:cs="宋体"/>
                <w:color w:val="auto"/>
                <w:sz w:val="21"/>
                <w:szCs w:val="21"/>
              </w:rPr>
              <w:t>得分</w:t>
            </w:r>
          </w:p>
        </w:tc>
      </w:tr>
      <w:tr w14:paraId="5A9F0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61" w:type="dxa"/>
            <w:vMerge w:val="continue"/>
            <w:noWrap w:val="0"/>
            <w:vAlign w:val="center"/>
          </w:tcPr>
          <w:p w14:paraId="016CFF9D">
            <w:pPr>
              <w:pStyle w:val="407"/>
              <w:keepNext/>
              <w:keepLines/>
              <w:spacing w:line="360" w:lineRule="auto"/>
              <w:rPr>
                <w:rFonts w:ascii="宋体" w:hAnsi="宋体" w:cs="宋体"/>
                <w:color w:val="auto"/>
                <w:sz w:val="21"/>
                <w:szCs w:val="21"/>
              </w:rPr>
            </w:pPr>
          </w:p>
        </w:tc>
        <w:tc>
          <w:tcPr>
            <w:tcW w:w="1437" w:type="dxa"/>
            <w:noWrap w:val="0"/>
            <w:vAlign w:val="center"/>
          </w:tcPr>
          <w:p w14:paraId="2872E9D1">
            <w:pPr>
              <w:pStyle w:val="407"/>
              <w:keepNext/>
              <w:keepLines/>
              <w:spacing w:line="360" w:lineRule="auto"/>
              <w:rPr>
                <w:rFonts w:ascii="宋体" w:hAnsi="宋体" w:cs="宋体"/>
                <w:color w:val="auto"/>
                <w:sz w:val="21"/>
                <w:szCs w:val="21"/>
              </w:rPr>
            </w:pPr>
            <w:r>
              <w:rPr>
                <w:rFonts w:hint="eastAsia" w:ascii="宋体" w:hAnsi="宋体" w:cs="宋体"/>
                <w:color w:val="auto"/>
                <w:sz w:val="21"/>
                <w:szCs w:val="21"/>
              </w:rPr>
              <w:t>合同编号：</w:t>
            </w:r>
          </w:p>
        </w:tc>
        <w:tc>
          <w:tcPr>
            <w:tcW w:w="3072" w:type="dxa"/>
            <w:gridSpan w:val="2"/>
            <w:noWrap w:val="0"/>
            <w:vAlign w:val="center"/>
          </w:tcPr>
          <w:p w14:paraId="229FC130">
            <w:pPr>
              <w:pStyle w:val="407"/>
              <w:keepNext/>
              <w:keepLines/>
              <w:spacing w:line="360" w:lineRule="auto"/>
              <w:rPr>
                <w:rFonts w:ascii="宋体" w:hAnsi="宋体" w:cs="宋体"/>
                <w:color w:val="auto"/>
                <w:sz w:val="21"/>
                <w:szCs w:val="21"/>
              </w:rPr>
            </w:pPr>
          </w:p>
        </w:tc>
      </w:tr>
      <w:tr w14:paraId="5334B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0" w:type="dxa"/>
            <w:gridSpan w:val="4"/>
            <w:noWrap w:val="0"/>
            <w:vAlign w:val="top"/>
          </w:tcPr>
          <w:p w14:paraId="7BB01849">
            <w:pPr>
              <w:pStyle w:val="407"/>
              <w:keepNext/>
              <w:keepLines/>
              <w:spacing w:line="360" w:lineRule="auto"/>
              <w:rPr>
                <w:rFonts w:ascii="宋体" w:hAnsi="宋体" w:cs="宋体"/>
                <w:color w:val="auto"/>
                <w:sz w:val="21"/>
                <w:szCs w:val="21"/>
              </w:rPr>
            </w:pPr>
            <w:r>
              <w:rPr>
                <w:rFonts w:hint="eastAsia" w:ascii="宋体" w:hAnsi="宋体" w:cs="宋体"/>
                <w:color w:val="auto"/>
                <w:sz w:val="21"/>
                <w:szCs w:val="21"/>
              </w:rPr>
              <w:t>一、服务效果（10分）</w:t>
            </w:r>
          </w:p>
        </w:tc>
      </w:tr>
      <w:tr w14:paraId="1E67D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61" w:type="dxa"/>
            <w:noWrap w:val="0"/>
            <w:vAlign w:val="top"/>
          </w:tcPr>
          <w:p w14:paraId="14EB5263">
            <w:pPr>
              <w:pStyle w:val="407"/>
              <w:keepNext/>
              <w:keepLines/>
              <w:spacing w:line="360" w:lineRule="auto"/>
              <w:rPr>
                <w:rFonts w:ascii="宋体" w:hAnsi="宋体" w:cs="宋体"/>
                <w:color w:val="auto"/>
                <w:sz w:val="21"/>
                <w:szCs w:val="21"/>
              </w:rPr>
            </w:pPr>
            <w:r>
              <w:rPr>
                <w:rFonts w:hint="eastAsia" w:ascii="宋体" w:hAnsi="宋体" w:cs="宋体"/>
                <w:color w:val="auto"/>
                <w:sz w:val="21"/>
                <w:szCs w:val="21"/>
              </w:rPr>
              <w:t>服务方案执行完全的程度及现场检查结果（10分，视服务方案执行情况、采购人组织的现场检查结果综合评分。其中：服务方案执行完全的程度占5分，现场检查结果占5分）</w:t>
            </w:r>
          </w:p>
        </w:tc>
        <w:tc>
          <w:tcPr>
            <w:tcW w:w="1437" w:type="dxa"/>
            <w:noWrap w:val="0"/>
            <w:vAlign w:val="top"/>
          </w:tcPr>
          <w:p w14:paraId="1DA0FA99">
            <w:pPr>
              <w:pStyle w:val="407"/>
              <w:keepNext/>
              <w:keepLines/>
              <w:spacing w:line="360" w:lineRule="auto"/>
              <w:rPr>
                <w:rFonts w:ascii="宋体" w:hAnsi="宋体" w:cs="宋体"/>
                <w:color w:val="auto"/>
                <w:sz w:val="21"/>
                <w:szCs w:val="21"/>
              </w:rPr>
            </w:pPr>
          </w:p>
        </w:tc>
        <w:tc>
          <w:tcPr>
            <w:tcW w:w="1701" w:type="dxa"/>
            <w:noWrap w:val="0"/>
            <w:vAlign w:val="top"/>
          </w:tcPr>
          <w:p w14:paraId="34B9ADCD">
            <w:pPr>
              <w:pStyle w:val="407"/>
              <w:keepNext/>
              <w:keepLines/>
              <w:spacing w:line="360" w:lineRule="auto"/>
              <w:rPr>
                <w:rFonts w:ascii="宋体" w:hAnsi="宋体" w:cs="宋体"/>
                <w:color w:val="auto"/>
                <w:sz w:val="21"/>
                <w:szCs w:val="21"/>
              </w:rPr>
            </w:pPr>
          </w:p>
        </w:tc>
        <w:tc>
          <w:tcPr>
            <w:tcW w:w="1371" w:type="dxa"/>
            <w:noWrap w:val="0"/>
            <w:vAlign w:val="top"/>
          </w:tcPr>
          <w:p w14:paraId="71AF64CA">
            <w:pPr>
              <w:pStyle w:val="407"/>
              <w:keepNext/>
              <w:keepLines/>
              <w:spacing w:line="360" w:lineRule="auto"/>
              <w:rPr>
                <w:rFonts w:ascii="宋体" w:hAnsi="宋体" w:cs="宋体"/>
                <w:color w:val="auto"/>
                <w:sz w:val="21"/>
                <w:szCs w:val="21"/>
              </w:rPr>
            </w:pPr>
          </w:p>
        </w:tc>
      </w:tr>
      <w:tr w14:paraId="43141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0" w:type="dxa"/>
            <w:gridSpan w:val="4"/>
            <w:noWrap w:val="0"/>
            <w:vAlign w:val="top"/>
          </w:tcPr>
          <w:p w14:paraId="61060D30">
            <w:pPr>
              <w:pStyle w:val="407"/>
              <w:keepNext/>
              <w:keepLines/>
              <w:spacing w:line="360" w:lineRule="auto"/>
              <w:rPr>
                <w:rFonts w:ascii="宋体" w:hAnsi="宋体" w:cs="宋体"/>
                <w:color w:val="auto"/>
                <w:sz w:val="21"/>
                <w:szCs w:val="21"/>
              </w:rPr>
            </w:pPr>
            <w:r>
              <w:rPr>
                <w:rFonts w:hint="eastAsia" w:ascii="宋体" w:hAnsi="宋体" w:cs="宋体"/>
                <w:color w:val="auto"/>
                <w:sz w:val="21"/>
                <w:szCs w:val="21"/>
              </w:rPr>
              <w:t>二、报告质量（30分）</w:t>
            </w:r>
          </w:p>
        </w:tc>
      </w:tr>
      <w:tr w14:paraId="6ED25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61" w:type="dxa"/>
            <w:noWrap w:val="0"/>
            <w:vAlign w:val="top"/>
          </w:tcPr>
          <w:p w14:paraId="1B50D5B8">
            <w:pPr>
              <w:pStyle w:val="407"/>
              <w:keepNext/>
              <w:keepLines/>
              <w:spacing w:line="360" w:lineRule="auto"/>
              <w:rPr>
                <w:rFonts w:ascii="宋体" w:hAnsi="宋体" w:cs="宋体"/>
                <w:color w:val="auto"/>
                <w:sz w:val="21"/>
                <w:szCs w:val="21"/>
              </w:rPr>
            </w:pPr>
            <w:r>
              <w:rPr>
                <w:rFonts w:hint="eastAsia" w:ascii="宋体" w:hAnsi="宋体" w:cs="宋体"/>
                <w:color w:val="auto"/>
                <w:sz w:val="21"/>
                <w:szCs w:val="21"/>
              </w:rPr>
              <w:t>按要求完成阶段性总结或风险分析汇总报告情况（15分，视报告的时效、方案的要求及分析材料质量评分）</w:t>
            </w:r>
          </w:p>
        </w:tc>
        <w:tc>
          <w:tcPr>
            <w:tcW w:w="1437" w:type="dxa"/>
            <w:noWrap w:val="0"/>
            <w:vAlign w:val="top"/>
          </w:tcPr>
          <w:p w14:paraId="3A463A64">
            <w:pPr>
              <w:pStyle w:val="407"/>
              <w:keepNext/>
              <w:keepLines/>
              <w:spacing w:line="360" w:lineRule="auto"/>
              <w:rPr>
                <w:rFonts w:ascii="宋体" w:hAnsi="宋体" w:cs="宋体"/>
                <w:color w:val="auto"/>
                <w:sz w:val="21"/>
                <w:szCs w:val="21"/>
              </w:rPr>
            </w:pPr>
          </w:p>
        </w:tc>
        <w:tc>
          <w:tcPr>
            <w:tcW w:w="1701" w:type="dxa"/>
            <w:noWrap w:val="0"/>
            <w:vAlign w:val="top"/>
          </w:tcPr>
          <w:p w14:paraId="36EC4983">
            <w:pPr>
              <w:pStyle w:val="407"/>
              <w:keepNext/>
              <w:keepLines/>
              <w:spacing w:line="360" w:lineRule="auto"/>
              <w:rPr>
                <w:rFonts w:ascii="宋体" w:hAnsi="宋体" w:cs="宋体"/>
                <w:color w:val="auto"/>
                <w:sz w:val="21"/>
                <w:szCs w:val="21"/>
              </w:rPr>
            </w:pPr>
          </w:p>
        </w:tc>
        <w:tc>
          <w:tcPr>
            <w:tcW w:w="1371" w:type="dxa"/>
            <w:noWrap w:val="0"/>
            <w:vAlign w:val="top"/>
          </w:tcPr>
          <w:p w14:paraId="489153A8">
            <w:pPr>
              <w:pStyle w:val="407"/>
              <w:keepNext/>
              <w:keepLines/>
              <w:spacing w:line="360" w:lineRule="auto"/>
              <w:rPr>
                <w:rFonts w:ascii="宋体" w:hAnsi="宋体" w:cs="宋体"/>
                <w:color w:val="auto"/>
                <w:sz w:val="21"/>
                <w:szCs w:val="21"/>
              </w:rPr>
            </w:pPr>
          </w:p>
        </w:tc>
      </w:tr>
      <w:tr w14:paraId="2A1F6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61" w:type="dxa"/>
            <w:noWrap w:val="0"/>
            <w:vAlign w:val="top"/>
          </w:tcPr>
          <w:p w14:paraId="66B640AE">
            <w:pPr>
              <w:pStyle w:val="407"/>
              <w:keepNext/>
              <w:keepLines/>
              <w:spacing w:line="360" w:lineRule="auto"/>
              <w:rPr>
                <w:rFonts w:ascii="宋体" w:hAnsi="宋体" w:cs="宋体"/>
                <w:color w:val="auto"/>
                <w:sz w:val="21"/>
                <w:szCs w:val="21"/>
              </w:rPr>
            </w:pPr>
            <w:r>
              <w:rPr>
                <w:rFonts w:hint="eastAsia" w:ascii="宋体" w:hAnsi="宋体" w:cs="宋体"/>
                <w:color w:val="auto"/>
                <w:sz w:val="21"/>
                <w:szCs w:val="21"/>
              </w:rPr>
              <w:t>按要求出具检验报告情况（15分，视出报告的时间、内容是否符合方案要求评分）</w:t>
            </w:r>
          </w:p>
        </w:tc>
        <w:tc>
          <w:tcPr>
            <w:tcW w:w="1437" w:type="dxa"/>
            <w:noWrap w:val="0"/>
            <w:vAlign w:val="top"/>
          </w:tcPr>
          <w:p w14:paraId="3973839D">
            <w:pPr>
              <w:pStyle w:val="407"/>
              <w:keepNext/>
              <w:keepLines/>
              <w:spacing w:line="360" w:lineRule="auto"/>
              <w:rPr>
                <w:rFonts w:ascii="宋体" w:hAnsi="宋体" w:cs="宋体"/>
                <w:color w:val="auto"/>
                <w:sz w:val="21"/>
                <w:szCs w:val="21"/>
              </w:rPr>
            </w:pPr>
          </w:p>
        </w:tc>
        <w:tc>
          <w:tcPr>
            <w:tcW w:w="1701" w:type="dxa"/>
            <w:noWrap w:val="0"/>
            <w:vAlign w:val="top"/>
          </w:tcPr>
          <w:p w14:paraId="6159FFFF">
            <w:pPr>
              <w:pStyle w:val="407"/>
              <w:keepNext/>
              <w:keepLines/>
              <w:spacing w:line="360" w:lineRule="auto"/>
              <w:rPr>
                <w:rFonts w:ascii="宋体" w:hAnsi="宋体" w:cs="宋体"/>
                <w:color w:val="auto"/>
                <w:sz w:val="21"/>
                <w:szCs w:val="21"/>
              </w:rPr>
            </w:pPr>
          </w:p>
        </w:tc>
        <w:tc>
          <w:tcPr>
            <w:tcW w:w="1371" w:type="dxa"/>
            <w:noWrap w:val="0"/>
            <w:vAlign w:val="top"/>
          </w:tcPr>
          <w:p w14:paraId="5FAC5162">
            <w:pPr>
              <w:pStyle w:val="407"/>
              <w:keepNext/>
              <w:keepLines/>
              <w:spacing w:line="360" w:lineRule="auto"/>
              <w:rPr>
                <w:rFonts w:ascii="宋体" w:hAnsi="宋体" w:cs="宋体"/>
                <w:color w:val="auto"/>
                <w:sz w:val="21"/>
                <w:szCs w:val="21"/>
              </w:rPr>
            </w:pPr>
          </w:p>
        </w:tc>
      </w:tr>
      <w:tr w14:paraId="1F071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0" w:type="dxa"/>
            <w:gridSpan w:val="4"/>
            <w:noWrap w:val="0"/>
            <w:vAlign w:val="top"/>
          </w:tcPr>
          <w:p w14:paraId="263DF477">
            <w:pPr>
              <w:pStyle w:val="407"/>
              <w:keepNext/>
              <w:keepLines/>
              <w:spacing w:line="360" w:lineRule="auto"/>
              <w:rPr>
                <w:rFonts w:ascii="宋体" w:hAnsi="宋体" w:cs="宋体"/>
                <w:color w:val="auto"/>
                <w:sz w:val="21"/>
                <w:szCs w:val="21"/>
              </w:rPr>
            </w:pPr>
            <w:r>
              <w:rPr>
                <w:rFonts w:hint="eastAsia" w:ascii="宋体" w:hAnsi="宋体" w:cs="宋体"/>
                <w:color w:val="auto"/>
                <w:sz w:val="21"/>
                <w:szCs w:val="21"/>
              </w:rPr>
              <w:t>三、数据溯源（10分）</w:t>
            </w:r>
          </w:p>
        </w:tc>
      </w:tr>
      <w:tr w14:paraId="7B90D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61" w:type="dxa"/>
            <w:noWrap w:val="0"/>
            <w:vAlign w:val="top"/>
          </w:tcPr>
          <w:p w14:paraId="0228225A">
            <w:pPr>
              <w:pStyle w:val="407"/>
              <w:keepNext/>
              <w:keepLines/>
              <w:spacing w:line="360" w:lineRule="auto"/>
              <w:rPr>
                <w:rFonts w:ascii="宋体" w:hAnsi="宋体" w:cs="宋体"/>
                <w:color w:val="auto"/>
                <w:sz w:val="21"/>
                <w:szCs w:val="21"/>
              </w:rPr>
            </w:pPr>
            <w:r>
              <w:rPr>
                <w:rFonts w:hint="eastAsia" w:ascii="宋体" w:hAnsi="宋体" w:cs="宋体"/>
                <w:color w:val="auto"/>
                <w:sz w:val="21"/>
                <w:szCs w:val="21"/>
              </w:rPr>
              <w:t>从样品抽取到出具报告环节涉及数据信息的溯源性（10 分，视样品抽样到检测环节的流转记录、按标准正确操作、标准物质管理、原始报告记录和出具报告相关数据溯源性评分）</w:t>
            </w:r>
          </w:p>
        </w:tc>
        <w:tc>
          <w:tcPr>
            <w:tcW w:w="1437" w:type="dxa"/>
            <w:noWrap w:val="0"/>
            <w:vAlign w:val="top"/>
          </w:tcPr>
          <w:p w14:paraId="44C14843">
            <w:pPr>
              <w:pStyle w:val="407"/>
              <w:keepNext/>
              <w:keepLines/>
              <w:spacing w:line="360" w:lineRule="auto"/>
              <w:rPr>
                <w:rFonts w:ascii="宋体" w:hAnsi="宋体" w:cs="宋体"/>
                <w:color w:val="auto"/>
                <w:sz w:val="21"/>
                <w:szCs w:val="21"/>
              </w:rPr>
            </w:pPr>
          </w:p>
        </w:tc>
        <w:tc>
          <w:tcPr>
            <w:tcW w:w="1701" w:type="dxa"/>
            <w:noWrap w:val="0"/>
            <w:vAlign w:val="top"/>
          </w:tcPr>
          <w:p w14:paraId="42596A2A">
            <w:pPr>
              <w:pStyle w:val="407"/>
              <w:keepNext/>
              <w:keepLines/>
              <w:spacing w:line="360" w:lineRule="auto"/>
              <w:rPr>
                <w:rFonts w:ascii="宋体" w:hAnsi="宋体" w:cs="宋体"/>
                <w:color w:val="auto"/>
                <w:sz w:val="21"/>
                <w:szCs w:val="21"/>
              </w:rPr>
            </w:pPr>
          </w:p>
        </w:tc>
        <w:tc>
          <w:tcPr>
            <w:tcW w:w="1371" w:type="dxa"/>
            <w:noWrap w:val="0"/>
            <w:vAlign w:val="top"/>
          </w:tcPr>
          <w:p w14:paraId="1824B67D">
            <w:pPr>
              <w:pStyle w:val="407"/>
              <w:keepNext/>
              <w:keepLines/>
              <w:spacing w:line="360" w:lineRule="auto"/>
              <w:rPr>
                <w:rFonts w:ascii="宋体" w:hAnsi="宋体" w:cs="宋体"/>
                <w:color w:val="auto"/>
                <w:sz w:val="21"/>
                <w:szCs w:val="21"/>
              </w:rPr>
            </w:pPr>
          </w:p>
        </w:tc>
      </w:tr>
      <w:tr w14:paraId="108EC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0" w:type="dxa"/>
            <w:gridSpan w:val="4"/>
            <w:noWrap w:val="0"/>
            <w:vAlign w:val="top"/>
          </w:tcPr>
          <w:p w14:paraId="0C2EECDA">
            <w:pPr>
              <w:pStyle w:val="407"/>
              <w:keepNext/>
              <w:keepLines/>
              <w:spacing w:line="360" w:lineRule="auto"/>
              <w:rPr>
                <w:rFonts w:ascii="宋体" w:hAnsi="宋体" w:cs="宋体"/>
                <w:color w:val="auto"/>
                <w:sz w:val="21"/>
                <w:szCs w:val="21"/>
              </w:rPr>
            </w:pPr>
            <w:r>
              <w:rPr>
                <w:rFonts w:hint="eastAsia" w:ascii="宋体" w:hAnsi="宋体" w:cs="宋体"/>
                <w:color w:val="auto"/>
                <w:sz w:val="21"/>
                <w:szCs w:val="21"/>
              </w:rPr>
              <w:t>四、完成任务情况（40分）</w:t>
            </w:r>
          </w:p>
        </w:tc>
      </w:tr>
      <w:tr w14:paraId="66322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61" w:type="dxa"/>
            <w:noWrap w:val="0"/>
            <w:vAlign w:val="top"/>
          </w:tcPr>
          <w:p w14:paraId="682CB0CB">
            <w:pPr>
              <w:pStyle w:val="407"/>
              <w:keepNext/>
              <w:keepLines/>
              <w:spacing w:line="360" w:lineRule="auto"/>
              <w:rPr>
                <w:rFonts w:ascii="宋体" w:hAnsi="宋体" w:cs="宋体"/>
                <w:color w:val="auto"/>
                <w:sz w:val="21"/>
                <w:szCs w:val="21"/>
              </w:rPr>
            </w:pPr>
            <w:r>
              <w:rPr>
                <w:rFonts w:hint="eastAsia" w:ascii="宋体" w:hAnsi="宋体" w:cs="宋体"/>
                <w:color w:val="auto"/>
                <w:sz w:val="21"/>
                <w:szCs w:val="21"/>
              </w:rPr>
              <w:t>抽制样品是否具代表性、客观性、科学性</w:t>
            </w:r>
          </w:p>
          <w:p w14:paraId="14578E5D">
            <w:pPr>
              <w:pStyle w:val="407"/>
              <w:keepNext/>
              <w:keepLines/>
              <w:spacing w:line="360" w:lineRule="auto"/>
              <w:rPr>
                <w:rFonts w:ascii="宋体" w:hAnsi="宋体" w:cs="宋体"/>
                <w:color w:val="auto"/>
                <w:sz w:val="21"/>
                <w:szCs w:val="21"/>
              </w:rPr>
            </w:pPr>
            <w:r>
              <w:rPr>
                <w:rFonts w:hint="eastAsia" w:ascii="宋体" w:hAnsi="宋体" w:cs="宋体"/>
                <w:color w:val="auto"/>
                <w:sz w:val="21"/>
                <w:szCs w:val="21"/>
              </w:rPr>
              <w:t>（10 分，视按方案要求抽样和制样评分）</w:t>
            </w:r>
          </w:p>
        </w:tc>
        <w:tc>
          <w:tcPr>
            <w:tcW w:w="1437" w:type="dxa"/>
            <w:noWrap w:val="0"/>
            <w:vAlign w:val="top"/>
          </w:tcPr>
          <w:p w14:paraId="2C9B64A5">
            <w:pPr>
              <w:pStyle w:val="407"/>
              <w:keepNext/>
              <w:keepLines/>
              <w:spacing w:line="360" w:lineRule="auto"/>
              <w:rPr>
                <w:rFonts w:ascii="宋体" w:hAnsi="宋体" w:cs="宋体"/>
                <w:color w:val="auto"/>
                <w:sz w:val="21"/>
                <w:szCs w:val="21"/>
              </w:rPr>
            </w:pPr>
          </w:p>
        </w:tc>
        <w:tc>
          <w:tcPr>
            <w:tcW w:w="1701" w:type="dxa"/>
            <w:noWrap w:val="0"/>
            <w:vAlign w:val="top"/>
          </w:tcPr>
          <w:p w14:paraId="05AA15DD">
            <w:pPr>
              <w:pStyle w:val="407"/>
              <w:keepNext/>
              <w:keepLines/>
              <w:spacing w:line="360" w:lineRule="auto"/>
              <w:rPr>
                <w:rFonts w:ascii="宋体" w:hAnsi="宋体" w:cs="宋体"/>
                <w:color w:val="auto"/>
                <w:sz w:val="21"/>
                <w:szCs w:val="21"/>
              </w:rPr>
            </w:pPr>
          </w:p>
        </w:tc>
        <w:tc>
          <w:tcPr>
            <w:tcW w:w="1371" w:type="dxa"/>
            <w:noWrap w:val="0"/>
            <w:vAlign w:val="top"/>
          </w:tcPr>
          <w:p w14:paraId="7FA48382">
            <w:pPr>
              <w:pStyle w:val="407"/>
              <w:keepNext/>
              <w:keepLines/>
              <w:spacing w:line="360" w:lineRule="auto"/>
              <w:rPr>
                <w:rFonts w:ascii="宋体" w:hAnsi="宋体" w:cs="宋体"/>
                <w:color w:val="auto"/>
                <w:sz w:val="21"/>
                <w:szCs w:val="21"/>
              </w:rPr>
            </w:pPr>
          </w:p>
        </w:tc>
      </w:tr>
      <w:tr w14:paraId="4D896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61" w:type="dxa"/>
            <w:noWrap w:val="0"/>
            <w:vAlign w:val="top"/>
          </w:tcPr>
          <w:p w14:paraId="65C7A51F">
            <w:pPr>
              <w:pStyle w:val="407"/>
              <w:keepNext/>
              <w:keepLines/>
              <w:spacing w:line="360" w:lineRule="auto"/>
              <w:rPr>
                <w:rFonts w:ascii="宋体" w:hAnsi="宋体" w:cs="宋体"/>
                <w:color w:val="auto"/>
                <w:sz w:val="21"/>
                <w:szCs w:val="21"/>
              </w:rPr>
            </w:pPr>
            <w:r>
              <w:rPr>
                <w:rFonts w:hint="eastAsia" w:ascii="宋体" w:hAnsi="宋体" w:cs="宋体"/>
                <w:color w:val="auto"/>
                <w:sz w:val="21"/>
                <w:szCs w:val="21"/>
              </w:rPr>
              <w:t>检测时间是否符合任务的时效性（10 分）</w:t>
            </w:r>
          </w:p>
        </w:tc>
        <w:tc>
          <w:tcPr>
            <w:tcW w:w="1437" w:type="dxa"/>
            <w:noWrap w:val="0"/>
            <w:vAlign w:val="top"/>
          </w:tcPr>
          <w:p w14:paraId="37353382">
            <w:pPr>
              <w:pStyle w:val="407"/>
              <w:keepNext/>
              <w:keepLines/>
              <w:spacing w:line="360" w:lineRule="auto"/>
              <w:rPr>
                <w:rFonts w:ascii="宋体" w:hAnsi="宋体" w:cs="宋体"/>
                <w:color w:val="auto"/>
                <w:sz w:val="21"/>
                <w:szCs w:val="21"/>
              </w:rPr>
            </w:pPr>
          </w:p>
        </w:tc>
        <w:tc>
          <w:tcPr>
            <w:tcW w:w="1701" w:type="dxa"/>
            <w:noWrap w:val="0"/>
            <w:vAlign w:val="top"/>
          </w:tcPr>
          <w:p w14:paraId="647B2CCF">
            <w:pPr>
              <w:pStyle w:val="407"/>
              <w:keepNext/>
              <w:keepLines/>
              <w:spacing w:line="360" w:lineRule="auto"/>
              <w:rPr>
                <w:rFonts w:ascii="宋体" w:hAnsi="宋体" w:cs="宋体"/>
                <w:color w:val="auto"/>
                <w:sz w:val="21"/>
                <w:szCs w:val="21"/>
              </w:rPr>
            </w:pPr>
          </w:p>
        </w:tc>
        <w:tc>
          <w:tcPr>
            <w:tcW w:w="1371" w:type="dxa"/>
            <w:noWrap w:val="0"/>
            <w:vAlign w:val="top"/>
          </w:tcPr>
          <w:p w14:paraId="5DABF9EF">
            <w:pPr>
              <w:pStyle w:val="407"/>
              <w:keepNext/>
              <w:keepLines/>
              <w:spacing w:line="360" w:lineRule="auto"/>
              <w:rPr>
                <w:rFonts w:ascii="宋体" w:hAnsi="宋体" w:cs="宋体"/>
                <w:color w:val="auto"/>
                <w:sz w:val="21"/>
                <w:szCs w:val="21"/>
              </w:rPr>
            </w:pPr>
          </w:p>
        </w:tc>
      </w:tr>
      <w:tr w14:paraId="28B0E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61" w:type="dxa"/>
            <w:noWrap w:val="0"/>
            <w:vAlign w:val="top"/>
          </w:tcPr>
          <w:p w14:paraId="4FDBAEDC">
            <w:pPr>
              <w:pStyle w:val="407"/>
              <w:keepNext/>
              <w:keepLines/>
              <w:spacing w:line="360" w:lineRule="auto"/>
              <w:rPr>
                <w:rFonts w:ascii="宋体" w:hAnsi="宋体" w:cs="宋体"/>
                <w:color w:val="auto"/>
                <w:sz w:val="21"/>
                <w:szCs w:val="21"/>
              </w:rPr>
            </w:pPr>
            <w:r>
              <w:rPr>
                <w:rFonts w:hint="eastAsia" w:ascii="宋体" w:hAnsi="宋体" w:cs="宋体"/>
                <w:color w:val="auto"/>
                <w:sz w:val="21"/>
                <w:szCs w:val="21"/>
              </w:rPr>
              <w:t>检测过程采用的质量控制措施、频次是否有效和完善（10 分，视检测过程中的质量控制情况计分）</w:t>
            </w:r>
          </w:p>
        </w:tc>
        <w:tc>
          <w:tcPr>
            <w:tcW w:w="1437" w:type="dxa"/>
            <w:noWrap w:val="0"/>
            <w:vAlign w:val="top"/>
          </w:tcPr>
          <w:p w14:paraId="52B9D431">
            <w:pPr>
              <w:pStyle w:val="407"/>
              <w:keepNext/>
              <w:keepLines/>
              <w:spacing w:line="360" w:lineRule="auto"/>
              <w:rPr>
                <w:rFonts w:ascii="宋体" w:hAnsi="宋体" w:cs="宋体"/>
                <w:color w:val="auto"/>
                <w:sz w:val="21"/>
                <w:szCs w:val="21"/>
              </w:rPr>
            </w:pPr>
          </w:p>
        </w:tc>
        <w:tc>
          <w:tcPr>
            <w:tcW w:w="1701" w:type="dxa"/>
            <w:noWrap w:val="0"/>
            <w:vAlign w:val="top"/>
          </w:tcPr>
          <w:p w14:paraId="7E08694D">
            <w:pPr>
              <w:pStyle w:val="407"/>
              <w:keepNext/>
              <w:keepLines/>
              <w:spacing w:line="360" w:lineRule="auto"/>
              <w:rPr>
                <w:rFonts w:ascii="宋体" w:hAnsi="宋体" w:cs="宋体"/>
                <w:color w:val="auto"/>
                <w:sz w:val="21"/>
                <w:szCs w:val="21"/>
              </w:rPr>
            </w:pPr>
          </w:p>
        </w:tc>
        <w:tc>
          <w:tcPr>
            <w:tcW w:w="1371" w:type="dxa"/>
            <w:noWrap w:val="0"/>
            <w:vAlign w:val="top"/>
          </w:tcPr>
          <w:p w14:paraId="77D25538">
            <w:pPr>
              <w:pStyle w:val="407"/>
              <w:keepNext/>
              <w:keepLines/>
              <w:spacing w:line="360" w:lineRule="auto"/>
              <w:rPr>
                <w:rFonts w:ascii="宋体" w:hAnsi="宋体" w:cs="宋体"/>
                <w:color w:val="auto"/>
                <w:sz w:val="21"/>
                <w:szCs w:val="21"/>
              </w:rPr>
            </w:pPr>
          </w:p>
        </w:tc>
      </w:tr>
      <w:tr w14:paraId="0F425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61" w:type="dxa"/>
            <w:noWrap w:val="0"/>
            <w:vAlign w:val="top"/>
          </w:tcPr>
          <w:p w14:paraId="0A8A8122">
            <w:pPr>
              <w:pStyle w:val="407"/>
              <w:keepNext/>
              <w:keepLines/>
              <w:spacing w:line="360" w:lineRule="auto"/>
              <w:rPr>
                <w:rFonts w:ascii="宋体" w:hAnsi="宋体" w:cs="宋体"/>
                <w:color w:val="auto"/>
                <w:sz w:val="21"/>
                <w:szCs w:val="21"/>
              </w:rPr>
            </w:pPr>
            <w:r>
              <w:rPr>
                <w:rFonts w:hint="eastAsia" w:ascii="宋体" w:hAnsi="宋体" w:cs="宋体"/>
                <w:color w:val="auto"/>
                <w:sz w:val="21"/>
                <w:szCs w:val="21"/>
              </w:rPr>
              <w:t>反馈结果和提供报告的时效性（10分，视方案要求的实际反馈结果和提供报告时间计分）</w:t>
            </w:r>
          </w:p>
        </w:tc>
        <w:tc>
          <w:tcPr>
            <w:tcW w:w="1437" w:type="dxa"/>
            <w:noWrap w:val="0"/>
            <w:vAlign w:val="top"/>
          </w:tcPr>
          <w:p w14:paraId="3C6ACBD5">
            <w:pPr>
              <w:pStyle w:val="407"/>
              <w:keepNext/>
              <w:keepLines/>
              <w:spacing w:line="360" w:lineRule="auto"/>
              <w:rPr>
                <w:rFonts w:ascii="宋体" w:hAnsi="宋体" w:cs="宋体"/>
                <w:color w:val="auto"/>
                <w:sz w:val="21"/>
                <w:szCs w:val="21"/>
              </w:rPr>
            </w:pPr>
          </w:p>
        </w:tc>
        <w:tc>
          <w:tcPr>
            <w:tcW w:w="1701" w:type="dxa"/>
            <w:noWrap w:val="0"/>
            <w:vAlign w:val="top"/>
          </w:tcPr>
          <w:p w14:paraId="3AB24715">
            <w:pPr>
              <w:pStyle w:val="407"/>
              <w:keepNext/>
              <w:keepLines/>
              <w:spacing w:line="360" w:lineRule="auto"/>
              <w:rPr>
                <w:rFonts w:ascii="宋体" w:hAnsi="宋体" w:cs="宋体"/>
                <w:color w:val="auto"/>
                <w:sz w:val="21"/>
                <w:szCs w:val="21"/>
              </w:rPr>
            </w:pPr>
          </w:p>
        </w:tc>
        <w:tc>
          <w:tcPr>
            <w:tcW w:w="1371" w:type="dxa"/>
            <w:noWrap w:val="0"/>
            <w:vAlign w:val="top"/>
          </w:tcPr>
          <w:p w14:paraId="67EBE1A8">
            <w:pPr>
              <w:pStyle w:val="407"/>
              <w:keepNext/>
              <w:keepLines/>
              <w:spacing w:line="360" w:lineRule="auto"/>
              <w:rPr>
                <w:rFonts w:ascii="宋体" w:hAnsi="宋体" w:cs="宋体"/>
                <w:color w:val="auto"/>
                <w:sz w:val="21"/>
                <w:szCs w:val="21"/>
              </w:rPr>
            </w:pPr>
          </w:p>
        </w:tc>
      </w:tr>
      <w:tr w14:paraId="649E0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0" w:type="dxa"/>
            <w:gridSpan w:val="4"/>
            <w:noWrap w:val="0"/>
            <w:vAlign w:val="top"/>
          </w:tcPr>
          <w:p w14:paraId="560B8C14">
            <w:pPr>
              <w:pStyle w:val="407"/>
              <w:keepNext/>
              <w:keepLines/>
              <w:spacing w:line="360" w:lineRule="auto"/>
              <w:rPr>
                <w:rFonts w:ascii="宋体" w:hAnsi="宋体" w:cs="宋体"/>
                <w:color w:val="auto"/>
                <w:sz w:val="21"/>
                <w:szCs w:val="21"/>
              </w:rPr>
            </w:pPr>
            <w:r>
              <w:rPr>
                <w:rFonts w:hint="eastAsia" w:ascii="宋体" w:hAnsi="宋体" w:cs="宋体"/>
                <w:color w:val="auto"/>
                <w:sz w:val="21"/>
                <w:szCs w:val="21"/>
              </w:rPr>
              <w:t>五、复检结果（10分）</w:t>
            </w:r>
          </w:p>
        </w:tc>
      </w:tr>
      <w:tr w14:paraId="5CF57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61" w:type="dxa"/>
            <w:noWrap w:val="0"/>
            <w:vAlign w:val="top"/>
          </w:tcPr>
          <w:p w14:paraId="6A943D00">
            <w:pPr>
              <w:pStyle w:val="407"/>
              <w:keepNext/>
              <w:keepLines/>
              <w:spacing w:line="360" w:lineRule="auto"/>
              <w:rPr>
                <w:rFonts w:ascii="宋体" w:hAnsi="宋体" w:cs="宋体"/>
                <w:color w:val="auto"/>
                <w:sz w:val="21"/>
                <w:szCs w:val="21"/>
              </w:rPr>
            </w:pPr>
            <w:r>
              <w:rPr>
                <w:rFonts w:hint="eastAsia" w:ascii="宋体" w:hAnsi="宋体" w:cs="宋体"/>
                <w:color w:val="auto"/>
                <w:sz w:val="21"/>
                <w:szCs w:val="21"/>
              </w:rPr>
              <w:t>抽取样品复检结果是否符合相关技术要求。（10 分，根据样品复核结果评分）</w:t>
            </w:r>
          </w:p>
        </w:tc>
        <w:tc>
          <w:tcPr>
            <w:tcW w:w="1437" w:type="dxa"/>
            <w:noWrap w:val="0"/>
            <w:vAlign w:val="top"/>
          </w:tcPr>
          <w:p w14:paraId="11B9A789">
            <w:pPr>
              <w:pStyle w:val="407"/>
              <w:keepNext/>
              <w:keepLines/>
              <w:spacing w:line="360" w:lineRule="auto"/>
              <w:rPr>
                <w:rFonts w:ascii="宋体" w:hAnsi="宋体" w:cs="宋体"/>
                <w:color w:val="auto"/>
                <w:sz w:val="21"/>
                <w:szCs w:val="21"/>
              </w:rPr>
            </w:pPr>
          </w:p>
        </w:tc>
        <w:tc>
          <w:tcPr>
            <w:tcW w:w="1701" w:type="dxa"/>
            <w:noWrap w:val="0"/>
            <w:vAlign w:val="top"/>
          </w:tcPr>
          <w:p w14:paraId="77A2B4E8">
            <w:pPr>
              <w:pStyle w:val="407"/>
              <w:keepNext/>
              <w:keepLines/>
              <w:spacing w:line="360" w:lineRule="auto"/>
              <w:rPr>
                <w:rFonts w:ascii="宋体" w:hAnsi="宋体" w:cs="宋体"/>
                <w:color w:val="auto"/>
                <w:sz w:val="21"/>
                <w:szCs w:val="21"/>
              </w:rPr>
            </w:pPr>
          </w:p>
        </w:tc>
        <w:tc>
          <w:tcPr>
            <w:tcW w:w="1371" w:type="dxa"/>
            <w:noWrap w:val="0"/>
            <w:vAlign w:val="top"/>
          </w:tcPr>
          <w:p w14:paraId="3C8755D7">
            <w:pPr>
              <w:pStyle w:val="407"/>
              <w:keepNext/>
              <w:keepLines/>
              <w:spacing w:line="360" w:lineRule="auto"/>
              <w:rPr>
                <w:rFonts w:ascii="宋体" w:hAnsi="宋体" w:cs="宋体"/>
                <w:color w:val="auto"/>
                <w:sz w:val="21"/>
                <w:szCs w:val="21"/>
              </w:rPr>
            </w:pPr>
          </w:p>
        </w:tc>
      </w:tr>
    </w:tbl>
    <w:p w14:paraId="52A12AB3">
      <w:pPr>
        <w:rPr>
          <w:rFonts w:ascii="宋体" w:hAnsi="宋体" w:cs="宋体"/>
          <w:color w:val="auto"/>
          <w:sz w:val="30"/>
          <w:szCs w:val="30"/>
        </w:rPr>
      </w:pPr>
    </w:p>
    <w:p w14:paraId="0FBFC95E">
      <w:pPr>
        <w:rPr>
          <w:rFonts w:hint="eastAsia" w:ascii="Times New Roman" w:hAnsi="Times New Roman" w:eastAsia="宋体" w:cs="Times New Roman"/>
          <w:color w:val="auto"/>
          <w:sz w:val="40"/>
          <w:szCs w:val="40"/>
          <w:highlight w:val="none"/>
        </w:rPr>
      </w:pPr>
      <w:bookmarkStart w:id="55" w:name="_Toc28335"/>
      <w:r>
        <w:rPr>
          <w:rFonts w:hint="eastAsia" w:ascii="Times New Roman" w:hAnsi="Times New Roman" w:eastAsia="宋体" w:cs="Times New Roman"/>
          <w:color w:val="auto"/>
          <w:sz w:val="40"/>
          <w:szCs w:val="40"/>
          <w:highlight w:val="none"/>
        </w:rPr>
        <w:br w:type="page"/>
      </w:r>
    </w:p>
    <w:p w14:paraId="42AB8DE1">
      <w:pPr>
        <w:pStyle w:val="3"/>
        <w:numPr>
          <w:ilvl w:val="0"/>
          <w:numId w:val="0"/>
        </w:numPr>
        <w:bidi w:val="0"/>
        <w:spacing w:line="240" w:lineRule="auto"/>
        <w:ind w:leftChars="0"/>
        <w:jc w:val="center"/>
        <w:rPr>
          <w:rFonts w:hint="eastAsia" w:ascii="Times New Roman" w:hAnsi="Times New Roman" w:eastAsia="宋体" w:cs="Times New Roman"/>
          <w:color w:val="auto"/>
          <w:sz w:val="40"/>
          <w:szCs w:val="40"/>
          <w:highlight w:val="none"/>
        </w:rPr>
      </w:pPr>
      <w:r>
        <w:rPr>
          <w:rFonts w:hint="eastAsia" w:ascii="Times New Roman" w:hAnsi="Times New Roman" w:eastAsia="宋体" w:cs="Times New Roman"/>
          <w:color w:val="auto"/>
          <w:sz w:val="40"/>
          <w:szCs w:val="40"/>
          <w:highlight w:val="none"/>
        </w:rPr>
        <w:t xml:space="preserve">第五部分  </w:t>
      </w:r>
      <w:bookmarkEnd w:id="52"/>
      <w:bookmarkEnd w:id="53"/>
      <w:bookmarkStart w:id="56" w:name="第四部分"/>
      <w:r>
        <w:rPr>
          <w:rFonts w:hint="eastAsia" w:ascii="Times New Roman" w:hAnsi="Times New Roman" w:eastAsia="宋体" w:cs="Times New Roman"/>
          <w:color w:val="auto"/>
          <w:sz w:val="40"/>
          <w:szCs w:val="40"/>
          <w:highlight w:val="none"/>
        </w:rPr>
        <w:t>评审方法及评审标准</w:t>
      </w:r>
      <w:bookmarkEnd w:id="55"/>
    </w:p>
    <w:p w14:paraId="6553B08E">
      <w:pPr>
        <w:pStyle w:val="4"/>
        <w:numPr>
          <w:ilvl w:val="0"/>
          <w:numId w:val="0"/>
        </w:numPr>
        <w:bidi w:val="0"/>
        <w:spacing w:line="360" w:lineRule="auto"/>
        <w:ind w:leftChars="0"/>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rPr>
        <w:t>评标办法前附表</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适用于所有标段</w:t>
      </w:r>
      <w:r>
        <w:rPr>
          <w:rFonts w:hint="eastAsia" w:ascii="宋体" w:hAnsi="宋体" w:eastAsia="宋体" w:cs="宋体"/>
          <w:color w:val="auto"/>
          <w:highlight w:val="none"/>
          <w:lang w:eastAsia="zh-CN"/>
        </w:rPr>
        <w:t>）</w:t>
      </w:r>
    </w:p>
    <w:tbl>
      <w:tblPr>
        <w:tblStyle w:val="63"/>
        <w:tblW w:w="0" w:type="auto"/>
        <w:tblInd w:w="-3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6387"/>
        <w:gridCol w:w="900"/>
        <w:gridCol w:w="1380"/>
      </w:tblGrid>
      <w:tr w14:paraId="48DD2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noWrap w:val="0"/>
            <w:vAlign w:val="center"/>
          </w:tcPr>
          <w:p w14:paraId="3D34CFA6">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6387" w:type="dxa"/>
            <w:noWrap w:val="0"/>
            <w:vAlign w:val="center"/>
          </w:tcPr>
          <w:p w14:paraId="0DEAA44B">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评标标准</w:t>
            </w:r>
          </w:p>
        </w:tc>
        <w:tc>
          <w:tcPr>
            <w:tcW w:w="900" w:type="dxa"/>
            <w:noWrap w:val="0"/>
            <w:vAlign w:val="center"/>
          </w:tcPr>
          <w:p w14:paraId="2835030C">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权重</w:t>
            </w:r>
          </w:p>
        </w:tc>
        <w:tc>
          <w:tcPr>
            <w:tcW w:w="1380" w:type="dxa"/>
            <w:noWrap w:val="0"/>
            <w:vAlign w:val="center"/>
          </w:tcPr>
          <w:p w14:paraId="7B7E4ACB">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主观分/客观分属性</w:t>
            </w:r>
          </w:p>
        </w:tc>
      </w:tr>
      <w:tr w14:paraId="6AA0A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noWrap w:val="0"/>
            <w:vAlign w:val="center"/>
          </w:tcPr>
          <w:p w14:paraId="0FBD4974">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1</w:t>
            </w:r>
          </w:p>
        </w:tc>
        <w:tc>
          <w:tcPr>
            <w:tcW w:w="6387" w:type="dxa"/>
            <w:noWrap w:val="0"/>
            <w:vAlign w:val="center"/>
          </w:tcPr>
          <w:p w14:paraId="1D69CF61">
            <w:pPr>
              <w:keepNext w:val="0"/>
              <w:keepLines w:val="0"/>
              <w:pageBreakBefore w:val="0"/>
              <w:kinsoku/>
              <w:wordWrap/>
              <w:overflowPunct/>
              <w:topLinePunct w:val="0"/>
              <w:bidi w:val="0"/>
              <w:snapToGrid w:val="0"/>
              <w:spacing w:line="400" w:lineRule="exact"/>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价格分</w:t>
            </w:r>
          </w:p>
        </w:tc>
        <w:tc>
          <w:tcPr>
            <w:tcW w:w="900" w:type="dxa"/>
            <w:noWrap w:val="0"/>
            <w:vAlign w:val="center"/>
          </w:tcPr>
          <w:p w14:paraId="2C0C08EF">
            <w:pPr>
              <w:keepNext w:val="0"/>
              <w:keepLines w:val="0"/>
              <w:pageBreakBefore w:val="0"/>
              <w:kinsoku/>
              <w:wordWrap/>
              <w:overflowPunct/>
              <w:topLinePunct w:val="0"/>
              <w:bidi w:val="0"/>
              <w:snapToGrid w:val="0"/>
              <w:spacing w:line="400" w:lineRule="exact"/>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10</w:t>
            </w:r>
          </w:p>
        </w:tc>
        <w:tc>
          <w:tcPr>
            <w:tcW w:w="1380" w:type="dxa"/>
            <w:noWrap w:val="0"/>
            <w:vAlign w:val="center"/>
          </w:tcPr>
          <w:p w14:paraId="0E242F99">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b/>
                <w:bCs/>
                <w:color w:val="auto"/>
                <w:sz w:val="21"/>
                <w:szCs w:val="21"/>
                <w:highlight w:val="none"/>
              </w:rPr>
            </w:pPr>
          </w:p>
        </w:tc>
      </w:tr>
      <w:tr w14:paraId="1A12A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noWrap w:val="0"/>
            <w:vAlign w:val="center"/>
          </w:tcPr>
          <w:p w14:paraId="1C86AD66">
            <w:pPr>
              <w:keepNext w:val="0"/>
              <w:keepLines w:val="0"/>
              <w:pageBreakBefore w:val="0"/>
              <w:kinsoku/>
              <w:wordWrap/>
              <w:overflowPunct/>
              <w:topLinePunct w:val="0"/>
              <w:bidi w:val="0"/>
              <w:snapToGrid w:val="0"/>
              <w:spacing w:line="4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.1</w:t>
            </w:r>
          </w:p>
        </w:tc>
        <w:tc>
          <w:tcPr>
            <w:tcW w:w="6387" w:type="dxa"/>
            <w:noWrap w:val="0"/>
            <w:vAlign w:val="center"/>
          </w:tcPr>
          <w:p w14:paraId="0C9EB813">
            <w:pPr>
              <w:pStyle w:val="38"/>
              <w:keepNext w:val="0"/>
              <w:keepLines w:val="0"/>
              <w:pageBreakBefore w:val="0"/>
              <w:widowControl w:val="0"/>
              <w:numPr>
                <w:ilvl w:val="0"/>
                <w:numId w:val="7"/>
              </w:numPr>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磋商报价（满分</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lang w:val="en-US" w:eastAsia="zh-CN"/>
              </w:rPr>
              <w:t>分）</w:t>
            </w:r>
          </w:p>
          <w:p w14:paraId="21F42F58">
            <w:pPr>
              <w:pStyle w:val="38"/>
              <w:keepNext w:val="0"/>
              <w:keepLines w:val="0"/>
              <w:pageBreakBefore w:val="0"/>
              <w:widowControl w:val="0"/>
              <w:numPr>
                <w:ilvl w:val="0"/>
                <w:numId w:val="7"/>
              </w:numPr>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本项目为专门面向中小企业采购预留项目，根据《政府采购促进中小企业发展管理办法》（财库〔2020〕</w:t>
            </w:r>
            <w:r>
              <w:rPr>
                <w:rFonts w:hint="default" w:ascii="宋体" w:hAnsi="宋体" w:eastAsia="宋体" w:cs="宋体"/>
                <w:color w:val="auto"/>
                <w:sz w:val="21"/>
                <w:szCs w:val="21"/>
                <w:highlight w:val="none"/>
                <w:lang w:val="en-US" w:eastAsia="zh-CN"/>
              </w:rPr>
              <w:t xml:space="preserve">46 </w:t>
            </w:r>
            <w:r>
              <w:rPr>
                <w:rFonts w:hint="eastAsia" w:ascii="宋体" w:hAnsi="宋体" w:eastAsia="宋体" w:cs="宋体"/>
                <w:color w:val="auto"/>
                <w:sz w:val="21"/>
                <w:szCs w:val="21"/>
                <w:highlight w:val="none"/>
                <w:lang w:val="en-US" w:eastAsia="zh-CN"/>
              </w:rPr>
              <w:t>号）及《广西壮族自治区财政厅关于持续优化政府采购营商环境推动高质量发展的通知》（桂财采〔</w:t>
            </w:r>
            <w:r>
              <w:rPr>
                <w:rFonts w:hint="default" w:ascii="宋体" w:hAnsi="宋体" w:eastAsia="宋体" w:cs="宋体"/>
                <w:color w:val="auto"/>
                <w:sz w:val="21"/>
                <w:szCs w:val="21"/>
                <w:highlight w:val="none"/>
                <w:lang w:val="en-US" w:eastAsia="zh-CN"/>
              </w:rPr>
              <w:t>2024</w:t>
            </w:r>
            <w:r>
              <w:rPr>
                <w:rFonts w:hint="eastAsia" w:ascii="宋体" w:hAnsi="宋体" w:eastAsia="宋体" w:cs="宋体"/>
                <w:color w:val="auto"/>
                <w:sz w:val="21"/>
                <w:szCs w:val="21"/>
                <w:highlight w:val="none"/>
                <w:lang w:val="en-US" w:eastAsia="zh-CN"/>
              </w:rPr>
              <w:t>〕</w:t>
            </w:r>
            <w:r>
              <w:rPr>
                <w:rFonts w:hint="default" w:ascii="宋体" w:hAnsi="宋体" w:eastAsia="宋体" w:cs="宋体"/>
                <w:color w:val="auto"/>
                <w:sz w:val="21"/>
                <w:szCs w:val="21"/>
                <w:highlight w:val="none"/>
                <w:lang w:val="en-US" w:eastAsia="zh-CN"/>
              </w:rPr>
              <w:t>55</w:t>
            </w:r>
            <w:r>
              <w:rPr>
                <w:rFonts w:hint="eastAsia" w:ascii="宋体" w:hAnsi="宋体" w:eastAsia="宋体" w:cs="宋体"/>
                <w:color w:val="auto"/>
                <w:sz w:val="21"/>
                <w:szCs w:val="21"/>
                <w:highlight w:val="none"/>
                <w:lang w:val="en-US" w:eastAsia="zh-CN"/>
              </w:rPr>
              <w:t>号）规定，供应商的磋商报价不再进行政府采购政策性扣除。</w:t>
            </w:r>
          </w:p>
          <w:p w14:paraId="16AA7465">
            <w:pPr>
              <w:pStyle w:val="38"/>
              <w:keepNext w:val="0"/>
              <w:keepLines w:val="0"/>
              <w:pageBreakBefore w:val="0"/>
              <w:widowControl w:val="0"/>
              <w:numPr>
                <w:ilvl w:val="0"/>
                <w:numId w:val="7"/>
              </w:numPr>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满足采购文件要求且评审报价最低的评审报价为评审基准价，基准价得分为</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lang w:val="en-US" w:eastAsia="zh-CN"/>
              </w:rPr>
              <w:t>分。</w:t>
            </w:r>
          </w:p>
          <w:p w14:paraId="201EC874">
            <w:pPr>
              <w:pStyle w:val="38"/>
              <w:keepNext w:val="0"/>
              <w:keepLines w:val="0"/>
              <w:pageBreakBefore w:val="0"/>
              <w:widowControl w:val="0"/>
              <w:numPr>
                <w:ilvl w:val="0"/>
                <w:numId w:val="7"/>
              </w:numPr>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价格分计算公式：</w:t>
            </w:r>
          </w:p>
          <w:p w14:paraId="5798A2FC">
            <w:pPr>
              <w:pStyle w:val="38"/>
              <w:keepNext w:val="0"/>
              <w:keepLines w:val="0"/>
              <w:pageBreakBefore w:val="0"/>
              <w:widowControl w:val="0"/>
              <w:numPr>
                <w:ilvl w:val="0"/>
                <w:numId w:val="0"/>
              </w:numPr>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某供应商价格分=评审基准价÷某供应商评审报价×</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lang w:val="en-US" w:eastAsia="zh-CN"/>
              </w:rPr>
              <w:t>分。</w:t>
            </w:r>
          </w:p>
        </w:tc>
        <w:tc>
          <w:tcPr>
            <w:tcW w:w="900" w:type="dxa"/>
            <w:noWrap w:val="0"/>
            <w:vAlign w:val="center"/>
          </w:tcPr>
          <w:p w14:paraId="6AED5BED">
            <w:pPr>
              <w:keepNext w:val="0"/>
              <w:keepLines w:val="0"/>
              <w:pageBreakBefore w:val="0"/>
              <w:kinsoku/>
              <w:wordWrap/>
              <w:overflowPunct/>
              <w:topLinePunct w:val="0"/>
              <w:bidi w:val="0"/>
              <w:snapToGrid w:val="0"/>
              <w:spacing w:line="4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b/>
                <w:bCs w:val="0"/>
                <w:color w:val="auto"/>
                <w:sz w:val="21"/>
                <w:szCs w:val="21"/>
                <w:highlight w:val="none"/>
                <w:lang w:val="en-US" w:eastAsia="zh-CN"/>
              </w:rPr>
              <w:t>10</w:t>
            </w:r>
          </w:p>
        </w:tc>
        <w:tc>
          <w:tcPr>
            <w:tcW w:w="1380" w:type="dxa"/>
            <w:noWrap w:val="0"/>
            <w:vAlign w:val="center"/>
          </w:tcPr>
          <w:p w14:paraId="64F41076">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客观分</w:t>
            </w:r>
          </w:p>
        </w:tc>
      </w:tr>
      <w:tr w14:paraId="575F2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noWrap w:val="0"/>
            <w:vAlign w:val="center"/>
          </w:tcPr>
          <w:p w14:paraId="0689ECFD">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p>
        </w:tc>
        <w:tc>
          <w:tcPr>
            <w:tcW w:w="6387" w:type="dxa"/>
            <w:noWrap w:val="0"/>
            <w:vAlign w:val="center"/>
          </w:tcPr>
          <w:p w14:paraId="2773D610">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技术分</w:t>
            </w:r>
          </w:p>
        </w:tc>
        <w:tc>
          <w:tcPr>
            <w:tcW w:w="900" w:type="dxa"/>
            <w:noWrap w:val="0"/>
            <w:vAlign w:val="center"/>
          </w:tcPr>
          <w:p w14:paraId="06DC68F8">
            <w:pPr>
              <w:keepNext w:val="0"/>
              <w:keepLines w:val="0"/>
              <w:pageBreakBefore w:val="0"/>
              <w:kinsoku/>
              <w:wordWrap/>
              <w:overflowPunct/>
              <w:topLinePunct w:val="0"/>
              <w:bidi w:val="0"/>
              <w:snapToGrid w:val="0"/>
              <w:spacing w:line="400" w:lineRule="exact"/>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80</w:t>
            </w:r>
          </w:p>
        </w:tc>
        <w:tc>
          <w:tcPr>
            <w:tcW w:w="1380" w:type="dxa"/>
            <w:noWrap w:val="0"/>
            <w:vAlign w:val="center"/>
          </w:tcPr>
          <w:p w14:paraId="7E39E8B2">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b/>
                <w:bCs/>
                <w:color w:val="auto"/>
                <w:sz w:val="21"/>
                <w:szCs w:val="21"/>
                <w:highlight w:val="none"/>
              </w:rPr>
            </w:pPr>
          </w:p>
        </w:tc>
      </w:tr>
      <w:tr w14:paraId="4C0B2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5" w:hRule="atLeast"/>
        </w:trPr>
        <w:tc>
          <w:tcPr>
            <w:tcW w:w="856" w:type="dxa"/>
            <w:noWrap w:val="0"/>
            <w:vAlign w:val="center"/>
          </w:tcPr>
          <w:p w14:paraId="47A038E0">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w:t>
            </w:r>
          </w:p>
        </w:tc>
        <w:tc>
          <w:tcPr>
            <w:tcW w:w="6387" w:type="dxa"/>
            <w:noWrap w:val="0"/>
            <w:vAlign w:val="center"/>
          </w:tcPr>
          <w:p w14:paraId="29EEC615">
            <w:pPr>
              <w:snapToGrid w:val="0"/>
              <w:spacing w:line="360" w:lineRule="exact"/>
              <w:ind w:firstLine="422" w:firstLineChars="200"/>
              <w:jc w:val="left"/>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项目实施方案（满分</w:t>
            </w:r>
            <w:r>
              <w:rPr>
                <w:rFonts w:hint="eastAsia" w:ascii="宋体" w:hAnsi="宋体" w:cs="宋体"/>
                <w:b/>
                <w:color w:val="auto"/>
                <w:szCs w:val="21"/>
                <w:highlight w:val="none"/>
                <w:lang w:val="en-US" w:eastAsia="zh-CN"/>
              </w:rPr>
              <w:t>20</w:t>
            </w:r>
            <w:r>
              <w:rPr>
                <w:rFonts w:hint="eastAsia" w:ascii="宋体" w:hAnsi="宋体" w:eastAsia="宋体" w:cs="宋体"/>
                <w:b/>
                <w:color w:val="auto"/>
                <w:szCs w:val="21"/>
                <w:highlight w:val="none"/>
                <w:lang w:val="en-US" w:eastAsia="zh-CN"/>
              </w:rPr>
              <w:t>分）</w:t>
            </w:r>
          </w:p>
          <w:p w14:paraId="3A325F26">
            <w:pPr>
              <w:keepNext w:val="0"/>
              <w:keepLines w:val="0"/>
              <w:pageBreakBefore w:val="0"/>
              <w:widowControl/>
              <w:suppressLineNumbers w:val="0"/>
              <w:kinsoku/>
              <w:wordWrap/>
              <w:overflowPunct/>
              <w:topLinePunct w:val="0"/>
              <w:autoSpaceDE/>
              <w:autoSpaceDN/>
              <w:bidi w:val="0"/>
              <w:adjustRightInd/>
              <w:snapToGrid/>
              <w:spacing w:line="360" w:lineRule="atLeast"/>
              <w:ind w:left="0" w:leftChars="0" w:firstLine="420" w:firstLineChars="200"/>
              <w:jc w:val="left"/>
              <w:textAlignment w:val="auto"/>
              <w:rPr>
                <w:rFonts w:hint="eastAsia" w:ascii="宋体" w:hAnsi="宋体" w:eastAsia="宋体" w:cs="宋体"/>
                <w:color w:val="auto"/>
                <w:kern w:val="0"/>
                <w:sz w:val="21"/>
                <w:szCs w:val="21"/>
                <w:vertAlign w:val="baseline"/>
                <w:lang w:val="en-US" w:eastAsia="zh-CN" w:bidi="ar"/>
              </w:rPr>
            </w:pPr>
            <w:r>
              <w:rPr>
                <w:rFonts w:hint="eastAsia" w:ascii="宋体" w:hAnsi="宋体" w:eastAsia="宋体" w:cs="宋体"/>
                <w:color w:val="auto"/>
                <w:kern w:val="0"/>
                <w:sz w:val="21"/>
                <w:szCs w:val="21"/>
                <w:vertAlign w:val="baseline"/>
                <w:lang w:val="en-US" w:eastAsia="zh-CN" w:bidi="ar"/>
              </w:rPr>
              <w:t>一档（0分）：未提供方案或提供的内容与本项目不相符；</w:t>
            </w:r>
          </w:p>
          <w:p w14:paraId="40E2E0DF">
            <w:pPr>
              <w:keepNext w:val="0"/>
              <w:keepLines w:val="0"/>
              <w:pageBreakBefore w:val="0"/>
              <w:widowControl/>
              <w:suppressLineNumbers w:val="0"/>
              <w:kinsoku/>
              <w:wordWrap/>
              <w:overflowPunct/>
              <w:topLinePunct w:val="0"/>
              <w:autoSpaceDE/>
              <w:autoSpaceDN/>
              <w:bidi w:val="0"/>
              <w:adjustRightInd/>
              <w:snapToGrid/>
              <w:spacing w:line="360" w:lineRule="atLeast"/>
              <w:ind w:left="0" w:leftChars="0" w:firstLine="420" w:firstLineChars="200"/>
              <w:jc w:val="left"/>
              <w:textAlignment w:val="auto"/>
              <w:rPr>
                <w:rFonts w:hint="eastAsia" w:ascii="宋体" w:hAnsi="宋体" w:eastAsia="宋体" w:cs="宋体"/>
                <w:color w:val="auto"/>
                <w:kern w:val="0"/>
                <w:sz w:val="21"/>
                <w:szCs w:val="21"/>
                <w:vertAlign w:val="baseline"/>
                <w:lang w:val="en-US" w:eastAsia="zh-CN" w:bidi="ar"/>
              </w:rPr>
            </w:pPr>
            <w:r>
              <w:rPr>
                <w:rFonts w:hint="eastAsia" w:ascii="宋体" w:hAnsi="宋体" w:eastAsia="宋体" w:cs="宋体"/>
                <w:color w:val="auto"/>
                <w:kern w:val="0"/>
                <w:sz w:val="21"/>
                <w:szCs w:val="21"/>
                <w:vertAlign w:val="baseline"/>
                <w:lang w:val="en-US" w:eastAsia="zh-CN" w:bidi="ar"/>
              </w:rPr>
              <w:t>二档（5分）：实施方案包含进度安排、组织机构安排及分工与职责，内容简单；</w:t>
            </w:r>
          </w:p>
          <w:p w14:paraId="488B487D">
            <w:pPr>
              <w:keepNext w:val="0"/>
              <w:keepLines w:val="0"/>
              <w:pageBreakBefore w:val="0"/>
              <w:widowControl/>
              <w:suppressLineNumbers w:val="0"/>
              <w:kinsoku/>
              <w:wordWrap/>
              <w:overflowPunct/>
              <w:topLinePunct w:val="0"/>
              <w:autoSpaceDE/>
              <w:autoSpaceDN/>
              <w:bidi w:val="0"/>
              <w:adjustRightInd/>
              <w:snapToGrid/>
              <w:spacing w:line="360" w:lineRule="atLeast"/>
              <w:ind w:left="0" w:leftChars="0" w:firstLine="420" w:firstLineChars="200"/>
              <w:jc w:val="left"/>
              <w:textAlignment w:val="auto"/>
              <w:rPr>
                <w:rFonts w:hint="eastAsia" w:ascii="宋体" w:hAnsi="宋体" w:eastAsia="宋体" w:cs="宋体"/>
                <w:color w:val="auto"/>
                <w:kern w:val="0"/>
                <w:sz w:val="21"/>
                <w:szCs w:val="21"/>
                <w:vertAlign w:val="baseline"/>
                <w:lang w:val="en-US" w:eastAsia="zh-CN" w:bidi="ar"/>
              </w:rPr>
            </w:pPr>
            <w:r>
              <w:rPr>
                <w:rFonts w:hint="eastAsia" w:ascii="宋体" w:hAnsi="宋体" w:eastAsia="宋体" w:cs="宋体"/>
                <w:color w:val="auto"/>
                <w:kern w:val="0"/>
                <w:sz w:val="21"/>
                <w:szCs w:val="21"/>
                <w:vertAlign w:val="baseline"/>
                <w:lang w:val="en-US" w:eastAsia="zh-CN" w:bidi="ar"/>
              </w:rPr>
              <w:t>三档（10分）：磋商供应商的项目实施方案进度安排、相关保障措施能力、组织机构安排及分工与职责安排清晰，设备的安装调试内容较完整；</w:t>
            </w:r>
          </w:p>
          <w:p w14:paraId="0D0FD55E">
            <w:pPr>
              <w:keepNext w:val="0"/>
              <w:keepLines w:val="0"/>
              <w:pageBreakBefore w:val="0"/>
              <w:widowControl/>
              <w:suppressLineNumbers w:val="0"/>
              <w:kinsoku/>
              <w:wordWrap/>
              <w:overflowPunct/>
              <w:topLinePunct w:val="0"/>
              <w:autoSpaceDE/>
              <w:autoSpaceDN/>
              <w:bidi w:val="0"/>
              <w:adjustRightInd/>
              <w:snapToGrid/>
              <w:spacing w:line="360" w:lineRule="atLeast"/>
              <w:ind w:left="0" w:leftChars="0" w:firstLine="420" w:firstLineChars="200"/>
              <w:jc w:val="left"/>
              <w:textAlignment w:val="auto"/>
              <w:rPr>
                <w:rFonts w:hint="eastAsia" w:ascii="宋体" w:hAnsi="宋体" w:eastAsia="宋体" w:cs="宋体"/>
                <w:color w:val="auto"/>
                <w:kern w:val="0"/>
                <w:sz w:val="21"/>
                <w:szCs w:val="21"/>
                <w:vertAlign w:val="baseline"/>
                <w:lang w:val="en-US" w:eastAsia="zh-CN" w:bidi="ar"/>
              </w:rPr>
            </w:pPr>
            <w:r>
              <w:rPr>
                <w:rFonts w:hint="eastAsia" w:ascii="宋体" w:hAnsi="宋体" w:eastAsia="宋体" w:cs="宋体"/>
                <w:color w:val="auto"/>
                <w:kern w:val="0"/>
                <w:sz w:val="21"/>
                <w:szCs w:val="21"/>
                <w:vertAlign w:val="baseline"/>
                <w:lang w:val="en-US" w:eastAsia="zh-CN" w:bidi="ar"/>
              </w:rPr>
              <w:t>四档（15分）：在满足三档的前提下，有详细的组织实施的方式（包括但不限于抽检时间安排、整体工作进度、抽样人员安排等），并根据磋商供应商所投标段的检测项目及检测要求进行服务重点和难点分析，针对分标段检测项目结果的可靠性、实验室质量的控制有相对应的承诺以及合理可行的落实措施；</w:t>
            </w:r>
          </w:p>
          <w:p w14:paraId="204A9337">
            <w:pPr>
              <w:pStyle w:val="38"/>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vertAlign w:val="baseline"/>
                <w:lang w:val="en-US" w:eastAsia="zh-CN" w:bidi="ar"/>
              </w:rPr>
              <w:t>五档（20分）：在满足四档的前提下，磋商供应商的项目实施方案有进度安排、相关保障措施到位，对各项关键工作安排、本项目的风险预见、风险应对措施、组织机构安排及分工与职责安排、信息的完整与清楚程度、与服务对象的工作衔接与配合、政策和标准及规范或项目要求的掌握程度等内容详实，且根据不同标项的检测内容，围绕本地农产品生产特点拟定有针对性的实施方案</w:t>
            </w:r>
            <w:r>
              <w:rPr>
                <w:rFonts w:hint="eastAsia" w:ascii="宋体" w:hAnsi="宋体" w:eastAsia="宋体" w:cs="宋体"/>
                <w:bCs/>
                <w:color w:val="auto"/>
                <w:sz w:val="21"/>
                <w:szCs w:val="21"/>
                <w:highlight w:val="none"/>
                <w:lang w:eastAsia="zh-CN"/>
              </w:rPr>
              <w:t>。</w:t>
            </w:r>
          </w:p>
        </w:tc>
        <w:tc>
          <w:tcPr>
            <w:tcW w:w="900" w:type="dxa"/>
            <w:noWrap w:val="0"/>
            <w:vAlign w:val="center"/>
          </w:tcPr>
          <w:p w14:paraId="21B86785">
            <w:pPr>
              <w:keepNext w:val="0"/>
              <w:keepLines w:val="0"/>
              <w:pageBreakBefore w:val="0"/>
              <w:kinsoku/>
              <w:wordWrap/>
              <w:overflowPunct/>
              <w:topLinePunct w:val="0"/>
              <w:bidi w:val="0"/>
              <w:snapToGrid w:val="0"/>
              <w:spacing w:line="4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b/>
                <w:bCs/>
                <w:color w:val="auto"/>
                <w:sz w:val="21"/>
                <w:szCs w:val="21"/>
                <w:highlight w:val="none"/>
                <w:lang w:val="en-US" w:eastAsia="zh-CN"/>
              </w:rPr>
              <w:t>20</w:t>
            </w:r>
          </w:p>
        </w:tc>
        <w:tc>
          <w:tcPr>
            <w:tcW w:w="1380" w:type="dxa"/>
            <w:noWrap w:val="0"/>
            <w:vAlign w:val="center"/>
          </w:tcPr>
          <w:p w14:paraId="1C7EDDD9">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主观分</w:t>
            </w:r>
          </w:p>
        </w:tc>
      </w:tr>
      <w:tr w14:paraId="2B7C6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noWrap w:val="0"/>
            <w:vAlign w:val="center"/>
          </w:tcPr>
          <w:p w14:paraId="4A6EBBA2">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w:t>
            </w:r>
          </w:p>
        </w:tc>
        <w:tc>
          <w:tcPr>
            <w:tcW w:w="6387" w:type="dxa"/>
            <w:noWrap w:val="0"/>
            <w:vAlign w:val="center"/>
          </w:tcPr>
          <w:p w14:paraId="3097E281">
            <w:pPr>
              <w:snapToGrid w:val="0"/>
              <w:spacing w:line="400" w:lineRule="exact"/>
              <w:ind w:firstLine="422" w:firstLineChars="200"/>
              <w:jc w:val="both"/>
              <w:rPr>
                <w:rFonts w:hint="eastAsia" w:ascii="宋体" w:hAnsi="宋体" w:eastAsia="宋体" w:cs="宋体"/>
                <w:b/>
                <w:bCs/>
                <w:color w:val="auto"/>
                <w:sz w:val="21"/>
                <w:szCs w:val="21"/>
                <w:highlight w:val="none"/>
              </w:rPr>
            </w:pPr>
            <w:bookmarkStart w:id="57" w:name="OLE_LINK54"/>
            <w:bookmarkStart w:id="58" w:name="OLE_LINK55"/>
            <w:r>
              <w:rPr>
                <w:rFonts w:hint="eastAsia" w:ascii="宋体" w:hAnsi="宋体" w:cs="宋体"/>
                <w:b/>
                <w:bCs/>
                <w:color w:val="auto"/>
                <w:szCs w:val="21"/>
              </w:rPr>
              <w:t>质量控制方案</w:t>
            </w:r>
            <w:bookmarkEnd w:id="57"/>
            <w:bookmarkEnd w:id="58"/>
            <w:r>
              <w:rPr>
                <w:rFonts w:hint="eastAsia" w:ascii="宋体" w:hAnsi="宋体" w:cs="宋体"/>
                <w:b/>
                <w:bCs/>
                <w:color w:val="auto"/>
                <w:szCs w:val="21"/>
              </w:rPr>
              <w:t>（满分1</w:t>
            </w:r>
            <w:r>
              <w:rPr>
                <w:rFonts w:hint="eastAsia" w:ascii="宋体" w:hAnsi="宋体" w:cs="宋体"/>
                <w:b/>
                <w:bCs/>
                <w:color w:val="auto"/>
                <w:szCs w:val="21"/>
                <w:lang w:val="en-US" w:eastAsia="zh-CN"/>
              </w:rPr>
              <w:t>5</w:t>
            </w:r>
            <w:r>
              <w:rPr>
                <w:rFonts w:hint="eastAsia" w:ascii="宋体" w:hAnsi="宋体" w:cs="宋体"/>
                <w:b/>
                <w:bCs/>
                <w:color w:val="auto"/>
                <w:szCs w:val="21"/>
              </w:rPr>
              <w:t>分）</w:t>
            </w:r>
          </w:p>
          <w:p w14:paraId="69D77557">
            <w:pPr>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420" w:firstLineChars="0"/>
              <w:jc w:val="left"/>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一档（0分）：未提供方案或提供的内容与本项目不相符；</w:t>
            </w:r>
          </w:p>
          <w:p w14:paraId="0DEEFD90">
            <w:pPr>
              <w:snapToGrid w:val="0"/>
              <w:spacing w:line="400" w:lineRule="exact"/>
              <w:ind w:firstLine="420" w:firstLineChars="200"/>
              <w:rPr>
                <w:rFonts w:ascii="宋体" w:hAnsi="宋体" w:cs="宋体"/>
                <w:color w:val="auto"/>
                <w:szCs w:val="21"/>
              </w:rPr>
            </w:pPr>
            <w:r>
              <w:rPr>
                <w:rFonts w:hint="eastAsia" w:ascii="宋体" w:hAnsi="宋体" w:cs="宋体"/>
                <w:bCs/>
                <w:color w:val="auto"/>
                <w:szCs w:val="21"/>
              </w:rPr>
              <w:t>一档（</w:t>
            </w:r>
            <w:r>
              <w:rPr>
                <w:rFonts w:hint="eastAsia" w:ascii="宋体" w:hAnsi="宋体" w:cs="宋体"/>
                <w:bCs/>
                <w:color w:val="auto"/>
                <w:szCs w:val="21"/>
                <w:lang w:val="en-US" w:eastAsia="zh-CN"/>
              </w:rPr>
              <w:t>5</w:t>
            </w:r>
            <w:r>
              <w:rPr>
                <w:rFonts w:hint="eastAsia" w:ascii="宋体" w:hAnsi="宋体" w:cs="宋体"/>
                <w:bCs/>
                <w:color w:val="auto"/>
                <w:szCs w:val="21"/>
              </w:rPr>
              <w:t>分）：</w:t>
            </w:r>
            <w:r>
              <w:rPr>
                <w:rFonts w:hint="eastAsia" w:ascii="宋体" w:hAnsi="宋体" w:cs="宋体"/>
                <w:color w:val="auto"/>
                <w:szCs w:val="21"/>
              </w:rPr>
              <w:t>质量控制方案简单，方案内容无专项方案、规则、记录，检测环节无标准、流程、要求，数据分析环节缺失，仅零散留存数据等关键环节的质量控制措施缺失，质量控制过程完整度不足；</w:t>
            </w:r>
          </w:p>
          <w:p w14:paraId="50388493">
            <w:pPr>
              <w:snapToGrid w:val="0"/>
              <w:spacing w:line="400" w:lineRule="exact"/>
              <w:ind w:firstLine="420" w:firstLineChars="200"/>
              <w:rPr>
                <w:rFonts w:ascii="宋体" w:hAnsi="宋体" w:cs="宋体"/>
                <w:color w:val="auto"/>
                <w:szCs w:val="21"/>
              </w:rPr>
            </w:pPr>
            <w:r>
              <w:rPr>
                <w:rFonts w:hint="eastAsia" w:ascii="宋体" w:hAnsi="宋体" w:cs="宋体"/>
                <w:bCs/>
                <w:color w:val="auto"/>
                <w:szCs w:val="21"/>
              </w:rPr>
              <w:t>二档（</w:t>
            </w:r>
            <w:r>
              <w:rPr>
                <w:rFonts w:hint="eastAsia" w:ascii="宋体" w:hAnsi="宋体" w:cs="宋体"/>
                <w:bCs/>
                <w:color w:val="auto"/>
                <w:szCs w:val="21"/>
                <w:lang w:val="en-US" w:eastAsia="zh-CN"/>
              </w:rPr>
              <w:t>10</w:t>
            </w:r>
            <w:r>
              <w:rPr>
                <w:rFonts w:hint="eastAsia" w:ascii="宋体" w:hAnsi="宋体" w:cs="宋体"/>
                <w:bCs/>
                <w:color w:val="auto"/>
                <w:szCs w:val="21"/>
              </w:rPr>
              <w:t>分）：</w:t>
            </w:r>
            <w:r>
              <w:rPr>
                <w:rFonts w:hint="eastAsia" w:ascii="宋体" w:hAnsi="宋体" w:cs="宋体"/>
                <w:color w:val="auto"/>
                <w:szCs w:val="21"/>
              </w:rPr>
              <w:t>满足一档的基础上，质量控制方案内容详细，有针对性，抽样环节齐全，明确检测依据、指标和基础流程，基础记录完整，规则合理，常规管控到位，数据汇总统计与分析，形成基础报表等关键环节的质量控制措施得当，质量控制过程完整；</w:t>
            </w:r>
          </w:p>
          <w:p w14:paraId="01C7ECF3">
            <w:pPr>
              <w:snapToGrid w:val="0"/>
              <w:spacing w:line="36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rPr>
              <w:t>三档（</w:t>
            </w:r>
            <w:r>
              <w:rPr>
                <w:rFonts w:hint="eastAsia" w:ascii="宋体" w:hAnsi="宋体" w:cs="宋体"/>
                <w:bCs/>
                <w:color w:val="auto"/>
                <w:szCs w:val="21"/>
                <w:lang w:val="en-US" w:eastAsia="zh-CN"/>
              </w:rPr>
              <w:t>15</w:t>
            </w:r>
            <w:r>
              <w:rPr>
                <w:rFonts w:hint="eastAsia" w:ascii="宋体" w:hAnsi="宋体" w:cs="宋体"/>
                <w:bCs/>
                <w:color w:val="auto"/>
                <w:szCs w:val="21"/>
              </w:rPr>
              <w:t>分）：</w:t>
            </w:r>
            <w:r>
              <w:rPr>
                <w:rFonts w:hint="eastAsia" w:ascii="宋体" w:hAnsi="宋体" w:cs="宋体"/>
                <w:color w:val="auto"/>
                <w:szCs w:val="21"/>
              </w:rPr>
              <w:t>满足二档的条件下，制定了严谨完整的质量控制方案，提出的质量控制方案与项目完全契合，分层分类抽样，留样、留痕异常处置、台账全流程精细化，检测指标量化，设备及人员管控到位，对不合格品通过标准化流程实现“隔离防流、复检验真、全环受控、闭环改进”，</w:t>
            </w:r>
            <w:r>
              <w:rPr>
                <w:rFonts w:hint="eastAsia" w:ascii="MS Mincho" w:hAnsi="MS Mincho" w:eastAsia="MS Mincho" w:cs="MS Mincho"/>
                <w:color w:val="auto"/>
                <w:szCs w:val="21"/>
              </w:rPr>
              <w:t>‌</w:t>
            </w:r>
            <w:r>
              <w:rPr>
                <w:rFonts w:hint="eastAsia" w:ascii="宋体" w:hAnsi="宋体" w:cs="宋体"/>
                <w:color w:val="auto"/>
                <w:szCs w:val="21"/>
              </w:rPr>
              <w:t>数据分析等关键环节的质量控制措施得当，质量控制过程完整可行。</w:t>
            </w:r>
          </w:p>
        </w:tc>
        <w:tc>
          <w:tcPr>
            <w:tcW w:w="900" w:type="dxa"/>
            <w:noWrap w:val="0"/>
            <w:vAlign w:val="center"/>
          </w:tcPr>
          <w:p w14:paraId="16F3D0A8">
            <w:pPr>
              <w:keepNext w:val="0"/>
              <w:keepLines w:val="0"/>
              <w:pageBreakBefore w:val="0"/>
              <w:kinsoku/>
              <w:wordWrap/>
              <w:overflowPunct/>
              <w:topLinePunct w:val="0"/>
              <w:bidi w:val="0"/>
              <w:snapToGrid w:val="0"/>
              <w:spacing w:line="4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b/>
                <w:bCs/>
                <w:color w:val="auto"/>
                <w:sz w:val="21"/>
                <w:szCs w:val="21"/>
                <w:highlight w:val="none"/>
                <w:lang w:val="en-US" w:eastAsia="zh-CN"/>
              </w:rPr>
              <w:t>15</w:t>
            </w:r>
          </w:p>
        </w:tc>
        <w:tc>
          <w:tcPr>
            <w:tcW w:w="1380" w:type="dxa"/>
            <w:noWrap w:val="0"/>
            <w:vAlign w:val="center"/>
          </w:tcPr>
          <w:p w14:paraId="04B84068">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主观分</w:t>
            </w:r>
          </w:p>
        </w:tc>
      </w:tr>
      <w:tr w14:paraId="38C93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noWrap w:val="0"/>
            <w:vAlign w:val="center"/>
          </w:tcPr>
          <w:p w14:paraId="78EC4875">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w:t>
            </w:r>
          </w:p>
        </w:tc>
        <w:tc>
          <w:tcPr>
            <w:tcW w:w="6387" w:type="dxa"/>
            <w:noWrap w:val="0"/>
            <w:vAlign w:val="center"/>
          </w:tcPr>
          <w:p w14:paraId="7FEACFF3">
            <w:pPr>
              <w:snapToGrid w:val="0"/>
              <w:spacing w:line="360" w:lineRule="exact"/>
              <w:ind w:firstLine="422" w:firstLineChars="200"/>
              <w:jc w:val="left"/>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 w:val="21"/>
                <w:szCs w:val="21"/>
                <w:highlight w:val="none"/>
              </w:rPr>
              <w:t>质量安全应急响应方案（满分</w:t>
            </w:r>
            <w:r>
              <w:rPr>
                <w:rFonts w:hint="eastAsia" w:ascii="宋体" w:hAnsi="宋体" w:cs="宋体"/>
                <w:b/>
                <w:bCs/>
                <w:color w:val="auto"/>
                <w:sz w:val="21"/>
                <w:szCs w:val="21"/>
                <w:highlight w:val="none"/>
                <w:lang w:val="en-US" w:eastAsia="zh-CN"/>
              </w:rPr>
              <w:t>15</w:t>
            </w:r>
            <w:r>
              <w:rPr>
                <w:rFonts w:hint="eastAsia" w:ascii="宋体" w:hAnsi="宋体" w:eastAsia="宋体" w:cs="宋体"/>
                <w:b/>
                <w:bCs/>
                <w:color w:val="auto"/>
                <w:sz w:val="21"/>
                <w:szCs w:val="21"/>
                <w:highlight w:val="none"/>
              </w:rPr>
              <w:t>分</w:t>
            </w:r>
            <w:r>
              <w:rPr>
                <w:rFonts w:hint="eastAsia" w:ascii="宋体" w:hAnsi="宋体" w:eastAsia="宋体" w:cs="宋体"/>
                <w:b/>
                <w:bCs/>
                <w:color w:val="auto"/>
                <w:sz w:val="21"/>
                <w:szCs w:val="21"/>
                <w:highlight w:val="none"/>
                <w:lang w:eastAsia="zh-CN"/>
              </w:rPr>
              <w:t>）</w:t>
            </w:r>
          </w:p>
          <w:p w14:paraId="6EC9A4D6">
            <w:pPr>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420" w:firstLineChars="0"/>
              <w:jc w:val="left"/>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一档（0分）：未提供方案或提供的内容与本项目不相符；</w:t>
            </w:r>
          </w:p>
          <w:p w14:paraId="76149980">
            <w:pPr>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420" w:firstLineChars="0"/>
              <w:jc w:val="left"/>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二档（</w:t>
            </w:r>
            <w:r>
              <w:rPr>
                <w:rFonts w:hint="eastAsia" w:ascii="宋体" w:hAnsi="宋体" w:cs="宋体"/>
                <w:bCs/>
                <w:color w:val="auto"/>
                <w:sz w:val="21"/>
                <w:szCs w:val="21"/>
                <w:highlight w:val="none"/>
                <w:lang w:val="en-US" w:eastAsia="zh-CN"/>
              </w:rPr>
              <w:t>5</w:t>
            </w:r>
            <w:r>
              <w:rPr>
                <w:rFonts w:hint="eastAsia" w:ascii="宋体" w:hAnsi="宋体" w:eastAsia="宋体" w:cs="宋体"/>
                <w:bCs/>
                <w:color w:val="auto"/>
                <w:sz w:val="21"/>
                <w:szCs w:val="21"/>
                <w:highlight w:val="none"/>
                <w:lang w:val="en-US" w:eastAsia="zh-CN"/>
              </w:rPr>
              <w:t>分）：为应对突发或应急农产品质量安全抽检需要，磋商供应商有相应的农产品质量安全应急抽检方案，在接到采购人发出的应急抽检任务需求时能够在2小时之内响应并派人6小时内抵达抽样现场配合采购人开展应急抽检，提供的具体的应急保障安排和路线应合理且具备可行性；</w:t>
            </w:r>
          </w:p>
          <w:p w14:paraId="5A78C480">
            <w:pPr>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420" w:firstLineChars="0"/>
              <w:jc w:val="left"/>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三档（</w:t>
            </w:r>
            <w:r>
              <w:rPr>
                <w:rFonts w:hint="eastAsia" w:ascii="宋体" w:hAnsi="宋体" w:cs="宋体"/>
                <w:bCs/>
                <w:color w:val="auto"/>
                <w:sz w:val="21"/>
                <w:szCs w:val="21"/>
                <w:highlight w:val="none"/>
                <w:lang w:val="en-US" w:eastAsia="zh-CN"/>
              </w:rPr>
              <w:t>10</w:t>
            </w:r>
            <w:r>
              <w:rPr>
                <w:rFonts w:hint="eastAsia" w:ascii="宋体" w:hAnsi="宋体" w:eastAsia="宋体" w:cs="宋体"/>
                <w:bCs/>
                <w:color w:val="auto"/>
                <w:sz w:val="21"/>
                <w:szCs w:val="21"/>
                <w:highlight w:val="none"/>
                <w:lang w:val="en-US" w:eastAsia="zh-CN"/>
              </w:rPr>
              <w:t>分）：为应对突发或应急农产品质量安全抽检需要，磋商供应商有相应的农产品质量安全应急抽检方案，应急抽检方案满足项目要求，在接到采购人发出的应急抽检任务需求时能够在1小时之内响应并派人4小时内抵达抽样现场配合采购人开展应急抽检，提供的具体的应急保障安排和路线应合理且具备可行性；</w:t>
            </w:r>
          </w:p>
          <w:p w14:paraId="387517F0">
            <w:pPr>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420" w:firstLineChars="0"/>
              <w:jc w:val="left"/>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四档（</w:t>
            </w:r>
            <w:r>
              <w:rPr>
                <w:rFonts w:hint="eastAsia" w:ascii="宋体" w:hAnsi="宋体" w:cs="宋体"/>
                <w:bCs/>
                <w:color w:val="auto"/>
                <w:sz w:val="21"/>
                <w:szCs w:val="21"/>
                <w:highlight w:val="none"/>
                <w:lang w:val="en-US" w:eastAsia="zh-CN"/>
              </w:rPr>
              <w:t>15</w:t>
            </w:r>
            <w:r>
              <w:rPr>
                <w:rFonts w:hint="eastAsia" w:ascii="宋体" w:hAnsi="宋体" w:eastAsia="宋体" w:cs="宋体"/>
                <w:bCs/>
                <w:color w:val="auto"/>
                <w:sz w:val="21"/>
                <w:szCs w:val="21"/>
                <w:highlight w:val="none"/>
                <w:lang w:val="en-US" w:eastAsia="zh-CN"/>
              </w:rPr>
              <w:t>分）：为应对突发或应急农产品质量安全抽检需要，磋商供应商有相应的农产品质量安全应急抽检方案，应急抽检方案满足项目要求，在接到采购人发出的应急抽检任务需求时能够在1小时之内响应并派人3小时内抵达抽样现场配合采购人开展应急抽检，提供的具体的应急保障安排和路线应合理且具备可行性。</w:t>
            </w:r>
          </w:p>
          <w:p w14:paraId="09DC044A">
            <w:pPr>
              <w:snapToGrid w:val="0"/>
              <w:spacing w:line="360" w:lineRule="exact"/>
              <w:ind w:firstLine="420" w:firstLineChars="200"/>
              <w:jc w:val="left"/>
              <w:rPr>
                <w:rFonts w:hint="eastAsia" w:ascii="宋体" w:hAnsi="宋体" w:eastAsia="宋体" w:cs="宋体"/>
                <w:b/>
                <w:color w:val="auto"/>
                <w:szCs w:val="21"/>
                <w:highlight w:val="none"/>
                <w:lang w:val="en-US" w:eastAsia="zh-CN"/>
              </w:rPr>
            </w:pPr>
            <w:r>
              <w:rPr>
                <w:rFonts w:hint="eastAsia" w:ascii="宋体" w:hAnsi="宋体" w:eastAsia="宋体" w:cs="宋体"/>
                <w:bCs/>
                <w:color w:val="auto"/>
                <w:sz w:val="21"/>
                <w:szCs w:val="21"/>
                <w:highlight w:val="none"/>
                <w:lang w:val="en-US" w:eastAsia="zh-CN"/>
              </w:rPr>
              <w:t>注：以磋商供应商提供的实验室地址到采购人所在地地图截图、磋商供应商实验室场所使用证明为准（包含①企业注册登记信息；②房产证明或租赁协议；③资质证明），否则不得分。</w:t>
            </w:r>
          </w:p>
        </w:tc>
        <w:tc>
          <w:tcPr>
            <w:tcW w:w="900" w:type="dxa"/>
            <w:noWrap w:val="0"/>
            <w:vAlign w:val="center"/>
          </w:tcPr>
          <w:p w14:paraId="41B3A1BE">
            <w:pPr>
              <w:keepNext w:val="0"/>
              <w:keepLines w:val="0"/>
              <w:pageBreakBefore w:val="0"/>
              <w:kinsoku/>
              <w:wordWrap/>
              <w:overflowPunct/>
              <w:topLinePunct w:val="0"/>
              <w:bidi w:val="0"/>
              <w:snapToGrid w:val="0"/>
              <w:spacing w:line="4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b/>
                <w:bCs/>
                <w:color w:val="auto"/>
                <w:sz w:val="21"/>
                <w:szCs w:val="21"/>
                <w:highlight w:val="none"/>
                <w:lang w:val="en-US" w:eastAsia="zh-CN"/>
              </w:rPr>
              <w:t>15</w:t>
            </w:r>
          </w:p>
        </w:tc>
        <w:tc>
          <w:tcPr>
            <w:tcW w:w="1380" w:type="dxa"/>
            <w:noWrap w:val="0"/>
            <w:vAlign w:val="center"/>
          </w:tcPr>
          <w:p w14:paraId="5F40CB0B">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主观分</w:t>
            </w:r>
          </w:p>
        </w:tc>
      </w:tr>
      <w:tr w14:paraId="33B08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noWrap w:val="0"/>
            <w:vAlign w:val="center"/>
          </w:tcPr>
          <w:p w14:paraId="55024057">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w:t>
            </w:r>
          </w:p>
        </w:tc>
        <w:tc>
          <w:tcPr>
            <w:tcW w:w="6387" w:type="dxa"/>
            <w:noWrap w:val="0"/>
            <w:vAlign w:val="center"/>
          </w:tcPr>
          <w:p w14:paraId="3DEB5A1E">
            <w:pPr>
              <w:snapToGrid w:val="0"/>
              <w:spacing w:line="36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lang w:eastAsia="zh-CN"/>
              </w:rPr>
              <w:t>增值</w:t>
            </w:r>
            <w:r>
              <w:rPr>
                <w:rFonts w:hint="eastAsia" w:ascii="宋体" w:hAnsi="宋体" w:cs="宋体"/>
                <w:b/>
                <w:color w:val="auto"/>
                <w:szCs w:val="21"/>
                <w:highlight w:val="none"/>
              </w:rPr>
              <w:t>服务方案（满分</w:t>
            </w:r>
            <w:r>
              <w:rPr>
                <w:rFonts w:hint="eastAsia" w:ascii="宋体" w:hAnsi="宋体" w:cs="宋体"/>
                <w:b/>
                <w:color w:val="auto"/>
                <w:szCs w:val="21"/>
                <w:highlight w:val="none"/>
                <w:lang w:val="en-US" w:eastAsia="zh-CN"/>
              </w:rPr>
              <w:t>15</w:t>
            </w:r>
            <w:r>
              <w:rPr>
                <w:rFonts w:hint="eastAsia" w:ascii="宋体" w:hAnsi="宋体" w:cs="宋体"/>
                <w:b/>
                <w:color w:val="auto"/>
                <w:szCs w:val="21"/>
                <w:highlight w:val="none"/>
              </w:rPr>
              <w:t>分）</w:t>
            </w:r>
          </w:p>
          <w:p w14:paraId="70055724">
            <w:pPr>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420" w:firstLineChars="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一档（0分）：未提供方案或提供的内容与本项目不相符；</w:t>
            </w:r>
          </w:p>
          <w:p w14:paraId="6B84F9AF">
            <w:pPr>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420" w:firstLineChars="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二档</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分）：针对采购需求制定有基本的</w:t>
            </w:r>
            <w:r>
              <w:rPr>
                <w:rFonts w:hint="eastAsia" w:ascii="宋体" w:hAnsi="宋体" w:eastAsia="宋体" w:cs="宋体"/>
                <w:color w:val="auto"/>
                <w:kern w:val="2"/>
                <w:sz w:val="21"/>
                <w:szCs w:val="21"/>
                <w:lang w:eastAsia="zh-CN"/>
              </w:rPr>
              <w:t>检测技术培训</w:t>
            </w:r>
            <w:r>
              <w:rPr>
                <w:rFonts w:hint="eastAsia" w:ascii="宋体" w:hAnsi="宋体" w:eastAsia="宋体" w:cs="宋体"/>
                <w:color w:val="auto"/>
                <w:sz w:val="21"/>
                <w:szCs w:val="21"/>
                <w:highlight w:val="none"/>
                <w:lang w:eastAsia="zh-CN"/>
              </w:rPr>
              <w:t>服务方案，对培训的各项内容进行了描述，满足项目的基本要求；</w:t>
            </w:r>
          </w:p>
          <w:p w14:paraId="46611F10">
            <w:pPr>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420" w:firstLineChars="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三档（</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lang w:eastAsia="zh-CN"/>
              </w:rPr>
              <w:t>分）：磋商供应商拟提供相应的培训服务计划、培训内容安排、培训师资配备、培训软硬件资源投入各项内容和各阶段工作有具体的安排，培训实效保障措施和承诺符合项目实际需求；并能根据项目实施地的农产品特点，结合磋商供应商自身的资质优势与行业资源，</w:t>
            </w:r>
            <w:r>
              <w:rPr>
                <w:rFonts w:hint="eastAsia" w:ascii="宋体" w:hAnsi="宋体" w:eastAsia="宋体" w:cs="宋体"/>
                <w:color w:val="auto"/>
                <w:sz w:val="21"/>
                <w:szCs w:val="21"/>
                <w:highlight w:val="none"/>
                <w:lang w:val="en-US" w:eastAsia="zh-CN"/>
              </w:rPr>
              <w:t>能</w:t>
            </w:r>
            <w:r>
              <w:rPr>
                <w:rFonts w:hint="eastAsia" w:ascii="宋体" w:hAnsi="宋体" w:eastAsia="宋体" w:cs="宋体"/>
                <w:color w:val="auto"/>
                <w:sz w:val="21"/>
                <w:szCs w:val="21"/>
                <w:highlight w:val="none"/>
                <w:lang w:eastAsia="zh-CN"/>
              </w:rPr>
              <w:t>提供</w:t>
            </w:r>
            <w:r>
              <w:rPr>
                <w:rFonts w:hint="eastAsia" w:ascii="宋体" w:hAnsi="宋体" w:eastAsia="宋体" w:cs="宋体"/>
                <w:color w:val="auto"/>
                <w:sz w:val="21"/>
                <w:szCs w:val="21"/>
                <w:highlight w:val="none"/>
                <w:lang w:val="en-US" w:eastAsia="zh-CN"/>
              </w:rPr>
              <w:t>至少3项</w:t>
            </w:r>
            <w:r>
              <w:rPr>
                <w:rFonts w:hint="eastAsia" w:ascii="宋体" w:hAnsi="宋体" w:eastAsia="宋体" w:cs="宋体"/>
                <w:color w:val="auto"/>
                <w:sz w:val="21"/>
                <w:szCs w:val="21"/>
                <w:highlight w:val="none"/>
                <w:lang w:eastAsia="zh-CN"/>
              </w:rPr>
              <w:t>助力农业产业绿色高质量发展增值服务（例如：基层农技队伍检测业务培训、地域农产品的绿色用药替代指导、农产品出口业务专业指导、“三品一标”认证指导等），对增值服务的内容进行了基本描述；</w:t>
            </w:r>
          </w:p>
          <w:p w14:paraId="1E10575F">
            <w:pPr>
              <w:keepNext w:val="0"/>
              <w:keepLines w:val="0"/>
              <w:pageBreakBefore w:val="0"/>
              <w:kinsoku/>
              <w:wordWrap/>
              <w:overflowPunct/>
              <w:topLinePunct w:val="0"/>
              <w:bidi w:val="0"/>
              <w:snapToGrid w:val="0"/>
              <w:spacing w:line="400" w:lineRule="exact"/>
              <w:ind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四档（</w:t>
            </w:r>
            <w:r>
              <w:rPr>
                <w:rFonts w:hint="eastAsia" w:ascii="宋体" w:hAnsi="宋体" w:cs="宋体"/>
                <w:color w:val="auto"/>
                <w:sz w:val="21"/>
                <w:szCs w:val="21"/>
                <w:highlight w:val="none"/>
                <w:lang w:val="en-US" w:eastAsia="zh-CN"/>
              </w:rPr>
              <w:t>15</w:t>
            </w:r>
            <w:r>
              <w:rPr>
                <w:rFonts w:hint="eastAsia" w:ascii="宋体" w:hAnsi="宋体" w:eastAsia="宋体" w:cs="宋体"/>
                <w:color w:val="auto"/>
                <w:sz w:val="21"/>
                <w:szCs w:val="21"/>
                <w:highlight w:val="none"/>
                <w:lang w:eastAsia="zh-CN"/>
              </w:rPr>
              <w:t>分）：在满足三档的前提下，各项服务有具体的针对性的内容安排，并能结合所参与的分标工作，提供项目实施前期、中期和后期的各阶段中，在完成相应工作任务的基础上，</w:t>
            </w:r>
            <w:r>
              <w:rPr>
                <w:rFonts w:hint="eastAsia" w:ascii="宋体" w:hAnsi="宋体" w:eastAsia="宋体" w:cs="宋体"/>
                <w:color w:val="auto"/>
                <w:sz w:val="21"/>
                <w:szCs w:val="21"/>
                <w:highlight w:val="none"/>
                <w:lang w:val="en-US" w:eastAsia="zh-CN"/>
              </w:rPr>
              <w:t>能</w:t>
            </w:r>
            <w:r>
              <w:rPr>
                <w:rFonts w:hint="eastAsia" w:ascii="宋体" w:hAnsi="宋体" w:eastAsia="宋体" w:cs="宋体"/>
                <w:color w:val="auto"/>
                <w:sz w:val="21"/>
                <w:szCs w:val="21"/>
                <w:highlight w:val="none"/>
                <w:lang w:eastAsia="zh-CN"/>
              </w:rPr>
              <w:t>提供</w:t>
            </w:r>
            <w:r>
              <w:rPr>
                <w:rFonts w:hint="eastAsia" w:ascii="宋体" w:hAnsi="宋体" w:eastAsia="宋体" w:cs="宋体"/>
                <w:color w:val="auto"/>
                <w:sz w:val="21"/>
                <w:szCs w:val="21"/>
                <w:highlight w:val="none"/>
                <w:lang w:val="en-US" w:eastAsia="zh-CN"/>
              </w:rPr>
              <w:t>4项以上</w:t>
            </w:r>
            <w:r>
              <w:rPr>
                <w:rFonts w:hint="eastAsia" w:ascii="宋体" w:hAnsi="宋体" w:eastAsia="宋体" w:cs="宋体"/>
                <w:color w:val="auto"/>
                <w:sz w:val="21"/>
                <w:szCs w:val="21"/>
                <w:highlight w:val="none"/>
                <w:lang w:eastAsia="zh-CN"/>
              </w:rPr>
              <w:t>助力农业产业绿色高质量发展增值服务方案（例如：基层农技队伍检测业务培训、地域农产品的绿色用药替代指导、农产品出口业务专业指导、“三品一标”认证指导等），方案详细列明实现增值服务的方式、保障措施以及磋商供应商具备相应的支撑能力证明材料，并得到评审小组的认可</w:t>
            </w:r>
            <w:r>
              <w:rPr>
                <w:rFonts w:hint="eastAsia" w:ascii="宋体" w:hAnsi="宋体" w:eastAsia="宋体" w:cs="宋体"/>
                <w:color w:val="auto"/>
                <w:sz w:val="21"/>
                <w:szCs w:val="21"/>
                <w:highlight w:val="none"/>
              </w:rPr>
              <w:t>。</w:t>
            </w:r>
          </w:p>
        </w:tc>
        <w:tc>
          <w:tcPr>
            <w:tcW w:w="900" w:type="dxa"/>
            <w:noWrap w:val="0"/>
            <w:vAlign w:val="center"/>
          </w:tcPr>
          <w:p w14:paraId="5FFDA561">
            <w:pPr>
              <w:keepNext w:val="0"/>
              <w:keepLines w:val="0"/>
              <w:pageBreakBefore w:val="0"/>
              <w:kinsoku/>
              <w:wordWrap/>
              <w:overflowPunct/>
              <w:topLinePunct w:val="0"/>
              <w:bidi w:val="0"/>
              <w:snapToGrid w:val="0"/>
              <w:spacing w:line="4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b/>
                <w:bCs/>
                <w:color w:val="auto"/>
                <w:sz w:val="21"/>
                <w:szCs w:val="21"/>
                <w:highlight w:val="none"/>
                <w:lang w:val="en-US" w:eastAsia="zh-CN"/>
              </w:rPr>
              <w:t>15</w:t>
            </w:r>
          </w:p>
        </w:tc>
        <w:tc>
          <w:tcPr>
            <w:tcW w:w="1380" w:type="dxa"/>
            <w:noWrap w:val="0"/>
            <w:vAlign w:val="center"/>
          </w:tcPr>
          <w:p w14:paraId="43A28B9F">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主观分</w:t>
            </w:r>
          </w:p>
        </w:tc>
      </w:tr>
      <w:tr w14:paraId="45987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noWrap w:val="0"/>
            <w:vAlign w:val="center"/>
          </w:tcPr>
          <w:p w14:paraId="67EDEBCE">
            <w:pPr>
              <w:keepNext w:val="0"/>
              <w:keepLines w:val="0"/>
              <w:pageBreakBefore w:val="0"/>
              <w:kinsoku/>
              <w:wordWrap/>
              <w:overflowPunct/>
              <w:topLinePunct w:val="0"/>
              <w:bidi w:val="0"/>
              <w:snapToGrid w:val="0"/>
              <w:spacing w:line="4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2.5</w:t>
            </w:r>
          </w:p>
        </w:tc>
        <w:tc>
          <w:tcPr>
            <w:tcW w:w="6387" w:type="dxa"/>
            <w:noWrap w:val="0"/>
            <w:vAlign w:val="center"/>
          </w:tcPr>
          <w:p w14:paraId="6770F1E4">
            <w:pPr>
              <w:snapToGrid w:val="0"/>
              <w:spacing w:line="360" w:lineRule="exact"/>
              <w:ind w:firstLine="422" w:firstLineChars="200"/>
              <w:jc w:val="left"/>
              <w:rPr>
                <w:rFonts w:hint="eastAsia" w:ascii="宋体" w:hAnsi="宋体" w:cs="宋体"/>
                <w:b/>
                <w:color w:val="auto"/>
                <w:szCs w:val="21"/>
                <w:highlight w:val="none"/>
                <w:lang w:eastAsia="zh-CN"/>
              </w:rPr>
            </w:pPr>
            <w:r>
              <w:rPr>
                <w:rFonts w:hint="eastAsia" w:ascii="宋体" w:hAnsi="宋体" w:cs="宋体"/>
                <w:b/>
                <w:color w:val="auto"/>
                <w:szCs w:val="21"/>
                <w:highlight w:val="none"/>
                <w:lang w:eastAsia="zh-CN"/>
              </w:rPr>
              <w:t>人员及投入设施保障</w:t>
            </w:r>
            <w:r>
              <w:rPr>
                <w:rFonts w:hint="eastAsia" w:ascii="宋体" w:hAnsi="宋体" w:cs="宋体"/>
                <w:b/>
                <w:color w:val="auto"/>
                <w:szCs w:val="21"/>
                <w:highlight w:val="none"/>
              </w:rPr>
              <w:t>（满分</w:t>
            </w:r>
            <w:r>
              <w:rPr>
                <w:rFonts w:hint="eastAsia" w:ascii="宋体" w:hAnsi="宋体" w:cs="宋体"/>
                <w:b/>
                <w:color w:val="auto"/>
                <w:szCs w:val="21"/>
                <w:highlight w:val="none"/>
                <w:lang w:val="en-US" w:eastAsia="zh-CN"/>
              </w:rPr>
              <w:t>15</w:t>
            </w:r>
            <w:r>
              <w:rPr>
                <w:rFonts w:hint="eastAsia" w:ascii="宋体" w:hAnsi="宋体" w:cs="宋体"/>
                <w:b/>
                <w:color w:val="auto"/>
                <w:szCs w:val="21"/>
                <w:highlight w:val="none"/>
              </w:rPr>
              <w:t>分）</w:t>
            </w:r>
          </w:p>
          <w:p w14:paraId="08853FB1">
            <w:pPr>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420" w:firstLineChars="0"/>
              <w:jc w:val="lef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一档（0分）：未提供相关人员证明材料或提供的内容与本项目不相符；</w:t>
            </w:r>
          </w:p>
          <w:p w14:paraId="2BD2CED9">
            <w:pPr>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420" w:firstLineChars="0"/>
              <w:jc w:val="lef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二档（</w:t>
            </w:r>
            <w:r>
              <w:rPr>
                <w:rFonts w:hint="eastAsia" w:ascii="宋体" w:hAnsi="宋体" w:eastAsia="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lang w:eastAsia="zh-CN"/>
              </w:rPr>
              <w:t>分）：针对本项目设置有专门的工作组，至少包含项目组长、抽样人员、质量控制员、检测人员5人以上，提供相应人员有效的检验人员上岗证、身份证复印件、相关专业学位证书或毕业证明；提供有检测服务工作所需的设备设施清单；</w:t>
            </w:r>
          </w:p>
          <w:p w14:paraId="4BEF8771">
            <w:pPr>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420" w:firstLineChars="0"/>
              <w:jc w:val="lef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三档（</w:t>
            </w:r>
            <w:r>
              <w:rPr>
                <w:rFonts w:hint="eastAsia" w:ascii="宋体" w:hAnsi="宋体" w:eastAsia="宋体" w:cs="宋体"/>
                <w:b w:val="0"/>
                <w:bCs w:val="0"/>
                <w:color w:val="auto"/>
                <w:sz w:val="21"/>
                <w:szCs w:val="21"/>
                <w:highlight w:val="none"/>
                <w:lang w:val="en-US" w:eastAsia="zh-CN"/>
              </w:rPr>
              <w:t>10</w:t>
            </w:r>
            <w:r>
              <w:rPr>
                <w:rFonts w:hint="eastAsia" w:ascii="宋体" w:hAnsi="宋体" w:eastAsia="宋体" w:cs="宋体"/>
                <w:b w:val="0"/>
                <w:bCs w:val="0"/>
                <w:color w:val="auto"/>
                <w:sz w:val="21"/>
                <w:szCs w:val="21"/>
                <w:highlight w:val="none"/>
                <w:lang w:eastAsia="zh-CN"/>
              </w:rPr>
              <w:t>分）：在满足二档的前提下：工作组由8名及以上成员，成员中至少有2名相关专业中级及以上职称人员，提供相应人员有效的检验人员上岗证、身份证复印件、相关专业学位证书或毕业证明，以及职称证明；所提供的设备设施至少包含样品储藏设备、称量设备、分析仪器、样品处理设备，并提供有主要设备设施的产权证明（如购置发票、租赁凭证等）；</w:t>
            </w:r>
          </w:p>
          <w:p w14:paraId="7CEEB586">
            <w:pPr>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420" w:firstLineChars="0"/>
              <w:jc w:val="lef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四档（</w:t>
            </w:r>
            <w:r>
              <w:rPr>
                <w:rFonts w:hint="eastAsia" w:ascii="宋体" w:hAnsi="宋体" w:eastAsia="宋体" w:cs="宋体"/>
                <w:b w:val="0"/>
                <w:bCs w:val="0"/>
                <w:color w:val="auto"/>
                <w:sz w:val="21"/>
                <w:szCs w:val="21"/>
                <w:highlight w:val="none"/>
                <w:lang w:val="en-US" w:eastAsia="zh-CN"/>
              </w:rPr>
              <w:t>15</w:t>
            </w:r>
            <w:r>
              <w:rPr>
                <w:rFonts w:hint="eastAsia" w:ascii="宋体" w:hAnsi="宋体" w:eastAsia="宋体" w:cs="宋体"/>
                <w:b w:val="0"/>
                <w:bCs w:val="0"/>
                <w:color w:val="auto"/>
                <w:sz w:val="21"/>
                <w:szCs w:val="21"/>
                <w:highlight w:val="none"/>
                <w:lang w:eastAsia="zh-CN"/>
              </w:rPr>
              <w:t>分）：在满足三档的前提下：工作组由12名及以上成员组成，成员中至少有1名相关专业高级职称，提供相应人员有效的检验人员上岗证、身份证复印件、相关专业学位证书或毕业证明，以及职称证明；提供有2部及以上的样品运输车辆；有固定的办公场所和专用检验室，提供场地产权证明或有效的租赁合同；</w:t>
            </w:r>
          </w:p>
          <w:p w14:paraId="6091265B">
            <w:pPr>
              <w:keepNext w:val="0"/>
              <w:keepLines w:val="0"/>
              <w:pageBreakBefore w:val="0"/>
              <w:kinsoku/>
              <w:wordWrap/>
              <w:overflowPunct/>
              <w:topLinePunct w:val="0"/>
              <w:bidi w:val="0"/>
              <w:snapToGrid w:val="0"/>
              <w:spacing w:line="400" w:lineRule="exact"/>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注意：相关专业指与农业、化工、食品医药、资源环境或检验检测相关的各类专业（如：农业资源与环境、动植物检疫、农业昆虫与害虫防治、生物工程、化学工程、化学分析、环境工程、医药工程、食品质量与安全等）</w:t>
            </w:r>
          </w:p>
        </w:tc>
        <w:tc>
          <w:tcPr>
            <w:tcW w:w="900" w:type="dxa"/>
            <w:noWrap w:val="0"/>
            <w:vAlign w:val="center"/>
          </w:tcPr>
          <w:p w14:paraId="713810F8">
            <w:pPr>
              <w:keepNext w:val="0"/>
              <w:keepLines w:val="0"/>
              <w:pageBreakBefore w:val="0"/>
              <w:kinsoku/>
              <w:wordWrap/>
              <w:overflowPunct/>
              <w:topLinePunct w:val="0"/>
              <w:bidi w:val="0"/>
              <w:snapToGrid w:val="0"/>
              <w:spacing w:line="400" w:lineRule="exact"/>
              <w:jc w:val="center"/>
              <w:textAlignment w:val="auto"/>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15</w:t>
            </w:r>
          </w:p>
        </w:tc>
        <w:tc>
          <w:tcPr>
            <w:tcW w:w="1380" w:type="dxa"/>
            <w:noWrap w:val="0"/>
            <w:vAlign w:val="center"/>
          </w:tcPr>
          <w:p w14:paraId="2BB487CF">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color w:val="auto"/>
                <w:sz w:val="21"/>
                <w:szCs w:val="21"/>
                <w:highlight w:val="none"/>
                <w:lang w:val="en-US" w:eastAsia="zh-CN"/>
              </w:rPr>
            </w:pPr>
          </w:p>
        </w:tc>
      </w:tr>
      <w:tr w14:paraId="6F896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noWrap w:val="0"/>
            <w:vAlign w:val="center"/>
          </w:tcPr>
          <w:p w14:paraId="30C4020A">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p>
        </w:tc>
        <w:tc>
          <w:tcPr>
            <w:tcW w:w="6387" w:type="dxa"/>
            <w:noWrap w:val="0"/>
            <w:vAlign w:val="center"/>
          </w:tcPr>
          <w:p w14:paraId="1AA592E4">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商务分</w:t>
            </w:r>
          </w:p>
        </w:tc>
        <w:tc>
          <w:tcPr>
            <w:tcW w:w="900" w:type="dxa"/>
            <w:noWrap w:val="0"/>
            <w:vAlign w:val="center"/>
          </w:tcPr>
          <w:p w14:paraId="6F5359E5">
            <w:pPr>
              <w:keepNext w:val="0"/>
              <w:keepLines w:val="0"/>
              <w:pageBreakBefore w:val="0"/>
              <w:kinsoku/>
              <w:wordWrap/>
              <w:overflowPunct/>
              <w:topLinePunct w:val="0"/>
              <w:bidi w:val="0"/>
              <w:snapToGrid w:val="0"/>
              <w:spacing w:line="400" w:lineRule="exact"/>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10</w:t>
            </w:r>
          </w:p>
        </w:tc>
        <w:tc>
          <w:tcPr>
            <w:tcW w:w="1380" w:type="dxa"/>
            <w:noWrap w:val="0"/>
            <w:vAlign w:val="center"/>
          </w:tcPr>
          <w:p w14:paraId="34FF9CC0">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color w:val="auto"/>
                <w:sz w:val="21"/>
                <w:szCs w:val="21"/>
                <w:highlight w:val="none"/>
              </w:rPr>
            </w:pPr>
          </w:p>
        </w:tc>
      </w:tr>
      <w:tr w14:paraId="52AF6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noWrap w:val="0"/>
            <w:vAlign w:val="center"/>
          </w:tcPr>
          <w:p w14:paraId="00E4095E">
            <w:pPr>
              <w:keepNext w:val="0"/>
              <w:keepLines w:val="0"/>
              <w:pageBreakBefore w:val="0"/>
              <w:kinsoku/>
              <w:wordWrap/>
              <w:overflowPunct/>
              <w:topLinePunct w:val="0"/>
              <w:bidi w:val="0"/>
              <w:snapToGrid w:val="0"/>
              <w:spacing w:line="400" w:lineRule="exact"/>
              <w:jc w:val="center"/>
              <w:textAlignment w:val="auto"/>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3.1</w:t>
            </w:r>
          </w:p>
        </w:tc>
        <w:tc>
          <w:tcPr>
            <w:tcW w:w="6387" w:type="dxa"/>
            <w:noWrap w:val="0"/>
            <w:vAlign w:val="center"/>
          </w:tcPr>
          <w:p w14:paraId="1166F96B">
            <w:pPr>
              <w:snapToGrid w:val="0"/>
              <w:spacing w:line="360" w:lineRule="exact"/>
              <w:ind w:firstLine="422" w:firstLineChars="200"/>
              <w:jc w:val="left"/>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信誉分（满分3分）</w:t>
            </w:r>
          </w:p>
          <w:p w14:paraId="62D013A3">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right="0" w:rightChars="0" w:firstLine="420" w:firstLineChars="200"/>
              <w:jc w:val="left"/>
              <w:textAlignment w:val="auto"/>
              <w:rPr>
                <w:rFonts w:hint="eastAsia" w:ascii="宋体" w:hAnsi="宋体" w:eastAsia="宋体" w:cs="宋体"/>
                <w:bCs/>
                <w:color w:val="auto"/>
                <w:sz w:val="21"/>
                <w:szCs w:val="21"/>
                <w:highlight w:val="none"/>
                <w:lang w:val="en-US" w:eastAsia="zh-CN"/>
              </w:rPr>
            </w:pPr>
            <w:r>
              <w:rPr>
                <w:rFonts w:hint="eastAsia" w:ascii="宋体" w:hAnsi="宋体" w:cs="宋体"/>
                <w:color w:val="auto"/>
                <w:szCs w:val="21"/>
              </w:rPr>
              <w:t>投标人具有有效的ISO9001质 量 管 理 体 系 认 证、ISO14001环境管理体系认证、ISO45001职业健康安全管理体系认证证书，每提供一个得1分，满分3分。（提供有效证书复印件或扫描件及上述证书对应的在全国认证认可信息公共服务平台上(http://cx.cnca.cn)查询结果的截图，不提供或证书状态非“有效”均不得分。）。</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w:t>
            </w:r>
            <w:r>
              <w:rPr>
                <w:rFonts w:hint="eastAsia" w:ascii="宋体" w:hAnsi="宋体" w:eastAsia="宋体" w:cs="宋体"/>
                <w:color w:val="auto"/>
                <w:szCs w:val="21"/>
                <w:lang w:val="en-US" w:eastAsia="zh-CN"/>
              </w:rPr>
              <w:t>中须</w:t>
            </w:r>
            <w:r>
              <w:rPr>
                <w:rFonts w:hint="eastAsia" w:ascii="宋体" w:hAnsi="宋体" w:eastAsia="宋体" w:cs="宋体"/>
                <w:bCs/>
                <w:color w:val="auto"/>
                <w:sz w:val="21"/>
                <w:szCs w:val="21"/>
                <w:highlight w:val="none"/>
                <w:lang w:val="en-US" w:eastAsia="zh-CN"/>
              </w:rPr>
              <w:t>提供</w:t>
            </w:r>
            <w:r>
              <w:rPr>
                <w:rFonts w:hint="eastAsia" w:ascii="宋体" w:hAnsi="宋体" w:eastAsia="宋体" w:cs="宋体"/>
                <w:color w:val="auto"/>
                <w:szCs w:val="21"/>
              </w:rPr>
              <w:t>证明材料复印件</w:t>
            </w:r>
            <w:r>
              <w:rPr>
                <w:rFonts w:hint="eastAsia" w:ascii="宋体" w:hAnsi="宋体" w:eastAsia="宋体" w:cs="宋体"/>
                <w:color w:val="auto"/>
                <w:szCs w:val="21"/>
                <w:lang w:val="en-US" w:eastAsia="zh-CN"/>
              </w:rPr>
              <w:t>并加盖供应商公章（或电子签章）</w:t>
            </w:r>
            <w:r>
              <w:rPr>
                <w:rFonts w:hint="eastAsia" w:ascii="宋体" w:hAnsi="宋体" w:eastAsia="宋体" w:cs="宋体"/>
                <w:b w:val="0"/>
                <w:bCs w:val="0"/>
                <w:color w:val="auto"/>
                <w:sz w:val="21"/>
                <w:szCs w:val="21"/>
                <w:highlight w:val="none"/>
                <w:lang w:val="en-US" w:eastAsia="zh-CN"/>
              </w:rPr>
              <w:t>]</w:t>
            </w:r>
          </w:p>
        </w:tc>
        <w:tc>
          <w:tcPr>
            <w:tcW w:w="900" w:type="dxa"/>
            <w:noWrap w:val="0"/>
            <w:vAlign w:val="center"/>
          </w:tcPr>
          <w:p w14:paraId="2943BECE">
            <w:pPr>
              <w:keepNext w:val="0"/>
              <w:keepLines w:val="0"/>
              <w:pageBreakBefore w:val="0"/>
              <w:kinsoku/>
              <w:wordWrap/>
              <w:overflowPunct/>
              <w:topLinePunct w:val="0"/>
              <w:bidi w:val="0"/>
              <w:snapToGrid w:val="0"/>
              <w:spacing w:line="400" w:lineRule="exact"/>
              <w:jc w:val="center"/>
              <w:textAlignment w:val="auto"/>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3</w:t>
            </w:r>
          </w:p>
        </w:tc>
        <w:tc>
          <w:tcPr>
            <w:tcW w:w="1380" w:type="dxa"/>
            <w:noWrap w:val="0"/>
            <w:vAlign w:val="center"/>
          </w:tcPr>
          <w:p w14:paraId="7365C657">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客观分</w:t>
            </w:r>
          </w:p>
        </w:tc>
      </w:tr>
      <w:tr w14:paraId="44A30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noWrap w:val="0"/>
            <w:vAlign w:val="center"/>
          </w:tcPr>
          <w:p w14:paraId="6835842C">
            <w:pPr>
              <w:keepNext w:val="0"/>
              <w:keepLines w:val="0"/>
              <w:pageBreakBefore w:val="0"/>
              <w:kinsoku/>
              <w:wordWrap/>
              <w:overflowPunct/>
              <w:topLinePunct w:val="0"/>
              <w:bidi w:val="0"/>
              <w:snapToGrid w:val="0"/>
              <w:spacing w:line="4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w:t>
            </w:r>
            <w:r>
              <w:rPr>
                <w:rFonts w:hint="eastAsia" w:ascii="宋体" w:hAnsi="宋体" w:cs="宋体"/>
                <w:b/>
                <w:bCs/>
                <w:color w:val="auto"/>
                <w:sz w:val="21"/>
                <w:szCs w:val="21"/>
                <w:highlight w:val="none"/>
                <w:lang w:val="en-US" w:eastAsia="zh-CN"/>
              </w:rPr>
              <w:t>2</w:t>
            </w:r>
          </w:p>
        </w:tc>
        <w:tc>
          <w:tcPr>
            <w:tcW w:w="6387" w:type="dxa"/>
            <w:noWrap w:val="0"/>
            <w:vAlign w:val="center"/>
          </w:tcPr>
          <w:p w14:paraId="48FF2AD8">
            <w:pPr>
              <w:snapToGrid w:val="0"/>
              <w:spacing w:line="360" w:lineRule="exact"/>
              <w:ind w:firstLine="422" w:firstLineChars="200"/>
              <w:jc w:val="left"/>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业绩分（满分7分）</w:t>
            </w:r>
          </w:p>
          <w:p w14:paraId="59F7FE18">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Cs w:val="21"/>
                <w:lang w:eastAsia="zh-CN"/>
              </w:rPr>
              <w:t>磋商供应商</w:t>
            </w:r>
            <w:r>
              <w:rPr>
                <w:rFonts w:hint="eastAsia" w:ascii="宋体" w:hAnsi="宋体" w:cs="宋体"/>
                <w:color w:val="auto"/>
                <w:szCs w:val="21"/>
              </w:rPr>
              <w:t>2023年1月1日以来承担过</w:t>
            </w:r>
            <w:r>
              <w:rPr>
                <w:rFonts w:hint="eastAsia" w:ascii="宋体" w:hAnsi="宋体"/>
                <w:color w:val="auto"/>
                <w:szCs w:val="21"/>
                <w:lang w:val="en-US" w:eastAsia="zh-CN"/>
              </w:rPr>
              <w:t>同类检测</w:t>
            </w:r>
            <w:r>
              <w:rPr>
                <w:rFonts w:hint="eastAsia" w:ascii="宋体" w:hAnsi="宋体"/>
                <w:color w:val="auto"/>
                <w:szCs w:val="21"/>
              </w:rPr>
              <w:t>项目业绩</w:t>
            </w:r>
            <w:r>
              <w:rPr>
                <w:rFonts w:hint="eastAsia" w:ascii="宋体" w:hAnsi="宋体" w:cs="宋体"/>
                <w:color w:val="auto"/>
                <w:szCs w:val="21"/>
              </w:rPr>
              <w:t>的</w:t>
            </w:r>
            <w:r>
              <w:rPr>
                <w:rFonts w:hint="eastAsia" w:ascii="宋体" w:hAnsi="宋体" w:eastAsia="宋体" w:cs="宋体"/>
                <w:color w:val="auto"/>
                <w:sz w:val="21"/>
                <w:szCs w:val="21"/>
                <w:highlight w:val="none"/>
                <w:lang w:val="en-US" w:eastAsia="zh-CN"/>
              </w:rPr>
              <w:t>，每提供一个项目业绩得</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分，满分</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分</w:t>
            </w:r>
            <w:r>
              <w:rPr>
                <w:rFonts w:hint="eastAsia" w:ascii="宋体" w:hAnsi="宋体" w:cs="宋体"/>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w:t>
            </w:r>
            <w:r>
              <w:rPr>
                <w:rFonts w:hint="eastAsia" w:ascii="宋体" w:hAnsi="宋体" w:eastAsia="宋体" w:cs="宋体"/>
                <w:color w:val="auto"/>
                <w:szCs w:val="21"/>
                <w:lang w:val="en-US" w:eastAsia="zh-CN"/>
              </w:rPr>
              <w:t>中须</w:t>
            </w:r>
            <w:r>
              <w:rPr>
                <w:rFonts w:hint="eastAsia" w:ascii="宋体" w:hAnsi="宋体" w:eastAsia="宋体" w:cs="宋体"/>
                <w:b w:val="0"/>
                <w:bCs w:val="0"/>
                <w:color w:val="auto"/>
                <w:sz w:val="21"/>
                <w:szCs w:val="21"/>
                <w:highlight w:val="none"/>
                <w:lang w:val="en-US" w:eastAsia="zh-CN"/>
              </w:rPr>
              <w:t>提供合同或中标（成交）通知书复印件并</w:t>
            </w:r>
            <w:r>
              <w:rPr>
                <w:rFonts w:hint="eastAsia" w:ascii="宋体" w:hAnsi="宋体" w:eastAsia="宋体" w:cs="宋体"/>
                <w:b w:val="0"/>
                <w:bCs w:val="0"/>
                <w:color w:val="auto"/>
                <w:sz w:val="21"/>
                <w:szCs w:val="21"/>
                <w:highlight w:val="none"/>
              </w:rPr>
              <w:t>加盖</w:t>
            </w:r>
            <w:r>
              <w:rPr>
                <w:rFonts w:hint="eastAsia" w:ascii="宋体" w:hAnsi="宋体" w:eastAsia="宋体" w:cs="宋体"/>
                <w:b w:val="0"/>
                <w:bCs w:val="0"/>
                <w:color w:val="auto"/>
                <w:sz w:val="21"/>
                <w:szCs w:val="21"/>
                <w:highlight w:val="none"/>
                <w:lang w:val="en-US" w:eastAsia="zh-CN"/>
              </w:rPr>
              <w:t>供应商</w:t>
            </w:r>
            <w:r>
              <w:rPr>
                <w:rFonts w:hint="eastAsia" w:ascii="宋体" w:hAnsi="宋体" w:eastAsia="宋体" w:cs="宋体"/>
                <w:color w:val="auto"/>
                <w:szCs w:val="21"/>
                <w:lang w:val="en-US" w:eastAsia="zh-CN"/>
              </w:rPr>
              <w:t>公章（或电子签章）</w:t>
            </w:r>
            <w:r>
              <w:rPr>
                <w:rFonts w:hint="eastAsia" w:ascii="宋体" w:hAnsi="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同一个招标编号的项目中标的只算一次</w:t>
            </w:r>
            <w:r>
              <w:rPr>
                <w:rFonts w:hint="eastAsia" w:ascii="宋体" w:hAnsi="宋体" w:eastAsia="宋体" w:cs="宋体"/>
                <w:b w:val="0"/>
                <w:bCs w:val="0"/>
                <w:color w:val="auto"/>
                <w:sz w:val="21"/>
                <w:szCs w:val="21"/>
                <w:highlight w:val="none"/>
                <w:lang w:val="en-US" w:eastAsia="zh-CN"/>
              </w:rPr>
              <w:t>]。</w:t>
            </w:r>
          </w:p>
        </w:tc>
        <w:tc>
          <w:tcPr>
            <w:tcW w:w="900" w:type="dxa"/>
            <w:noWrap w:val="0"/>
            <w:vAlign w:val="center"/>
          </w:tcPr>
          <w:p w14:paraId="3A93DB68">
            <w:pPr>
              <w:keepNext w:val="0"/>
              <w:keepLines w:val="0"/>
              <w:pageBreakBefore w:val="0"/>
              <w:kinsoku/>
              <w:wordWrap/>
              <w:overflowPunct/>
              <w:topLinePunct w:val="0"/>
              <w:bidi w:val="0"/>
              <w:snapToGrid w:val="0"/>
              <w:spacing w:line="4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b/>
                <w:bCs/>
                <w:color w:val="auto"/>
                <w:sz w:val="21"/>
                <w:szCs w:val="21"/>
                <w:highlight w:val="none"/>
                <w:lang w:val="en-US" w:eastAsia="zh-CN"/>
              </w:rPr>
              <w:t>7</w:t>
            </w:r>
          </w:p>
        </w:tc>
        <w:tc>
          <w:tcPr>
            <w:tcW w:w="1380" w:type="dxa"/>
            <w:noWrap w:val="0"/>
            <w:vAlign w:val="center"/>
          </w:tcPr>
          <w:p w14:paraId="5A641FAF">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客观分</w:t>
            </w:r>
          </w:p>
        </w:tc>
      </w:tr>
    </w:tbl>
    <w:p w14:paraId="4A22B5A1">
      <w:pPr>
        <w:snapToGrid w:val="0"/>
        <w:spacing w:line="360" w:lineRule="auto"/>
        <w:ind w:firstLine="480" w:firstLineChars="200"/>
        <w:rPr>
          <w:rFonts w:hint="eastAsia" w:cs="仿宋_GB2312" w:asciiTheme="minorEastAsia" w:hAnsiTheme="minorEastAsia" w:eastAsiaTheme="minorEastAsia"/>
          <w:bCs/>
          <w:color w:val="auto"/>
          <w:sz w:val="24"/>
          <w:highlight w:val="none"/>
        </w:rPr>
      </w:pPr>
    </w:p>
    <w:p w14:paraId="1669EE11">
      <w:pPr>
        <w:adjustRightInd/>
        <w:spacing w:line="360" w:lineRule="auto"/>
        <w:ind w:firstLine="482" w:firstLineChars="200"/>
        <w:rPr>
          <w:rFonts w:hint="default" w:cs="Arial" w:asciiTheme="minorEastAsia" w:hAnsiTheme="minorEastAsia" w:eastAsiaTheme="minorEastAsia"/>
          <w:b/>
          <w:color w:val="auto"/>
          <w:kern w:val="0"/>
          <w:sz w:val="24"/>
          <w:highlight w:val="none"/>
          <w:lang w:val="en-US" w:eastAsia="zh-CN"/>
        </w:rPr>
      </w:pPr>
      <w:r>
        <w:rPr>
          <w:rFonts w:hint="eastAsia" w:cs="Arial" w:asciiTheme="minorEastAsia" w:hAnsiTheme="minorEastAsia" w:eastAsiaTheme="minorEastAsia"/>
          <w:b/>
          <w:color w:val="auto"/>
          <w:kern w:val="0"/>
          <w:sz w:val="24"/>
          <w:highlight w:val="none"/>
          <w:lang w:val="en-US" w:eastAsia="zh-CN"/>
        </w:rPr>
        <w:t>备注：</w:t>
      </w:r>
      <w:r>
        <w:rPr>
          <w:rFonts w:hint="eastAsia" w:cs="Times New Roman" w:asciiTheme="minorEastAsia" w:hAnsiTheme="minorEastAsia" w:eastAsiaTheme="minorEastAsia"/>
          <w:color w:val="auto"/>
          <w:sz w:val="24"/>
          <w:highlight w:val="none"/>
          <w:lang w:val="en-US" w:eastAsia="zh-CN"/>
        </w:rPr>
        <w:t>本项目接受同一供应商对多个标项进行竞标，但是一个供应商只允许成交一个标项，推荐各标项的第一成交候选人顺序为标项1→标项2，已作为其他标项的第一中成交候选人不可同时再作为其他标项的排名成交候选人。</w:t>
      </w:r>
    </w:p>
    <w:p w14:paraId="762DE76A">
      <w:pPr>
        <w:pStyle w:val="4"/>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一、评审方法</w:t>
      </w:r>
    </w:p>
    <w:p w14:paraId="4B73E6D7">
      <w:pPr>
        <w:adjustRightInd/>
        <w:spacing w:line="360" w:lineRule="auto"/>
        <w:outlineLvl w:val="9"/>
        <w:rPr>
          <w:rFonts w:cs="Arial" w:asciiTheme="minorEastAsia" w:hAnsiTheme="minorEastAsia" w:eastAsiaTheme="minorEastAsia"/>
          <w:color w:val="auto"/>
          <w:kern w:val="0"/>
          <w:sz w:val="24"/>
          <w:highlight w:val="none"/>
        </w:rPr>
      </w:pPr>
      <w:r>
        <w:rPr>
          <w:rFonts w:hint="eastAsia" w:cs="Arial" w:asciiTheme="minorEastAsia" w:hAnsiTheme="minorEastAsia" w:eastAsiaTheme="minorEastAsia"/>
          <w:b/>
          <w:color w:val="auto"/>
          <w:kern w:val="0"/>
          <w:sz w:val="24"/>
          <w:highlight w:val="none"/>
        </w:rPr>
        <w:t>1.综合评分法。</w:t>
      </w:r>
      <w:r>
        <w:rPr>
          <w:rFonts w:hint="eastAsia" w:cs="Arial" w:asciiTheme="minorEastAsia" w:hAnsiTheme="minorEastAsia" w:eastAsiaTheme="minorEastAsia"/>
          <w:color w:val="auto"/>
          <w:kern w:val="0"/>
          <w:sz w:val="24"/>
          <w:highlight w:val="none"/>
        </w:rPr>
        <w:t>综合评分法，是指响应文件满足磋商文件全部实质性要求，且按照评审因素的量化指标评审得分最高的供应商为成交候选人的评审方法。</w:t>
      </w:r>
    </w:p>
    <w:p w14:paraId="49660C1C">
      <w:pPr>
        <w:adjustRightInd/>
        <w:spacing w:line="360" w:lineRule="auto"/>
        <w:outlineLvl w:val="9"/>
        <w:rPr>
          <w:rFonts w:cs="Arial" w:asciiTheme="minorEastAsia" w:hAnsiTheme="minorEastAsia" w:eastAsiaTheme="minorEastAsia"/>
          <w:color w:val="auto"/>
          <w:kern w:val="0"/>
          <w:sz w:val="24"/>
          <w:highlight w:val="none"/>
        </w:rPr>
      </w:pPr>
    </w:p>
    <w:p w14:paraId="75A12AE3">
      <w:pPr>
        <w:pStyle w:val="4"/>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二、磋商小组的组成</w:t>
      </w:r>
    </w:p>
    <w:p w14:paraId="43F33515">
      <w:pPr>
        <w:pStyle w:val="395"/>
        <w:spacing w:before="0"/>
        <w:ind w:firstLine="0" w:firstLineChars="0"/>
        <w:outlineLvl w:val="9"/>
        <w:rPr>
          <w:rFonts w:cs="Arial" w:asciiTheme="minorEastAsia" w:hAnsiTheme="minorEastAsia" w:eastAsiaTheme="minorEastAsia"/>
          <w:b/>
          <w:color w:val="auto"/>
          <w:kern w:val="0"/>
          <w:highlight w:val="none"/>
        </w:rPr>
      </w:pPr>
      <w:r>
        <w:rPr>
          <w:rFonts w:hint="eastAsia" w:cs="Arial" w:asciiTheme="minorEastAsia" w:hAnsiTheme="minorEastAsia" w:eastAsiaTheme="minorEastAsia"/>
          <w:b/>
          <w:color w:val="auto"/>
          <w:kern w:val="0"/>
          <w:highlight w:val="none"/>
        </w:rPr>
        <w:t>1.磋商小组的组成。</w:t>
      </w:r>
    </w:p>
    <w:p w14:paraId="2B55A6BB">
      <w:pPr>
        <w:pStyle w:val="395"/>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磋商小组由采购人代表和评审专家共3人以上单数组成，其中评审专家人数不得少于磋商小组成员总数的2/3。采购人代表不得以评审专家身份参加本部门或本单位采购项目的评审。采购代理机构人员不得参加本机构代理的采购项目的评审。</w:t>
      </w:r>
    </w:p>
    <w:p w14:paraId="56EF73F8">
      <w:pPr>
        <w:pStyle w:val="395"/>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采用竞争性磋商方式的政府采购项目，评审专家应当从政府采购评审专家库内相关专业的专家名单中随机抽取。符合《政府采购竞争性磋商采购方式管理暂行办法》的通知(财库〔2014〕214号)第三条第四项规定情形的项目，以及情况特殊、通过随机方式难以确定合适的评审专家的项目，经主管预算单位同意，可以自行选定评审专家。技术复杂、专业性强的采购项目，评审专家中应当包含1名法律专家。</w:t>
      </w:r>
    </w:p>
    <w:p w14:paraId="0ACFBAE9">
      <w:pPr>
        <w:snapToGrid w:val="0"/>
        <w:spacing w:line="360" w:lineRule="auto"/>
        <w:outlineLvl w:val="9"/>
        <w:rPr>
          <w:rFonts w:cs="Arial" w:asciiTheme="minorEastAsia" w:hAnsiTheme="minorEastAsia" w:eastAsiaTheme="minorEastAsia"/>
          <w:b/>
          <w:color w:val="auto"/>
          <w:kern w:val="0"/>
          <w:sz w:val="24"/>
          <w:szCs w:val="20"/>
          <w:highlight w:val="none"/>
        </w:rPr>
      </w:pPr>
      <w:r>
        <w:rPr>
          <w:rFonts w:hint="eastAsia" w:cs="Arial" w:asciiTheme="minorEastAsia" w:hAnsiTheme="minorEastAsia" w:eastAsiaTheme="minorEastAsia"/>
          <w:b/>
          <w:color w:val="auto"/>
          <w:kern w:val="0"/>
          <w:sz w:val="24"/>
          <w:szCs w:val="20"/>
          <w:highlight w:val="none"/>
        </w:rPr>
        <w:t>2.磋商小组的组成人员的回避。</w:t>
      </w:r>
    </w:p>
    <w:p w14:paraId="1A84B7A0">
      <w:pPr>
        <w:pStyle w:val="395"/>
        <w:spacing w:before="0"/>
        <w:ind w:firstLine="480"/>
        <w:outlineLvl w:val="9"/>
        <w:rPr>
          <w:rFonts w:hint="eastAsia" w:asciiTheme="minorEastAsia" w:hAnsiTheme="minorEastAsia" w:eastAsiaTheme="minorEastAsia"/>
          <w:color w:val="auto"/>
          <w:highlight w:val="none"/>
          <w:lang w:eastAsia="zh-CN"/>
        </w:rPr>
      </w:pPr>
      <w:r>
        <w:rPr>
          <w:rFonts w:hint="eastAsia" w:asciiTheme="minorEastAsia" w:hAnsiTheme="minorEastAsia" w:eastAsiaTheme="minorEastAsia"/>
          <w:color w:val="auto"/>
          <w:highlight w:val="none"/>
        </w:rPr>
        <w:t>在政府采购活动中，磋商小组的组成人员与供应商有下列利害关系之一的，应当回避</w:t>
      </w:r>
      <w:r>
        <w:rPr>
          <w:rFonts w:hint="eastAsia" w:asciiTheme="minorEastAsia" w:hAnsiTheme="minorEastAsia" w:eastAsiaTheme="minorEastAsia"/>
          <w:color w:val="auto"/>
          <w:highlight w:val="none"/>
          <w:lang w:eastAsia="zh-CN"/>
        </w:rPr>
        <w:t>：</w:t>
      </w:r>
    </w:p>
    <w:p w14:paraId="518024FC">
      <w:pPr>
        <w:pStyle w:val="395"/>
        <w:spacing w:before="0"/>
        <w:ind w:firstLine="0" w:firstLineChars="0"/>
        <w:outlineLvl w:val="9"/>
        <w:rPr>
          <w:rFonts w:cs="Arial" w:asciiTheme="minorEastAsia" w:hAnsiTheme="minorEastAsia" w:eastAsiaTheme="minorEastAsia"/>
          <w:color w:val="auto"/>
          <w:kern w:val="0"/>
          <w:highlight w:val="none"/>
        </w:rPr>
      </w:pPr>
      <w:r>
        <w:rPr>
          <w:rFonts w:hint="eastAsia" w:cs="Arial" w:asciiTheme="minorEastAsia" w:hAnsiTheme="minorEastAsia" w:eastAsiaTheme="minorEastAsia"/>
          <w:color w:val="auto"/>
          <w:kern w:val="0"/>
          <w:highlight w:val="none"/>
        </w:rPr>
        <w:t>　　2.1参加采购活动前3年内与供应商存在劳动关系；</w:t>
      </w:r>
    </w:p>
    <w:p w14:paraId="412F2D74">
      <w:pPr>
        <w:pStyle w:val="395"/>
        <w:spacing w:before="0"/>
        <w:ind w:firstLine="0" w:firstLineChars="0"/>
        <w:outlineLvl w:val="9"/>
        <w:rPr>
          <w:rFonts w:cs="Arial" w:asciiTheme="minorEastAsia" w:hAnsiTheme="minorEastAsia" w:eastAsiaTheme="minorEastAsia"/>
          <w:color w:val="auto"/>
          <w:kern w:val="0"/>
          <w:highlight w:val="none"/>
        </w:rPr>
      </w:pPr>
      <w:r>
        <w:rPr>
          <w:rFonts w:hint="eastAsia" w:cs="Arial" w:asciiTheme="minorEastAsia" w:hAnsiTheme="minorEastAsia" w:eastAsiaTheme="minorEastAsia"/>
          <w:color w:val="auto"/>
          <w:kern w:val="0"/>
          <w:highlight w:val="none"/>
        </w:rPr>
        <w:t>　　2.2参加采购活动前3年内担任供应商的董事、监事；</w:t>
      </w:r>
    </w:p>
    <w:p w14:paraId="761D2D56">
      <w:pPr>
        <w:pStyle w:val="395"/>
        <w:spacing w:before="0"/>
        <w:ind w:firstLine="0" w:firstLineChars="0"/>
        <w:outlineLvl w:val="9"/>
        <w:rPr>
          <w:rFonts w:cs="Arial" w:asciiTheme="minorEastAsia" w:hAnsiTheme="minorEastAsia" w:eastAsiaTheme="minorEastAsia"/>
          <w:color w:val="auto"/>
          <w:kern w:val="0"/>
          <w:highlight w:val="none"/>
        </w:rPr>
      </w:pPr>
      <w:r>
        <w:rPr>
          <w:rFonts w:hint="eastAsia" w:cs="Arial" w:asciiTheme="minorEastAsia" w:hAnsiTheme="minorEastAsia" w:eastAsiaTheme="minorEastAsia"/>
          <w:color w:val="auto"/>
          <w:kern w:val="0"/>
          <w:highlight w:val="none"/>
        </w:rPr>
        <w:t>　　2.3参加采购活动前3年内是供应商的控股股东或者实际控制人；</w:t>
      </w:r>
    </w:p>
    <w:p w14:paraId="5248D718">
      <w:pPr>
        <w:pStyle w:val="395"/>
        <w:spacing w:before="0"/>
        <w:ind w:firstLine="480" w:firstLineChars="0"/>
        <w:outlineLvl w:val="9"/>
        <w:rPr>
          <w:rFonts w:cs="Arial" w:asciiTheme="minorEastAsia" w:hAnsiTheme="minorEastAsia" w:eastAsiaTheme="minorEastAsia"/>
          <w:color w:val="auto"/>
          <w:kern w:val="0"/>
          <w:highlight w:val="none"/>
        </w:rPr>
      </w:pPr>
      <w:r>
        <w:rPr>
          <w:rFonts w:hint="eastAsia" w:cs="Arial" w:asciiTheme="minorEastAsia" w:hAnsiTheme="minorEastAsia" w:eastAsiaTheme="minorEastAsia"/>
          <w:color w:val="auto"/>
          <w:kern w:val="0"/>
          <w:highlight w:val="none"/>
        </w:rPr>
        <w:t>2.4与供应商的法定代表人或者负责人有夫妻、直系血亲、三代以内旁系血亲或者近姻亲关系；</w:t>
      </w:r>
    </w:p>
    <w:p w14:paraId="5CED1C24">
      <w:pPr>
        <w:pStyle w:val="395"/>
        <w:spacing w:before="0"/>
        <w:ind w:firstLine="480" w:firstLineChars="0"/>
        <w:outlineLvl w:val="9"/>
        <w:rPr>
          <w:rFonts w:cs="Arial" w:asciiTheme="minorEastAsia" w:hAnsiTheme="minorEastAsia" w:eastAsiaTheme="minorEastAsia"/>
          <w:color w:val="auto"/>
          <w:kern w:val="0"/>
          <w:highlight w:val="none"/>
        </w:rPr>
      </w:pPr>
      <w:r>
        <w:rPr>
          <w:rFonts w:hint="eastAsia" w:cs="Arial" w:asciiTheme="minorEastAsia" w:hAnsiTheme="minorEastAsia" w:eastAsiaTheme="minorEastAsia"/>
          <w:color w:val="auto"/>
          <w:kern w:val="0"/>
          <w:highlight w:val="none"/>
        </w:rPr>
        <w:t>2.5与供应商有其他可能影响政府采购活动公平、公正进行的关系。</w:t>
      </w:r>
    </w:p>
    <w:p w14:paraId="73690005">
      <w:pPr>
        <w:snapToGrid w:val="0"/>
        <w:spacing w:line="360" w:lineRule="auto"/>
        <w:ind w:left="120" w:leftChars="57" w:firstLine="482" w:firstLineChars="150"/>
        <w:jc w:val="center"/>
        <w:outlineLvl w:val="9"/>
        <w:rPr>
          <w:rFonts w:cs="仿宋_GB2312" w:asciiTheme="minorEastAsia" w:hAnsiTheme="minorEastAsia" w:eastAsiaTheme="minorEastAsia"/>
          <w:b/>
          <w:color w:val="auto"/>
          <w:sz w:val="32"/>
          <w:highlight w:val="none"/>
        </w:rPr>
      </w:pPr>
    </w:p>
    <w:p w14:paraId="305D820F">
      <w:pPr>
        <w:pStyle w:val="4"/>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三、磋商小组的职责</w:t>
      </w:r>
    </w:p>
    <w:p w14:paraId="47B33A24">
      <w:pPr>
        <w:pStyle w:val="395"/>
        <w:spacing w:before="0"/>
        <w:ind w:firstLine="0" w:firstLineChars="0"/>
        <w:outlineLvl w:val="9"/>
        <w:rPr>
          <w:rFonts w:hint="eastAsia" w:cs="Arial" w:asciiTheme="minorEastAsia" w:hAnsiTheme="minorEastAsia" w:eastAsiaTheme="minorEastAsia"/>
          <w:b/>
          <w:color w:val="auto"/>
          <w:kern w:val="0"/>
          <w:szCs w:val="24"/>
          <w:highlight w:val="none"/>
          <w:lang w:eastAsia="zh-CN"/>
        </w:rPr>
      </w:pPr>
      <w:r>
        <w:rPr>
          <w:rFonts w:hint="eastAsia" w:cs="Arial" w:asciiTheme="minorEastAsia" w:hAnsiTheme="minorEastAsia" w:eastAsiaTheme="minorEastAsia"/>
          <w:b/>
          <w:color w:val="auto"/>
          <w:kern w:val="0"/>
          <w:szCs w:val="24"/>
          <w:highlight w:val="none"/>
        </w:rPr>
        <w:t>1.磋商小组负责具体评审事务，并独立履行下列职责</w:t>
      </w:r>
      <w:r>
        <w:rPr>
          <w:rFonts w:hint="eastAsia" w:cs="Arial" w:asciiTheme="minorEastAsia" w:hAnsiTheme="minorEastAsia" w:eastAsiaTheme="minorEastAsia"/>
          <w:b/>
          <w:color w:val="auto"/>
          <w:kern w:val="0"/>
          <w:szCs w:val="24"/>
          <w:highlight w:val="none"/>
          <w:lang w:eastAsia="zh-CN"/>
        </w:rPr>
        <w:t>：</w:t>
      </w:r>
    </w:p>
    <w:p w14:paraId="41ED4017">
      <w:pPr>
        <w:pStyle w:val="395"/>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1.1</w:t>
      </w:r>
      <w:r>
        <w:rPr>
          <w:rFonts w:hint="eastAsia" w:asciiTheme="minorEastAsia" w:hAnsiTheme="minorEastAsia" w:eastAsiaTheme="minorEastAsia"/>
          <w:color w:val="auto"/>
          <w:szCs w:val="24"/>
          <w:highlight w:val="none"/>
        </w:rPr>
        <w:t>对供应商的资格进行审查；</w:t>
      </w:r>
      <w:r>
        <w:rPr>
          <w:rFonts w:hint="eastAsia" w:asciiTheme="minorEastAsia" w:hAnsiTheme="minorEastAsia" w:eastAsiaTheme="minorEastAsia"/>
          <w:color w:val="auto"/>
          <w:highlight w:val="none"/>
        </w:rPr>
        <w:t>对响应文件的有效性、完整性和响应程度进行审查；</w:t>
      </w:r>
    </w:p>
    <w:p w14:paraId="790A3900">
      <w:pPr>
        <w:pStyle w:val="395"/>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1.2审查、评价响应文件是否符合磋商文件的商务、技术等实质性要求；</w:t>
      </w:r>
    </w:p>
    <w:p w14:paraId="5F30168F">
      <w:pPr>
        <w:pStyle w:val="395"/>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1.3要求供应商对响应文件有关事项作出澄清、说明或者更正；</w:t>
      </w:r>
    </w:p>
    <w:p w14:paraId="23E6A3A2">
      <w:pPr>
        <w:pStyle w:val="395"/>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1.4磋商小组集中与单一供应商分别进行磋商；</w:t>
      </w:r>
    </w:p>
    <w:p w14:paraId="622CCC54">
      <w:pPr>
        <w:pStyle w:val="395"/>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1.5确定磋商文件的变动情况，并确定提交最后报价的供应商；</w:t>
      </w:r>
    </w:p>
    <w:p w14:paraId="470319FB">
      <w:pPr>
        <w:pStyle w:val="395"/>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1.6根据磋商文件确定的评审办法及评审标准对提交最后报价的供应商的响应文件和最后报价采用综合评分法进行综合评分；</w:t>
      </w:r>
    </w:p>
    <w:p w14:paraId="278FCBA2">
      <w:pPr>
        <w:pStyle w:val="395"/>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1.7编制评审报告，确定成交候选人名单，以及根据采购人委托直接确定成交人；</w:t>
      </w:r>
    </w:p>
    <w:p w14:paraId="029D1CCA">
      <w:pPr>
        <w:pStyle w:val="395"/>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1.8向采购人、采购代理机构或者有关部门报告评审中发现的违法行为；</w:t>
      </w:r>
    </w:p>
    <w:p w14:paraId="45054F5F">
      <w:pPr>
        <w:pStyle w:val="395"/>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1.9法律、法规、规章、磋商文件等规定的其它事项。</w:t>
      </w:r>
    </w:p>
    <w:p w14:paraId="44958741">
      <w:pPr>
        <w:pStyle w:val="395"/>
        <w:spacing w:before="0"/>
        <w:ind w:firstLine="0" w:firstLineChars="0"/>
        <w:outlineLvl w:val="9"/>
        <w:rPr>
          <w:rFonts w:hint="eastAsia" w:cs="Arial" w:asciiTheme="minorEastAsia" w:hAnsiTheme="minorEastAsia" w:eastAsiaTheme="minorEastAsia"/>
          <w:b/>
          <w:color w:val="auto"/>
          <w:kern w:val="0"/>
          <w:szCs w:val="24"/>
          <w:highlight w:val="none"/>
          <w:lang w:eastAsia="zh-CN"/>
        </w:rPr>
      </w:pPr>
      <w:r>
        <w:rPr>
          <w:rFonts w:hint="eastAsia" w:cs="Arial" w:asciiTheme="minorEastAsia" w:hAnsiTheme="minorEastAsia" w:eastAsiaTheme="minorEastAsia"/>
          <w:b/>
          <w:color w:val="auto"/>
          <w:kern w:val="0"/>
          <w:szCs w:val="24"/>
          <w:highlight w:val="none"/>
        </w:rPr>
        <w:t>2.磋商小组及其成员不得有下列行为</w:t>
      </w:r>
      <w:r>
        <w:rPr>
          <w:rFonts w:hint="eastAsia" w:cs="Arial" w:asciiTheme="minorEastAsia" w:hAnsiTheme="minorEastAsia" w:eastAsiaTheme="minorEastAsia"/>
          <w:b/>
          <w:color w:val="auto"/>
          <w:kern w:val="0"/>
          <w:szCs w:val="24"/>
          <w:highlight w:val="none"/>
          <w:lang w:eastAsia="zh-CN"/>
        </w:rPr>
        <w:t>：</w:t>
      </w:r>
    </w:p>
    <w:p w14:paraId="0A828BAE">
      <w:pPr>
        <w:pStyle w:val="395"/>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2.1确定参与本项目至评审结束前私自接触供应商；</w:t>
      </w:r>
    </w:p>
    <w:p w14:paraId="058B1057">
      <w:pPr>
        <w:pStyle w:val="395"/>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 xml:space="preserve">2.2接受供应商提出的“超出响应文件的范围或者改变响应文件的实质性内容”的澄清、说明或者更正； </w:t>
      </w:r>
    </w:p>
    <w:p w14:paraId="52556FCD">
      <w:pPr>
        <w:pStyle w:val="395"/>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2.3违反评审纪律发表倾向性意见或者征询采购人的倾向性意见；</w:t>
      </w:r>
    </w:p>
    <w:p w14:paraId="28165384">
      <w:pPr>
        <w:pStyle w:val="395"/>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2.4对需要专业判断的主观评审因素协商评分；</w:t>
      </w:r>
    </w:p>
    <w:p w14:paraId="62555679">
      <w:pPr>
        <w:pStyle w:val="395"/>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2.5在评审过程中擅离职守，影响评审程序正常进行的；</w:t>
      </w:r>
    </w:p>
    <w:p w14:paraId="484FBAFD">
      <w:pPr>
        <w:pStyle w:val="395"/>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2.6记录、复制或者带走任何评审资料；</w:t>
      </w:r>
    </w:p>
    <w:p w14:paraId="2E81322B">
      <w:pPr>
        <w:pStyle w:val="395"/>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2.7其他不遵守评审纪律的行为。</w:t>
      </w:r>
    </w:p>
    <w:p w14:paraId="7D3B921E">
      <w:pPr>
        <w:pStyle w:val="395"/>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磋商小组成员有2.1-2.5行为之一的，其评审意见无效，并不得获取评审劳务报酬和报销异地评审差旅费。</w:t>
      </w:r>
    </w:p>
    <w:p w14:paraId="2A3D16EF">
      <w:pPr>
        <w:pStyle w:val="395"/>
        <w:spacing w:before="0"/>
        <w:ind w:firstLine="0" w:firstLineChars="0"/>
        <w:outlineLvl w:val="9"/>
        <w:rPr>
          <w:rFonts w:asciiTheme="minorEastAsia" w:hAnsiTheme="minorEastAsia" w:eastAsiaTheme="minorEastAsia"/>
          <w:b/>
          <w:color w:val="auto"/>
          <w:highlight w:val="none"/>
        </w:rPr>
      </w:pPr>
    </w:p>
    <w:p w14:paraId="1D6CF289">
      <w:pPr>
        <w:pStyle w:val="4"/>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四、评审程序</w:t>
      </w:r>
    </w:p>
    <w:p w14:paraId="7F26D631">
      <w:pPr>
        <w:pStyle w:val="395"/>
        <w:spacing w:before="0"/>
        <w:ind w:firstLine="472" w:firstLineChars="196"/>
        <w:outlineLvl w:val="9"/>
        <w:rPr>
          <w:rFonts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详见磋商文件“第二部分 竞争性磋商流程”。</w:t>
      </w:r>
    </w:p>
    <w:p w14:paraId="5211EBC1">
      <w:pPr>
        <w:pStyle w:val="395"/>
        <w:spacing w:before="0"/>
        <w:ind w:firstLine="0" w:firstLineChars="0"/>
        <w:outlineLvl w:val="9"/>
        <w:rPr>
          <w:rFonts w:asciiTheme="minorEastAsia" w:hAnsiTheme="minorEastAsia" w:eastAsiaTheme="minorEastAsia"/>
          <w:b/>
          <w:color w:val="auto"/>
          <w:highlight w:val="none"/>
        </w:rPr>
      </w:pPr>
    </w:p>
    <w:p w14:paraId="03C35489">
      <w:pPr>
        <w:pStyle w:val="4"/>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五、评审须知</w:t>
      </w:r>
    </w:p>
    <w:p w14:paraId="13AF4D23">
      <w:pPr>
        <w:pStyle w:val="395"/>
        <w:spacing w:before="0"/>
        <w:ind w:firstLine="0" w:firstLineChars="0"/>
        <w:outlineLvl w:val="9"/>
        <w:rPr>
          <w:rFonts w:cs="仿宋_GB2312" w:asciiTheme="minorEastAsia" w:hAnsiTheme="minorEastAsia" w:eastAsiaTheme="minorEastAsia"/>
          <w:b/>
          <w:color w:val="auto"/>
          <w:szCs w:val="24"/>
          <w:highlight w:val="none"/>
        </w:rPr>
      </w:pPr>
      <w:r>
        <w:rPr>
          <w:rFonts w:hint="eastAsia" w:asciiTheme="minorEastAsia" w:hAnsiTheme="minorEastAsia" w:eastAsiaTheme="minorEastAsia"/>
          <w:b/>
          <w:color w:val="auto"/>
          <w:szCs w:val="24"/>
          <w:highlight w:val="none"/>
        </w:rPr>
        <w:t>1. 响应文件的澄清</w:t>
      </w:r>
    </w:p>
    <w:p w14:paraId="0A8FD631">
      <w:pPr>
        <w:spacing w:line="360" w:lineRule="auto"/>
        <w:ind w:firstLine="48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于响应文件中含义不明确、同类问题表述不一致或者有明显文字和计算错误的内容需要供应商做出必要的澄清、说明或者补正的，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补正不得超出响应文件的范围或者改变响应文件的实质性内容。</w:t>
      </w:r>
    </w:p>
    <w:p w14:paraId="1DF577E3">
      <w:pPr>
        <w:pStyle w:val="395"/>
        <w:spacing w:before="0"/>
        <w:ind w:firstLine="0" w:firstLineChars="0"/>
        <w:outlineLvl w:val="9"/>
        <w:rPr>
          <w:rFonts w:cs="仿宋_GB2312" w:asciiTheme="minorEastAsia" w:hAnsiTheme="minorEastAsia" w:eastAsiaTheme="minorEastAsia"/>
          <w:b/>
          <w:color w:val="auto"/>
          <w:szCs w:val="24"/>
          <w:highlight w:val="none"/>
        </w:rPr>
      </w:pPr>
      <w:r>
        <w:rPr>
          <w:rFonts w:hint="eastAsia" w:asciiTheme="minorEastAsia" w:hAnsiTheme="minorEastAsia" w:eastAsiaTheme="minorEastAsia"/>
          <w:b/>
          <w:color w:val="auto"/>
          <w:highlight w:val="none"/>
        </w:rPr>
        <w:t>2.最后报价的修正原则</w:t>
      </w:r>
    </w:p>
    <w:p w14:paraId="5BB17410">
      <w:pPr>
        <w:spacing w:line="360" w:lineRule="auto"/>
        <w:ind w:firstLine="480"/>
        <w:outlineLvl w:val="9"/>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磋商小组对响应文件的最后报价进行审核，对发现计算、书写等错误的，按以下原则进行修正</w:t>
      </w:r>
      <w:r>
        <w:rPr>
          <w:rFonts w:hint="eastAsia" w:asciiTheme="minorEastAsia" w:hAnsiTheme="minorEastAsia" w:eastAsiaTheme="minorEastAsia"/>
          <w:color w:val="auto"/>
          <w:sz w:val="24"/>
          <w:highlight w:val="none"/>
          <w:lang w:eastAsia="zh-CN"/>
        </w:rPr>
        <w:t>：</w:t>
      </w:r>
    </w:p>
    <w:p w14:paraId="78A412A9">
      <w:pPr>
        <w:spacing w:line="360" w:lineRule="auto"/>
        <w:ind w:firstLine="480" w:firstLineChars="200"/>
        <w:outlineLvl w:val="9"/>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2.1《最后报价一览表》内容与响应文件中响应内容不一致的，以《最后报价一览表》为准</w:t>
      </w:r>
      <w:r>
        <w:rPr>
          <w:rFonts w:hint="eastAsia" w:asciiTheme="minorEastAsia" w:hAnsiTheme="minorEastAsia" w:eastAsiaTheme="minorEastAsia"/>
          <w:color w:val="auto"/>
          <w:sz w:val="24"/>
          <w:highlight w:val="none"/>
          <w:lang w:eastAsia="zh-CN"/>
        </w:rPr>
        <w:t>；</w:t>
      </w:r>
    </w:p>
    <w:p w14:paraId="2C2D1352">
      <w:pPr>
        <w:spacing w:line="360" w:lineRule="auto"/>
        <w:ind w:firstLine="480" w:firstLineChars="200"/>
        <w:outlineLvl w:val="9"/>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2.2大写金额和小写金额不一致的，以大写金额为准</w:t>
      </w:r>
      <w:r>
        <w:rPr>
          <w:rFonts w:hint="eastAsia" w:asciiTheme="minorEastAsia" w:hAnsiTheme="minorEastAsia" w:eastAsiaTheme="minorEastAsia"/>
          <w:color w:val="auto"/>
          <w:sz w:val="24"/>
          <w:highlight w:val="none"/>
          <w:lang w:eastAsia="zh-CN"/>
        </w:rPr>
        <w:t>；</w:t>
      </w:r>
    </w:p>
    <w:p w14:paraId="0A15DD26">
      <w:pPr>
        <w:spacing w:line="360" w:lineRule="auto"/>
        <w:ind w:firstLine="480" w:firstLineChars="200"/>
        <w:outlineLvl w:val="9"/>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2.3单价金额小数点或者百分比有明显错位的，以《最后报价一览表》的总价为准，并修改单价</w:t>
      </w:r>
      <w:r>
        <w:rPr>
          <w:rFonts w:hint="eastAsia" w:asciiTheme="minorEastAsia" w:hAnsiTheme="minorEastAsia" w:eastAsiaTheme="minorEastAsia"/>
          <w:color w:val="auto"/>
          <w:sz w:val="24"/>
          <w:highlight w:val="none"/>
          <w:lang w:eastAsia="zh-CN"/>
        </w:rPr>
        <w:t>；</w:t>
      </w:r>
    </w:p>
    <w:p w14:paraId="2BE2E1DF">
      <w:pPr>
        <w:spacing w:line="360" w:lineRule="auto"/>
        <w:ind w:firstLine="480" w:firstLineChars="200"/>
        <w:outlineLvl w:val="9"/>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2.4总价金额与按单价汇总金额不一致的，以单价金额计算结果为准</w:t>
      </w:r>
      <w:r>
        <w:rPr>
          <w:rFonts w:hint="eastAsia" w:asciiTheme="minorEastAsia" w:hAnsiTheme="minorEastAsia" w:eastAsiaTheme="minorEastAsia"/>
          <w:color w:val="auto"/>
          <w:sz w:val="24"/>
          <w:highlight w:val="none"/>
          <w:lang w:eastAsia="zh-CN"/>
        </w:rPr>
        <w:t>；</w:t>
      </w:r>
    </w:p>
    <w:p w14:paraId="246A7497">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2.5同时出现两种以上不一致的，按照前款规定的顺序修正。</w:t>
      </w:r>
    </w:p>
    <w:p w14:paraId="7D7C29C0">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2.6以修正后的总价作为最后报价。</w:t>
      </w:r>
    </w:p>
    <w:p w14:paraId="5C6D1415">
      <w:pPr>
        <w:spacing w:line="360" w:lineRule="auto"/>
        <w:outlineLvl w:val="9"/>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bCs/>
          <w:color w:val="auto"/>
          <w:sz w:val="24"/>
          <w:highlight w:val="none"/>
        </w:rPr>
        <w:t>▲</w:t>
      </w:r>
      <w:r>
        <w:rPr>
          <w:rFonts w:hint="eastAsia" w:cs="仿宋_GB2312" w:asciiTheme="minorEastAsia" w:hAnsiTheme="minorEastAsia" w:eastAsiaTheme="minorEastAsia"/>
          <w:b/>
          <w:bCs/>
          <w:color w:val="auto"/>
          <w:sz w:val="24"/>
          <w:highlight w:val="none"/>
        </w:rPr>
        <w:t>供应商对根据修正原则修正后的最后报价不确认的，响应无效。</w:t>
      </w:r>
    </w:p>
    <w:p w14:paraId="71D501E6">
      <w:pPr>
        <w:pStyle w:val="395"/>
        <w:spacing w:before="0"/>
        <w:ind w:firstLine="0" w:firstLineChars="0"/>
        <w:outlineLvl w:val="9"/>
        <w:rPr>
          <w:rFonts w:cs="仿宋_GB2312" w:asciiTheme="minorEastAsia" w:hAnsiTheme="minorEastAsia" w:eastAsiaTheme="minorEastAsia"/>
          <w:b/>
          <w:color w:val="auto"/>
          <w:szCs w:val="24"/>
          <w:highlight w:val="none"/>
        </w:rPr>
      </w:pPr>
      <w:r>
        <w:rPr>
          <w:rFonts w:hint="eastAsia" w:asciiTheme="minorEastAsia" w:hAnsiTheme="minorEastAsia" w:eastAsiaTheme="minorEastAsia"/>
          <w:b/>
          <w:color w:val="auto"/>
          <w:highlight w:val="none"/>
        </w:rPr>
        <w:t>3.</w:t>
      </w:r>
      <w:r>
        <w:rPr>
          <w:rFonts w:hint="eastAsia" w:asciiTheme="minorEastAsia" w:hAnsiTheme="minorEastAsia" w:eastAsiaTheme="minorEastAsia"/>
          <w:b/>
          <w:color w:val="auto"/>
          <w:spacing w:val="20"/>
          <w:highlight w:val="none"/>
        </w:rPr>
        <w:t>响应无效</w:t>
      </w:r>
    </w:p>
    <w:p w14:paraId="01C1885D">
      <w:pPr>
        <w:pStyle w:val="21"/>
        <w:spacing w:line="360" w:lineRule="auto"/>
        <w:ind w:firstLine="600" w:firstLineChars="250"/>
        <w:outlineLvl w:val="9"/>
        <w:rPr>
          <w:rFonts w:hint="eastAsia" w:asciiTheme="minorEastAsia" w:hAnsiTheme="minorEastAsia" w:eastAsiaTheme="minorEastAsia"/>
          <w:color w:val="auto"/>
          <w:szCs w:val="21"/>
          <w:highlight w:val="none"/>
          <w:lang w:eastAsia="zh-CN"/>
        </w:rPr>
      </w:pPr>
      <w:r>
        <w:rPr>
          <w:rFonts w:hint="eastAsia" w:cs="仿宋_GB2312" w:asciiTheme="minorEastAsia" w:hAnsiTheme="minorEastAsia" w:eastAsiaTheme="minorEastAsia"/>
          <w:color w:val="auto"/>
          <w:szCs w:val="21"/>
          <w:highlight w:val="none"/>
        </w:rPr>
        <w:t>有下列情况之一的，响应无效</w:t>
      </w:r>
      <w:r>
        <w:rPr>
          <w:rFonts w:hint="eastAsia" w:asciiTheme="minorEastAsia" w:hAnsiTheme="minorEastAsia" w:eastAsiaTheme="minorEastAsia"/>
          <w:color w:val="auto"/>
          <w:szCs w:val="21"/>
          <w:highlight w:val="none"/>
          <w:lang w:eastAsia="zh-CN"/>
        </w:rPr>
        <w:t>：</w:t>
      </w:r>
    </w:p>
    <w:p w14:paraId="2C4E7CB6">
      <w:pPr>
        <w:spacing w:line="360" w:lineRule="auto"/>
        <w:ind w:firstLine="480" w:firstLineChars="200"/>
        <w:outlineLvl w:val="9"/>
        <w:rPr>
          <w:rFonts w:cs="仿宋_GB2312"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highlight w:val="none"/>
        </w:rPr>
        <w:t>3.1</w:t>
      </w:r>
      <w:r>
        <w:rPr>
          <w:rFonts w:hint="eastAsia" w:cs="仿宋_GB2312" w:asciiTheme="minorEastAsia" w:hAnsiTheme="minorEastAsia" w:eastAsiaTheme="minorEastAsia"/>
          <w:color w:val="auto"/>
          <w:sz w:val="24"/>
          <w:szCs w:val="21"/>
          <w:highlight w:val="none"/>
        </w:rPr>
        <w:t>单位负责人为同一人或者存在直接控股、管理关系的不同供应商参加同一合同项下的政府采购活动的（均无效）；</w:t>
      </w:r>
    </w:p>
    <w:p w14:paraId="58168214">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3.2为采购项目提供整体设计、规范编制或者项目管理、监理、检测等服务的供应商再参加该采购项目的其他采购活动的； </w:t>
      </w:r>
    </w:p>
    <w:p w14:paraId="3B4295F4">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3.3供应商不具备磋商文件中规定的资格要求的（供应商未提供有效的资格证明文件的，视为供应商不具备磋商文件中规定的资格要求）；</w:t>
      </w:r>
    </w:p>
    <w:p w14:paraId="3B69C9A2">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3.4如以联合体形式参加政府采购活动的，联合协议不符合磋商文件规定的联合协议要求的；</w:t>
      </w:r>
    </w:p>
    <w:p w14:paraId="55DE4640">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3.5响应文件未按磋商文件的澄清、修改的内容编制，又不符合实质性要求的；</w:t>
      </w:r>
    </w:p>
    <w:p w14:paraId="10D4680A">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3.6响应文件组成漏项，内容不全或内容字迹模糊辨认不清的；</w:t>
      </w:r>
    </w:p>
    <w:p w14:paraId="54FD0482">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3.7响应文件中法人授权书所载内容与本项目内容有异的；</w:t>
      </w:r>
    </w:p>
    <w:p w14:paraId="64F7DA85">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3.8响应文件未按照磋商文件要求签署、盖章的；</w:t>
      </w:r>
    </w:p>
    <w:p w14:paraId="0387576C">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3.9</w:t>
      </w:r>
      <w:r>
        <w:rPr>
          <w:rFonts w:hint="eastAsia" w:ascii="宋体" w:hAnsi="宋体" w:cs="宋体"/>
          <w:color w:val="auto"/>
          <w:kern w:val="0"/>
          <w:sz w:val="24"/>
          <w:highlight w:val="none"/>
        </w:rPr>
        <w:t>采购人拟采购的产品属于政府强制采购的节能产品品目清单范围的，供应商相应的响应产品未获得国家确定的认证机构出具的、处于有效期之内的节能产品认证证书的；</w:t>
      </w:r>
    </w:p>
    <w:p w14:paraId="07F599CF">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3.10响应文件含有采购人不能接受的附加条件的；</w:t>
      </w:r>
    </w:p>
    <w:p w14:paraId="792CD83E">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3.11响应文件中承诺的响应有效期少于磋商文件中载明的响应有效期的；</w:t>
      </w:r>
    </w:p>
    <w:p w14:paraId="7070E3D1">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3.12供应商所投内容不符合磋商文件中实质性要求的；</w:t>
      </w:r>
    </w:p>
    <w:p w14:paraId="49DBCC2A">
      <w:pPr>
        <w:spacing w:line="360" w:lineRule="auto"/>
        <w:ind w:firstLine="480" w:firstLineChars="200"/>
        <w:outlineLvl w:val="9"/>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3.13所提交的《最后报价一览表》中出现不是唯一的、有选择性的报价的</w:t>
      </w:r>
      <w:r>
        <w:rPr>
          <w:rFonts w:hint="eastAsia" w:asciiTheme="minorEastAsia" w:hAnsiTheme="minorEastAsia" w:eastAsiaTheme="minorEastAsia"/>
          <w:color w:val="auto"/>
          <w:sz w:val="24"/>
          <w:highlight w:val="none"/>
          <w:lang w:eastAsia="zh-CN"/>
        </w:rPr>
        <w:t>；</w:t>
      </w:r>
    </w:p>
    <w:p w14:paraId="12EAD731">
      <w:pPr>
        <w:spacing w:line="360" w:lineRule="auto"/>
        <w:ind w:firstLine="480" w:firstLineChars="200"/>
        <w:outlineLvl w:val="9"/>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3.14最后报价高于本项目采购预算或者最高限价的</w:t>
      </w:r>
      <w:r>
        <w:rPr>
          <w:rFonts w:hint="eastAsia" w:asciiTheme="minorEastAsia" w:hAnsiTheme="minorEastAsia" w:eastAsiaTheme="minorEastAsia"/>
          <w:color w:val="auto"/>
          <w:sz w:val="24"/>
          <w:highlight w:val="none"/>
          <w:lang w:eastAsia="zh-CN"/>
        </w:rPr>
        <w:t>；</w:t>
      </w:r>
    </w:p>
    <w:p w14:paraId="39194D6D">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3.15《最后报价一览表》填写不完整或字迹不能辨认或有漏项的；</w:t>
      </w:r>
    </w:p>
    <w:p w14:paraId="434C402E">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3.16供应商对根据修正原则修正后的最后报价不确认的；</w:t>
      </w:r>
    </w:p>
    <w:p w14:paraId="48499FB5">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3.17供应商提供虚假材料响应的（包括但不限于以下情节）；</w:t>
      </w:r>
    </w:p>
    <w:p w14:paraId="5D37A0F4">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3.17.1使用伪造、变造的许可证件；</w:t>
      </w:r>
    </w:p>
    <w:p w14:paraId="0890A94E">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3.17.2提供虚假的财务状况或者业绩；</w:t>
      </w:r>
    </w:p>
    <w:p w14:paraId="6292AE44">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3.17.3提供虚假的项目负责人或者主要技术人员简历、劳动关系证明；</w:t>
      </w:r>
    </w:p>
    <w:p w14:paraId="39330A74">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3.17.4提供虚假的信用状况；</w:t>
      </w:r>
    </w:p>
    <w:p w14:paraId="584F07D0">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3.17.5其他弄虚作假的行为。</w:t>
      </w:r>
    </w:p>
    <w:p w14:paraId="7B32F2F4">
      <w:pPr>
        <w:spacing w:line="360" w:lineRule="auto"/>
        <w:ind w:firstLine="48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3.18供应商有恶意串通、妨碍其他供应商的竞争行为、损害采购人或者其他供应商的合法权益情形的。</w:t>
      </w:r>
    </w:p>
    <w:p w14:paraId="3289C8A8">
      <w:pPr>
        <w:spacing w:line="360" w:lineRule="auto"/>
        <w:ind w:firstLine="480"/>
        <w:outlineLvl w:val="9"/>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有下列情形之一的，属于或视为恶意串通，其响应无效</w:t>
      </w:r>
      <w:r>
        <w:rPr>
          <w:rFonts w:hint="eastAsia" w:asciiTheme="minorEastAsia" w:hAnsiTheme="minorEastAsia" w:eastAsiaTheme="minorEastAsia"/>
          <w:color w:val="auto"/>
          <w:sz w:val="24"/>
          <w:highlight w:val="none"/>
          <w:lang w:eastAsia="zh-CN"/>
        </w:rPr>
        <w:t>：</w:t>
      </w:r>
    </w:p>
    <w:p w14:paraId="48499B1B">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3.18.1供应商直接或者间接从采购人或者采购代理机构处获得其他供应商的相关情况并修改其响应文件；</w:t>
      </w:r>
    </w:p>
    <w:p w14:paraId="3FEE44EF">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3.18.2供应商按照采购人或者采购代理机构的授意撤换、修改</w:t>
      </w:r>
      <w:r>
        <w:rPr>
          <w:rFonts w:hint="eastAsia" w:asciiTheme="minorEastAsia" w:hAnsiTheme="minorEastAsia" w:eastAsiaTheme="minorEastAsia"/>
          <w:color w:val="auto"/>
          <w:sz w:val="24"/>
          <w:highlight w:val="none"/>
          <w:lang w:eastAsia="zh-CN"/>
        </w:rPr>
        <w:t>响应文件</w:t>
      </w:r>
      <w:r>
        <w:rPr>
          <w:rFonts w:hint="eastAsia" w:asciiTheme="minorEastAsia" w:hAnsiTheme="minorEastAsia" w:eastAsiaTheme="minorEastAsia"/>
          <w:color w:val="auto"/>
          <w:sz w:val="24"/>
          <w:highlight w:val="none"/>
        </w:rPr>
        <w:t>或者响应文件；</w:t>
      </w:r>
    </w:p>
    <w:p w14:paraId="53F50054">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3.18.3供应商之间协商报价、技术方案等</w:t>
      </w:r>
      <w:r>
        <w:rPr>
          <w:rFonts w:hint="eastAsia" w:asciiTheme="minorEastAsia" w:hAnsiTheme="minorEastAsia" w:eastAsiaTheme="minorEastAsia"/>
          <w:color w:val="auto"/>
          <w:sz w:val="24"/>
          <w:highlight w:val="none"/>
          <w:lang w:eastAsia="zh-CN"/>
        </w:rPr>
        <w:t>响应文件</w:t>
      </w:r>
      <w:r>
        <w:rPr>
          <w:rFonts w:hint="eastAsia" w:asciiTheme="minorEastAsia" w:hAnsiTheme="minorEastAsia" w:eastAsiaTheme="minorEastAsia"/>
          <w:color w:val="auto"/>
          <w:sz w:val="24"/>
          <w:highlight w:val="none"/>
        </w:rPr>
        <w:t>或者响应文件的实质性内容；</w:t>
      </w:r>
    </w:p>
    <w:p w14:paraId="6ADCAC98">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3.18.4属于同一集团、协会、商会等组织成员的供应商按照该组织要求协同参加政府采购活动；</w:t>
      </w:r>
    </w:p>
    <w:p w14:paraId="2993BA65">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3.18.5供应商之间事先约定由某一特定供应商中标、成交；</w:t>
      </w:r>
    </w:p>
    <w:p w14:paraId="6856E14D">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3.18.6供应商之间商定部分供应商放弃参加政府采购活动或者放弃中标、成交；</w:t>
      </w:r>
    </w:p>
    <w:p w14:paraId="662566AB">
      <w:pPr>
        <w:spacing w:line="360" w:lineRule="auto"/>
        <w:ind w:firstLine="480" w:firstLineChars="200"/>
        <w:outlineLvl w:val="9"/>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3.18.7供应商与采购人或者采购代理机构之间、供应商相互之间，为谋求特定供应商中标、成交或者排斥其他供应商的其他串通行为</w:t>
      </w:r>
      <w:r>
        <w:rPr>
          <w:rFonts w:hint="eastAsia" w:asciiTheme="minorEastAsia" w:hAnsiTheme="minorEastAsia" w:eastAsiaTheme="minorEastAsia"/>
          <w:color w:val="auto"/>
          <w:sz w:val="24"/>
          <w:highlight w:val="none"/>
          <w:lang w:eastAsia="zh-CN"/>
        </w:rPr>
        <w:t>；</w:t>
      </w:r>
    </w:p>
    <w:p w14:paraId="5AC4A389">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3.18.8不同供应商的响应文件由同一单位或者个人编制；</w:t>
      </w:r>
    </w:p>
    <w:p w14:paraId="755BC2A9">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3.18.9不同供应商委托同一单位或者个人办理响应事宜；</w:t>
      </w:r>
    </w:p>
    <w:p w14:paraId="6BE30B26">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3.18.10不同供应商的响应文件载明的项目管理成员或者联系人员为同一人；</w:t>
      </w:r>
    </w:p>
    <w:p w14:paraId="2903550A">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3.18.11不同供应商的响应文件异常一致或者最后报价呈规律性差异。</w:t>
      </w:r>
    </w:p>
    <w:p w14:paraId="74DA8653">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3.19供应商仅提交备份响应文件，没有在电子交易平台传输提交响应文件的，响应无效；</w:t>
      </w:r>
    </w:p>
    <w:p w14:paraId="26E6CB5E">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3.20法律、法规、规章（适用本市的）及省级以上规范性文件（适用本市的）规定的其他无效情形。</w:t>
      </w:r>
    </w:p>
    <w:p w14:paraId="50EC925C">
      <w:pPr>
        <w:pStyle w:val="395"/>
        <w:spacing w:before="0"/>
        <w:ind w:firstLine="0" w:firstLineChars="0"/>
        <w:outlineLvl w:val="9"/>
        <w:rPr>
          <w:rFonts w:asciiTheme="minorEastAsia" w:hAnsiTheme="minorEastAsia" w:eastAsiaTheme="minorEastAsia"/>
          <w:b/>
          <w:color w:val="auto"/>
          <w:szCs w:val="24"/>
          <w:highlight w:val="none"/>
        </w:rPr>
      </w:pPr>
      <w:r>
        <w:rPr>
          <w:rFonts w:hint="eastAsia" w:asciiTheme="minorEastAsia" w:hAnsiTheme="minorEastAsia" w:eastAsiaTheme="minorEastAsia"/>
          <w:b/>
          <w:color w:val="auto"/>
          <w:szCs w:val="24"/>
          <w:highlight w:val="none"/>
        </w:rPr>
        <w:t>4. 重新开展采购活动</w:t>
      </w:r>
    </w:p>
    <w:p w14:paraId="600005D3">
      <w:pPr>
        <w:spacing w:line="360" w:lineRule="auto"/>
        <w:ind w:firstLine="407" w:firstLineChars="194"/>
        <w:outlineLvl w:val="9"/>
        <w:rPr>
          <w:rFonts w:hint="eastAsia" w:asciiTheme="minorEastAsia" w:hAnsiTheme="minorEastAsia" w:eastAsiaTheme="minorEastAsia"/>
          <w:color w:val="auto"/>
          <w:sz w:val="24"/>
          <w:szCs w:val="21"/>
          <w:highlight w:val="none"/>
          <w:lang w:eastAsia="zh-CN"/>
        </w:rPr>
      </w:pPr>
      <w:r>
        <w:rPr>
          <w:rFonts w:hint="eastAsia" w:cs="Arial" w:asciiTheme="minorEastAsia" w:hAnsiTheme="minorEastAsia" w:eastAsiaTheme="minorEastAsia"/>
          <w:color w:val="auto"/>
          <w:szCs w:val="21"/>
          <w:highlight w:val="none"/>
        </w:rPr>
        <w:t xml:space="preserve"> </w:t>
      </w:r>
      <w:r>
        <w:rPr>
          <w:rFonts w:hint="eastAsia" w:asciiTheme="minorEastAsia" w:hAnsiTheme="minorEastAsia" w:eastAsiaTheme="minorEastAsia"/>
          <w:color w:val="auto"/>
          <w:sz w:val="24"/>
          <w:szCs w:val="21"/>
          <w:highlight w:val="none"/>
        </w:rPr>
        <w:t>出现下列情形之一的，采购代理机构应当终止竞争性磋商采购活动，通过电子交易平台发布项目终止公告并说明原因，重新开展采购活动</w:t>
      </w:r>
      <w:r>
        <w:rPr>
          <w:rFonts w:hint="eastAsia" w:asciiTheme="minorEastAsia" w:hAnsiTheme="minorEastAsia" w:eastAsiaTheme="minorEastAsia"/>
          <w:color w:val="auto"/>
          <w:sz w:val="24"/>
          <w:szCs w:val="21"/>
          <w:highlight w:val="none"/>
          <w:lang w:eastAsia="zh-CN"/>
        </w:rPr>
        <w:t>：</w:t>
      </w:r>
    </w:p>
    <w:p w14:paraId="196A8984">
      <w:pPr>
        <w:spacing w:line="360" w:lineRule="auto"/>
        <w:ind w:firstLine="465" w:firstLineChars="194"/>
        <w:outlineLvl w:val="9"/>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（1）因情况变化，不再符合规定的竞争性磋商采购方式适用情形的；</w:t>
      </w:r>
    </w:p>
    <w:p w14:paraId="365E205B">
      <w:pPr>
        <w:spacing w:line="360" w:lineRule="auto"/>
        <w:ind w:firstLine="465" w:firstLineChars="194"/>
        <w:outlineLvl w:val="9"/>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（2）出现影响采购公正的违法、违规行为的；</w:t>
      </w:r>
    </w:p>
    <w:p w14:paraId="166A21C2">
      <w:pPr>
        <w:spacing w:line="360" w:lineRule="auto"/>
        <w:ind w:firstLine="465" w:firstLineChars="194"/>
        <w:outlineLvl w:val="9"/>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（3）在采购过程中符合要求的供应商或者最后报价未超过采购预算的供应商不足3家的（有特殊规定的从其规定）。</w:t>
      </w:r>
    </w:p>
    <w:p w14:paraId="2D201DE1">
      <w:pPr>
        <w:pStyle w:val="395"/>
        <w:spacing w:before="0"/>
        <w:ind w:firstLine="0" w:firstLineChars="0"/>
        <w:outlineLvl w:val="9"/>
        <w:rPr>
          <w:rFonts w:asciiTheme="minorEastAsia" w:hAnsiTheme="minorEastAsia" w:eastAsiaTheme="minorEastAsia"/>
          <w:b/>
          <w:color w:val="auto"/>
          <w:szCs w:val="24"/>
          <w:highlight w:val="none"/>
        </w:rPr>
      </w:pPr>
      <w:r>
        <w:rPr>
          <w:rFonts w:hint="eastAsia" w:asciiTheme="minorEastAsia" w:hAnsiTheme="minorEastAsia" w:eastAsiaTheme="minorEastAsia"/>
          <w:b/>
          <w:color w:val="auto"/>
          <w:szCs w:val="24"/>
          <w:highlight w:val="none"/>
        </w:rPr>
        <w:t>5. 终止采购活动</w:t>
      </w:r>
    </w:p>
    <w:p w14:paraId="3DAAECFF">
      <w:pPr>
        <w:spacing w:line="360" w:lineRule="auto"/>
        <w:ind w:firstLine="465" w:firstLineChars="194"/>
        <w:outlineLvl w:val="9"/>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在采购活动中因重大变故，采购任务取消的，采购代理机构将终止采购活动，通过电子交易平台通知所有参加采购活动的供应商，并将项目实施情况和采购任务取消原因报送本级财政部门。</w:t>
      </w:r>
    </w:p>
    <w:p w14:paraId="5C7084A1">
      <w:pPr>
        <w:numPr>
          <w:ilvl w:val="0"/>
          <w:numId w:val="8"/>
        </w:numPr>
        <w:spacing w:line="360" w:lineRule="auto"/>
        <w:outlineLvl w:val="9"/>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b/>
          <w:color w:val="auto"/>
          <w:sz w:val="24"/>
          <w:highlight w:val="none"/>
        </w:rPr>
        <w:t>采购代理机构有权对磋商小组各成员的评分情况和评审意见进行合理性和合规性审查</w:t>
      </w:r>
      <w:r>
        <w:rPr>
          <w:rFonts w:hint="eastAsia" w:cs="仿宋_GB2312" w:asciiTheme="minorEastAsia" w:hAnsiTheme="minorEastAsia" w:eastAsiaTheme="minorEastAsia"/>
          <w:color w:val="auto"/>
          <w:sz w:val="24"/>
          <w:highlight w:val="none"/>
        </w:rPr>
        <w:t>，如发现磋商小组成员的评审意见带有明显倾向性，或不按规定程序和标准评审、计分的，磋商小组成员应进行书面澄清和说明；磋商小组成员拒不接受采购代理机构审查的，采购代理机构将向同级政府采购监督管理部门报告并予以处理。</w:t>
      </w:r>
    </w:p>
    <w:p w14:paraId="7857C109">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Courier New" w:eastAsia="宋体" w:cs="Courier New"/>
          <w:b/>
          <w:bCs/>
          <w:color w:val="auto"/>
          <w:kern w:val="0"/>
          <w:sz w:val="24"/>
          <w:highlight w:val="none"/>
        </w:rPr>
      </w:pPr>
      <w:r>
        <w:rPr>
          <w:rFonts w:hint="eastAsia" w:ascii="宋体" w:hAnsi="Courier New" w:eastAsia="宋体" w:cs="Courier New"/>
          <w:b/>
          <w:bCs/>
          <w:color w:val="auto"/>
          <w:kern w:val="0"/>
          <w:sz w:val="24"/>
          <w:highlight w:val="none"/>
          <w:lang w:val="en-US" w:eastAsia="zh-CN"/>
        </w:rPr>
        <w:t>7.</w:t>
      </w:r>
      <w:r>
        <w:rPr>
          <w:rFonts w:hint="eastAsia" w:ascii="宋体" w:hAnsi="Courier New" w:eastAsia="宋体" w:cs="Courier New"/>
          <w:b/>
          <w:bCs/>
          <w:color w:val="auto"/>
          <w:kern w:val="0"/>
          <w:sz w:val="24"/>
          <w:highlight w:val="none"/>
        </w:rPr>
        <w:t>异常低价</w:t>
      </w:r>
    </w:p>
    <w:p w14:paraId="7A6E623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Courier New" w:eastAsia="宋体" w:cs="Courier New"/>
          <w:color w:val="auto"/>
          <w:kern w:val="0"/>
          <w:sz w:val="24"/>
          <w:highlight w:val="none"/>
          <w:lang w:val="en-US" w:eastAsia="zh-CN"/>
        </w:rPr>
      </w:pPr>
      <w:r>
        <w:rPr>
          <w:rFonts w:hint="eastAsia" w:ascii="宋体" w:hAnsi="Courier New" w:eastAsia="宋体" w:cs="Courier New"/>
          <w:color w:val="auto"/>
          <w:kern w:val="0"/>
          <w:sz w:val="24"/>
          <w:highlight w:val="none"/>
          <w:lang w:val="en-US" w:eastAsia="zh-CN"/>
        </w:rPr>
        <w:t>7.1.出现下列情形之一的，评标委员会应当启动异常低价投标审查程序：</w:t>
      </w:r>
    </w:p>
    <w:p w14:paraId="35D48E8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Courier New" w:eastAsia="宋体" w:cs="Courier New"/>
          <w:color w:val="auto"/>
          <w:kern w:val="0"/>
          <w:sz w:val="24"/>
          <w:highlight w:val="none"/>
          <w:lang w:val="en-US" w:eastAsia="zh-CN"/>
        </w:rPr>
      </w:pPr>
      <w:r>
        <w:rPr>
          <w:rFonts w:hint="eastAsia" w:ascii="宋体" w:hAnsi="Courier New" w:eastAsia="宋体" w:cs="Courier New"/>
          <w:color w:val="auto"/>
          <w:kern w:val="0"/>
          <w:sz w:val="24"/>
          <w:highlight w:val="none"/>
          <w:lang w:val="en-US" w:eastAsia="zh-CN"/>
        </w:rPr>
        <w:t>（1）投标报价低于全部通过符合性审查供应商投标报价平均值50%的，即投标报价&lt;全部通过符合性审查供应商投标报价平均值×50%；</w:t>
      </w:r>
    </w:p>
    <w:p w14:paraId="249AC90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Courier New" w:eastAsia="宋体" w:cs="Courier New"/>
          <w:color w:val="auto"/>
          <w:kern w:val="0"/>
          <w:sz w:val="24"/>
          <w:highlight w:val="none"/>
          <w:lang w:val="en-US" w:eastAsia="zh-CN"/>
        </w:rPr>
      </w:pPr>
      <w:r>
        <w:rPr>
          <w:rFonts w:hint="eastAsia" w:ascii="宋体" w:hAnsi="Courier New" w:eastAsia="宋体" w:cs="Courier New"/>
          <w:color w:val="auto"/>
          <w:kern w:val="0"/>
          <w:sz w:val="24"/>
          <w:highlight w:val="none"/>
          <w:lang w:val="en-US" w:eastAsia="zh-CN"/>
        </w:rPr>
        <w:t>（2）投标报价低于通过符合性审查且报价次供应商报价50%的，即投标报价&lt;通过符合性审查且报价次供应商报价×50%；</w:t>
      </w:r>
    </w:p>
    <w:p w14:paraId="2AD2C9F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Courier New" w:eastAsia="宋体" w:cs="Courier New"/>
          <w:color w:val="auto"/>
          <w:kern w:val="0"/>
          <w:sz w:val="24"/>
          <w:highlight w:val="none"/>
          <w:lang w:val="en-US" w:eastAsia="zh-CN"/>
        </w:rPr>
      </w:pPr>
      <w:r>
        <w:rPr>
          <w:rFonts w:hint="eastAsia" w:ascii="宋体" w:hAnsi="Courier New" w:eastAsia="宋体" w:cs="Courier New"/>
          <w:color w:val="auto"/>
          <w:kern w:val="0"/>
          <w:sz w:val="24"/>
          <w:highlight w:val="none"/>
          <w:lang w:val="en-US" w:eastAsia="zh-CN"/>
        </w:rPr>
        <w:t>（3）投标报价低于采购项目最高限价45%的，即投标报价&lt;采购项目最高限价×45%；</w:t>
      </w:r>
    </w:p>
    <w:p w14:paraId="14E6043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Courier New" w:eastAsia="宋体" w:cs="Courier New"/>
          <w:color w:val="auto"/>
          <w:kern w:val="0"/>
          <w:sz w:val="24"/>
          <w:highlight w:val="none"/>
          <w:lang w:val="en-US" w:eastAsia="zh-CN"/>
        </w:rPr>
      </w:pPr>
      <w:r>
        <w:rPr>
          <w:rFonts w:hint="eastAsia" w:ascii="宋体" w:hAnsi="Courier New" w:eastAsia="宋体" w:cs="Courier New"/>
          <w:color w:val="auto"/>
          <w:kern w:val="0"/>
          <w:sz w:val="24"/>
          <w:highlight w:val="none"/>
          <w:lang w:val="en-US" w:eastAsia="zh-CN"/>
        </w:rPr>
        <w:t>（4）其他评标委员会认为供应商报价过低，有可能影响产品质量或者不能诚信履约的情形。</w:t>
      </w:r>
    </w:p>
    <w:p w14:paraId="3ED8C5E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Courier New" w:eastAsia="宋体" w:cs="Courier New"/>
          <w:color w:val="auto"/>
          <w:kern w:val="0"/>
          <w:sz w:val="24"/>
          <w:highlight w:val="none"/>
          <w:lang w:val="en-US" w:eastAsia="zh-CN"/>
        </w:rPr>
      </w:pPr>
      <w:r>
        <w:rPr>
          <w:rFonts w:hint="eastAsia" w:ascii="宋体" w:hAnsi="Courier New" w:eastAsia="宋体" w:cs="Courier New"/>
          <w:color w:val="auto"/>
          <w:kern w:val="0"/>
          <w:sz w:val="24"/>
          <w:highlight w:val="none"/>
          <w:lang w:val="en-US" w:eastAsia="zh-CN"/>
        </w:rPr>
        <w:t>7.2 异常低价审查工作流程</w:t>
      </w:r>
    </w:p>
    <w:p w14:paraId="73C2425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Courier New" w:eastAsia="宋体" w:cs="Courier New"/>
          <w:color w:val="auto"/>
          <w:kern w:val="0"/>
          <w:sz w:val="24"/>
          <w:highlight w:val="none"/>
          <w:lang w:val="en-US" w:eastAsia="zh-CN"/>
        </w:rPr>
      </w:pPr>
      <w:r>
        <w:rPr>
          <w:rFonts w:hint="eastAsia" w:ascii="宋体" w:hAnsi="Courier New" w:eastAsia="宋体" w:cs="Courier New"/>
          <w:color w:val="auto"/>
          <w:kern w:val="0"/>
          <w:sz w:val="24"/>
          <w:highlight w:val="none"/>
          <w:lang w:val="en-US" w:eastAsia="zh-CN"/>
        </w:rPr>
        <w:t>评标委员会启动异常低价投标审查，应当按照评审现场说明、综合评估研判和出具处理结果三个步骤开展审查流程。</w:t>
      </w:r>
    </w:p>
    <w:p w14:paraId="261E538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Courier New" w:eastAsia="宋体" w:cs="Courier New"/>
          <w:color w:val="auto"/>
          <w:kern w:val="0"/>
          <w:sz w:val="24"/>
          <w:highlight w:val="none"/>
          <w:lang w:val="en-US" w:eastAsia="zh-CN"/>
        </w:rPr>
      </w:pPr>
      <w:r>
        <w:rPr>
          <w:rFonts w:hint="eastAsia" w:ascii="宋体" w:hAnsi="Courier New" w:eastAsia="宋体" w:cs="Courier New"/>
          <w:color w:val="auto"/>
          <w:kern w:val="0"/>
          <w:sz w:val="24"/>
          <w:highlight w:val="none"/>
          <w:lang w:val="en-US" w:eastAsia="zh-CN"/>
        </w:rPr>
        <w:t>（1）评审现场说明</w:t>
      </w:r>
    </w:p>
    <w:p w14:paraId="5DF0433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Courier New" w:eastAsia="宋体" w:cs="Courier New"/>
          <w:color w:val="auto"/>
          <w:kern w:val="0"/>
          <w:sz w:val="24"/>
          <w:highlight w:val="none"/>
          <w:lang w:val="en-US" w:eastAsia="zh-CN"/>
        </w:rPr>
      </w:pPr>
      <w:r>
        <w:rPr>
          <w:rFonts w:hint="eastAsia" w:ascii="宋体" w:hAnsi="Courier New" w:eastAsia="宋体" w:cs="Courier New"/>
          <w:color w:val="auto"/>
          <w:kern w:val="0"/>
          <w:sz w:val="24"/>
          <w:highlight w:val="none"/>
          <w:lang w:val="en-US" w:eastAsia="zh-CN"/>
        </w:rPr>
        <w:t>评标委员会启动异常低价投标审查后，应当通过广西政府采购云平台要求相关供应商在合理的时间内提供书面说明及必要的证明材料，对投标价格作出解释。书面说明、证明材料主要是项目具体成本测算等与报价合理性相关的说明、材料。</w:t>
      </w:r>
    </w:p>
    <w:p w14:paraId="122437E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Courier New" w:eastAsia="宋体" w:cs="Courier New"/>
          <w:color w:val="auto"/>
          <w:kern w:val="0"/>
          <w:sz w:val="24"/>
          <w:highlight w:val="none"/>
          <w:lang w:val="en-US" w:eastAsia="zh-CN"/>
        </w:rPr>
      </w:pPr>
      <w:r>
        <w:rPr>
          <w:rFonts w:hint="eastAsia" w:ascii="宋体" w:hAnsi="Courier New" w:eastAsia="宋体" w:cs="Courier New"/>
          <w:color w:val="auto"/>
          <w:kern w:val="0"/>
          <w:sz w:val="24"/>
          <w:highlight w:val="none"/>
          <w:lang w:val="en-US" w:eastAsia="zh-CN"/>
        </w:rPr>
        <w:t>（2）综合评估研判</w:t>
      </w:r>
    </w:p>
    <w:p w14:paraId="262A43C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Courier New" w:eastAsia="宋体" w:cs="Courier New"/>
          <w:color w:val="auto"/>
          <w:kern w:val="0"/>
          <w:sz w:val="24"/>
          <w:highlight w:val="none"/>
          <w:lang w:val="en-US" w:eastAsia="zh-CN"/>
        </w:rPr>
      </w:pPr>
      <w:r>
        <w:rPr>
          <w:rFonts w:hint="eastAsia" w:ascii="宋体" w:hAnsi="Courier New" w:eastAsia="宋体" w:cs="Courier New"/>
          <w:color w:val="auto"/>
          <w:kern w:val="0"/>
          <w:sz w:val="24"/>
          <w:highlight w:val="none"/>
          <w:lang w:val="en-US" w:eastAsia="zh-CN"/>
        </w:rPr>
        <w:t>评标委员会应当结合同类产品在主要电商平台的价格、该行业当地薪资水平等情况，依据专业经验对报价合理性进行判断。对异常低价存在争议的，应当按照少数服从多数的原则作出结论。</w:t>
      </w:r>
    </w:p>
    <w:p w14:paraId="0114D5D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Courier New" w:eastAsia="宋体" w:cs="Courier New"/>
          <w:color w:val="auto"/>
          <w:kern w:val="0"/>
          <w:sz w:val="24"/>
          <w:highlight w:val="none"/>
          <w:lang w:val="en-US" w:eastAsia="zh-CN"/>
        </w:rPr>
      </w:pPr>
      <w:r>
        <w:rPr>
          <w:rFonts w:hint="eastAsia" w:ascii="宋体" w:hAnsi="Courier New" w:eastAsia="宋体" w:cs="Courier New"/>
          <w:color w:val="auto"/>
          <w:kern w:val="0"/>
          <w:sz w:val="24"/>
          <w:highlight w:val="none"/>
          <w:lang w:val="en-US" w:eastAsia="zh-CN"/>
        </w:rPr>
        <w:t>（3）出具处理结果</w:t>
      </w:r>
    </w:p>
    <w:p w14:paraId="47E01EB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Courier New" w:eastAsia="宋体" w:cs="Courier New"/>
          <w:color w:val="auto"/>
          <w:kern w:val="0"/>
          <w:sz w:val="24"/>
          <w:highlight w:val="none"/>
          <w:lang w:val="en-US" w:eastAsia="zh-CN"/>
        </w:rPr>
      </w:pPr>
      <w:r>
        <w:rPr>
          <w:rFonts w:hint="eastAsia" w:ascii="宋体" w:hAnsi="Courier New" w:eastAsia="宋体" w:cs="Courier New"/>
          <w:color w:val="auto"/>
          <w:kern w:val="0"/>
          <w:sz w:val="24"/>
          <w:highlight w:val="none"/>
          <w:lang w:val="en-US" w:eastAsia="zh-CN"/>
        </w:rPr>
        <w:t>如果投标供应商不提供书面说明、证明材料，或者提供的书面说明、证明材料不能证明其报价合理性的，应当将其作为无效投标处理。审查相关情况应当在评审报告中记录。</w:t>
      </w:r>
    </w:p>
    <w:p w14:paraId="7A549000">
      <w:pPr>
        <w:rPr>
          <w:rFonts w:hint="eastAsia" w:ascii="宋体" w:hAnsi="Courier New" w:eastAsia="宋体" w:cs="Courier New"/>
          <w:color w:val="auto"/>
          <w:kern w:val="0"/>
          <w:sz w:val="24"/>
          <w:highlight w:val="none"/>
          <w:lang w:val="en-US" w:eastAsia="zh-CN"/>
        </w:rPr>
      </w:pPr>
    </w:p>
    <w:p w14:paraId="359D58FF">
      <w:pPr>
        <w:pStyle w:val="4"/>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六、评审过程的保密与录像</w:t>
      </w:r>
    </w:p>
    <w:p w14:paraId="1C6F4987">
      <w:pPr>
        <w:widowControl/>
        <w:spacing w:line="360" w:lineRule="auto"/>
        <w:ind w:firstLine="482" w:firstLineChars="200"/>
        <w:outlineLvl w:val="9"/>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b/>
          <w:color w:val="auto"/>
          <w:sz w:val="24"/>
          <w:highlight w:val="none"/>
        </w:rPr>
        <w:t>1.保密。</w:t>
      </w:r>
      <w:r>
        <w:rPr>
          <w:rFonts w:hint="eastAsia" w:cs="仿宋_GB2312" w:asciiTheme="minorEastAsia" w:hAnsiTheme="minorEastAsia" w:eastAsiaTheme="minorEastAsia"/>
          <w:color w:val="auto"/>
          <w:sz w:val="24"/>
          <w:highlight w:val="none"/>
        </w:rPr>
        <w:t>评审活动在严格保密的情况下进行。评审过程中凡是与响应文件评审和比较、成交人推荐等评审有关的情况，以及涉及国家秘密和商业秘密等信息，磋商小组成员、采购人和采购代理机构工作人员、相关监督人员等与评审有关的人员应当予以保密。</w:t>
      </w:r>
    </w:p>
    <w:p w14:paraId="0EB497D7">
      <w:pPr>
        <w:widowControl/>
        <w:spacing w:line="360" w:lineRule="auto"/>
        <w:ind w:firstLine="482"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b/>
          <w:color w:val="auto"/>
          <w:sz w:val="24"/>
          <w:highlight w:val="none"/>
        </w:rPr>
        <w:t>2.录音录像。</w:t>
      </w:r>
      <w:r>
        <w:rPr>
          <w:rFonts w:hint="eastAsia" w:cs="仿宋_GB2312" w:asciiTheme="minorEastAsia" w:hAnsiTheme="minorEastAsia" w:eastAsiaTheme="minorEastAsia"/>
          <w:color w:val="auto"/>
          <w:sz w:val="24"/>
          <w:highlight w:val="none"/>
        </w:rPr>
        <w:t>采购代理机构对评审工作现场进行全过程录音录像，录音录像资料作为采购项目文件随其他文件一并存档。</w:t>
      </w:r>
    </w:p>
    <w:p w14:paraId="6D71C058">
      <w:pPr>
        <w:widowControl/>
        <w:adjustRightInd/>
        <w:jc w:val="left"/>
        <w:rPr>
          <w:rFonts w:cs="仿宋_GB2312" w:asciiTheme="minorEastAsia" w:hAnsiTheme="minorEastAsia" w:eastAsiaTheme="minorEastAsia"/>
          <w:b/>
          <w:color w:val="auto"/>
          <w:sz w:val="36"/>
          <w:szCs w:val="36"/>
          <w:highlight w:val="none"/>
        </w:rPr>
      </w:pPr>
      <w:r>
        <w:rPr>
          <w:rFonts w:cs="仿宋_GB2312" w:asciiTheme="minorEastAsia" w:hAnsiTheme="minorEastAsia" w:eastAsiaTheme="minorEastAsia"/>
          <w:b/>
          <w:color w:val="auto"/>
          <w:sz w:val="36"/>
          <w:szCs w:val="36"/>
          <w:highlight w:val="none"/>
        </w:rPr>
        <w:br w:type="page"/>
      </w:r>
    </w:p>
    <w:p w14:paraId="199671C3">
      <w:pPr>
        <w:pStyle w:val="3"/>
        <w:numPr>
          <w:ilvl w:val="0"/>
          <w:numId w:val="0"/>
        </w:numPr>
        <w:bidi w:val="0"/>
        <w:spacing w:before="0" w:after="0" w:line="240" w:lineRule="auto"/>
        <w:ind w:leftChars="0"/>
        <w:jc w:val="center"/>
        <w:rPr>
          <w:rFonts w:hint="eastAsia" w:ascii="Times New Roman" w:hAnsi="Times New Roman" w:eastAsia="宋体" w:cs="Times New Roman"/>
          <w:color w:val="auto"/>
          <w:sz w:val="40"/>
          <w:szCs w:val="40"/>
          <w:highlight w:val="none"/>
        </w:rPr>
      </w:pPr>
      <w:bookmarkStart w:id="59" w:name="_Toc23624"/>
      <w:r>
        <w:rPr>
          <w:rFonts w:hint="eastAsia" w:ascii="Times New Roman" w:hAnsi="Times New Roman" w:eastAsia="宋体" w:cs="Times New Roman"/>
          <w:color w:val="auto"/>
          <w:sz w:val="40"/>
          <w:szCs w:val="40"/>
          <w:highlight w:val="none"/>
        </w:rPr>
        <w:t>第六部分</w:t>
      </w:r>
      <w:bookmarkEnd w:id="56"/>
      <w:r>
        <w:rPr>
          <w:rFonts w:hint="eastAsia" w:ascii="Times New Roman" w:hAnsi="Times New Roman" w:eastAsia="宋体" w:cs="Times New Roman"/>
          <w:color w:val="auto"/>
          <w:sz w:val="40"/>
          <w:szCs w:val="40"/>
          <w:highlight w:val="none"/>
        </w:rPr>
        <w:t xml:space="preserve">  拟签订的合同文本</w:t>
      </w:r>
      <w:bookmarkEnd w:id="59"/>
    </w:p>
    <w:p w14:paraId="52F5C88D">
      <w:pPr>
        <w:rPr>
          <w:color w:val="auto"/>
        </w:rPr>
      </w:pPr>
      <w:bookmarkStart w:id="60" w:name="第五部分"/>
      <w:bookmarkStart w:id="61" w:name="_Toc86217003"/>
    </w:p>
    <w:p w14:paraId="2F3FAB1B">
      <w:pPr>
        <w:spacing w:line="480" w:lineRule="auto"/>
        <w:jc w:val="center"/>
        <w:rPr>
          <w:rFonts w:hint="eastAsia" w:ascii="宋体" w:hAnsi="宋体" w:cs="宋体"/>
          <w:b/>
          <w:color w:val="auto"/>
          <w:sz w:val="36"/>
          <w:szCs w:val="36"/>
          <w:highlight w:val="none"/>
        </w:rPr>
      </w:pPr>
    </w:p>
    <w:p w14:paraId="4AC4F9D2">
      <w:pPr>
        <w:spacing w:line="480" w:lineRule="auto"/>
        <w:jc w:val="center"/>
        <w:rPr>
          <w:rFonts w:hint="eastAsia" w:ascii="宋体" w:hAnsi="宋体" w:cs="宋体"/>
          <w:b/>
          <w:color w:val="auto"/>
          <w:sz w:val="36"/>
          <w:szCs w:val="36"/>
          <w:highlight w:val="none"/>
        </w:rPr>
      </w:pPr>
    </w:p>
    <w:p w14:paraId="77556615">
      <w:pPr>
        <w:spacing w:line="480" w:lineRule="auto"/>
        <w:jc w:val="center"/>
        <w:rPr>
          <w:rFonts w:hint="eastAsia" w:ascii="宋体" w:hAnsi="宋体" w:cs="宋体"/>
          <w:b/>
          <w:color w:val="auto"/>
          <w:sz w:val="36"/>
          <w:szCs w:val="36"/>
          <w:highlight w:val="none"/>
        </w:rPr>
      </w:pPr>
    </w:p>
    <w:p w14:paraId="4A22126A">
      <w:pPr>
        <w:spacing w:line="480" w:lineRule="auto"/>
        <w:jc w:val="center"/>
        <w:rPr>
          <w:rFonts w:hint="eastAsia" w:ascii="宋体" w:hAnsi="宋体" w:cs="宋体"/>
          <w:b/>
          <w:color w:val="auto"/>
          <w:sz w:val="36"/>
          <w:szCs w:val="36"/>
          <w:highlight w:val="none"/>
        </w:rPr>
      </w:pPr>
      <w:r>
        <w:rPr>
          <w:rFonts w:hint="eastAsia" w:ascii="宋体" w:hAnsi="宋体" w:cs="宋体"/>
          <w:b/>
          <w:color w:val="auto"/>
          <w:sz w:val="36"/>
          <w:szCs w:val="36"/>
          <w:highlight w:val="none"/>
        </w:rPr>
        <w:t>政府采购合同参考范本</w:t>
      </w:r>
    </w:p>
    <w:p w14:paraId="14632D58">
      <w:pPr>
        <w:spacing w:line="480" w:lineRule="auto"/>
        <w:jc w:val="center"/>
        <w:rPr>
          <w:rFonts w:hint="eastAsia" w:ascii="宋体" w:hAnsi="宋体" w:cs="宋体"/>
          <w:b/>
          <w:color w:val="auto"/>
          <w:sz w:val="36"/>
          <w:szCs w:val="36"/>
          <w:highlight w:val="none"/>
        </w:rPr>
      </w:pPr>
      <w:r>
        <w:rPr>
          <w:rFonts w:hint="eastAsia" w:ascii="宋体" w:hAnsi="宋体" w:cs="宋体"/>
          <w:b/>
          <w:color w:val="auto"/>
          <w:sz w:val="36"/>
          <w:szCs w:val="36"/>
          <w:highlight w:val="none"/>
        </w:rPr>
        <w:t>（服务类）</w:t>
      </w:r>
    </w:p>
    <w:p w14:paraId="34D8E58F">
      <w:pPr>
        <w:pStyle w:val="284"/>
        <w:ind w:firstLine="2843" w:firstLineChars="1180"/>
        <w:rPr>
          <w:rFonts w:hint="eastAsia" w:ascii="宋体" w:hAnsi="宋体" w:cs="宋体"/>
          <w:b/>
          <w:color w:val="auto"/>
          <w:szCs w:val="24"/>
          <w:highlight w:val="none"/>
        </w:rPr>
      </w:pPr>
    </w:p>
    <w:p w14:paraId="22538BA6">
      <w:pPr>
        <w:pStyle w:val="21"/>
        <w:spacing w:after="120"/>
        <w:outlineLvl w:val="9"/>
        <w:rPr>
          <w:rFonts w:hint="eastAsia"/>
          <w:color w:val="auto"/>
          <w:highlight w:val="none"/>
        </w:rPr>
      </w:pPr>
    </w:p>
    <w:p w14:paraId="6B6470D2">
      <w:pPr>
        <w:outlineLvl w:val="9"/>
        <w:rPr>
          <w:rFonts w:hint="eastAsia"/>
          <w:color w:val="auto"/>
          <w:highlight w:val="none"/>
        </w:rPr>
      </w:pPr>
    </w:p>
    <w:p w14:paraId="77ADD173">
      <w:pPr>
        <w:numPr>
          <w:ilvl w:val="3"/>
          <w:numId w:val="0"/>
        </w:numPr>
        <w:ind w:leftChars="0"/>
        <w:outlineLvl w:val="9"/>
        <w:rPr>
          <w:rFonts w:hint="eastAsia"/>
          <w:color w:val="auto"/>
        </w:rPr>
      </w:pPr>
    </w:p>
    <w:p w14:paraId="5120236C">
      <w:pPr>
        <w:pStyle w:val="21"/>
        <w:spacing w:after="120"/>
        <w:outlineLvl w:val="9"/>
        <w:rPr>
          <w:rFonts w:hint="eastAsia"/>
          <w:color w:val="auto"/>
          <w:highlight w:val="none"/>
        </w:rPr>
      </w:pPr>
    </w:p>
    <w:p w14:paraId="5CAB6A39">
      <w:pPr>
        <w:numPr>
          <w:ilvl w:val="3"/>
          <w:numId w:val="0"/>
        </w:numPr>
        <w:tabs>
          <w:tab w:val="left" w:pos="864"/>
        </w:tabs>
        <w:ind w:leftChars="0"/>
        <w:outlineLvl w:val="9"/>
        <w:rPr>
          <w:rFonts w:hint="eastAsia"/>
          <w:color w:val="auto"/>
        </w:rPr>
      </w:pPr>
    </w:p>
    <w:p w14:paraId="141D7938">
      <w:pPr>
        <w:adjustRightInd/>
        <w:spacing w:line="360" w:lineRule="auto"/>
        <w:ind w:left="1680" w:leftChars="800"/>
        <w:rPr>
          <w:color w:val="auto"/>
          <w:sz w:val="32"/>
          <w:szCs w:val="32"/>
          <w:highlight w:val="none"/>
        </w:rPr>
      </w:pPr>
      <w:r>
        <w:rPr>
          <w:rFonts w:hint="eastAsia" w:ascii="宋体" w:hAnsi="宋体" w:cs="宋体"/>
          <w:color w:val="auto"/>
          <w:kern w:val="0"/>
          <w:sz w:val="32"/>
          <w:szCs w:val="32"/>
          <w:highlight w:val="none"/>
        </w:rPr>
        <w:t>项目名称：</w:t>
      </w:r>
      <w:r>
        <w:rPr>
          <w:color w:val="auto"/>
          <w:sz w:val="32"/>
          <w:szCs w:val="32"/>
          <w:highlight w:val="none"/>
          <w:u w:val="single"/>
        </w:rPr>
        <w:t xml:space="preserve">                             </w:t>
      </w:r>
    </w:p>
    <w:p w14:paraId="1E041884">
      <w:pPr>
        <w:adjustRightInd/>
        <w:spacing w:line="360" w:lineRule="auto"/>
        <w:ind w:left="1680" w:leftChars="800"/>
        <w:rPr>
          <w:color w:val="auto"/>
          <w:sz w:val="32"/>
          <w:szCs w:val="32"/>
          <w:highlight w:val="none"/>
          <w:u w:val="single"/>
        </w:rPr>
      </w:pPr>
      <w:r>
        <w:rPr>
          <w:rFonts w:hint="eastAsia"/>
          <w:color w:val="auto"/>
          <w:sz w:val="32"/>
          <w:szCs w:val="32"/>
          <w:highlight w:val="none"/>
        </w:rPr>
        <w:t>合同编号：</w:t>
      </w:r>
      <w:r>
        <w:rPr>
          <w:color w:val="auto"/>
          <w:sz w:val="32"/>
          <w:szCs w:val="32"/>
          <w:highlight w:val="none"/>
          <w:u w:val="single"/>
        </w:rPr>
        <w:t xml:space="preserve">                             </w:t>
      </w:r>
    </w:p>
    <w:p w14:paraId="44D27EC3">
      <w:pPr>
        <w:adjustRightInd/>
        <w:spacing w:line="360" w:lineRule="auto"/>
        <w:ind w:left="1680" w:leftChars="800"/>
        <w:rPr>
          <w:color w:val="auto"/>
          <w:sz w:val="32"/>
          <w:szCs w:val="32"/>
          <w:highlight w:val="none"/>
        </w:rPr>
      </w:pPr>
      <w:r>
        <w:rPr>
          <w:rFonts w:hint="eastAsia"/>
          <w:color w:val="auto"/>
          <w:sz w:val="32"/>
          <w:szCs w:val="32"/>
          <w:highlight w:val="none"/>
        </w:rPr>
        <w:t>甲</w:t>
      </w:r>
      <w:r>
        <w:rPr>
          <w:color w:val="auto"/>
          <w:sz w:val="32"/>
          <w:szCs w:val="32"/>
          <w:highlight w:val="none"/>
        </w:rPr>
        <w:t xml:space="preserve">    </w:t>
      </w:r>
      <w:r>
        <w:rPr>
          <w:rFonts w:hint="eastAsia"/>
          <w:color w:val="auto"/>
          <w:sz w:val="32"/>
          <w:szCs w:val="32"/>
          <w:highlight w:val="none"/>
        </w:rPr>
        <w:t>方：</w:t>
      </w:r>
      <w:r>
        <w:rPr>
          <w:color w:val="auto"/>
          <w:sz w:val="32"/>
          <w:szCs w:val="32"/>
          <w:highlight w:val="none"/>
          <w:u w:val="single"/>
        </w:rPr>
        <w:t xml:space="preserve">                             </w:t>
      </w:r>
    </w:p>
    <w:p w14:paraId="78407D8B">
      <w:pPr>
        <w:adjustRightInd/>
        <w:spacing w:line="360" w:lineRule="auto"/>
        <w:ind w:left="1680" w:leftChars="800"/>
        <w:rPr>
          <w:color w:val="auto"/>
          <w:sz w:val="32"/>
          <w:szCs w:val="32"/>
          <w:highlight w:val="none"/>
          <w:u w:val="single"/>
        </w:rPr>
      </w:pPr>
      <w:r>
        <w:rPr>
          <w:rFonts w:hint="eastAsia"/>
          <w:color w:val="auto"/>
          <w:sz w:val="32"/>
          <w:szCs w:val="32"/>
          <w:highlight w:val="none"/>
        </w:rPr>
        <w:t>乙</w:t>
      </w:r>
      <w:r>
        <w:rPr>
          <w:color w:val="auto"/>
          <w:sz w:val="32"/>
          <w:szCs w:val="32"/>
          <w:highlight w:val="none"/>
        </w:rPr>
        <w:t xml:space="preserve">    </w:t>
      </w:r>
      <w:r>
        <w:rPr>
          <w:rFonts w:hint="eastAsia"/>
          <w:color w:val="auto"/>
          <w:sz w:val="32"/>
          <w:szCs w:val="32"/>
          <w:highlight w:val="none"/>
        </w:rPr>
        <w:t>方：</w:t>
      </w:r>
      <w:r>
        <w:rPr>
          <w:color w:val="auto"/>
          <w:sz w:val="32"/>
          <w:szCs w:val="32"/>
          <w:highlight w:val="none"/>
          <w:u w:val="single"/>
        </w:rPr>
        <w:t xml:space="preserve">                             </w:t>
      </w:r>
    </w:p>
    <w:p w14:paraId="73AF9531">
      <w:pPr>
        <w:adjustRightInd/>
        <w:spacing w:line="360" w:lineRule="auto"/>
        <w:ind w:left="1680" w:leftChars="800"/>
        <w:rPr>
          <w:rFonts w:hint="default"/>
          <w:color w:val="auto"/>
          <w:sz w:val="32"/>
          <w:szCs w:val="32"/>
          <w:highlight w:val="none"/>
          <w:lang w:val="en-US" w:eastAsia="zh-CN"/>
        </w:rPr>
      </w:pPr>
      <w:r>
        <w:rPr>
          <w:rFonts w:hint="eastAsia"/>
          <w:color w:val="auto"/>
          <w:sz w:val="32"/>
          <w:szCs w:val="32"/>
          <w:highlight w:val="none"/>
          <w:lang w:val="en-US" w:eastAsia="zh-CN"/>
        </w:rPr>
        <w:t>签订日期：</w:t>
      </w:r>
    </w:p>
    <w:p w14:paraId="7C8A2607">
      <w:pPr>
        <w:pStyle w:val="634"/>
        <w:rPr>
          <w:rFonts w:hint="eastAsia"/>
          <w:color w:val="auto"/>
          <w:highlight w:val="none"/>
        </w:rPr>
      </w:pPr>
    </w:p>
    <w:p w14:paraId="1F6B3CB9">
      <w:pPr>
        <w:rPr>
          <w:rFonts w:hint="eastAsia"/>
          <w:color w:val="auto"/>
          <w:highlight w:val="none"/>
        </w:rPr>
      </w:pPr>
      <w:r>
        <w:rPr>
          <w:rFonts w:hint="eastAsia"/>
          <w:color w:val="auto"/>
          <w:highlight w:val="none"/>
        </w:rPr>
        <w:br w:type="page"/>
      </w:r>
    </w:p>
    <w:p w14:paraId="6A8E9596">
      <w:pPr>
        <w:pStyle w:val="634"/>
        <w:rPr>
          <w:rFonts w:hint="eastAsia"/>
          <w:color w:val="auto"/>
          <w:highlight w:val="none"/>
        </w:rPr>
      </w:pPr>
    </w:p>
    <w:p w14:paraId="66F4C3F4">
      <w:pPr>
        <w:spacing w:line="360" w:lineRule="auto"/>
        <w:jc w:val="center"/>
        <w:outlineLvl w:val="1"/>
        <w:rPr>
          <w:rFonts w:ascii="宋体" w:hAnsi="宋体" w:cs="宋体"/>
          <w:b/>
          <w:color w:val="auto"/>
          <w:sz w:val="24"/>
          <w:highlight w:val="none"/>
        </w:rPr>
      </w:pPr>
      <w:bookmarkStart w:id="62" w:name="_Toc22209"/>
      <w:r>
        <w:rPr>
          <w:rFonts w:hint="eastAsia" w:ascii="宋体" w:hAnsi="宋体"/>
          <w:b/>
          <w:color w:val="auto"/>
          <w:sz w:val="24"/>
          <w:highlight w:val="none"/>
        </w:rPr>
        <w:t>第一节 政府采购合同协议书</w:t>
      </w:r>
      <w:bookmarkEnd w:id="62"/>
    </w:p>
    <w:p w14:paraId="42F9B884">
      <w:pPr>
        <w:spacing w:line="360" w:lineRule="auto"/>
        <w:ind w:firstLine="480" w:firstLineChars="200"/>
        <w:rPr>
          <w:rFonts w:ascii="宋体" w:hAnsi="宋体"/>
          <w:color w:val="auto"/>
          <w:sz w:val="24"/>
          <w:highlight w:val="none"/>
        </w:rPr>
      </w:pPr>
      <w:r>
        <w:rPr>
          <w:rFonts w:ascii="宋体" w:hAnsi="宋体"/>
          <w:color w:val="auto"/>
          <w:sz w:val="24"/>
          <w:highlight w:val="none"/>
          <w:u w:val="single"/>
          <w:lang w:val="zh-CN"/>
        </w:rPr>
        <w:t xml:space="preserve">      </w:t>
      </w:r>
      <w:r>
        <w:rPr>
          <w:rFonts w:hint="eastAsia" w:ascii="宋体" w:hAnsi="宋体"/>
          <w:color w:val="auto"/>
          <w:sz w:val="24"/>
          <w:highlight w:val="none"/>
          <w:lang w:val="zh-CN"/>
        </w:rPr>
        <w:t>年</w:t>
      </w:r>
      <w:r>
        <w:rPr>
          <w:rFonts w:ascii="宋体" w:hAnsi="宋体"/>
          <w:color w:val="auto"/>
          <w:sz w:val="24"/>
          <w:highlight w:val="none"/>
          <w:u w:val="single"/>
          <w:lang w:val="zh-CN"/>
        </w:rPr>
        <w:t xml:space="preserve">    </w:t>
      </w:r>
      <w:r>
        <w:rPr>
          <w:rFonts w:hint="eastAsia" w:ascii="宋体" w:hAnsi="宋体"/>
          <w:color w:val="auto"/>
          <w:sz w:val="24"/>
          <w:highlight w:val="none"/>
          <w:lang w:val="zh-CN"/>
        </w:rPr>
        <w:t>月</w:t>
      </w:r>
      <w:r>
        <w:rPr>
          <w:rFonts w:ascii="宋体" w:hAnsi="宋体"/>
          <w:color w:val="auto"/>
          <w:sz w:val="24"/>
          <w:highlight w:val="none"/>
          <w:u w:val="single"/>
          <w:lang w:val="zh-CN"/>
        </w:rPr>
        <w:t xml:space="preserve">    </w:t>
      </w:r>
      <w:r>
        <w:rPr>
          <w:rFonts w:hint="eastAsia" w:ascii="宋体" w:hAnsi="宋体"/>
          <w:color w:val="auto"/>
          <w:sz w:val="24"/>
          <w:highlight w:val="none"/>
          <w:lang w:val="zh-CN"/>
        </w:rPr>
        <w:t>日</w:t>
      </w:r>
      <w:r>
        <w:rPr>
          <w:rFonts w:hint="eastAsia" w:ascii="宋体" w:hAnsi="宋体"/>
          <w:color w:val="auto"/>
          <w:sz w:val="24"/>
          <w:highlight w:val="none"/>
        </w:rPr>
        <w:t>，</w:t>
      </w:r>
      <w:r>
        <w:rPr>
          <w:rFonts w:ascii="宋体" w:hAnsi="宋体"/>
          <w:color w:val="auto"/>
          <w:sz w:val="24"/>
          <w:highlight w:val="none"/>
          <w:u w:val="single"/>
        </w:rPr>
        <w:t xml:space="preserve">   </w:t>
      </w:r>
      <w:r>
        <w:rPr>
          <w:rFonts w:hint="eastAsia" w:ascii="宋体" w:hAnsi="宋体" w:cs="宋体"/>
          <w:color w:val="auto"/>
          <w:sz w:val="24"/>
          <w:highlight w:val="none"/>
          <w:u w:val="single"/>
        </w:rPr>
        <w:t>（采购人）</w:t>
      </w:r>
      <w:r>
        <w:rPr>
          <w:rFonts w:ascii="宋体" w:hAnsi="宋体"/>
          <w:color w:val="auto"/>
          <w:sz w:val="24"/>
          <w:highlight w:val="none"/>
          <w:u w:val="single"/>
        </w:rPr>
        <w:t xml:space="preserve">   </w:t>
      </w:r>
      <w:r>
        <w:rPr>
          <w:rFonts w:hint="eastAsia" w:ascii="宋体" w:hAnsi="宋体"/>
          <w:color w:val="auto"/>
          <w:sz w:val="24"/>
          <w:highlight w:val="none"/>
        </w:rPr>
        <w:t>以</w:t>
      </w:r>
      <w:r>
        <w:rPr>
          <w:rFonts w:ascii="宋体" w:hAnsi="宋体"/>
          <w:color w:val="auto"/>
          <w:sz w:val="24"/>
          <w:highlight w:val="none"/>
          <w:u w:val="single"/>
        </w:rPr>
        <w:t xml:space="preserve">   （政府采购方式）  </w:t>
      </w:r>
      <w:r>
        <w:rPr>
          <w:rFonts w:hint="eastAsia" w:ascii="宋体" w:hAnsi="宋体"/>
          <w:color w:val="auto"/>
          <w:sz w:val="24"/>
          <w:highlight w:val="none"/>
        </w:rPr>
        <w:t>对</w:t>
      </w:r>
      <w:r>
        <w:rPr>
          <w:rFonts w:ascii="宋体" w:hAnsi="宋体"/>
          <w:color w:val="auto"/>
          <w:sz w:val="24"/>
          <w:highlight w:val="none"/>
          <w:u w:val="single"/>
        </w:rPr>
        <w:t xml:space="preserve">  </w:t>
      </w:r>
      <w:r>
        <w:rPr>
          <w:rFonts w:hint="eastAsia" w:ascii="宋体" w:hAnsi="宋体" w:cs="宋体"/>
          <w:color w:val="auto"/>
          <w:sz w:val="24"/>
          <w:highlight w:val="none"/>
          <w:u w:val="single"/>
        </w:rPr>
        <w:t xml:space="preserve">（项目名称）  </w:t>
      </w:r>
      <w:r>
        <w:rPr>
          <w:rFonts w:ascii="宋体" w:hAnsi="宋体"/>
          <w:color w:val="auto"/>
          <w:sz w:val="24"/>
          <w:highlight w:val="none"/>
          <w:u w:val="single"/>
        </w:rPr>
        <w:t xml:space="preserve">  </w:t>
      </w:r>
      <w:r>
        <w:rPr>
          <w:rFonts w:hint="eastAsia" w:ascii="宋体" w:hAnsi="宋体"/>
          <w:color w:val="auto"/>
          <w:sz w:val="24"/>
          <w:highlight w:val="none"/>
        </w:rPr>
        <w:t>项目进行了采购。经</w:t>
      </w:r>
      <w:r>
        <w:rPr>
          <w:rFonts w:ascii="宋体" w:hAnsi="宋体"/>
          <w:color w:val="auto"/>
          <w:sz w:val="24"/>
          <w:highlight w:val="none"/>
          <w:u w:val="single"/>
        </w:rPr>
        <w:t xml:space="preserve">   （相关评定主体名称）   </w:t>
      </w:r>
      <w:r>
        <w:rPr>
          <w:rFonts w:hint="eastAsia" w:ascii="宋体" w:hAnsi="宋体"/>
          <w:color w:val="auto"/>
          <w:sz w:val="24"/>
          <w:highlight w:val="none"/>
        </w:rPr>
        <w:t>评定，</w:t>
      </w:r>
      <w:r>
        <w:rPr>
          <w:rFonts w:ascii="宋体" w:hAnsi="宋体"/>
          <w:color w:val="auto"/>
          <w:sz w:val="24"/>
          <w:highlight w:val="none"/>
          <w:u w:val="single"/>
        </w:rPr>
        <w:t xml:space="preserve">   （</w:t>
      </w:r>
      <w:r>
        <w:rPr>
          <w:rFonts w:hint="eastAsia" w:ascii="宋体" w:hAnsi="宋体"/>
          <w:color w:val="auto"/>
          <w:sz w:val="24"/>
          <w:highlight w:val="none"/>
          <w:u w:val="single"/>
        </w:rPr>
        <w:t>成交</w:t>
      </w:r>
      <w:r>
        <w:rPr>
          <w:rFonts w:ascii="宋体" w:hAnsi="宋体"/>
          <w:color w:val="auto"/>
          <w:sz w:val="24"/>
          <w:highlight w:val="none"/>
          <w:u w:val="single"/>
        </w:rPr>
        <w:t xml:space="preserve">供应商名称） </w:t>
      </w:r>
      <w:r>
        <w:rPr>
          <w:rFonts w:hint="eastAsia" w:ascii="宋体" w:hAnsi="宋体"/>
          <w:color w:val="auto"/>
          <w:sz w:val="24"/>
          <w:highlight w:val="none"/>
        </w:rPr>
        <w:t>为该项目</w:t>
      </w:r>
      <w:r>
        <w:rPr>
          <w:rFonts w:hint="eastAsia" w:ascii="宋体" w:hAnsi="宋体" w:cs="宋体"/>
          <w:color w:val="auto"/>
          <w:sz w:val="24"/>
          <w:highlight w:val="none"/>
        </w:rPr>
        <w:t>成交供应商</w:t>
      </w:r>
      <w:r>
        <w:rPr>
          <w:rFonts w:hint="eastAsia" w:ascii="宋体" w:hAnsi="宋体"/>
          <w:color w:val="auto"/>
          <w:sz w:val="24"/>
          <w:highlight w:val="none"/>
        </w:rPr>
        <w:t>。现于</w:t>
      </w:r>
      <w:r>
        <w:rPr>
          <w:rFonts w:hint="eastAsia" w:ascii="宋体" w:hAnsi="宋体" w:cs="宋体"/>
          <w:color w:val="auto"/>
          <w:sz w:val="24"/>
          <w:highlight w:val="none"/>
        </w:rPr>
        <w:t>成交通知书</w:t>
      </w:r>
      <w:r>
        <w:rPr>
          <w:rFonts w:hint="eastAsia" w:ascii="宋体" w:hAnsi="宋体"/>
          <w:color w:val="auto"/>
          <w:sz w:val="24"/>
          <w:highlight w:val="none"/>
        </w:rPr>
        <w:t>发出之日起</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个工作日内，按照采购文件确定的事项签订本合同。</w:t>
      </w:r>
    </w:p>
    <w:p w14:paraId="61247A83">
      <w:pPr>
        <w:spacing w:line="360" w:lineRule="auto"/>
        <w:ind w:firstLine="480" w:firstLineChars="200"/>
        <w:rPr>
          <w:rFonts w:ascii="宋体" w:hAnsi="宋体"/>
          <w:color w:val="auto"/>
          <w:sz w:val="24"/>
          <w:highlight w:val="none"/>
        </w:rPr>
      </w:pPr>
      <w:r>
        <w:rPr>
          <w:rFonts w:hint="eastAsia" w:ascii="宋体" w:hAnsi="宋体"/>
          <w:color w:val="auto"/>
          <w:sz w:val="24"/>
          <w:highlight w:val="none"/>
          <w:lang w:val="zh-CN"/>
        </w:rPr>
        <w:t>根据《中华人民共和国民法典》《中华人民共和国政府采购法》等相关法律法规之规定，按照平等、自愿、公平和诚实信用的原则，经</w:t>
      </w:r>
      <w:r>
        <w:rPr>
          <w:rFonts w:ascii="宋体" w:hAnsi="宋体"/>
          <w:color w:val="auto"/>
          <w:sz w:val="24"/>
          <w:highlight w:val="none"/>
          <w:u w:val="single"/>
        </w:rPr>
        <w:t xml:space="preserve">   （采购人）   </w:t>
      </w:r>
      <w:r>
        <w:rPr>
          <w:rFonts w:ascii="宋体" w:hAnsi="宋体"/>
          <w:color w:val="auto"/>
          <w:sz w:val="24"/>
          <w:highlight w:val="none"/>
          <w:lang w:val="zh-CN"/>
        </w:rPr>
        <w:t>(以下简称：甲方)和</w:t>
      </w:r>
      <w:r>
        <w:rPr>
          <w:rFonts w:ascii="宋体" w:hAnsi="宋体"/>
          <w:color w:val="auto"/>
          <w:sz w:val="24"/>
          <w:highlight w:val="none"/>
          <w:u w:val="single"/>
        </w:rPr>
        <w:t xml:space="preserve">   （</w:t>
      </w:r>
      <w:r>
        <w:rPr>
          <w:rFonts w:hint="eastAsia" w:ascii="宋体" w:hAnsi="宋体"/>
          <w:color w:val="auto"/>
          <w:sz w:val="24"/>
          <w:highlight w:val="none"/>
          <w:u w:val="single"/>
        </w:rPr>
        <w:t>成交</w:t>
      </w:r>
      <w:r>
        <w:rPr>
          <w:rFonts w:ascii="宋体" w:hAnsi="宋体"/>
          <w:color w:val="auto"/>
          <w:sz w:val="24"/>
          <w:highlight w:val="none"/>
          <w:u w:val="single"/>
        </w:rPr>
        <w:t xml:space="preserve">标供应商名称）   </w:t>
      </w:r>
      <w:r>
        <w:rPr>
          <w:rFonts w:ascii="宋体" w:hAnsi="宋体"/>
          <w:color w:val="auto"/>
          <w:sz w:val="24"/>
          <w:highlight w:val="none"/>
          <w:lang w:val="zh-CN"/>
        </w:rPr>
        <w:t>(以下简称：乙方)协商一致，约定以下合同</w:t>
      </w:r>
      <w:r>
        <w:rPr>
          <w:rFonts w:hint="eastAsia" w:ascii="宋体" w:hAnsi="宋体"/>
          <w:color w:val="auto"/>
          <w:sz w:val="24"/>
          <w:highlight w:val="none"/>
        </w:rPr>
        <w:t>条款，以兹共同遵守、全面履行。</w:t>
      </w:r>
    </w:p>
    <w:p w14:paraId="6A78A8F3">
      <w:pPr>
        <w:spacing w:line="360" w:lineRule="auto"/>
        <w:ind w:firstLine="482" w:firstLineChars="200"/>
        <w:rPr>
          <w:rFonts w:ascii="宋体" w:hAnsi="宋体"/>
          <w:color w:val="auto"/>
          <w:sz w:val="24"/>
          <w:highlight w:val="none"/>
        </w:rPr>
      </w:pPr>
      <w:bookmarkStart w:id="63" w:name="_Toc22967"/>
      <w:bookmarkStart w:id="64" w:name="_Toc19273"/>
      <w:bookmarkStart w:id="65" w:name="_Toc15367"/>
      <w:bookmarkStart w:id="66" w:name="_Toc28855"/>
      <w:bookmarkStart w:id="67" w:name="_Toc20421"/>
      <w:r>
        <w:rPr>
          <w:rFonts w:ascii="宋体" w:hAnsi="宋体"/>
          <w:b/>
          <w:color w:val="auto"/>
          <w:sz w:val="24"/>
          <w:highlight w:val="none"/>
        </w:rPr>
        <w:t xml:space="preserve">1.1 </w:t>
      </w:r>
      <w:r>
        <w:rPr>
          <w:rFonts w:hint="eastAsia" w:ascii="宋体" w:hAnsi="宋体"/>
          <w:b/>
          <w:color w:val="auto"/>
          <w:sz w:val="24"/>
          <w:highlight w:val="none"/>
        </w:rPr>
        <w:t>合同组成部分</w:t>
      </w:r>
      <w:bookmarkEnd w:id="63"/>
      <w:bookmarkEnd w:id="64"/>
      <w:bookmarkEnd w:id="65"/>
      <w:bookmarkEnd w:id="66"/>
      <w:bookmarkEnd w:id="67"/>
    </w:p>
    <w:p w14:paraId="2E783C54">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25EE8668">
      <w:pPr>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1.1.1 </w:t>
      </w:r>
      <w:r>
        <w:rPr>
          <w:rFonts w:hint="eastAsia" w:ascii="宋体" w:hAnsi="宋体"/>
          <w:color w:val="auto"/>
          <w:sz w:val="24"/>
          <w:highlight w:val="none"/>
        </w:rPr>
        <w:t>本合同及其补充合同、变更协议；</w:t>
      </w:r>
    </w:p>
    <w:p w14:paraId="64B8C66D">
      <w:pPr>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1.1.2 </w:t>
      </w:r>
      <w:r>
        <w:rPr>
          <w:rFonts w:hint="eastAsia" w:ascii="宋体" w:hAnsi="宋体"/>
          <w:color w:val="auto"/>
          <w:sz w:val="24"/>
          <w:highlight w:val="none"/>
        </w:rPr>
        <w:t>中标或者成交通知书；</w:t>
      </w:r>
    </w:p>
    <w:p w14:paraId="5A0D8903">
      <w:pPr>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1.1.3 </w:t>
      </w:r>
      <w:r>
        <w:rPr>
          <w:rFonts w:hint="eastAsia" w:ascii="宋体" w:hAnsi="宋体"/>
          <w:color w:val="auto"/>
          <w:sz w:val="24"/>
          <w:highlight w:val="none"/>
        </w:rPr>
        <w:t>投标或者响应文件（含澄清或者说明文件）；</w:t>
      </w:r>
    </w:p>
    <w:p w14:paraId="6867099F">
      <w:pPr>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1.1.4 </w:t>
      </w:r>
      <w:r>
        <w:rPr>
          <w:rFonts w:hint="eastAsia" w:ascii="宋体" w:hAnsi="宋体"/>
          <w:color w:val="auto"/>
          <w:sz w:val="24"/>
          <w:highlight w:val="none"/>
        </w:rPr>
        <w:t>采购文件（含澄清或者修改文件）；</w:t>
      </w:r>
    </w:p>
    <w:p w14:paraId="36D26686">
      <w:pPr>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1.1.5 </w:t>
      </w:r>
      <w:r>
        <w:rPr>
          <w:rFonts w:hint="eastAsia" w:ascii="宋体" w:hAnsi="宋体"/>
          <w:color w:val="auto"/>
          <w:sz w:val="24"/>
          <w:highlight w:val="none"/>
        </w:rPr>
        <w:t>其他相关采购文件。</w:t>
      </w:r>
    </w:p>
    <w:p w14:paraId="4F5777D6">
      <w:pPr>
        <w:spacing w:line="360" w:lineRule="auto"/>
        <w:ind w:firstLine="482" w:firstLineChars="200"/>
        <w:rPr>
          <w:rFonts w:ascii="宋体" w:hAnsi="宋体"/>
          <w:b/>
          <w:color w:val="auto"/>
          <w:sz w:val="24"/>
          <w:highlight w:val="none"/>
        </w:rPr>
      </w:pPr>
      <w:bookmarkStart w:id="68" w:name="_Toc22185"/>
      <w:bookmarkStart w:id="69" w:name="_Toc6773"/>
      <w:bookmarkStart w:id="70" w:name="_Toc2918"/>
      <w:bookmarkStart w:id="71" w:name="_Toc18585"/>
      <w:bookmarkStart w:id="72" w:name="_Toc6311"/>
      <w:r>
        <w:rPr>
          <w:rFonts w:ascii="宋体" w:hAnsi="宋体"/>
          <w:b/>
          <w:color w:val="auto"/>
          <w:sz w:val="24"/>
          <w:highlight w:val="none"/>
        </w:rPr>
        <w:t xml:space="preserve">1.2 </w:t>
      </w:r>
      <w:r>
        <w:rPr>
          <w:rFonts w:hint="eastAsia" w:ascii="宋体" w:hAnsi="宋体"/>
          <w:b/>
          <w:color w:val="auto"/>
          <w:sz w:val="24"/>
          <w:highlight w:val="none"/>
        </w:rPr>
        <w:t>标的</w:t>
      </w:r>
      <w:bookmarkEnd w:id="68"/>
      <w:bookmarkEnd w:id="69"/>
      <w:bookmarkEnd w:id="70"/>
      <w:bookmarkEnd w:id="71"/>
      <w:bookmarkEnd w:id="72"/>
    </w:p>
    <w:p w14:paraId="215FDD7A">
      <w:pPr>
        <w:spacing w:line="360" w:lineRule="auto"/>
        <w:ind w:firstLine="480" w:firstLineChars="200"/>
        <w:rPr>
          <w:rFonts w:ascii="宋体" w:hAnsi="宋体"/>
          <w:color w:val="auto"/>
          <w:sz w:val="24"/>
          <w:highlight w:val="none"/>
          <w:u w:val="single"/>
        </w:rPr>
      </w:pPr>
      <w:r>
        <w:rPr>
          <w:rFonts w:ascii="宋体" w:hAnsi="宋体"/>
          <w:color w:val="auto"/>
          <w:sz w:val="24"/>
          <w:highlight w:val="none"/>
        </w:rPr>
        <w:t xml:space="preserve">1.2.1 </w:t>
      </w:r>
      <w:r>
        <w:rPr>
          <w:rFonts w:hint="eastAsia" w:ascii="宋体" w:hAnsi="宋体"/>
          <w:color w:val="auto"/>
          <w:sz w:val="24"/>
          <w:highlight w:val="none"/>
        </w:rPr>
        <w:t>服务内容</w:t>
      </w:r>
      <w:r>
        <w:rPr>
          <w:rFonts w:ascii="宋体" w:hAnsi="宋体"/>
          <w:color w:val="auto"/>
          <w:sz w:val="24"/>
          <w:highlight w:val="none"/>
        </w:rPr>
        <w:t>：</w:t>
      </w:r>
      <w:r>
        <w:rPr>
          <w:rFonts w:ascii="宋体" w:hAnsi="宋体"/>
          <w:color w:val="auto"/>
          <w:sz w:val="24"/>
          <w:highlight w:val="none"/>
          <w:u w:val="single"/>
        </w:rPr>
        <w:t xml:space="preserve">                                        </w:t>
      </w:r>
      <w:r>
        <w:rPr>
          <w:rFonts w:hint="eastAsia" w:ascii="宋体" w:hAnsi="宋体"/>
          <w:color w:val="auto"/>
          <w:sz w:val="24"/>
          <w:highlight w:val="none"/>
        </w:rPr>
        <w:t>；</w:t>
      </w:r>
    </w:p>
    <w:p w14:paraId="60F72F9A">
      <w:pPr>
        <w:spacing w:line="360" w:lineRule="auto"/>
        <w:ind w:firstLine="480" w:firstLineChars="200"/>
        <w:rPr>
          <w:rFonts w:ascii="宋体" w:hAnsi="宋体"/>
          <w:color w:val="auto"/>
          <w:sz w:val="24"/>
          <w:highlight w:val="none"/>
          <w:u w:val="single"/>
        </w:rPr>
      </w:pPr>
      <w:r>
        <w:rPr>
          <w:rFonts w:ascii="宋体" w:hAnsi="宋体"/>
          <w:color w:val="auto"/>
          <w:sz w:val="24"/>
          <w:highlight w:val="none"/>
        </w:rPr>
        <w:t xml:space="preserve">1.2.2 </w:t>
      </w:r>
      <w:r>
        <w:rPr>
          <w:rFonts w:hint="eastAsia" w:ascii="宋体" w:hAnsi="宋体"/>
          <w:color w:val="auto"/>
          <w:sz w:val="24"/>
          <w:highlight w:val="none"/>
        </w:rPr>
        <w:t>服务标准</w:t>
      </w:r>
      <w:r>
        <w:rPr>
          <w:rFonts w:ascii="宋体" w:hAnsi="宋体"/>
          <w:color w:val="auto"/>
          <w:sz w:val="24"/>
          <w:highlight w:val="none"/>
        </w:rPr>
        <w:t>：</w:t>
      </w:r>
      <w:r>
        <w:rPr>
          <w:rFonts w:ascii="宋体" w:hAnsi="宋体"/>
          <w:color w:val="auto"/>
          <w:sz w:val="24"/>
          <w:highlight w:val="none"/>
          <w:u w:val="single"/>
        </w:rPr>
        <w:t xml:space="preserve">                                                </w:t>
      </w:r>
      <w:r>
        <w:rPr>
          <w:rFonts w:hint="eastAsia" w:ascii="宋体" w:hAnsi="宋体"/>
          <w:color w:val="auto"/>
          <w:sz w:val="24"/>
          <w:highlight w:val="none"/>
        </w:rPr>
        <w:t>；</w:t>
      </w:r>
    </w:p>
    <w:p w14:paraId="46A56FD6">
      <w:pPr>
        <w:spacing w:line="360" w:lineRule="auto"/>
        <w:ind w:firstLine="480" w:firstLineChars="200"/>
        <w:rPr>
          <w:rFonts w:ascii="宋体" w:hAnsi="宋体"/>
          <w:color w:val="auto"/>
          <w:sz w:val="24"/>
          <w:highlight w:val="none"/>
          <w:u w:val="single"/>
        </w:rPr>
      </w:pPr>
      <w:r>
        <w:rPr>
          <w:rFonts w:ascii="宋体" w:hAnsi="宋体"/>
          <w:color w:val="auto"/>
          <w:sz w:val="24"/>
          <w:highlight w:val="none"/>
        </w:rPr>
        <w:t xml:space="preserve">1.2.3 </w:t>
      </w:r>
      <w:r>
        <w:rPr>
          <w:rFonts w:hint="eastAsia" w:ascii="宋体" w:hAnsi="宋体"/>
          <w:color w:val="auto"/>
          <w:sz w:val="24"/>
          <w:highlight w:val="none"/>
        </w:rPr>
        <w:t>技术保障：</w:t>
      </w:r>
      <w:r>
        <w:rPr>
          <w:rFonts w:ascii="宋体" w:hAnsi="宋体"/>
          <w:color w:val="auto"/>
          <w:sz w:val="24"/>
          <w:highlight w:val="none"/>
          <w:u w:val="single"/>
        </w:rPr>
        <w:t xml:space="preserve">                     　      </w:t>
      </w:r>
      <w:r>
        <w:rPr>
          <w:rFonts w:hint="eastAsia" w:ascii="宋体" w:hAnsi="宋体"/>
          <w:color w:val="auto"/>
          <w:sz w:val="24"/>
          <w:highlight w:val="none"/>
          <w:u w:val="single"/>
        </w:rPr>
        <w:t>；</w:t>
      </w:r>
    </w:p>
    <w:p w14:paraId="5EB7574C">
      <w:pPr>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1.2.4 服务人员组成：</w:t>
      </w:r>
      <w:r>
        <w:rPr>
          <w:rFonts w:ascii="宋体" w:hAnsi="宋体"/>
          <w:color w:val="auto"/>
          <w:sz w:val="24"/>
          <w:highlight w:val="none"/>
          <w:u w:val="single"/>
        </w:rPr>
        <w:t xml:space="preserve">　　             　      </w:t>
      </w:r>
      <w:r>
        <w:rPr>
          <w:rFonts w:hint="eastAsia" w:ascii="宋体" w:hAnsi="宋体"/>
          <w:color w:val="auto"/>
          <w:sz w:val="24"/>
          <w:highlight w:val="none"/>
        </w:rPr>
        <w:t>；</w:t>
      </w:r>
    </w:p>
    <w:p w14:paraId="625A4665">
      <w:pPr>
        <w:pStyle w:val="632"/>
        <w:spacing w:before="0" w:beforeAutospacing="0" w:after="0" w:afterAutospacing="0" w:line="360" w:lineRule="auto"/>
        <w:ind w:firstLine="480"/>
        <w:rPr>
          <w:color w:val="auto"/>
          <w:highlight w:val="none"/>
        </w:rPr>
      </w:pPr>
      <w:r>
        <w:rPr>
          <w:rFonts w:hint="eastAsia"/>
          <w:color w:val="auto"/>
          <w:highlight w:val="none"/>
        </w:rPr>
        <w:t>1.2.5合同</w:t>
      </w:r>
      <w:r>
        <w:rPr>
          <w:rFonts w:hint="eastAsia"/>
          <w:color w:val="auto"/>
          <w:highlight w:val="none"/>
          <w:u w:val="single"/>
        </w:rPr>
        <w:t xml:space="preserve">     </w:t>
      </w:r>
      <w:r>
        <w:rPr>
          <w:rFonts w:hint="eastAsia"/>
          <w:color w:val="auto"/>
          <w:highlight w:val="none"/>
        </w:rPr>
        <w:t>（是</w:t>
      </w:r>
      <w:r>
        <w:rPr>
          <w:rFonts w:hint="eastAsia" w:ascii="仿宋" w:hAnsi="仿宋" w:eastAsia="仿宋" w:cs="仿宋"/>
          <w:color w:val="auto"/>
          <w:highlight w:val="none"/>
        </w:rPr>
        <w:t>/</w:t>
      </w:r>
      <w:r>
        <w:rPr>
          <w:rFonts w:hint="eastAsia"/>
          <w:color w:val="auto"/>
          <w:highlight w:val="none"/>
        </w:rPr>
        <w:t>否）涉及货物。若涉及货物的，则：</w:t>
      </w:r>
    </w:p>
    <w:p w14:paraId="60225B16">
      <w:pPr>
        <w:spacing w:line="360" w:lineRule="auto"/>
        <w:ind w:firstLine="480" w:firstLineChars="200"/>
        <w:rPr>
          <w:rFonts w:ascii="宋体" w:hAnsi="宋体" w:cs="宋体"/>
          <w:color w:val="auto"/>
          <w:sz w:val="24"/>
          <w:highlight w:val="none"/>
          <w:u w:val="single"/>
        </w:rPr>
      </w:pPr>
      <w:bookmarkStart w:id="73" w:name="_Toc4929"/>
      <w:bookmarkStart w:id="74" w:name="_Toc13918"/>
      <w:bookmarkStart w:id="75" w:name="_Toc5635"/>
      <w:bookmarkStart w:id="76" w:name="_Toc1386"/>
      <w:bookmarkStart w:id="77" w:name="_Toc21124"/>
      <w:r>
        <w:rPr>
          <w:rFonts w:hint="eastAsia" w:ascii="宋体" w:hAnsi="宋体" w:cs="宋体"/>
          <w:color w:val="auto"/>
          <w:sz w:val="24"/>
          <w:highlight w:val="none"/>
        </w:rPr>
        <w:t>1.2.5.1 货物名称、品牌、规格型号、花色：</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4907EA2">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1.2.5.2 货物数量：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B1CB8E0">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1.2.5.3 货物质量：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337229B3">
      <w:pPr>
        <w:spacing w:line="360" w:lineRule="auto"/>
        <w:ind w:firstLine="482" w:firstLineChars="200"/>
        <w:rPr>
          <w:rFonts w:ascii="宋体" w:hAnsi="宋体"/>
          <w:b/>
          <w:color w:val="auto"/>
          <w:sz w:val="24"/>
          <w:highlight w:val="none"/>
        </w:rPr>
      </w:pPr>
      <w:r>
        <w:rPr>
          <w:rFonts w:ascii="宋体" w:hAnsi="宋体"/>
          <w:b/>
          <w:color w:val="auto"/>
          <w:sz w:val="24"/>
          <w:highlight w:val="none"/>
        </w:rPr>
        <w:t>1.3 价款</w:t>
      </w:r>
      <w:bookmarkEnd w:id="73"/>
      <w:bookmarkEnd w:id="74"/>
      <w:bookmarkEnd w:id="75"/>
      <w:bookmarkEnd w:id="76"/>
      <w:bookmarkEnd w:id="77"/>
    </w:p>
    <w:p w14:paraId="06C9CBE3">
      <w:pPr>
        <w:spacing w:line="360" w:lineRule="auto"/>
        <w:ind w:firstLine="480" w:firstLineChars="200"/>
        <w:rPr>
          <w:rFonts w:ascii="宋体" w:hAnsi="宋体"/>
          <w:color w:val="auto"/>
          <w:sz w:val="24"/>
          <w:highlight w:val="none"/>
        </w:rPr>
      </w:pPr>
      <w:r>
        <w:rPr>
          <w:rFonts w:hint="eastAsia" w:ascii="宋体" w:hAnsi="宋体" w:cs="宋体"/>
          <w:color w:val="auto"/>
          <w:sz w:val="24"/>
          <w:highlight w:val="none"/>
        </w:rPr>
        <w:t>本项目采用以下第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条款规定的计价方式计价。</w:t>
      </w:r>
    </w:p>
    <w:p w14:paraId="0E89CBE1">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1.3.1总价合同，</w:t>
      </w:r>
      <w:r>
        <w:rPr>
          <w:rFonts w:ascii="宋体" w:hAnsi="宋体"/>
          <w:color w:val="auto"/>
          <w:sz w:val="24"/>
          <w:highlight w:val="none"/>
        </w:rPr>
        <w:t>本合同总价</w:t>
      </w:r>
      <w:r>
        <w:rPr>
          <w:rFonts w:hint="eastAsia" w:ascii="宋体" w:hAnsi="宋体"/>
          <w:color w:val="auto"/>
          <w:sz w:val="24"/>
          <w:highlight w:val="none"/>
        </w:rPr>
        <w:t>（含税）</w:t>
      </w:r>
      <w:r>
        <w:rPr>
          <w:rFonts w:ascii="宋体" w:hAnsi="宋体"/>
          <w:color w:val="auto"/>
          <w:sz w:val="24"/>
          <w:highlight w:val="none"/>
        </w:rPr>
        <w:t>为</w:t>
      </w:r>
      <w:r>
        <w:rPr>
          <w:rFonts w:hint="eastAsia" w:ascii="宋体" w:hAnsi="宋体"/>
          <w:color w:val="auto"/>
          <w:sz w:val="24"/>
          <w:highlight w:val="none"/>
        </w:rPr>
        <w:t>：￥</w:t>
      </w:r>
      <w:r>
        <w:rPr>
          <w:rFonts w:ascii="宋体" w:hAnsi="宋体"/>
          <w:color w:val="auto"/>
          <w:sz w:val="24"/>
          <w:highlight w:val="none"/>
          <w:u w:val="single"/>
        </w:rPr>
        <w:t xml:space="preserve">       </w:t>
      </w:r>
      <w:r>
        <w:rPr>
          <w:rFonts w:ascii="宋体" w:hAnsi="宋体"/>
          <w:color w:val="auto"/>
          <w:sz w:val="24"/>
          <w:highlight w:val="none"/>
        </w:rPr>
        <w:t>元</w:t>
      </w:r>
      <w:r>
        <w:rPr>
          <w:rFonts w:hint="eastAsia" w:ascii="宋体" w:hAnsi="宋体"/>
          <w:color w:val="auto"/>
          <w:sz w:val="24"/>
          <w:highlight w:val="none"/>
        </w:rPr>
        <w:t>（大写：</w:t>
      </w:r>
      <w:r>
        <w:rPr>
          <w:rFonts w:ascii="宋体" w:hAnsi="宋体"/>
          <w:color w:val="auto"/>
          <w:sz w:val="24"/>
          <w:highlight w:val="none"/>
          <w:u w:val="single"/>
        </w:rPr>
        <w:t xml:space="preserve">      </w:t>
      </w:r>
      <w:r>
        <w:rPr>
          <w:rFonts w:hint="eastAsia" w:ascii="宋体" w:hAnsi="宋体"/>
          <w:color w:val="auto"/>
          <w:sz w:val="24"/>
          <w:highlight w:val="none"/>
        </w:rPr>
        <w:t>元人民币）</w:t>
      </w:r>
      <w:r>
        <w:rPr>
          <w:rFonts w:ascii="宋体" w:hAnsi="宋体"/>
          <w:color w:val="auto"/>
          <w:sz w:val="24"/>
          <w:highlight w:val="none"/>
        </w:rPr>
        <w:t>。</w:t>
      </w:r>
    </w:p>
    <w:p w14:paraId="09B686F1">
      <w:pPr>
        <w:spacing w:line="360" w:lineRule="auto"/>
        <w:ind w:firstLine="480" w:firstLineChars="200"/>
        <w:rPr>
          <w:rFonts w:ascii="宋体" w:hAnsi="宋体"/>
          <w:color w:val="auto"/>
          <w:sz w:val="24"/>
          <w:highlight w:val="none"/>
          <w:u w:val="single"/>
        </w:rPr>
      </w:pPr>
      <w:r>
        <w:rPr>
          <w:rFonts w:ascii="宋体" w:hAnsi="宋体"/>
          <w:color w:val="auto"/>
          <w:sz w:val="24"/>
          <w:highlight w:val="none"/>
        </w:rPr>
        <w:t>分项价格：</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15462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7E094C88">
            <w:pPr>
              <w:pStyle w:val="624"/>
              <w:spacing w:line="360" w:lineRule="auto"/>
              <w:jc w:val="center"/>
              <w:rPr>
                <w:rFonts w:hAnsi="宋体"/>
                <w:color w:val="auto"/>
                <w:sz w:val="24"/>
                <w:szCs w:val="24"/>
                <w:highlight w:val="none"/>
              </w:rPr>
            </w:pPr>
            <w:r>
              <w:rPr>
                <w:rFonts w:hAnsi="宋体"/>
                <w:color w:val="auto"/>
                <w:sz w:val="24"/>
                <w:szCs w:val="24"/>
                <w:highlight w:val="none"/>
              </w:rPr>
              <w:t>序号</w:t>
            </w:r>
          </w:p>
        </w:tc>
        <w:tc>
          <w:tcPr>
            <w:tcW w:w="3402" w:type="dxa"/>
            <w:vAlign w:val="center"/>
          </w:tcPr>
          <w:p w14:paraId="485963DA">
            <w:pPr>
              <w:pStyle w:val="624"/>
              <w:spacing w:line="360" w:lineRule="auto"/>
              <w:ind w:firstLine="200"/>
              <w:jc w:val="center"/>
              <w:rPr>
                <w:rFonts w:hAnsi="宋体"/>
                <w:color w:val="auto"/>
                <w:sz w:val="24"/>
                <w:szCs w:val="24"/>
                <w:highlight w:val="none"/>
              </w:rPr>
            </w:pPr>
            <w:r>
              <w:rPr>
                <w:rFonts w:hint="eastAsia" w:hAnsi="宋体"/>
                <w:color w:val="auto"/>
                <w:sz w:val="24"/>
                <w:szCs w:val="24"/>
                <w:highlight w:val="none"/>
              </w:rPr>
              <w:t>分项名称</w:t>
            </w:r>
          </w:p>
        </w:tc>
        <w:tc>
          <w:tcPr>
            <w:tcW w:w="2552" w:type="dxa"/>
            <w:vAlign w:val="center"/>
          </w:tcPr>
          <w:p w14:paraId="1343B092">
            <w:pPr>
              <w:pStyle w:val="624"/>
              <w:spacing w:line="360" w:lineRule="auto"/>
              <w:jc w:val="center"/>
              <w:rPr>
                <w:rFonts w:hAnsi="宋体"/>
                <w:color w:val="auto"/>
                <w:sz w:val="24"/>
                <w:szCs w:val="24"/>
                <w:highlight w:val="none"/>
              </w:rPr>
            </w:pPr>
            <w:r>
              <w:rPr>
                <w:rFonts w:hAnsi="宋体"/>
                <w:color w:val="auto"/>
                <w:sz w:val="24"/>
                <w:szCs w:val="24"/>
                <w:highlight w:val="none"/>
              </w:rPr>
              <w:t>分项价格</w:t>
            </w:r>
          </w:p>
        </w:tc>
      </w:tr>
      <w:tr w14:paraId="1611A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FEEA700">
            <w:pPr>
              <w:pStyle w:val="624"/>
              <w:spacing w:line="360" w:lineRule="auto"/>
              <w:ind w:firstLine="200"/>
              <w:jc w:val="center"/>
              <w:rPr>
                <w:rFonts w:hAnsi="宋体"/>
                <w:color w:val="auto"/>
                <w:sz w:val="24"/>
                <w:szCs w:val="24"/>
                <w:highlight w:val="none"/>
              </w:rPr>
            </w:pPr>
          </w:p>
        </w:tc>
        <w:tc>
          <w:tcPr>
            <w:tcW w:w="3402" w:type="dxa"/>
            <w:vAlign w:val="center"/>
          </w:tcPr>
          <w:p w14:paraId="4C9D338C">
            <w:pPr>
              <w:pStyle w:val="624"/>
              <w:spacing w:line="360" w:lineRule="auto"/>
              <w:ind w:firstLine="200"/>
              <w:jc w:val="center"/>
              <w:rPr>
                <w:rFonts w:hAnsi="宋体"/>
                <w:color w:val="auto"/>
                <w:sz w:val="24"/>
                <w:szCs w:val="24"/>
                <w:highlight w:val="none"/>
              </w:rPr>
            </w:pPr>
          </w:p>
        </w:tc>
        <w:tc>
          <w:tcPr>
            <w:tcW w:w="2552" w:type="dxa"/>
            <w:vAlign w:val="center"/>
          </w:tcPr>
          <w:p w14:paraId="600E1384">
            <w:pPr>
              <w:pStyle w:val="624"/>
              <w:spacing w:line="360" w:lineRule="auto"/>
              <w:ind w:firstLine="200"/>
              <w:jc w:val="center"/>
              <w:rPr>
                <w:rFonts w:hAnsi="宋体"/>
                <w:color w:val="auto"/>
                <w:sz w:val="24"/>
                <w:szCs w:val="24"/>
                <w:highlight w:val="none"/>
              </w:rPr>
            </w:pPr>
          </w:p>
        </w:tc>
      </w:tr>
      <w:tr w14:paraId="1BD7C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0C9C40A">
            <w:pPr>
              <w:pStyle w:val="624"/>
              <w:spacing w:line="360" w:lineRule="auto"/>
              <w:ind w:firstLine="200"/>
              <w:jc w:val="center"/>
              <w:rPr>
                <w:rFonts w:hAnsi="宋体"/>
                <w:color w:val="auto"/>
                <w:sz w:val="24"/>
                <w:szCs w:val="24"/>
                <w:highlight w:val="none"/>
              </w:rPr>
            </w:pPr>
          </w:p>
        </w:tc>
        <w:tc>
          <w:tcPr>
            <w:tcW w:w="3402" w:type="dxa"/>
            <w:vAlign w:val="center"/>
          </w:tcPr>
          <w:p w14:paraId="4B534385">
            <w:pPr>
              <w:pStyle w:val="624"/>
              <w:spacing w:line="360" w:lineRule="auto"/>
              <w:ind w:firstLine="200"/>
              <w:jc w:val="center"/>
              <w:rPr>
                <w:rFonts w:hAnsi="宋体"/>
                <w:color w:val="auto"/>
                <w:sz w:val="24"/>
                <w:szCs w:val="24"/>
                <w:highlight w:val="none"/>
              </w:rPr>
            </w:pPr>
          </w:p>
        </w:tc>
        <w:tc>
          <w:tcPr>
            <w:tcW w:w="2552" w:type="dxa"/>
            <w:vAlign w:val="center"/>
          </w:tcPr>
          <w:p w14:paraId="4652761F">
            <w:pPr>
              <w:pStyle w:val="624"/>
              <w:spacing w:line="360" w:lineRule="auto"/>
              <w:ind w:firstLine="200"/>
              <w:jc w:val="center"/>
              <w:rPr>
                <w:rFonts w:hAnsi="宋体"/>
                <w:color w:val="auto"/>
                <w:sz w:val="24"/>
                <w:szCs w:val="24"/>
                <w:highlight w:val="none"/>
              </w:rPr>
            </w:pPr>
          </w:p>
        </w:tc>
      </w:tr>
      <w:tr w14:paraId="4845F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43357A3A">
            <w:pPr>
              <w:pStyle w:val="624"/>
              <w:spacing w:line="360" w:lineRule="auto"/>
              <w:ind w:firstLine="200"/>
              <w:jc w:val="center"/>
              <w:rPr>
                <w:rFonts w:hAnsi="宋体"/>
                <w:color w:val="auto"/>
                <w:sz w:val="24"/>
                <w:szCs w:val="24"/>
                <w:highlight w:val="none"/>
              </w:rPr>
            </w:pPr>
          </w:p>
        </w:tc>
        <w:tc>
          <w:tcPr>
            <w:tcW w:w="3402" w:type="dxa"/>
            <w:vAlign w:val="center"/>
          </w:tcPr>
          <w:p w14:paraId="0ABD67F9">
            <w:pPr>
              <w:pStyle w:val="624"/>
              <w:spacing w:line="360" w:lineRule="auto"/>
              <w:ind w:firstLine="200"/>
              <w:jc w:val="center"/>
              <w:rPr>
                <w:rFonts w:hAnsi="宋体"/>
                <w:color w:val="auto"/>
                <w:sz w:val="24"/>
                <w:szCs w:val="24"/>
                <w:highlight w:val="none"/>
              </w:rPr>
            </w:pPr>
          </w:p>
        </w:tc>
        <w:tc>
          <w:tcPr>
            <w:tcW w:w="2552" w:type="dxa"/>
            <w:vAlign w:val="center"/>
          </w:tcPr>
          <w:p w14:paraId="09AFF628">
            <w:pPr>
              <w:pStyle w:val="624"/>
              <w:spacing w:line="360" w:lineRule="auto"/>
              <w:ind w:firstLine="200"/>
              <w:jc w:val="center"/>
              <w:rPr>
                <w:rFonts w:hAnsi="宋体"/>
                <w:color w:val="auto"/>
                <w:sz w:val="24"/>
                <w:szCs w:val="24"/>
                <w:highlight w:val="none"/>
              </w:rPr>
            </w:pPr>
          </w:p>
        </w:tc>
      </w:tr>
      <w:tr w14:paraId="49108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315DB230">
            <w:pPr>
              <w:pStyle w:val="624"/>
              <w:spacing w:line="360" w:lineRule="auto"/>
              <w:ind w:firstLine="200"/>
              <w:jc w:val="center"/>
              <w:rPr>
                <w:rFonts w:hAnsi="宋体"/>
                <w:color w:val="auto"/>
                <w:sz w:val="24"/>
                <w:szCs w:val="24"/>
                <w:highlight w:val="none"/>
              </w:rPr>
            </w:pPr>
          </w:p>
        </w:tc>
        <w:tc>
          <w:tcPr>
            <w:tcW w:w="3402" w:type="dxa"/>
            <w:vAlign w:val="center"/>
          </w:tcPr>
          <w:p w14:paraId="3F8B094C">
            <w:pPr>
              <w:pStyle w:val="624"/>
              <w:spacing w:line="360" w:lineRule="auto"/>
              <w:ind w:firstLine="200"/>
              <w:jc w:val="center"/>
              <w:rPr>
                <w:rFonts w:hAnsi="宋体"/>
                <w:color w:val="auto"/>
                <w:sz w:val="24"/>
                <w:szCs w:val="24"/>
                <w:highlight w:val="none"/>
              </w:rPr>
            </w:pPr>
          </w:p>
        </w:tc>
        <w:tc>
          <w:tcPr>
            <w:tcW w:w="2552" w:type="dxa"/>
            <w:vAlign w:val="center"/>
          </w:tcPr>
          <w:p w14:paraId="197D2CDD">
            <w:pPr>
              <w:pStyle w:val="624"/>
              <w:spacing w:line="360" w:lineRule="auto"/>
              <w:ind w:firstLine="200"/>
              <w:jc w:val="center"/>
              <w:rPr>
                <w:rFonts w:hAnsi="宋体"/>
                <w:color w:val="auto"/>
                <w:sz w:val="24"/>
                <w:szCs w:val="24"/>
                <w:highlight w:val="none"/>
              </w:rPr>
            </w:pPr>
          </w:p>
        </w:tc>
      </w:tr>
      <w:tr w14:paraId="01140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1482274D">
            <w:pPr>
              <w:pStyle w:val="624"/>
              <w:spacing w:line="360" w:lineRule="auto"/>
              <w:ind w:firstLine="200"/>
              <w:jc w:val="center"/>
              <w:rPr>
                <w:rFonts w:hAnsi="宋体"/>
                <w:color w:val="auto"/>
                <w:sz w:val="24"/>
                <w:szCs w:val="24"/>
                <w:highlight w:val="none"/>
              </w:rPr>
            </w:pPr>
            <w:r>
              <w:rPr>
                <w:rFonts w:hint="eastAsia" w:hAnsi="宋体"/>
                <w:color w:val="auto"/>
                <w:sz w:val="24"/>
                <w:szCs w:val="24"/>
                <w:highlight w:val="none"/>
              </w:rPr>
              <w:t>总价</w:t>
            </w:r>
          </w:p>
        </w:tc>
        <w:tc>
          <w:tcPr>
            <w:tcW w:w="2552" w:type="dxa"/>
            <w:vAlign w:val="center"/>
          </w:tcPr>
          <w:p w14:paraId="1F5481FF">
            <w:pPr>
              <w:pStyle w:val="624"/>
              <w:spacing w:line="360" w:lineRule="auto"/>
              <w:ind w:firstLine="200"/>
              <w:jc w:val="center"/>
              <w:rPr>
                <w:rFonts w:hAnsi="宋体"/>
                <w:color w:val="auto"/>
                <w:sz w:val="24"/>
                <w:szCs w:val="24"/>
                <w:highlight w:val="none"/>
              </w:rPr>
            </w:pPr>
          </w:p>
        </w:tc>
      </w:tr>
    </w:tbl>
    <w:p w14:paraId="37B501F2">
      <w:pPr>
        <w:spacing w:line="360" w:lineRule="auto"/>
        <w:ind w:firstLine="480" w:firstLineChars="200"/>
        <w:rPr>
          <w:rFonts w:hint="eastAsia" w:ascii="宋体" w:hAnsi="宋体"/>
          <w:color w:val="auto"/>
          <w:sz w:val="24"/>
          <w:highlight w:val="none"/>
        </w:rPr>
      </w:pPr>
      <w:bookmarkStart w:id="78" w:name="_Toc14993"/>
      <w:bookmarkStart w:id="79" w:name="_Toc3654"/>
      <w:bookmarkStart w:id="80" w:name="_Toc30158"/>
      <w:bookmarkStart w:id="81" w:name="_Toc26916"/>
      <w:bookmarkStart w:id="82" w:name="_Toc30506"/>
      <w:r>
        <w:rPr>
          <w:rFonts w:hint="eastAsia" w:ascii="宋体" w:hAnsi="宋体"/>
          <w:bCs/>
          <w:color w:val="auto"/>
          <w:sz w:val="24"/>
          <w:highlight w:val="none"/>
        </w:rPr>
        <w:t>1.3.2单价合同，本合同单价（含税）标准为：</w:t>
      </w:r>
      <w:r>
        <w:rPr>
          <w:rFonts w:hint="eastAsia" w:ascii="宋体" w:hAnsi="宋体"/>
          <w:bCs/>
          <w:color w:val="auto"/>
          <w:sz w:val="24"/>
          <w:highlight w:val="none"/>
          <w:u w:val="single"/>
        </w:rPr>
        <w:t xml:space="preserve">                   </w:t>
      </w:r>
      <w:r>
        <w:rPr>
          <w:rFonts w:ascii="宋体" w:hAnsi="宋体"/>
          <w:color w:val="auto"/>
          <w:sz w:val="24"/>
          <w:highlight w:val="none"/>
        </w:rPr>
        <w:t>。</w:t>
      </w:r>
      <w:r>
        <w:rPr>
          <w:rFonts w:hint="eastAsia" w:ascii="宋体" w:hAnsi="宋体"/>
          <w:color w:val="auto"/>
          <w:sz w:val="24"/>
          <w:highlight w:val="none"/>
        </w:rPr>
        <w:t>服务工作量的计量方式为：</w:t>
      </w:r>
      <w:r>
        <w:rPr>
          <w:rFonts w:hint="eastAsia" w:ascii="宋体" w:hAnsi="宋体"/>
          <w:bCs/>
          <w:color w:val="auto"/>
          <w:sz w:val="24"/>
          <w:highlight w:val="none"/>
          <w:u w:val="single"/>
        </w:rPr>
        <w:t xml:space="preserve">       </w:t>
      </w:r>
      <w:r>
        <w:rPr>
          <w:rFonts w:hint="eastAsia" w:ascii="宋体" w:hAnsi="宋体" w:cs="宋体"/>
          <w:b/>
          <w:color w:val="auto"/>
          <w:sz w:val="24"/>
          <w:highlight w:val="none"/>
          <w:u w:val="single"/>
        </w:rPr>
        <w:t>合同专用条款</w:t>
      </w:r>
      <w:r>
        <w:rPr>
          <w:rFonts w:hint="eastAsia" w:ascii="宋体" w:hAnsi="宋体"/>
          <w:bCs/>
          <w:color w:val="auto"/>
          <w:sz w:val="24"/>
          <w:highlight w:val="none"/>
          <w:u w:val="single"/>
        </w:rPr>
        <w:t xml:space="preserve">     </w:t>
      </w:r>
      <w:r>
        <w:rPr>
          <w:rFonts w:ascii="宋体" w:hAnsi="宋体"/>
          <w:color w:val="auto"/>
          <w:sz w:val="24"/>
          <w:highlight w:val="none"/>
        </w:rPr>
        <w:t>。</w:t>
      </w:r>
      <w:r>
        <w:rPr>
          <w:rFonts w:hint="eastAsia" w:ascii="宋体" w:hAnsi="宋体"/>
          <w:color w:val="auto"/>
          <w:sz w:val="24"/>
          <w:highlight w:val="none"/>
        </w:rPr>
        <w:t>单价合同，在合同履行期间内，根据实际完成的工作量据实结算，但结算总价上限不得超过预算金额或者双方确定的金额￥</w:t>
      </w:r>
      <w:r>
        <w:rPr>
          <w:rFonts w:ascii="宋体" w:hAnsi="宋体"/>
          <w:color w:val="auto"/>
          <w:sz w:val="24"/>
          <w:highlight w:val="none"/>
          <w:u w:val="single"/>
        </w:rPr>
        <w:t xml:space="preserve">           </w:t>
      </w:r>
      <w:r>
        <w:rPr>
          <w:rFonts w:ascii="宋体" w:hAnsi="宋体"/>
          <w:color w:val="auto"/>
          <w:sz w:val="24"/>
          <w:highlight w:val="none"/>
        </w:rPr>
        <w:t>元</w:t>
      </w:r>
      <w:r>
        <w:rPr>
          <w:rFonts w:hint="eastAsia" w:ascii="宋体" w:hAnsi="宋体"/>
          <w:color w:val="auto"/>
          <w:sz w:val="24"/>
          <w:highlight w:val="none"/>
        </w:rPr>
        <w:t>（大写：</w:t>
      </w:r>
      <w:r>
        <w:rPr>
          <w:rFonts w:ascii="宋体" w:hAnsi="宋体"/>
          <w:color w:val="auto"/>
          <w:sz w:val="24"/>
          <w:highlight w:val="none"/>
          <w:u w:val="single"/>
        </w:rPr>
        <w:t xml:space="preserve">                 </w:t>
      </w:r>
      <w:r>
        <w:rPr>
          <w:rFonts w:hint="eastAsia" w:ascii="宋体" w:hAnsi="宋体"/>
          <w:color w:val="auto"/>
          <w:sz w:val="24"/>
          <w:highlight w:val="none"/>
        </w:rPr>
        <w:t>元人民币）。</w:t>
      </w:r>
    </w:p>
    <w:tbl>
      <w:tblPr>
        <w:tblStyle w:val="62"/>
        <w:tblW w:w="8903" w:type="dxa"/>
        <w:tblInd w:w="15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8"/>
        <w:gridCol w:w="681"/>
        <w:gridCol w:w="1084"/>
        <w:gridCol w:w="3271"/>
        <w:gridCol w:w="1168"/>
        <w:gridCol w:w="1125"/>
        <w:gridCol w:w="846"/>
      </w:tblGrid>
      <w:tr w14:paraId="4D0C8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6" w:hRule="atLeast"/>
        </w:trPr>
        <w:tc>
          <w:tcPr>
            <w:tcW w:w="728" w:type="dxa"/>
            <w:vMerge w:val="restart"/>
            <w:tcBorders>
              <w:top w:val="single" w:color="000000" w:sz="4" w:space="0"/>
              <w:left w:val="single" w:color="000000" w:sz="4" w:space="0"/>
              <w:bottom w:val="single" w:color="000000" w:sz="4" w:space="0"/>
              <w:right w:val="single" w:color="000000" w:sz="4" w:space="0"/>
            </w:tcBorders>
            <w:noWrap w:val="0"/>
            <w:vAlign w:val="center"/>
          </w:tcPr>
          <w:p w14:paraId="08C951ED">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标项号</w:t>
            </w:r>
          </w:p>
        </w:tc>
        <w:tc>
          <w:tcPr>
            <w:tcW w:w="681" w:type="dxa"/>
            <w:vMerge w:val="restart"/>
            <w:tcBorders>
              <w:top w:val="single" w:color="000000" w:sz="4" w:space="0"/>
              <w:left w:val="single" w:color="000000" w:sz="4" w:space="0"/>
              <w:bottom w:val="single" w:color="000000" w:sz="4" w:space="0"/>
              <w:right w:val="single" w:color="000000" w:sz="4" w:space="0"/>
            </w:tcBorders>
            <w:noWrap w:val="0"/>
            <w:vAlign w:val="center"/>
          </w:tcPr>
          <w:p w14:paraId="4575FA99">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产品类别</w:t>
            </w:r>
          </w:p>
        </w:tc>
        <w:tc>
          <w:tcPr>
            <w:tcW w:w="1084" w:type="dxa"/>
            <w:vMerge w:val="restart"/>
            <w:tcBorders>
              <w:top w:val="single" w:color="000000" w:sz="4" w:space="0"/>
              <w:left w:val="single" w:color="000000" w:sz="4" w:space="0"/>
              <w:bottom w:val="single" w:color="000000" w:sz="4" w:space="0"/>
              <w:right w:val="single" w:color="000000" w:sz="4" w:space="0"/>
            </w:tcBorders>
            <w:noWrap w:val="0"/>
            <w:vAlign w:val="center"/>
          </w:tcPr>
          <w:p w14:paraId="06C3E860">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检测类别</w:t>
            </w:r>
          </w:p>
        </w:tc>
        <w:tc>
          <w:tcPr>
            <w:tcW w:w="3271" w:type="dxa"/>
            <w:vMerge w:val="restart"/>
            <w:tcBorders>
              <w:top w:val="single" w:color="000000" w:sz="4" w:space="0"/>
              <w:left w:val="single" w:color="000000" w:sz="4" w:space="0"/>
              <w:bottom w:val="single" w:color="000000" w:sz="4" w:space="0"/>
              <w:right w:val="single" w:color="000000" w:sz="4" w:space="0"/>
            </w:tcBorders>
            <w:noWrap w:val="0"/>
            <w:vAlign w:val="center"/>
          </w:tcPr>
          <w:p w14:paraId="6BF72B52">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检测项目</w:t>
            </w:r>
          </w:p>
        </w:tc>
        <w:tc>
          <w:tcPr>
            <w:tcW w:w="1168" w:type="dxa"/>
            <w:vMerge w:val="restart"/>
            <w:tcBorders>
              <w:top w:val="single" w:color="000000" w:sz="4" w:space="0"/>
              <w:left w:val="single" w:color="000000" w:sz="4" w:space="0"/>
              <w:bottom w:val="single" w:color="000000" w:sz="4" w:space="0"/>
              <w:right w:val="single" w:color="000000" w:sz="4" w:space="0"/>
            </w:tcBorders>
            <w:noWrap w:val="0"/>
            <w:vAlign w:val="center"/>
          </w:tcPr>
          <w:p w14:paraId="5688BBC7">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批次数量</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1BB08E0">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单价</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02814FCB">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小计</w:t>
            </w:r>
          </w:p>
        </w:tc>
      </w:tr>
      <w:tr w14:paraId="6485F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trPr>
        <w:tc>
          <w:tcPr>
            <w:tcW w:w="7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796555">
            <w:pPr>
              <w:jc w:val="center"/>
              <w:rPr>
                <w:rFonts w:hint="eastAsia" w:ascii="宋体" w:hAnsi="宋体" w:eastAsia="宋体" w:cs="宋体"/>
                <w:i w:val="0"/>
                <w:color w:val="auto"/>
                <w:sz w:val="21"/>
                <w:szCs w:val="21"/>
                <w:u w:val="none"/>
              </w:rPr>
            </w:pPr>
          </w:p>
        </w:tc>
        <w:tc>
          <w:tcPr>
            <w:tcW w:w="6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787871">
            <w:pPr>
              <w:jc w:val="center"/>
              <w:rPr>
                <w:rFonts w:hint="eastAsia" w:ascii="宋体" w:hAnsi="宋体" w:eastAsia="宋体" w:cs="宋体"/>
                <w:i w:val="0"/>
                <w:color w:val="auto"/>
                <w:sz w:val="21"/>
                <w:szCs w:val="21"/>
                <w:u w:val="none"/>
              </w:rPr>
            </w:pPr>
          </w:p>
        </w:tc>
        <w:tc>
          <w:tcPr>
            <w:tcW w:w="108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837693">
            <w:pPr>
              <w:jc w:val="center"/>
              <w:rPr>
                <w:rFonts w:hint="eastAsia" w:ascii="宋体" w:hAnsi="宋体" w:eastAsia="宋体" w:cs="宋体"/>
                <w:i w:val="0"/>
                <w:color w:val="auto"/>
                <w:sz w:val="21"/>
                <w:szCs w:val="21"/>
                <w:u w:val="none"/>
              </w:rPr>
            </w:pPr>
          </w:p>
        </w:tc>
        <w:tc>
          <w:tcPr>
            <w:tcW w:w="3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CD44B7">
            <w:pPr>
              <w:jc w:val="center"/>
              <w:rPr>
                <w:rFonts w:hint="eastAsia" w:ascii="宋体" w:hAnsi="宋体" w:eastAsia="宋体" w:cs="宋体"/>
                <w:i w:val="0"/>
                <w:color w:val="auto"/>
                <w:sz w:val="21"/>
                <w:szCs w:val="21"/>
                <w:u w:val="none"/>
              </w:rPr>
            </w:pPr>
          </w:p>
        </w:tc>
        <w:tc>
          <w:tcPr>
            <w:tcW w:w="116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2F5C1A">
            <w:pPr>
              <w:jc w:val="center"/>
              <w:rPr>
                <w:rFonts w:hint="eastAsia" w:ascii="宋体" w:hAnsi="宋体" w:eastAsia="宋体" w:cs="宋体"/>
                <w:i w:val="0"/>
                <w:color w:val="auto"/>
                <w:sz w:val="21"/>
                <w:szCs w:val="21"/>
                <w:u w:val="none"/>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A989B84">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(元）</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5BE85610">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(元）</w:t>
            </w:r>
          </w:p>
        </w:tc>
      </w:tr>
      <w:tr w14:paraId="7051E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1" w:hRule="atLeast"/>
        </w:trPr>
        <w:tc>
          <w:tcPr>
            <w:tcW w:w="728" w:type="dxa"/>
            <w:vMerge w:val="restart"/>
            <w:tcBorders>
              <w:top w:val="single" w:color="000000" w:sz="4" w:space="0"/>
              <w:left w:val="single" w:color="000000" w:sz="4" w:space="0"/>
              <w:bottom w:val="single" w:color="000000" w:sz="4" w:space="0"/>
              <w:right w:val="single" w:color="000000" w:sz="4" w:space="0"/>
            </w:tcBorders>
            <w:noWrap w:val="0"/>
            <w:vAlign w:val="center"/>
          </w:tcPr>
          <w:p w14:paraId="6629CE96">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Ⅰ</w:t>
            </w:r>
          </w:p>
        </w:tc>
        <w:tc>
          <w:tcPr>
            <w:tcW w:w="681" w:type="dxa"/>
            <w:tcBorders>
              <w:top w:val="single" w:color="000000" w:sz="4" w:space="0"/>
              <w:left w:val="single" w:color="000000" w:sz="4" w:space="0"/>
              <w:bottom w:val="single" w:color="000000" w:sz="4" w:space="0"/>
              <w:right w:val="single" w:color="000000" w:sz="4" w:space="0"/>
            </w:tcBorders>
            <w:noWrap w:val="0"/>
            <w:vAlign w:val="center"/>
          </w:tcPr>
          <w:p w14:paraId="0705CEE1">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1084" w:type="dxa"/>
            <w:tcBorders>
              <w:top w:val="single" w:color="000000" w:sz="4" w:space="0"/>
              <w:left w:val="single" w:color="000000" w:sz="4" w:space="0"/>
              <w:bottom w:val="single" w:color="000000" w:sz="4" w:space="0"/>
              <w:right w:val="single" w:color="000000" w:sz="4" w:space="0"/>
            </w:tcBorders>
            <w:noWrap w:val="0"/>
            <w:vAlign w:val="center"/>
          </w:tcPr>
          <w:p w14:paraId="2F6DC317">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3271" w:type="dxa"/>
            <w:tcBorders>
              <w:top w:val="single" w:color="000000" w:sz="4" w:space="0"/>
              <w:left w:val="single" w:color="000000" w:sz="4" w:space="0"/>
              <w:bottom w:val="single" w:color="000000" w:sz="4" w:space="0"/>
              <w:right w:val="single" w:color="000000" w:sz="4" w:space="0"/>
            </w:tcBorders>
            <w:noWrap w:val="0"/>
            <w:vAlign w:val="center"/>
          </w:tcPr>
          <w:p w14:paraId="7DE8A7CB">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67CD3B53">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460380F">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37A4A7B3">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r>
      <w:tr w14:paraId="6E323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6" w:hRule="atLeast"/>
        </w:trPr>
        <w:tc>
          <w:tcPr>
            <w:tcW w:w="7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9AFE50">
            <w:pPr>
              <w:jc w:val="center"/>
              <w:rPr>
                <w:rFonts w:hint="eastAsia" w:ascii="宋体" w:hAnsi="宋体" w:eastAsia="宋体" w:cs="宋体"/>
                <w:i w:val="0"/>
                <w:color w:val="auto"/>
                <w:sz w:val="21"/>
                <w:szCs w:val="21"/>
                <w:u w:val="none"/>
              </w:rPr>
            </w:pPr>
          </w:p>
        </w:tc>
        <w:tc>
          <w:tcPr>
            <w:tcW w:w="681" w:type="dxa"/>
            <w:tcBorders>
              <w:top w:val="single" w:color="000000" w:sz="4" w:space="0"/>
              <w:left w:val="single" w:color="000000" w:sz="4" w:space="0"/>
              <w:bottom w:val="single" w:color="000000" w:sz="4" w:space="0"/>
              <w:right w:val="single" w:color="000000" w:sz="4" w:space="0"/>
            </w:tcBorders>
            <w:noWrap w:val="0"/>
            <w:vAlign w:val="center"/>
          </w:tcPr>
          <w:p w14:paraId="6E65EA92">
            <w:pPr>
              <w:jc w:val="center"/>
              <w:rPr>
                <w:rFonts w:hint="eastAsia" w:ascii="宋体" w:hAnsi="宋体" w:eastAsia="宋体" w:cs="宋体"/>
                <w:i w:val="0"/>
                <w:color w:val="auto"/>
                <w:sz w:val="21"/>
                <w:szCs w:val="21"/>
                <w:u w:val="none"/>
              </w:rPr>
            </w:pPr>
          </w:p>
        </w:tc>
        <w:tc>
          <w:tcPr>
            <w:tcW w:w="1084" w:type="dxa"/>
            <w:tcBorders>
              <w:top w:val="single" w:color="000000" w:sz="4" w:space="0"/>
              <w:left w:val="single" w:color="000000" w:sz="4" w:space="0"/>
              <w:bottom w:val="single" w:color="000000" w:sz="4" w:space="0"/>
              <w:right w:val="single" w:color="000000" w:sz="4" w:space="0"/>
            </w:tcBorders>
            <w:noWrap w:val="0"/>
            <w:vAlign w:val="center"/>
          </w:tcPr>
          <w:p w14:paraId="4F89C8DF">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3271" w:type="dxa"/>
            <w:tcBorders>
              <w:top w:val="single" w:color="000000" w:sz="4" w:space="0"/>
              <w:left w:val="single" w:color="000000" w:sz="4" w:space="0"/>
              <w:bottom w:val="single" w:color="000000" w:sz="4" w:space="0"/>
              <w:right w:val="single" w:color="000000" w:sz="4" w:space="0"/>
            </w:tcBorders>
            <w:noWrap w:val="0"/>
            <w:vAlign w:val="center"/>
          </w:tcPr>
          <w:p w14:paraId="08CA5FE3">
            <w:pPr>
              <w:jc w:val="center"/>
              <w:rPr>
                <w:rFonts w:hint="eastAsia" w:ascii="宋体" w:hAnsi="宋体" w:eastAsia="宋体" w:cs="宋体"/>
                <w:i w:val="0"/>
                <w:color w:val="auto"/>
                <w:sz w:val="21"/>
                <w:szCs w:val="21"/>
                <w:u w:val="none"/>
              </w:rPr>
            </w:pP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32F96FFF">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6C3BE14">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17E48F28">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r>
    </w:tbl>
    <w:p w14:paraId="66C0FA32">
      <w:pPr>
        <w:spacing w:line="360" w:lineRule="auto"/>
        <w:ind w:firstLine="480" w:firstLineChars="200"/>
        <w:rPr>
          <w:rFonts w:hint="eastAsia" w:ascii="宋体" w:hAnsi="宋体"/>
          <w:color w:val="auto"/>
          <w:sz w:val="24"/>
          <w:highlight w:val="none"/>
        </w:rPr>
      </w:pPr>
    </w:p>
    <w:p w14:paraId="5FC0DF52">
      <w:pPr>
        <w:pStyle w:val="634"/>
        <w:rPr>
          <w:color w:val="auto"/>
          <w:highlight w:val="none"/>
        </w:rPr>
      </w:pPr>
      <w:r>
        <w:rPr>
          <w:rFonts w:hint="eastAsia"/>
          <w:color w:val="auto"/>
          <w:highlight w:val="none"/>
        </w:rPr>
        <w:t>1.3.3其他计价方式：                   。</w:t>
      </w:r>
    </w:p>
    <w:bookmarkEnd w:id="78"/>
    <w:bookmarkEnd w:id="79"/>
    <w:bookmarkEnd w:id="80"/>
    <w:bookmarkEnd w:id="81"/>
    <w:bookmarkEnd w:id="82"/>
    <w:p w14:paraId="46608A0B">
      <w:pPr>
        <w:pStyle w:val="632"/>
        <w:spacing w:before="0" w:beforeAutospacing="0" w:after="0" w:afterAutospacing="0" w:line="360" w:lineRule="auto"/>
        <w:ind w:firstLine="480"/>
        <w:rPr>
          <w:b/>
          <w:color w:val="auto"/>
          <w:highlight w:val="none"/>
        </w:rPr>
      </w:pPr>
      <w:bookmarkStart w:id="83" w:name="_Toc10340"/>
      <w:bookmarkStart w:id="84" w:name="_Toc1814"/>
      <w:bookmarkStart w:id="85" w:name="_Toc22618"/>
      <w:bookmarkStart w:id="86" w:name="_Toc3625"/>
      <w:bookmarkStart w:id="87" w:name="_Toc31421"/>
      <w:bookmarkStart w:id="88" w:name="_Toc8772"/>
      <w:bookmarkStart w:id="89" w:name="_Toc11108"/>
      <w:bookmarkStart w:id="90" w:name="_Toc4760"/>
      <w:r>
        <w:rPr>
          <w:rFonts w:hint="eastAsia"/>
          <w:b/>
          <w:color w:val="auto"/>
          <w:highlight w:val="none"/>
        </w:rPr>
        <w:t>1.4履约保证金</w:t>
      </w:r>
    </w:p>
    <w:p w14:paraId="36841F8E">
      <w:pPr>
        <w:pStyle w:val="632"/>
        <w:spacing w:before="0" w:beforeAutospacing="0" w:after="0" w:afterAutospacing="0" w:line="360" w:lineRule="auto"/>
        <w:ind w:firstLine="480"/>
        <w:rPr>
          <w:color w:val="auto"/>
          <w:highlight w:val="none"/>
        </w:rPr>
      </w:pPr>
      <w:r>
        <w:rPr>
          <w:rFonts w:hint="eastAsia"/>
          <w:color w:val="auto"/>
          <w:highlight w:val="none"/>
        </w:rPr>
        <w:t>乙方</w:t>
      </w:r>
      <w:r>
        <w:rPr>
          <w:rFonts w:hint="eastAsia"/>
          <w:color w:val="auto"/>
          <w:highlight w:val="none"/>
          <w:u w:val="single"/>
        </w:rPr>
        <w:t xml:space="preserve"> </w:t>
      </w:r>
      <w:r>
        <w:rPr>
          <w:rFonts w:hint="eastAsia"/>
          <w:color w:val="auto"/>
          <w:highlight w:val="none"/>
          <w:u w:val="single"/>
          <w:lang w:val="en-US" w:eastAsia="zh-CN"/>
        </w:rPr>
        <w:t>否</w:t>
      </w:r>
      <w:r>
        <w:rPr>
          <w:rFonts w:hint="eastAsia"/>
          <w:color w:val="auto"/>
          <w:highlight w:val="none"/>
          <w:u w:val="single"/>
        </w:rPr>
        <w:t xml:space="preserve"> </w:t>
      </w:r>
      <w:r>
        <w:rPr>
          <w:rFonts w:hint="eastAsia"/>
          <w:color w:val="auto"/>
          <w:highlight w:val="none"/>
        </w:rPr>
        <w:t>（是</w:t>
      </w:r>
      <w:r>
        <w:rPr>
          <w:rFonts w:hint="eastAsia" w:ascii="仿宋" w:hAnsi="仿宋" w:eastAsia="仿宋" w:cs="仿宋"/>
          <w:color w:val="auto"/>
          <w:highlight w:val="none"/>
        </w:rPr>
        <w:t>/</w:t>
      </w:r>
      <w:r>
        <w:rPr>
          <w:rFonts w:hint="eastAsia"/>
          <w:color w:val="auto"/>
          <w:highlight w:val="none"/>
        </w:rPr>
        <w:t>否）需要支付履约保证金。若需要支付履约保证金的，则：</w:t>
      </w:r>
    </w:p>
    <w:p w14:paraId="6A19BF36">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1.4.1履约保证金的比例为合同金额的</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2A016161">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1.4.2履约保证金支付方式详见</w:t>
      </w:r>
      <w:r>
        <w:rPr>
          <w:rFonts w:hint="eastAsia" w:ascii="宋体" w:hAnsi="宋体" w:cs="宋体"/>
          <w:color w:val="auto"/>
          <w:kern w:val="0"/>
          <w:sz w:val="24"/>
          <w:highlight w:val="none"/>
          <w:u w:val="single"/>
        </w:rPr>
        <w:t xml:space="preserve">    </w:t>
      </w:r>
      <w:r>
        <w:rPr>
          <w:rFonts w:hint="eastAsia" w:ascii="宋体" w:hAnsi="宋体" w:cs="宋体"/>
          <w:b/>
          <w:color w:val="auto"/>
          <w:sz w:val="24"/>
          <w:highlight w:val="none"/>
          <w:u w:val="single"/>
        </w:rPr>
        <w:t>合同专用条款</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23EB4A18">
      <w:pPr>
        <w:pStyle w:val="634"/>
        <w:rPr>
          <w:color w:val="auto"/>
          <w:highlight w:val="none"/>
        </w:rPr>
      </w:pPr>
      <w:r>
        <w:rPr>
          <w:rFonts w:hint="eastAsia"/>
          <w:color w:val="auto"/>
          <w:highlight w:val="none"/>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22B9C715">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1.4.4甲方在项目验收结束后及时退还履约保证金。甲方在项目通过验收之日起</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个工作日内将履约保证金无息退还乙方，逾期退还的，乙方可要求甲方支付违约金，违约金按每迟延退还一日的应退还而未退还金额的</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lang w:val="en-US" w:eastAsia="zh-CN"/>
        </w:rPr>
        <w:t>/</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%计算，最高限额为本合同履约保证金的</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lang w:val="en-US" w:eastAsia="zh-CN"/>
        </w:rPr>
        <w:t>/</w:t>
      </w:r>
      <w:r>
        <w:rPr>
          <w:rFonts w:hint="eastAsia" w:ascii="宋体" w:hAnsi="宋体" w:cs="宋体"/>
          <w:color w:val="auto"/>
          <w:kern w:val="0"/>
          <w:sz w:val="24"/>
          <w:highlight w:val="none"/>
        </w:rPr>
        <w:t xml:space="preserve"> %。</w:t>
      </w:r>
    </w:p>
    <w:p w14:paraId="5CDF2AB6">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1.5</w:t>
      </w:r>
      <w:bookmarkEnd w:id="83"/>
      <w:bookmarkEnd w:id="84"/>
      <w:bookmarkEnd w:id="85"/>
      <w:r>
        <w:rPr>
          <w:rFonts w:hint="eastAsia" w:ascii="宋体" w:hAnsi="宋体" w:cs="宋体"/>
          <w:b/>
          <w:color w:val="auto"/>
          <w:sz w:val="24"/>
          <w:highlight w:val="none"/>
        </w:rPr>
        <w:t>预付款</w:t>
      </w:r>
    </w:p>
    <w:p w14:paraId="6651DED8">
      <w:pPr>
        <w:pStyle w:val="632"/>
        <w:spacing w:before="0" w:beforeAutospacing="0" w:after="0" w:afterAutospacing="0" w:line="360" w:lineRule="auto"/>
        <w:ind w:firstLine="480"/>
        <w:rPr>
          <w:color w:val="auto"/>
          <w:highlight w:val="none"/>
        </w:rPr>
      </w:pPr>
      <w:r>
        <w:rPr>
          <w:rFonts w:hint="eastAsia"/>
          <w:color w:val="auto"/>
          <w:highlight w:val="none"/>
        </w:rPr>
        <w:t>甲方</w:t>
      </w:r>
      <w:r>
        <w:rPr>
          <w:rFonts w:hint="eastAsia"/>
          <w:color w:val="auto"/>
          <w:highlight w:val="none"/>
          <w:u w:val="single"/>
        </w:rPr>
        <w:t xml:space="preserve">  是 </w:t>
      </w:r>
      <w:r>
        <w:rPr>
          <w:rFonts w:hint="eastAsia"/>
          <w:color w:val="auto"/>
          <w:highlight w:val="none"/>
        </w:rPr>
        <w:t>（是</w:t>
      </w:r>
      <w:r>
        <w:rPr>
          <w:rFonts w:hint="eastAsia" w:ascii="仿宋" w:hAnsi="仿宋" w:eastAsia="仿宋" w:cs="仿宋"/>
          <w:color w:val="auto"/>
          <w:highlight w:val="none"/>
        </w:rPr>
        <w:t>/</w:t>
      </w:r>
      <w:r>
        <w:rPr>
          <w:rFonts w:hint="eastAsia"/>
          <w:color w:val="auto"/>
          <w:highlight w:val="none"/>
        </w:rPr>
        <w:t>否）需要支付预付款。若需要支付预付款的，则：</w:t>
      </w:r>
    </w:p>
    <w:p w14:paraId="78FC4AF5">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1.5.1预付款比例、支付方式、时间详见</w:t>
      </w:r>
      <w:r>
        <w:rPr>
          <w:rFonts w:hint="eastAsia" w:ascii="宋体" w:hAnsi="宋体" w:cs="宋体"/>
          <w:color w:val="auto"/>
          <w:kern w:val="0"/>
          <w:sz w:val="24"/>
          <w:highlight w:val="none"/>
          <w:u w:val="single"/>
        </w:rPr>
        <w:t xml:space="preserve">    </w:t>
      </w:r>
      <w:r>
        <w:rPr>
          <w:rFonts w:hint="eastAsia" w:ascii="宋体" w:hAnsi="宋体" w:cs="宋体"/>
          <w:b/>
          <w:color w:val="auto"/>
          <w:sz w:val="24"/>
          <w:highlight w:val="none"/>
          <w:u w:val="single"/>
        </w:rPr>
        <w:t>合同专用条款</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337B7357">
      <w:pPr>
        <w:pStyle w:val="632"/>
        <w:spacing w:before="0" w:beforeAutospacing="0" w:after="0" w:afterAutospacing="0" w:line="360" w:lineRule="auto"/>
        <w:ind w:firstLine="480"/>
        <w:rPr>
          <w:color w:val="auto"/>
          <w:highlight w:val="none"/>
        </w:rPr>
      </w:pPr>
      <w:r>
        <w:rPr>
          <w:rFonts w:hint="eastAsia"/>
          <w:color w:val="auto"/>
          <w:highlight w:val="none"/>
        </w:rPr>
        <w:t>1.5.2预付款的扣回方式详见</w:t>
      </w:r>
      <w:r>
        <w:rPr>
          <w:rFonts w:hint="eastAsia"/>
          <w:color w:val="auto"/>
          <w:highlight w:val="none"/>
          <w:u w:val="single"/>
        </w:rPr>
        <w:t xml:space="preserve">    </w:t>
      </w:r>
      <w:r>
        <w:rPr>
          <w:rFonts w:hint="eastAsia"/>
          <w:b/>
          <w:color w:val="auto"/>
          <w:highlight w:val="none"/>
          <w:u w:val="single"/>
        </w:rPr>
        <w:t>合同专用条款</w:t>
      </w:r>
      <w:r>
        <w:rPr>
          <w:rFonts w:hint="eastAsia"/>
          <w:color w:val="auto"/>
          <w:highlight w:val="none"/>
          <w:u w:val="single"/>
        </w:rPr>
        <w:t xml:space="preserve">           </w:t>
      </w:r>
      <w:r>
        <w:rPr>
          <w:rFonts w:hint="eastAsia"/>
          <w:color w:val="auto"/>
          <w:highlight w:val="none"/>
        </w:rPr>
        <w:t>；</w:t>
      </w:r>
    </w:p>
    <w:p w14:paraId="7A9BFCBA">
      <w:pPr>
        <w:pStyle w:val="632"/>
        <w:spacing w:before="0" w:beforeAutospacing="0" w:after="0" w:afterAutospacing="0" w:line="360" w:lineRule="auto"/>
        <w:ind w:firstLine="480"/>
        <w:rPr>
          <w:color w:val="auto"/>
          <w:highlight w:val="none"/>
          <w:u w:val="single"/>
        </w:rPr>
      </w:pPr>
      <w:r>
        <w:rPr>
          <w:rFonts w:hint="eastAsia"/>
          <w:color w:val="auto"/>
          <w:highlight w:val="none"/>
        </w:rPr>
        <w:t>1.5.3预付款的担保措施详见</w:t>
      </w:r>
      <w:r>
        <w:rPr>
          <w:rFonts w:hint="eastAsia"/>
          <w:color w:val="auto"/>
          <w:highlight w:val="none"/>
          <w:u w:val="single"/>
        </w:rPr>
        <w:t xml:space="preserve">    </w:t>
      </w:r>
      <w:r>
        <w:rPr>
          <w:rFonts w:hint="eastAsia"/>
          <w:b/>
          <w:color w:val="auto"/>
          <w:highlight w:val="none"/>
          <w:u w:val="single"/>
        </w:rPr>
        <w:t>合同专用条款</w:t>
      </w:r>
      <w:r>
        <w:rPr>
          <w:rFonts w:hint="eastAsia"/>
          <w:color w:val="auto"/>
          <w:highlight w:val="none"/>
          <w:u w:val="single"/>
        </w:rPr>
        <w:t xml:space="preserve">          </w:t>
      </w:r>
      <w:r>
        <w:rPr>
          <w:rFonts w:hint="eastAsia"/>
          <w:color w:val="auto"/>
          <w:highlight w:val="none"/>
        </w:rPr>
        <w:t>。</w:t>
      </w:r>
    </w:p>
    <w:p w14:paraId="098413E6">
      <w:pPr>
        <w:pStyle w:val="632"/>
        <w:spacing w:before="0" w:beforeAutospacing="0" w:after="0" w:afterAutospacing="0" w:line="360" w:lineRule="auto"/>
        <w:ind w:firstLine="480"/>
        <w:rPr>
          <w:b/>
          <w:bCs/>
          <w:color w:val="auto"/>
          <w:highlight w:val="none"/>
        </w:rPr>
      </w:pPr>
      <w:r>
        <w:rPr>
          <w:rFonts w:hint="eastAsia"/>
          <w:b/>
          <w:bCs/>
          <w:color w:val="auto"/>
          <w:highlight w:val="none"/>
        </w:rPr>
        <w:t>1.6资金支付</w:t>
      </w:r>
    </w:p>
    <w:p w14:paraId="0694254D">
      <w:pPr>
        <w:pStyle w:val="632"/>
        <w:spacing w:before="0" w:beforeAutospacing="0" w:after="0" w:afterAutospacing="0" w:line="360" w:lineRule="auto"/>
        <w:ind w:firstLine="480"/>
        <w:rPr>
          <w:color w:val="auto"/>
          <w:highlight w:val="none"/>
        </w:rPr>
      </w:pPr>
      <w:r>
        <w:rPr>
          <w:rFonts w:hint="eastAsia"/>
          <w:color w:val="auto"/>
          <w:highlight w:val="none"/>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14:paraId="27FA9DA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1.6.2资金支付的方式、时间和条件详见</w:t>
      </w:r>
      <w:r>
        <w:rPr>
          <w:rFonts w:hint="eastAsia" w:ascii="宋体" w:hAnsi="宋体" w:cs="宋体"/>
          <w:b/>
          <w:color w:val="auto"/>
          <w:sz w:val="24"/>
          <w:highlight w:val="none"/>
          <w:u w:val="single"/>
        </w:rPr>
        <w:t>合同专用条款</w:t>
      </w:r>
      <w:r>
        <w:rPr>
          <w:rFonts w:hint="eastAsia" w:ascii="宋体" w:hAnsi="宋体" w:cs="宋体"/>
          <w:color w:val="auto"/>
          <w:sz w:val="24"/>
          <w:highlight w:val="none"/>
        </w:rPr>
        <w:t>。</w:t>
      </w:r>
    </w:p>
    <w:p w14:paraId="76A6E9E3">
      <w:pPr>
        <w:spacing w:line="360" w:lineRule="auto"/>
        <w:ind w:firstLine="482" w:firstLineChars="200"/>
        <w:rPr>
          <w:rFonts w:ascii="宋体" w:hAnsi="宋体"/>
          <w:b/>
          <w:color w:val="auto"/>
          <w:sz w:val="24"/>
          <w:highlight w:val="none"/>
        </w:rPr>
      </w:pPr>
      <w:r>
        <w:rPr>
          <w:rFonts w:ascii="宋体" w:hAnsi="宋体"/>
          <w:b/>
          <w:color w:val="auto"/>
          <w:sz w:val="24"/>
          <w:highlight w:val="none"/>
        </w:rPr>
        <w:t>1.</w:t>
      </w:r>
      <w:r>
        <w:rPr>
          <w:rFonts w:hint="eastAsia" w:ascii="宋体" w:hAnsi="宋体"/>
          <w:b/>
          <w:color w:val="auto"/>
          <w:sz w:val="24"/>
          <w:highlight w:val="none"/>
        </w:rPr>
        <w:t>7</w:t>
      </w:r>
      <w:r>
        <w:rPr>
          <w:rFonts w:ascii="宋体" w:hAnsi="宋体"/>
          <w:b/>
          <w:color w:val="auto"/>
          <w:sz w:val="24"/>
          <w:highlight w:val="none"/>
        </w:rPr>
        <w:t xml:space="preserve"> 履行期限</w:t>
      </w:r>
      <w:r>
        <w:rPr>
          <w:rFonts w:hint="eastAsia" w:ascii="宋体" w:hAnsi="宋体"/>
          <w:b/>
          <w:color w:val="auto"/>
          <w:sz w:val="24"/>
          <w:highlight w:val="none"/>
        </w:rPr>
        <w:t>、地点和方式</w:t>
      </w:r>
      <w:bookmarkEnd w:id="86"/>
      <w:bookmarkEnd w:id="87"/>
      <w:bookmarkEnd w:id="88"/>
      <w:bookmarkEnd w:id="89"/>
      <w:bookmarkEnd w:id="90"/>
    </w:p>
    <w:p w14:paraId="23ABAC5D">
      <w:pPr>
        <w:spacing w:line="360" w:lineRule="auto"/>
        <w:ind w:firstLine="480" w:firstLineChars="200"/>
        <w:rPr>
          <w:rFonts w:ascii="宋体" w:hAnsi="宋体"/>
          <w:color w:val="auto"/>
          <w:sz w:val="24"/>
          <w:highlight w:val="none"/>
          <w:u w:val="single"/>
        </w:rPr>
      </w:pPr>
      <w:r>
        <w:rPr>
          <w:rFonts w:ascii="宋体" w:hAnsi="宋体"/>
          <w:color w:val="auto"/>
          <w:sz w:val="24"/>
          <w:highlight w:val="none"/>
        </w:rPr>
        <w:t>1.</w:t>
      </w:r>
      <w:r>
        <w:rPr>
          <w:rFonts w:hint="eastAsia" w:ascii="宋体" w:hAnsi="宋体"/>
          <w:color w:val="auto"/>
          <w:sz w:val="24"/>
          <w:highlight w:val="none"/>
        </w:rPr>
        <w:t>7</w:t>
      </w:r>
      <w:r>
        <w:rPr>
          <w:rFonts w:ascii="宋体" w:hAnsi="宋体"/>
          <w:color w:val="auto"/>
          <w:sz w:val="24"/>
          <w:highlight w:val="none"/>
        </w:rPr>
        <w:t xml:space="preserve">.1 </w:t>
      </w:r>
      <w:r>
        <w:rPr>
          <w:rFonts w:hint="eastAsia" w:ascii="宋体" w:hAnsi="宋体"/>
          <w:color w:val="auto"/>
          <w:sz w:val="24"/>
          <w:highlight w:val="none"/>
        </w:rPr>
        <w:t>服务交付（实施）的时间（期限）</w:t>
      </w:r>
      <w:r>
        <w:rPr>
          <w:rFonts w:ascii="宋体" w:hAnsi="宋体"/>
          <w:color w:val="auto"/>
          <w:sz w:val="24"/>
          <w:highlight w:val="none"/>
        </w:rPr>
        <w:t>：</w:t>
      </w:r>
      <w:r>
        <w:rPr>
          <w:rFonts w:hint="eastAsia" w:ascii="宋体" w:hAnsi="宋体"/>
          <w:b/>
          <w:color w:val="auto"/>
          <w:sz w:val="24"/>
          <w:highlight w:val="none"/>
          <w:u w:val="single"/>
        </w:rPr>
        <w:t>合同专用条款</w:t>
      </w:r>
      <w:r>
        <w:rPr>
          <w:rFonts w:hint="eastAsia" w:ascii="宋体" w:hAnsi="宋体"/>
          <w:color w:val="auto"/>
          <w:sz w:val="24"/>
          <w:highlight w:val="none"/>
        </w:rPr>
        <w:t>；</w:t>
      </w:r>
    </w:p>
    <w:p w14:paraId="26B7BC1C">
      <w:pPr>
        <w:spacing w:line="360" w:lineRule="auto"/>
        <w:ind w:firstLine="480" w:firstLineChars="200"/>
        <w:rPr>
          <w:rFonts w:ascii="宋体" w:hAnsi="宋体"/>
          <w:color w:val="auto"/>
          <w:sz w:val="24"/>
          <w:highlight w:val="none"/>
        </w:rPr>
      </w:pPr>
      <w:r>
        <w:rPr>
          <w:rFonts w:ascii="宋体" w:hAnsi="宋体"/>
          <w:color w:val="auto"/>
          <w:sz w:val="24"/>
          <w:highlight w:val="none"/>
        </w:rPr>
        <w:t>1.</w:t>
      </w:r>
      <w:r>
        <w:rPr>
          <w:rFonts w:hint="eastAsia" w:ascii="宋体" w:hAnsi="宋体"/>
          <w:color w:val="auto"/>
          <w:sz w:val="24"/>
          <w:highlight w:val="none"/>
        </w:rPr>
        <w:t>7</w:t>
      </w:r>
      <w:r>
        <w:rPr>
          <w:rFonts w:ascii="宋体" w:hAnsi="宋体"/>
          <w:color w:val="auto"/>
          <w:sz w:val="24"/>
          <w:highlight w:val="none"/>
        </w:rPr>
        <w:t xml:space="preserve">.2 </w:t>
      </w:r>
      <w:r>
        <w:rPr>
          <w:rFonts w:hint="eastAsia" w:ascii="宋体" w:hAnsi="宋体"/>
          <w:color w:val="auto"/>
          <w:sz w:val="24"/>
          <w:highlight w:val="none"/>
        </w:rPr>
        <w:t>服</w:t>
      </w:r>
      <w:r>
        <w:rPr>
          <w:rFonts w:hint="eastAsia" w:ascii="宋体" w:hAnsi="宋体" w:cs="宋体"/>
          <w:color w:val="auto"/>
          <w:sz w:val="24"/>
          <w:highlight w:val="none"/>
        </w:rPr>
        <w:t>务交付（实施）的地点（地域范围）：</w:t>
      </w:r>
      <w:r>
        <w:rPr>
          <w:rFonts w:hint="eastAsia" w:ascii="宋体" w:hAnsi="宋体"/>
          <w:b/>
          <w:color w:val="auto"/>
          <w:sz w:val="24"/>
          <w:highlight w:val="none"/>
          <w:u w:val="single"/>
        </w:rPr>
        <w:t>合同专用条款</w:t>
      </w:r>
      <w:r>
        <w:rPr>
          <w:rFonts w:hint="eastAsia" w:ascii="宋体" w:hAnsi="宋体"/>
          <w:color w:val="auto"/>
          <w:sz w:val="24"/>
          <w:highlight w:val="none"/>
        </w:rPr>
        <w:t>；</w:t>
      </w:r>
    </w:p>
    <w:p w14:paraId="630BFB6F">
      <w:pPr>
        <w:spacing w:line="360" w:lineRule="auto"/>
        <w:ind w:firstLine="480" w:firstLineChars="200"/>
        <w:rPr>
          <w:rFonts w:ascii="宋体" w:hAnsi="宋体"/>
          <w:color w:val="auto"/>
          <w:sz w:val="24"/>
          <w:highlight w:val="none"/>
        </w:rPr>
      </w:pPr>
      <w:r>
        <w:rPr>
          <w:rFonts w:ascii="宋体" w:hAnsi="宋体"/>
          <w:color w:val="auto"/>
          <w:sz w:val="24"/>
          <w:highlight w:val="none"/>
        </w:rPr>
        <w:t>1.</w:t>
      </w:r>
      <w:r>
        <w:rPr>
          <w:rFonts w:hint="eastAsia" w:ascii="宋体" w:hAnsi="宋体"/>
          <w:color w:val="auto"/>
          <w:sz w:val="24"/>
          <w:highlight w:val="none"/>
        </w:rPr>
        <w:t>7</w:t>
      </w:r>
      <w:r>
        <w:rPr>
          <w:rFonts w:ascii="宋体" w:hAnsi="宋体"/>
          <w:color w:val="auto"/>
          <w:sz w:val="24"/>
          <w:highlight w:val="none"/>
        </w:rPr>
        <w:t xml:space="preserve">.3 </w:t>
      </w:r>
      <w:r>
        <w:rPr>
          <w:rFonts w:hint="eastAsia" w:ascii="宋体" w:hAnsi="宋体"/>
          <w:color w:val="auto"/>
          <w:sz w:val="24"/>
          <w:highlight w:val="none"/>
        </w:rPr>
        <w:t>服务交付（实施）的方式：</w:t>
      </w:r>
      <w:r>
        <w:rPr>
          <w:rFonts w:hint="eastAsia" w:ascii="宋体" w:hAnsi="宋体"/>
          <w:b/>
          <w:color w:val="auto"/>
          <w:sz w:val="24"/>
          <w:highlight w:val="none"/>
          <w:u w:val="single"/>
        </w:rPr>
        <w:t>合同专用条款</w:t>
      </w:r>
      <w:r>
        <w:rPr>
          <w:rFonts w:hint="eastAsia" w:ascii="宋体" w:hAnsi="宋体"/>
          <w:color w:val="auto"/>
          <w:sz w:val="24"/>
          <w:highlight w:val="none"/>
        </w:rPr>
        <w:t>。</w:t>
      </w:r>
    </w:p>
    <w:p w14:paraId="01E79A4A">
      <w:pPr>
        <w:spacing w:line="360" w:lineRule="auto"/>
        <w:ind w:firstLine="480" w:firstLineChars="200"/>
        <w:rPr>
          <w:rFonts w:ascii="宋体" w:hAnsi="宋体"/>
          <w:bCs/>
          <w:color w:val="auto"/>
          <w:sz w:val="24"/>
          <w:highlight w:val="none"/>
        </w:rPr>
      </w:pPr>
      <w:bookmarkStart w:id="91" w:name="_Toc3079"/>
      <w:bookmarkStart w:id="92" w:name="_Toc5698"/>
      <w:bookmarkStart w:id="93" w:name="_Toc2375"/>
      <w:bookmarkStart w:id="94" w:name="_Toc8586"/>
      <w:bookmarkStart w:id="95" w:name="_Toc24662"/>
      <w:r>
        <w:rPr>
          <w:rFonts w:hint="eastAsia" w:ascii="宋体" w:hAnsi="宋体"/>
          <w:bCs/>
          <w:color w:val="auto"/>
          <w:sz w:val="24"/>
          <w:highlight w:val="none"/>
        </w:rPr>
        <w:t>1.7.4若服务</w:t>
      </w:r>
      <w:r>
        <w:rPr>
          <w:rFonts w:hint="eastAsia"/>
          <w:bCs/>
          <w:color w:val="auto"/>
          <w:sz w:val="24"/>
          <w:highlight w:val="none"/>
        </w:rPr>
        <w:t>涉及货物的，则货物的：</w:t>
      </w:r>
    </w:p>
    <w:p w14:paraId="6CE3B6E6">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1.7.4.1 交付期限：详见</w:t>
      </w:r>
      <w:r>
        <w:rPr>
          <w:rFonts w:hint="eastAsia" w:ascii="宋体" w:hAnsi="宋体" w:cs="宋体"/>
          <w:b/>
          <w:color w:val="auto"/>
          <w:sz w:val="24"/>
          <w:highlight w:val="none"/>
          <w:u w:val="single"/>
        </w:rPr>
        <w:t>合同专用条款</w:t>
      </w:r>
      <w:r>
        <w:rPr>
          <w:rFonts w:hint="eastAsia" w:ascii="宋体" w:hAnsi="宋体" w:cs="宋体"/>
          <w:color w:val="auto"/>
          <w:sz w:val="24"/>
          <w:highlight w:val="none"/>
        </w:rPr>
        <w:t>；</w:t>
      </w:r>
    </w:p>
    <w:p w14:paraId="1014121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1.7.4.2 交付地点：</w:t>
      </w:r>
      <w:r>
        <w:rPr>
          <w:rFonts w:hint="eastAsia" w:ascii="宋体" w:hAnsi="宋体" w:cs="宋体"/>
          <w:b/>
          <w:color w:val="auto"/>
          <w:sz w:val="24"/>
          <w:highlight w:val="none"/>
          <w:u w:val="single"/>
        </w:rPr>
        <w:t>合同专用条款</w:t>
      </w:r>
      <w:r>
        <w:rPr>
          <w:rFonts w:hint="eastAsia" w:ascii="宋体" w:hAnsi="宋体" w:cs="宋体"/>
          <w:color w:val="auto"/>
          <w:sz w:val="24"/>
          <w:highlight w:val="none"/>
        </w:rPr>
        <w:t>；</w:t>
      </w:r>
    </w:p>
    <w:p w14:paraId="25D2C37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1.7.4.3 交付方式：</w:t>
      </w:r>
      <w:r>
        <w:rPr>
          <w:rFonts w:hint="eastAsia" w:ascii="宋体" w:hAnsi="宋体" w:cs="宋体"/>
          <w:b/>
          <w:color w:val="auto"/>
          <w:sz w:val="24"/>
          <w:highlight w:val="none"/>
          <w:u w:val="single"/>
        </w:rPr>
        <w:t>合同专用条款</w:t>
      </w:r>
      <w:r>
        <w:rPr>
          <w:rFonts w:hint="eastAsia" w:ascii="宋体" w:hAnsi="宋体" w:cs="宋体"/>
          <w:color w:val="auto"/>
          <w:sz w:val="24"/>
          <w:highlight w:val="none"/>
        </w:rPr>
        <w:t>。</w:t>
      </w:r>
    </w:p>
    <w:p w14:paraId="153C2459">
      <w:pPr>
        <w:spacing w:line="360" w:lineRule="auto"/>
        <w:ind w:firstLine="482" w:firstLineChars="200"/>
        <w:rPr>
          <w:rFonts w:ascii="宋体" w:hAnsi="宋体"/>
          <w:color w:val="auto"/>
          <w:sz w:val="24"/>
          <w:highlight w:val="none"/>
          <w:u w:val="single"/>
        </w:rPr>
      </w:pPr>
      <w:r>
        <w:rPr>
          <w:rFonts w:ascii="宋体" w:hAnsi="宋体"/>
          <w:b/>
          <w:color w:val="auto"/>
          <w:sz w:val="24"/>
          <w:highlight w:val="none"/>
        </w:rPr>
        <w:t>1.</w:t>
      </w:r>
      <w:r>
        <w:rPr>
          <w:rFonts w:hint="eastAsia" w:ascii="宋体" w:hAnsi="宋体"/>
          <w:b/>
          <w:color w:val="auto"/>
          <w:sz w:val="24"/>
          <w:highlight w:val="none"/>
        </w:rPr>
        <w:t>8违约责任</w:t>
      </w:r>
      <w:bookmarkEnd w:id="91"/>
      <w:bookmarkEnd w:id="92"/>
      <w:bookmarkEnd w:id="93"/>
      <w:bookmarkEnd w:id="94"/>
      <w:bookmarkEnd w:id="95"/>
    </w:p>
    <w:p w14:paraId="6F563F63">
      <w:pPr>
        <w:spacing w:line="360" w:lineRule="auto"/>
        <w:ind w:firstLine="480" w:firstLineChars="200"/>
        <w:rPr>
          <w:rFonts w:ascii="宋体" w:hAnsi="宋体"/>
          <w:color w:val="auto"/>
          <w:sz w:val="24"/>
          <w:highlight w:val="none"/>
        </w:rPr>
      </w:pPr>
      <w:r>
        <w:rPr>
          <w:rFonts w:ascii="宋体" w:hAnsi="宋体"/>
          <w:color w:val="auto"/>
          <w:sz w:val="24"/>
          <w:highlight w:val="none"/>
        </w:rPr>
        <w:t>1.</w:t>
      </w:r>
      <w:r>
        <w:rPr>
          <w:rFonts w:hint="eastAsia" w:ascii="宋体" w:hAnsi="宋体"/>
          <w:color w:val="auto"/>
          <w:sz w:val="24"/>
          <w:highlight w:val="none"/>
        </w:rPr>
        <w:t>8</w:t>
      </w:r>
      <w:r>
        <w:rPr>
          <w:rFonts w:ascii="宋体" w:hAnsi="宋体"/>
          <w:color w:val="auto"/>
          <w:sz w:val="24"/>
          <w:highlight w:val="none"/>
        </w:rPr>
        <w:t>.1 除不可抗力外，如果乙方没有按照本合同约定的期限</w:t>
      </w:r>
      <w:r>
        <w:rPr>
          <w:rFonts w:hint="eastAsia" w:ascii="宋体" w:hAnsi="宋体"/>
          <w:color w:val="auto"/>
          <w:sz w:val="24"/>
          <w:highlight w:val="none"/>
        </w:rPr>
        <w:t>、</w:t>
      </w:r>
      <w:r>
        <w:rPr>
          <w:rFonts w:ascii="宋体" w:hAnsi="宋体"/>
          <w:color w:val="auto"/>
          <w:sz w:val="24"/>
          <w:highlight w:val="none"/>
        </w:rPr>
        <w:t>地点和方式</w:t>
      </w:r>
      <w:r>
        <w:rPr>
          <w:rFonts w:hint="eastAsia" w:ascii="宋体" w:hAnsi="宋体"/>
          <w:color w:val="auto"/>
          <w:sz w:val="24"/>
          <w:highlight w:val="none"/>
        </w:rPr>
        <w:t>交付服务成果或者实施服务</w:t>
      </w:r>
      <w:r>
        <w:rPr>
          <w:rFonts w:ascii="宋体" w:hAnsi="宋体"/>
          <w:color w:val="auto"/>
          <w:sz w:val="24"/>
          <w:highlight w:val="none"/>
        </w:rPr>
        <w:t>，那么甲方可要求乙方支付违约金</w:t>
      </w:r>
      <w:r>
        <w:rPr>
          <w:rFonts w:hint="eastAsia" w:ascii="宋体" w:hAnsi="宋体"/>
          <w:color w:val="auto"/>
          <w:sz w:val="24"/>
          <w:highlight w:val="none"/>
        </w:rPr>
        <w:t>，迟延履行</w:t>
      </w:r>
      <w:r>
        <w:rPr>
          <w:rFonts w:ascii="宋体" w:hAnsi="宋体"/>
          <w:color w:val="auto"/>
          <w:sz w:val="24"/>
          <w:highlight w:val="none"/>
        </w:rPr>
        <w:t>违约金按每迟延</w:t>
      </w:r>
      <w:r>
        <w:rPr>
          <w:rFonts w:hint="eastAsia" w:ascii="宋体" w:hAnsi="宋体"/>
          <w:color w:val="auto"/>
          <w:sz w:val="24"/>
          <w:highlight w:val="none"/>
        </w:rPr>
        <w:t>履行</w:t>
      </w:r>
      <w:r>
        <w:rPr>
          <w:rFonts w:ascii="宋体" w:hAnsi="宋体"/>
          <w:color w:val="auto"/>
          <w:sz w:val="24"/>
          <w:highlight w:val="none"/>
        </w:rPr>
        <w:t>一日的应提供而未</w:t>
      </w:r>
      <w:r>
        <w:rPr>
          <w:rFonts w:hint="eastAsia" w:ascii="宋体" w:hAnsi="宋体"/>
          <w:color w:val="auto"/>
          <w:sz w:val="24"/>
          <w:highlight w:val="none"/>
        </w:rPr>
        <w:t>提供</w:t>
      </w:r>
      <w:r>
        <w:rPr>
          <w:rFonts w:ascii="宋体" w:hAnsi="宋体"/>
          <w:color w:val="auto"/>
          <w:sz w:val="24"/>
          <w:highlight w:val="none"/>
        </w:rPr>
        <w:t>服务价格的</w:t>
      </w:r>
      <w:r>
        <w:rPr>
          <w:rFonts w:hint="eastAsia" w:ascii="宋体" w:hAnsi="宋体"/>
          <w:color w:val="auto"/>
          <w:sz w:val="24"/>
          <w:highlight w:val="none"/>
          <w:u w:val="single"/>
          <w:lang w:val="en-US" w:eastAsia="zh-CN"/>
        </w:rPr>
        <w:t xml:space="preserve"> 0.05</w:t>
      </w:r>
      <w:r>
        <w:rPr>
          <w:rFonts w:ascii="宋体" w:hAnsi="宋体"/>
          <w:color w:val="auto"/>
          <w:sz w:val="24"/>
          <w:highlight w:val="none"/>
          <w:u w:val="single"/>
        </w:rPr>
        <w:t xml:space="preserve"> </w:t>
      </w:r>
      <w:r>
        <w:rPr>
          <w:rFonts w:ascii="宋体" w:hAnsi="宋体"/>
          <w:color w:val="auto"/>
          <w:sz w:val="24"/>
          <w:highlight w:val="none"/>
        </w:rPr>
        <w:t>%计算</w:t>
      </w:r>
      <w:r>
        <w:rPr>
          <w:rFonts w:hint="eastAsia" w:ascii="宋体" w:hAnsi="宋体"/>
          <w:color w:val="auto"/>
          <w:sz w:val="24"/>
          <w:highlight w:val="none"/>
        </w:rPr>
        <w:t>，</w:t>
      </w:r>
      <w:r>
        <w:rPr>
          <w:rFonts w:ascii="宋体" w:hAnsi="宋体"/>
          <w:color w:val="auto"/>
          <w:sz w:val="24"/>
          <w:highlight w:val="none"/>
        </w:rPr>
        <w:t>最高限额为</w:t>
      </w:r>
      <w:r>
        <w:rPr>
          <w:rFonts w:hint="eastAsia" w:ascii="宋体" w:hAnsi="宋体"/>
          <w:color w:val="auto"/>
          <w:sz w:val="24"/>
          <w:highlight w:val="none"/>
        </w:rPr>
        <w:t>本</w:t>
      </w:r>
      <w:r>
        <w:rPr>
          <w:rFonts w:ascii="宋体" w:hAnsi="宋体"/>
          <w:color w:val="auto"/>
          <w:sz w:val="24"/>
          <w:highlight w:val="none"/>
        </w:rPr>
        <w:t>合同总价的</w:t>
      </w:r>
      <w:r>
        <w:rPr>
          <w:rFonts w:ascii="宋体" w:hAnsi="宋体"/>
          <w:color w:val="auto"/>
          <w:sz w:val="24"/>
          <w:highlight w:val="none"/>
          <w:u w:val="single"/>
        </w:rPr>
        <w:t xml:space="preserve"> </w:t>
      </w:r>
      <w:r>
        <w:rPr>
          <w:rFonts w:hint="eastAsia" w:ascii="宋体" w:hAnsi="宋体"/>
          <w:color w:val="auto"/>
          <w:sz w:val="24"/>
          <w:highlight w:val="none"/>
          <w:u w:val="single"/>
          <w:lang w:val="en-US" w:eastAsia="zh-CN"/>
        </w:rPr>
        <w:t>20</w:t>
      </w:r>
      <w:r>
        <w:rPr>
          <w:rFonts w:ascii="宋体" w:hAnsi="宋体"/>
          <w:color w:val="auto"/>
          <w:sz w:val="24"/>
          <w:highlight w:val="none"/>
          <w:u w:val="single"/>
        </w:rPr>
        <w:t xml:space="preserve"> </w:t>
      </w:r>
      <w:r>
        <w:rPr>
          <w:rFonts w:ascii="宋体" w:hAnsi="宋体"/>
          <w:color w:val="auto"/>
          <w:sz w:val="24"/>
          <w:highlight w:val="none"/>
        </w:rPr>
        <w:t>%</w:t>
      </w:r>
      <w:r>
        <w:rPr>
          <w:rFonts w:hint="eastAsia" w:ascii="宋体" w:hAnsi="宋体"/>
          <w:color w:val="auto"/>
          <w:sz w:val="24"/>
          <w:highlight w:val="none"/>
        </w:rPr>
        <w:t>；</w:t>
      </w:r>
      <w:r>
        <w:rPr>
          <w:rFonts w:ascii="宋体" w:hAnsi="宋体"/>
          <w:color w:val="auto"/>
          <w:sz w:val="24"/>
          <w:highlight w:val="none"/>
        </w:rPr>
        <w:t>迟延</w:t>
      </w:r>
      <w:r>
        <w:rPr>
          <w:rFonts w:hint="eastAsia" w:ascii="宋体" w:hAnsi="宋体"/>
          <w:color w:val="auto"/>
          <w:sz w:val="24"/>
          <w:highlight w:val="none"/>
        </w:rPr>
        <w:t>履行</w:t>
      </w:r>
      <w:r>
        <w:rPr>
          <w:rFonts w:ascii="宋体" w:hAnsi="宋体"/>
          <w:color w:val="auto"/>
          <w:sz w:val="24"/>
          <w:highlight w:val="none"/>
        </w:rPr>
        <w:t>的违约金计算数额达到前述最高限额之日起</w:t>
      </w:r>
      <w:r>
        <w:rPr>
          <w:rFonts w:hint="eastAsia" w:ascii="宋体" w:hAnsi="宋体"/>
          <w:color w:val="auto"/>
          <w:sz w:val="24"/>
          <w:highlight w:val="none"/>
        </w:rPr>
        <w:t>，</w:t>
      </w:r>
      <w:r>
        <w:rPr>
          <w:rFonts w:ascii="宋体" w:hAnsi="宋体"/>
          <w:color w:val="auto"/>
          <w:sz w:val="24"/>
          <w:highlight w:val="none"/>
        </w:rPr>
        <w:t>甲方有权在要求乙方支付违约金的同时</w:t>
      </w:r>
      <w:r>
        <w:rPr>
          <w:rFonts w:hint="eastAsia" w:ascii="宋体" w:hAnsi="宋体"/>
          <w:color w:val="auto"/>
          <w:sz w:val="24"/>
          <w:highlight w:val="none"/>
        </w:rPr>
        <w:t>，书面通知乙方</w:t>
      </w:r>
      <w:r>
        <w:rPr>
          <w:rFonts w:ascii="宋体" w:hAnsi="宋体"/>
          <w:color w:val="auto"/>
          <w:sz w:val="24"/>
          <w:highlight w:val="none"/>
        </w:rPr>
        <w:t>解除本合同</w:t>
      </w:r>
      <w:r>
        <w:rPr>
          <w:rFonts w:hint="eastAsia" w:ascii="宋体" w:hAnsi="宋体"/>
          <w:color w:val="auto"/>
          <w:sz w:val="24"/>
          <w:highlight w:val="none"/>
        </w:rPr>
        <w:t>；</w:t>
      </w:r>
    </w:p>
    <w:p w14:paraId="4E4BDCC6">
      <w:pPr>
        <w:pStyle w:val="634"/>
        <w:rPr>
          <w:b/>
          <w:bCs/>
          <w:color w:val="auto"/>
          <w:highlight w:val="none"/>
        </w:rPr>
      </w:pPr>
      <w:r>
        <w:rPr>
          <w:rFonts w:hint="eastAsia"/>
          <w:color w:val="auto"/>
          <w:highlight w:val="none"/>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color w:val="auto"/>
          <w:highlight w:val="none"/>
          <w:u w:val="single"/>
        </w:rPr>
        <w:t xml:space="preserve"> </w:t>
      </w:r>
      <w:r>
        <w:rPr>
          <w:rFonts w:hint="eastAsia"/>
          <w:color w:val="auto"/>
          <w:highlight w:val="none"/>
          <w:u w:val="single"/>
          <w:lang w:val="en-US" w:eastAsia="zh-CN"/>
        </w:rPr>
        <w:t>/</w:t>
      </w:r>
      <w:r>
        <w:rPr>
          <w:rFonts w:hint="eastAsia"/>
          <w:color w:val="auto"/>
          <w:highlight w:val="none"/>
          <w:u w:val="single"/>
        </w:rPr>
        <w:t xml:space="preserve"> </w:t>
      </w:r>
      <w:r>
        <w:rPr>
          <w:rFonts w:hint="eastAsia"/>
          <w:color w:val="auto"/>
          <w:highlight w:val="none"/>
        </w:rPr>
        <w:t>%计算，最高限额为本合同总价的</w:t>
      </w:r>
      <w:r>
        <w:rPr>
          <w:rFonts w:hint="eastAsia"/>
          <w:color w:val="auto"/>
          <w:highlight w:val="none"/>
          <w:u w:val="single"/>
        </w:rPr>
        <w:t xml:space="preserve"> </w:t>
      </w:r>
      <w:r>
        <w:rPr>
          <w:rFonts w:hint="eastAsia"/>
          <w:color w:val="auto"/>
          <w:highlight w:val="none"/>
          <w:u w:val="single"/>
          <w:lang w:val="en-US" w:eastAsia="zh-CN"/>
        </w:rPr>
        <w:t>/</w:t>
      </w:r>
      <w:r>
        <w:rPr>
          <w:rFonts w:hint="eastAsia"/>
          <w:color w:val="auto"/>
          <w:highlight w:val="none"/>
          <w:u w:val="single"/>
        </w:rPr>
        <w:t xml:space="preserve"> </w:t>
      </w:r>
      <w:r>
        <w:rPr>
          <w:rFonts w:hint="eastAsia"/>
          <w:color w:val="auto"/>
          <w:highlight w:val="none"/>
        </w:rPr>
        <w:t>%；迟延交付货物的违约金计算数额达到前述最高限额之日起，甲方有权在要求乙方支付违约金的同时，书面通知乙方解除本合同；</w:t>
      </w:r>
    </w:p>
    <w:p w14:paraId="345BE55B">
      <w:pPr>
        <w:spacing w:line="360" w:lineRule="auto"/>
        <w:ind w:firstLine="480" w:firstLineChars="200"/>
        <w:rPr>
          <w:rFonts w:ascii="宋体" w:hAnsi="宋体"/>
          <w:color w:val="auto"/>
          <w:sz w:val="24"/>
          <w:highlight w:val="none"/>
        </w:rPr>
      </w:pPr>
      <w:r>
        <w:rPr>
          <w:rFonts w:ascii="宋体" w:hAnsi="宋体"/>
          <w:color w:val="auto"/>
          <w:sz w:val="24"/>
          <w:highlight w:val="none"/>
        </w:rPr>
        <w:t>1.</w:t>
      </w:r>
      <w:r>
        <w:rPr>
          <w:rFonts w:hint="eastAsia" w:ascii="宋体" w:hAnsi="宋体"/>
          <w:color w:val="auto"/>
          <w:sz w:val="24"/>
          <w:highlight w:val="none"/>
        </w:rPr>
        <w:t>8</w:t>
      </w:r>
      <w:r>
        <w:rPr>
          <w:rFonts w:ascii="宋体" w:hAnsi="宋体"/>
          <w:color w:val="auto"/>
          <w:sz w:val="24"/>
          <w:highlight w:val="none"/>
        </w:rPr>
        <w:t>.</w:t>
      </w:r>
      <w:r>
        <w:rPr>
          <w:rFonts w:hint="eastAsia" w:ascii="宋体" w:hAnsi="宋体"/>
          <w:color w:val="auto"/>
          <w:sz w:val="24"/>
          <w:highlight w:val="none"/>
        </w:rPr>
        <w:t>3</w:t>
      </w:r>
      <w:r>
        <w:rPr>
          <w:rFonts w:hint="eastAsia" w:ascii="宋体" w:hAnsi="宋体" w:cs="宋体"/>
          <w:color w:val="auto"/>
          <w:sz w:val="24"/>
          <w:highlight w:val="none"/>
        </w:rPr>
        <w:t>除不可抗力外，如果甲方没有按照本合同约定的付款方式付款，那么乙方可要求甲方支付违约金，违约金按每迟延付款一日的应付而未付款的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%计算，最高限额为本合同总价的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%；迟延付款的违约金计算数额达到前述最高限额之日起，乙方有权在要求甲方支付违约金的同时，书面通知甲方解除本合同</w:t>
      </w:r>
      <w:r>
        <w:rPr>
          <w:rFonts w:hint="eastAsia" w:ascii="宋体" w:hAnsi="宋体"/>
          <w:color w:val="auto"/>
          <w:sz w:val="24"/>
          <w:highlight w:val="none"/>
        </w:rPr>
        <w:t>；</w:t>
      </w:r>
    </w:p>
    <w:p w14:paraId="047FD904">
      <w:pPr>
        <w:spacing w:line="360" w:lineRule="auto"/>
        <w:ind w:firstLine="480" w:firstLineChars="200"/>
        <w:rPr>
          <w:rFonts w:ascii="宋体" w:hAnsi="宋体" w:cs="宋体"/>
          <w:color w:val="auto"/>
          <w:sz w:val="24"/>
          <w:highlight w:val="none"/>
        </w:rPr>
      </w:pPr>
      <w:bookmarkStart w:id="96" w:name="_Toc32454"/>
      <w:bookmarkStart w:id="97" w:name="_Toc30329"/>
      <w:bookmarkStart w:id="98" w:name="_Toc9497"/>
      <w:bookmarkStart w:id="99" w:name="_Toc18683"/>
      <w:bookmarkStart w:id="100" w:name="_Toc26807"/>
      <w:r>
        <w:rPr>
          <w:rFonts w:hint="eastAsia" w:ascii="宋体" w:hAnsi="宋体" w:cs="宋体"/>
          <w:color w:val="auto"/>
          <w:sz w:val="24"/>
          <w:highlight w:val="none"/>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2BA023D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42AA09D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1.8.6如果出现政府采购监督管理部门在处理投诉事项期间，书面通知甲方暂停采购活动的情形，或者询问或质疑事项可能影响中标或者成交结果的，导致甲方中止履行合同的情形，均不视为甲方违约。</w:t>
      </w:r>
    </w:p>
    <w:p w14:paraId="646C81B2">
      <w:pPr>
        <w:spacing w:line="360" w:lineRule="auto"/>
        <w:ind w:right="-420" w:rightChars="-200" w:firstLine="480" w:firstLineChars="200"/>
        <w:rPr>
          <w:rFonts w:ascii="宋体" w:hAnsi="宋体" w:cs="宋体"/>
          <w:color w:val="auto"/>
          <w:highlight w:val="none"/>
        </w:rPr>
      </w:pPr>
      <w:r>
        <w:rPr>
          <w:rFonts w:hint="eastAsia" w:ascii="宋体" w:hAnsi="宋体" w:cs="宋体"/>
          <w:color w:val="auto"/>
          <w:sz w:val="24"/>
          <w:highlight w:val="none"/>
        </w:rPr>
        <w:t>1.8.7违约责任</w:t>
      </w:r>
      <w:r>
        <w:rPr>
          <w:rFonts w:hint="eastAsia" w:ascii="宋体" w:hAnsi="宋体" w:cs="宋体"/>
          <w:b/>
          <w:color w:val="auto"/>
          <w:sz w:val="24"/>
          <w:highlight w:val="none"/>
          <w:u w:val="single"/>
        </w:rPr>
        <w:t>合同专用条款</w:t>
      </w:r>
      <w:r>
        <w:rPr>
          <w:rFonts w:hint="eastAsia" w:ascii="宋体" w:hAnsi="宋体" w:cs="宋体"/>
          <w:color w:val="auto"/>
          <w:sz w:val="24"/>
          <w:highlight w:val="none"/>
        </w:rPr>
        <w:t>另有约定的，从其约定。</w:t>
      </w:r>
    </w:p>
    <w:bookmarkEnd w:id="96"/>
    <w:bookmarkEnd w:id="97"/>
    <w:bookmarkEnd w:id="98"/>
    <w:bookmarkEnd w:id="99"/>
    <w:bookmarkEnd w:id="100"/>
    <w:p w14:paraId="0788AA38">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1.9合同争议的解决</w:t>
      </w:r>
    </w:p>
    <w:p w14:paraId="372E226A">
      <w:pPr>
        <w:spacing w:line="360" w:lineRule="auto"/>
        <w:ind w:left="-61" w:leftChars="-29" w:right="-420" w:rightChars="-200" w:firstLine="240" w:firstLineChars="100"/>
        <w:rPr>
          <w:rFonts w:ascii="宋体" w:hAnsi="宋体" w:cs="宋体"/>
          <w:color w:val="auto"/>
          <w:sz w:val="24"/>
          <w:highlight w:val="none"/>
        </w:rPr>
      </w:pPr>
      <w:r>
        <w:rPr>
          <w:rFonts w:hint="eastAsia" w:ascii="宋体" w:hAnsi="宋体" w:cs="宋体"/>
          <w:color w:val="auto"/>
          <w:sz w:val="24"/>
          <w:highlight w:val="none"/>
        </w:rPr>
        <w:t xml:space="preserve">  本合同履行过程中发生的任何争议，双方当事人均可通过和解或者调解解决；不愿和解、调解或者和解、调解不成的，可以选择以下第</w:t>
      </w:r>
      <w:r>
        <w:rPr>
          <w:rFonts w:hint="eastAsia" w:ascii="宋体" w:hAnsi="宋体" w:cs="宋体"/>
          <w:b/>
          <w:color w:val="auto"/>
          <w:sz w:val="24"/>
          <w:highlight w:val="none"/>
          <w:u w:val="single"/>
        </w:rPr>
        <w:t xml:space="preserve">      </w:t>
      </w:r>
      <w:r>
        <w:rPr>
          <w:rFonts w:hint="eastAsia" w:ascii="宋体" w:hAnsi="宋体" w:cs="宋体"/>
          <w:color w:val="auto"/>
          <w:sz w:val="24"/>
          <w:highlight w:val="none"/>
        </w:rPr>
        <w:t>条款规定的方式解决：</w:t>
      </w:r>
    </w:p>
    <w:p w14:paraId="50008EB7">
      <w:pPr>
        <w:spacing w:line="360" w:lineRule="auto"/>
        <w:ind w:firstLine="600" w:firstLineChars="250"/>
        <w:rPr>
          <w:rFonts w:ascii="宋体" w:hAnsi="宋体" w:cs="宋体"/>
          <w:color w:val="auto"/>
          <w:sz w:val="24"/>
          <w:highlight w:val="none"/>
        </w:rPr>
      </w:pPr>
      <w:r>
        <w:rPr>
          <w:rFonts w:hint="eastAsia" w:ascii="宋体" w:hAnsi="宋体" w:cs="宋体"/>
          <w:color w:val="auto"/>
          <w:sz w:val="24"/>
          <w:highlight w:val="none"/>
        </w:rPr>
        <w:t>1.9.1 将争议提交</w:t>
      </w:r>
      <w:r>
        <w:rPr>
          <w:rFonts w:hint="eastAsia" w:ascii="宋体" w:hAnsi="宋体" w:cs="宋体"/>
          <w:b/>
          <w:color w:val="auto"/>
          <w:sz w:val="24"/>
          <w:highlight w:val="none"/>
          <w:u w:val="single"/>
        </w:rPr>
        <w:t>合同专用条款</w:t>
      </w:r>
      <w:r>
        <w:rPr>
          <w:rFonts w:hint="eastAsia" w:ascii="宋体" w:hAnsi="宋体" w:cs="宋体"/>
          <w:color w:val="auto"/>
          <w:sz w:val="24"/>
          <w:highlight w:val="none"/>
        </w:rPr>
        <w:t>仲裁委员会依申请仲裁时其现行有效的仲裁规则裁决；</w:t>
      </w:r>
    </w:p>
    <w:p w14:paraId="01C96471">
      <w:pPr>
        <w:spacing w:line="360" w:lineRule="auto"/>
        <w:ind w:firstLine="600" w:firstLineChars="250"/>
        <w:rPr>
          <w:rFonts w:ascii="宋体" w:hAnsi="宋体" w:cs="宋体"/>
          <w:color w:val="auto"/>
          <w:sz w:val="24"/>
          <w:highlight w:val="none"/>
        </w:rPr>
      </w:pPr>
      <w:r>
        <w:rPr>
          <w:rFonts w:hint="eastAsia" w:ascii="宋体" w:hAnsi="宋体" w:cs="宋体"/>
          <w:color w:val="auto"/>
          <w:sz w:val="24"/>
          <w:highlight w:val="none"/>
        </w:rPr>
        <w:t>1.9.2 向</w:t>
      </w:r>
      <w:r>
        <w:rPr>
          <w:rFonts w:hint="eastAsia" w:ascii="宋体" w:hAnsi="宋体" w:cs="宋体"/>
          <w:b/>
          <w:color w:val="auto"/>
          <w:sz w:val="24"/>
          <w:highlight w:val="none"/>
          <w:u w:val="single"/>
        </w:rPr>
        <w:t>合同专用条款</w:t>
      </w:r>
      <w:r>
        <w:rPr>
          <w:rFonts w:hint="eastAsia" w:ascii="宋体" w:hAnsi="宋体" w:cs="宋体"/>
          <w:color w:val="auto"/>
          <w:sz w:val="24"/>
          <w:highlight w:val="none"/>
        </w:rPr>
        <w:t>人民法院起诉。</w:t>
      </w:r>
    </w:p>
    <w:p w14:paraId="4E44E710">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2.0 合同生效</w:t>
      </w:r>
    </w:p>
    <w:p w14:paraId="1DBD29D0">
      <w:pPr>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本合同自双方当事人盖章签字时生效。</w:t>
      </w:r>
    </w:p>
    <w:p w14:paraId="336F1142">
      <w:pPr>
        <w:autoSpaceDE w:val="0"/>
        <w:autoSpaceDN w:val="0"/>
        <w:spacing w:line="360" w:lineRule="auto"/>
        <w:rPr>
          <w:rFonts w:ascii="宋体" w:hAnsi="宋体"/>
          <w:color w:val="auto"/>
          <w:sz w:val="24"/>
          <w:highlight w:val="none"/>
          <w:lang w:val="zh-CN"/>
        </w:rPr>
      </w:pPr>
    </w:p>
    <w:tbl>
      <w:tblPr>
        <w:tblStyle w:val="62"/>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0"/>
        <w:gridCol w:w="2628"/>
        <w:gridCol w:w="2156"/>
        <w:gridCol w:w="2306"/>
      </w:tblGrid>
      <w:tr w14:paraId="467B5FE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top w:val="single" w:color="auto" w:sz="4" w:space="0"/>
              <w:left w:val="single" w:color="auto" w:sz="4" w:space="0"/>
              <w:bottom w:val="single" w:color="auto" w:sz="2" w:space="0"/>
              <w:right w:val="single" w:color="auto" w:sz="2" w:space="0"/>
            </w:tcBorders>
            <w:vAlign w:val="center"/>
          </w:tcPr>
          <w:p w14:paraId="46738A09">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甲方（采购人</w:t>
            </w:r>
            <w:r>
              <w:rPr>
                <w:rFonts w:hint="eastAsia" w:ascii="宋体" w:hAnsi="宋体"/>
                <w:color w:val="auto"/>
                <w:sz w:val="24"/>
                <w:highlight w:val="none"/>
              </w:rPr>
              <w:t>、受采购人委托签订合同的单位或</w:t>
            </w:r>
            <w:r>
              <w:rPr>
                <w:rFonts w:hint="eastAsia" w:ascii="Calibri" w:hAnsi="Calibri"/>
                <w:color w:val="auto"/>
                <w:sz w:val="24"/>
                <w:highlight w:val="none"/>
              </w:rPr>
              <w:t>采购文件约定的合同甲方）</w:t>
            </w:r>
          </w:p>
        </w:tc>
        <w:tc>
          <w:tcPr>
            <w:tcW w:w="2437" w:type="pct"/>
            <w:gridSpan w:val="2"/>
            <w:tcBorders>
              <w:top w:val="single" w:color="auto" w:sz="4" w:space="0"/>
              <w:left w:val="single" w:color="auto" w:sz="2" w:space="0"/>
              <w:bottom w:val="single" w:color="auto" w:sz="2" w:space="0"/>
              <w:right w:val="single" w:color="auto" w:sz="4" w:space="0"/>
            </w:tcBorders>
            <w:vAlign w:val="center"/>
          </w:tcPr>
          <w:p w14:paraId="15C82519">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乙方（供应商）</w:t>
            </w:r>
          </w:p>
        </w:tc>
      </w:tr>
      <w:tr w14:paraId="12990DA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left w:val="single" w:color="auto" w:sz="4" w:space="0"/>
              <w:bottom w:val="single" w:color="auto" w:sz="2" w:space="0"/>
              <w:right w:val="single" w:color="auto" w:sz="2" w:space="0"/>
            </w:tcBorders>
            <w:vAlign w:val="center"/>
          </w:tcPr>
          <w:p w14:paraId="60E668E3">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017E5E04">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1CADB20">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单位名称（公章或合同章）</w:t>
            </w:r>
          </w:p>
        </w:tc>
        <w:tc>
          <w:tcPr>
            <w:tcW w:w="1259" w:type="pct"/>
            <w:tcBorders>
              <w:top w:val="single" w:color="auto" w:sz="2" w:space="0"/>
              <w:left w:val="single" w:color="auto" w:sz="2" w:space="0"/>
              <w:bottom w:val="single" w:color="auto" w:sz="2" w:space="0"/>
              <w:right w:val="single" w:color="auto" w:sz="4" w:space="0"/>
            </w:tcBorders>
            <w:vAlign w:val="center"/>
          </w:tcPr>
          <w:p w14:paraId="23D8DEAD">
            <w:pPr>
              <w:snapToGrid w:val="0"/>
              <w:spacing w:line="360" w:lineRule="auto"/>
              <w:jc w:val="center"/>
              <w:rPr>
                <w:rFonts w:ascii="Calibri" w:hAnsi="Calibri"/>
                <w:color w:val="auto"/>
                <w:spacing w:val="20"/>
                <w:sz w:val="24"/>
                <w:highlight w:val="none"/>
              </w:rPr>
            </w:pPr>
          </w:p>
        </w:tc>
      </w:tr>
      <w:tr w14:paraId="7B69911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left w:val="single" w:color="auto" w:sz="4" w:space="0"/>
              <w:bottom w:val="single" w:color="auto" w:sz="2" w:space="0"/>
              <w:right w:val="single" w:color="auto" w:sz="2" w:space="0"/>
            </w:tcBorders>
            <w:vAlign w:val="center"/>
          </w:tcPr>
          <w:p w14:paraId="3427636B">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法定代表人</w:t>
            </w:r>
          </w:p>
          <w:p w14:paraId="5A8AF34B">
            <w:pPr>
              <w:snapToGrid w:val="0"/>
              <w:spacing w:line="360" w:lineRule="auto"/>
              <w:ind w:firstLine="115" w:firstLineChars="48"/>
              <w:jc w:val="center"/>
              <w:rPr>
                <w:rFonts w:ascii="Calibri" w:hAnsi="Calibri"/>
                <w:color w:val="auto"/>
                <w:sz w:val="24"/>
                <w:highlight w:val="none"/>
              </w:rPr>
            </w:pPr>
            <w:r>
              <w:rPr>
                <w:rFonts w:hint="eastAsia" w:ascii="Calibri" w:hAnsi="Calibri"/>
                <w:color w:val="auto"/>
                <w:sz w:val="24"/>
                <w:highlight w:val="none"/>
              </w:rPr>
              <w:t>或其委托代理人（签章）</w:t>
            </w:r>
          </w:p>
        </w:tc>
        <w:tc>
          <w:tcPr>
            <w:tcW w:w="1436" w:type="pct"/>
            <w:vMerge w:val="restart"/>
            <w:tcBorders>
              <w:top w:val="single" w:color="auto" w:sz="2" w:space="0"/>
              <w:left w:val="single" w:color="auto" w:sz="2" w:space="0"/>
              <w:bottom w:val="single" w:color="auto" w:sz="2" w:space="0"/>
              <w:right w:val="single" w:color="auto" w:sz="2" w:space="0"/>
            </w:tcBorders>
            <w:vAlign w:val="center"/>
          </w:tcPr>
          <w:p w14:paraId="40BE78E3">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0ED25AA">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法定代表人</w:t>
            </w:r>
          </w:p>
          <w:p w14:paraId="3AAE2F8A">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或其委托代理人（签章）</w:t>
            </w:r>
          </w:p>
        </w:tc>
        <w:tc>
          <w:tcPr>
            <w:tcW w:w="1259" w:type="pct"/>
            <w:tcBorders>
              <w:top w:val="single" w:color="auto" w:sz="2" w:space="0"/>
              <w:left w:val="single" w:color="auto" w:sz="2" w:space="0"/>
              <w:bottom w:val="single" w:color="auto" w:sz="2" w:space="0"/>
              <w:right w:val="single" w:color="auto" w:sz="4" w:space="0"/>
            </w:tcBorders>
            <w:vAlign w:val="center"/>
          </w:tcPr>
          <w:p w14:paraId="3C035EA7">
            <w:pPr>
              <w:snapToGrid w:val="0"/>
              <w:spacing w:line="360" w:lineRule="auto"/>
              <w:jc w:val="center"/>
              <w:rPr>
                <w:rFonts w:ascii="Calibri" w:hAnsi="Calibri"/>
                <w:color w:val="auto"/>
                <w:sz w:val="24"/>
                <w:highlight w:val="none"/>
              </w:rPr>
            </w:pPr>
          </w:p>
        </w:tc>
      </w:tr>
      <w:tr w14:paraId="2362923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0" w:type="auto"/>
            <w:vMerge w:val="continue"/>
            <w:tcBorders>
              <w:top w:val="single" w:color="auto" w:sz="2" w:space="0"/>
              <w:left w:val="single" w:color="auto" w:sz="4" w:space="0"/>
              <w:bottom w:val="single" w:color="auto" w:sz="2" w:space="0"/>
              <w:right w:val="single" w:color="auto" w:sz="2" w:space="0"/>
            </w:tcBorders>
            <w:vAlign w:val="center"/>
          </w:tcPr>
          <w:p w14:paraId="39EEBC20">
            <w:pPr>
              <w:widowControl/>
              <w:adjustRightInd/>
              <w:spacing w:line="360" w:lineRule="auto"/>
              <w:jc w:val="left"/>
              <w:rPr>
                <w:rFonts w:ascii="Calibri" w:hAnsi="Calibri"/>
                <w:color w:val="auto"/>
                <w:sz w:val="24"/>
                <w:highlight w:val="none"/>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14:paraId="1F55157D">
            <w:pPr>
              <w:widowControl/>
              <w:adjustRightInd/>
              <w:spacing w:line="360" w:lineRule="auto"/>
              <w:jc w:val="left"/>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6ED2D89">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拥有者性别</w:t>
            </w:r>
          </w:p>
        </w:tc>
        <w:tc>
          <w:tcPr>
            <w:tcW w:w="1259" w:type="pct"/>
            <w:tcBorders>
              <w:top w:val="single" w:color="auto" w:sz="2" w:space="0"/>
              <w:left w:val="single" w:color="auto" w:sz="2" w:space="0"/>
              <w:bottom w:val="single" w:color="auto" w:sz="2" w:space="0"/>
              <w:right w:val="single" w:color="auto" w:sz="4" w:space="0"/>
            </w:tcBorders>
            <w:vAlign w:val="center"/>
          </w:tcPr>
          <w:p w14:paraId="3058D6B5">
            <w:pPr>
              <w:snapToGrid w:val="0"/>
              <w:spacing w:line="360" w:lineRule="auto"/>
              <w:jc w:val="center"/>
              <w:rPr>
                <w:rFonts w:ascii="Calibri" w:hAnsi="Calibri"/>
                <w:color w:val="auto"/>
                <w:spacing w:val="20"/>
                <w:sz w:val="24"/>
                <w:highlight w:val="none"/>
              </w:rPr>
            </w:pPr>
          </w:p>
        </w:tc>
      </w:tr>
      <w:tr w14:paraId="26448AE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177C1D3C">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住</w:t>
            </w:r>
            <w:r>
              <w:rPr>
                <w:rFonts w:ascii="Calibri" w:hAnsi="Calibri"/>
                <w:color w:val="auto"/>
                <w:sz w:val="24"/>
                <w:highlight w:val="none"/>
              </w:rPr>
              <w:t xml:space="preserve">  </w:t>
            </w:r>
            <w:r>
              <w:rPr>
                <w:rFonts w:hint="eastAsia" w:ascii="Calibri" w:hAnsi="Calibri"/>
                <w:color w:val="auto"/>
                <w:sz w:val="24"/>
                <w:highlight w:val="none"/>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4F0F1D26">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508D51D">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住</w:t>
            </w:r>
            <w:r>
              <w:rPr>
                <w:rFonts w:ascii="Calibri" w:hAnsi="Calibri"/>
                <w:color w:val="auto"/>
                <w:sz w:val="24"/>
                <w:highlight w:val="none"/>
              </w:rPr>
              <w:t xml:space="preserve">  </w:t>
            </w:r>
            <w:r>
              <w:rPr>
                <w:rFonts w:hint="eastAsia" w:ascii="Calibri" w:hAnsi="Calibri"/>
                <w:color w:val="auto"/>
                <w:sz w:val="24"/>
                <w:highlight w:val="none"/>
              </w:rPr>
              <w:t>所</w:t>
            </w:r>
          </w:p>
        </w:tc>
        <w:tc>
          <w:tcPr>
            <w:tcW w:w="1259" w:type="pct"/>
            <w:tcBorders>
              <w:top w:val="single" w:color="auto" w:sz="2" w:space="0"/>
              <w:left w:val="single" w:color="auto" w:sz="2" w:space="0"/>
              <w:bottom w:val="single" w:color="auto" w:sz="2" w:space="0"/>
              <w:right w:val="single" w:color="auto" w:sz="4" w:space="0"/>
            </w:tcBorders>
            <w:vAlign w:val="center"/>
          </w:tcPr>
          <w:p w14:paraId="3589836C">
            <w:pPr>
              <w:snapToGrid w:val="0"/>
              <w:spacing w:line="360" w:lineRule="auto"/>
              <w:jc w:val="center"/>
              <w:rPr>
                <w:rFonts w:ascii="Calibri" w:hAnsi="Calibri"/>
                <w:color w:val="auto"/>
                <w:spacing w:val="20"/>
                <w:sz w:val="24"/>
                <w:highlight w:val="none"/>
              </w:rPr>
            </w:pPr>
          </w:p>
        </w:tc>
      </w:tr>
      <w:tr w14:paraId="7AC1FF1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1ADB14C8">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联</w:t>
            </w:r>
            <w:r>
              <w:rPr>
                <w:rFonts w:ascii="Calibri" w:hAnsi="Calibri"/>
                <w:color w:val="auto"/>
                <w:sz w:val="24"/>
                <w:highlight w:val="none"/>
              </w:rPr>
              <w:t xml:space="preserve"> </w:t>
            </w:r>
            <w:r>
              <w:rPr>
                <w:rFonts w:hint="eastAsia" w:ascii="Calibri" w:hAnsi="Calibri"/>
                <w:color w:val="auto"/>
                <w:sz w:val="24"/>
                <w:highlight w:val="none"/>
              </w:rPr>
              <w:t>系</w:t>
            </w:r>
            <w:r>
              <w:rPr>
                <w:rFonts w:ascii="Calibri" w:hAnsi="Calibri"/>
                <w:color w:val="auto"/>
                <w:sz w:val="24"/>
                <w:highlight w:val="none"/>
              </w:rPr>
              <w:t xml:space="preserve"> </w:t>
            </w:r>
            <w:r>
              <w:rPr>
                <w:rFonts w:hint="eastAsia" w:ascii="Calibri" w:hAnsi="Calibri"/>
                <w:color w:val="auto"/>
                <w:sz w:val="24"/>
                <w:highlight w:val="none"/>
              </w:rPr>
              <w:t>人</w:t>
            </w:r>
          </w:p>
        </w:tc>
        <w:tc>
          <w:tcPr>
            <w:tcW w:w="1436" w:type="pct"/>
            <w:tcBorders>
              <w:top w:val="single" w:color="auto" w:sz="2" w:space="0"/>
              <w:left w:val="single" w:color="auto" w:sz="2" w:space="0"/>
              <w:bottom w:val="single" w:color="auto" w:sz="2" w:space="0"/>
              <w:right w:val="single" w:color="auto" w:sz="2" w:space="0"/>
            </w:tcBorders>
            <w:vAlign w:val="center"/>
          </w:tcPr>
          <w:p w14:paraId="31AC2037">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DFD01FF">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联</w:t>
            </w:r>
            <w:r>
              <w:rPr>
                <w:rFonts w:ascii="Calibri" w:hAnsi="Calibri"/>
                <w:color w:val="auto"/>
                <w:sz w:val="24"/>
                <w:highlight w:val="none"/>
              </w:rPr>
              <w:t xml:space="preserve"> </w:t>
            </w:r>
            <w:r>
              <w:rPr>
                <w:rFonts w:hint="eastAsia" w:ascii="Calibri" w:hAnsi="Calibri"/>
                <w:color w:val="auto"/>
                <w:sz w:val="24"/>
                <w:highlight w:val="none"/>
              </w:rPr>
              <w:t>系</w:t>
            </w:r>
            <w:r>
              <w:rPr>
                <w:rFonts w:ascii="Calibri" w:hAnsi="Calibri"/>
                <w:color w:val="auto"/>
                <w:sz w:val="24"/>
                <w:highlight w:val="none"/>
              </w:rPr>
              <w:t xml:space="preserve"> </w:t>
            </w:r>
            <w:r>
              <w:rPr>
                <w:rFonts w:hint="eastAsia" w:ascii="Calibri" w:hAnsi="Calibri"/>
                <w:color w:val="auto"/>
                <w:sz w:val="24"/>
                <w:highlight w:val="none"/>
              </w:rPr>
              <w:t>人</w:t>
            </w:r>
          </w:p>
        </w:tc>
        <w:tc>
          <w:tcPr>
            <w:tcW w:w="1259" w:type="pct"/>
            <w:tcBorders>
              <w:top w:val="single" w:color="auto" w:sz="2" w:space="0"/>
              <w:left w:val="single" w:color="auto" w:sz="2" w:space="0"/>
              <w:bottom w:val="single" w:color="auto" w:sz="2" w:space="0"/>
              <w:right w:val="single" w:color="auto" w:sz="4" w:space="0"/>
            </w:tcBorders>
            <w:vAlign w:val="center"/>
          </w:tcPr>
          <w:p w14:paraId="48310B8C">
            <w:pPr>
              <w:snapToGrid w:val="0"/>
              <w:spacing w:line="360" w:lineRule="auto"/>
              <w:jc w:val="center"/>
              <w:rPr>
                <w:rFonts w:ascii="Calibri" w:hAnsi="Calibri"/>
                <w:color w:val="auto"/>
                <w:spacing w:val="20"/>
                <w:sz w:val="24"/>
                <w:highlight w:val="none"/>
              </w:rPr>
            </w:pPr>
          </w:p>
        </w:tc>
      </w:tr>
      <w:tr w14:paraId="0A2E75E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187C37BE">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05D2D2BC">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F2F4C68">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联系电话</w:t>
            </w:r>
          </w:p>
        </w:tc>
        <w:tc>
          <w:tcPr>
            <w:tcW w:w="1259" w:type="pct"/>
            <w:tcBorders>
              <w:top w:val="single" w:color="auto" w:sz="2" w:space="0"/>
              <w:left w:val="single" w:color="auto" w:sz="2" w:space="0"/>
              <w:bottom w:val="single" w:color="auto" w:sz="2" w:space="0"/>
              <w:right w:val="single" w:color="auto" w:sz="4" w:space="0"/>
            </w:tcBorders>
            <w:vAlign w:val="center"/>
          </w:tcPr>
          <w:p w14:paraId="1636EF34">
            <w:pPr>
              <w:snapToGrid w:val="0"/>
              <w:spacing w:line="360" w:lineRule="auto"/>
              <w:jc w:val="center"/>
              <w:rPr>
                <w:rFonts w:ascii="Calibri" w:hAnsi="Calibri"/>
                <w:color w:val="auto"/>
                <w:spacing w:val="20"/>
                <w:sz w:val="24"/>
                <w:highlight w:val="none"/>
              </w:rPr>
            </w:pPr>
          </w:p>
        </w:tc>
      </w:tr>
      <w:tr w14:paraId="4FA6A0B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295BB560">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34EDD304">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B7A813D">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通信地址</w:t>
            </w:r>
          </w:p>
        </w:tc>
        <w:tc>
          <w:tcPr>
            <w:tcW w:w="1259" w:type="pct"/>
            <w:tcBorders>
              <w:top w:val="single" w:color="auto" w:sz="2" w:space="0"/>
              <w:left w:val="single" w:color="auto" w:sz="2" w:space="0"/>
              <w:bottom w:val="single" w:color="auto" w:sz="2" w:space="0"/>
              <w:right w:val="single" w:color="auto" w:sz="4" w:space="0"/>
            </w:tcBorders>
            <w:vAlign w:val="center"/>
          </w:tcPr>
          <w:p w14:paraId="5E6DEDD5">
            <w:pPr>
              <w:snapToGrid w:val="0"/>
              <w:spacing w:line="360" w:lineRule="auto"/>
              <w:jc w:val="center"/>
              <w:rPr>
                <w:rFonts w:ascii="Calibri" w:hAnsi="Calibri"/>
                <w:color w:val="auto"/>
                <w:spacing w:val="20"/>
                <w:sz w:val="24"/>
                <w:highlight w:val="none"/>
              </w:rPr>
            </w:pPr>
          </w:p>
        </w:tc>
      </w:tr>
      <w:tr w14:paraId="53684A5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6AA13C28">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051BE8D5">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034FA9F">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邮政编码</w:t>
            </w:r>
          </w:p>
        </w:tc>
        <w:tc>
          <w:tcPr>
            <w:tcW w:w="1259" w:type="pct"/>
            <w:tcBorders>
              <w:top w:val="single" w:color="auto" w:sz="2" w:space="0"/>
              <w:left w:val="single" w:color="auto" w:sz="2" w:space="0"/>
              <w:bottom w:val="single" w:color="auto" w:sz="2" w:space="0"/>
              <w:right w:val="single" w:color="auto" w:sz="4" w:space="0"/>
            </w:tcBorders>
            <w:vAlign w:val="center"/>
          </w:tcPr>
          <w:p w14:paraId="28561B64">
            <w:pPr>
              <w:snapToGrid w:val="0"/>
              <w:spacing w:line="360" w:lineRule="auto"/>
              <w:jc w:val="center"/>
              <w:rPr>
                <w:rFonts w:ascii="Calibri" w:hAnsi="Calibri"/>
                <w:color w:val="auto"/>
                <w:spacing w:val="20"/>
                <w:sz w:val="24"/>
                <w:highlight w:val="none"/>
              </w:rPr>
            </w:pPr>
          </w:p>
        </w:tc>
      </w:tr>
      <w:tr w14:paraId="2441338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054D85D6">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09D8DFEF">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696F0A6">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电子邮箱</w:t>
            </w:r>
          </w:p>
        </w:tc>
        <w:tc>
          <w:tcPr>
            <w:tcW w:w="1259" w:type="pct"/>
            <w:tcBorders>
              <w:top w:val="single" w:color="auto" w:sz="2" w:space="0"/>
              <w:left w:val="single" w:color="auto" w:sz="2" w:space="0"/>
              <w:bottom w:val="single" w:color="auto" w:sz="2" w:space="0"/>
              <w:right w:val="single" w:color="auto" w:sz="4" w:space="0"/>
            </w:tcBorders>
            <w:vAlign w:val="center"/>
          </w:tcPr>
          <w:p w14:paraId="415A0B7D">
            <w:pPr>
              <w:snapToGrid w:val="0"/>
              <w:spacing w:line="360" w:lineRule="auto"/>
              <w:jc w:val="center"/>
              <w:rPr>
                <w:rFonts w:ascii="Calibri" w:hAnsi="Calibri"/>
                <w:color w:val="auto"/>
                <w:spacing w:val="20"/>
                <w:sz w:val="24"/>
                <w:highlight w:val="none"/>
              </w:rPr>
            </w:pPr>
          </w:p>
        </w:tc>
      </w:tr>
      <w:tr w14:paraId="615DCF2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0F625999">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19FDAB1A">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C895F6C">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统一社会信用代码</w:t>
            </w:r>
          </w:p>
        </w:tc>
        <w:tc>
          <w:tcPr>
            <w:tcW w:w="1259" w:type="pct"/>
            <w:tcBorders>
              <w:top w:val="single" w:color="auto" w:sz="2" w:space="0"/>
              <w:left w:val="single" w:color="auto" w:sz="2" w:space="0"/>
              <w:bottom w:val="single" w:color="auto" w:sz="2" w:space="0"/>
              <w:right w:val="single" w:color="auto" w:sz="4" w:space="0"/>
            </w:tcBorders>
            <w:vAlign w:val="center"/>
          </w:tcPr>
          <w:p w14:paraId="2D3F060D">
            <w:pPr>
              <w:snapToGrid w:val="0"/>
              <w:spacing w:line="360" w:lineRule="auto"/>
              <w:jc w:val="center"/>
              <w:rPr>
                <w:rFonts w:ascii="Calibri" w:hAnsi="Calibri"/>
                <w:color w:val="auto"/>
                <w:spacing w:val="20"/>
                <w:sz w:val="24"/>
                <w:highlight w:val="none"/>
              </w:rPr>
            </w:pPr>
          </w:p>
        </w:tc>
      </w:tr>
      <w:tr w14:paraId="5BC1E26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039881C2">
            <w:pPr>
              <w:snapToGrid w:val="0"/>
              <w:spacing w:line="360" w:lineRule="auto"/>
              <w:jc w:val="center"/>
              <w:rPr>
                <w:rFonts w:ascii="Calibri" w:hAnsi="Calibri"/>
                <w:color w:val="auto"/>
                <w:sz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25299BDF">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1D1910DF">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开户名称</w:t>
            </w:r>
          </w:p>
        </w:tc>
        <w:tc>
          <w:tcPr>
            <w:tcW w:w="1259" w:type="pct"/>
            <w:tcBorders>
              <w:top w:val="single" w:color="auto" w:sz="2" w:space="0"/>
              <w:left w:val="single" w:color="auto" w:sz="2" w:space="0"/>
              <w:bottom w:val="single" w:color="auto" w:sz="2" w:space="0"/>
              <w:right w:val="single" w:color="auto" w:sz="4" w:space="0"/>
            </w:tcBorders>
            <w:vAlign w:val="center"/>
          </w:tcPr>
          <w:p w14:paraId="1D57C349">
            <w:pPr>
              <w:snapToGrid w:val="0"/>
              <w:spacing w:line="360" w:lineRule="auto"/>
              <w:jc w:val="center"/>
              <w:rPr>
                <w:rFonts w:ascii="Calibri" w:hAnsi="Calibri"/>
                <w:color w:val="auto"/>
                <w:spacing w:val="20"/>
                <w:sz w:val="24"/>
                <w:highlight w:val="none"/>
              </w:rPr>
            </w:pPr>
          </w:p>
        </w:tc>
      </w:tr>
      <w:tr w14:paraId="3ADBC5C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1409035E">
            <w:pPr>
              <w:snapToGrid w:val="0"/>
              <w:spacing w:line="360" w:lineRule="auto"/>
              <w:jc w:val="center"/>
              <w:rPr>
                <w:rFonts w:ascii="Calibri" w:hAnsi="Calibri"/>
                <w:color w:val="auto"/>
                <w:sz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5E7C4AD4">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4A60725">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开户银行</w:t>
            </w:r>
          </w:p>
        </w:tc>
        <w:tc>
          <w:tcPr>
            <w:tcW w:w="1259" w:type="pct"/>
            <w:tcBorders>
              <w:top w:val="single" w:color="auto" w:sz="2" w:space="0"/>
              <w:left w:val="single" w:color="auto" w:sz="2" w:space="0"/>
              <w:bottom w:val="single" w:color="auto" w:sz="2" w:space="0"/>
              <w:right w:val="single" w:color="auto" w:sz="4" w:space="0"/>
            </w:tcBorders>
            <w:vAlign w:val="center"/>
          </w:tcPr>
          <w:p w14:paraId="7DF8EB67">
            <w:pPr>
              <w:snapToGrid w:val="0"/>
              <w:spacing w:line="360" w:lineRule="auto"/>
              <w:jc w:val="center"/>
              <w:rPr>
                <w:rFonts w:ascii="Calibri" w:hAnsi="Calibri"/>
                <w:color w:val="auto"/>
                <w:spacing w:val="20"/>
                <w:sz w:val="24"/>
                <w:highlight w:val="none"/>
              </w:rPr>
            </w:pPr>
          </w:p>
        </w:tc>
      </w:tr>
      <w:tr w14:paraId="3EE6F09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1E69F370">
            <w:pPr>
              <w:snapToGrid w:val="0"/>
              <w:spacing w:line="360" w:lineRule="auto"/>
              <w:jc w:val="center"/>
              <w:rPr>
                <w:rFonts w:ascii="Calibri" w:hAnsi="Calibri"/>
                <w:color w:val="auto"/>
                <w:sz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0BE1AD42">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3086B9F">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银行账号</w:t>
            </w:r>
          </w:p>
        </w:tc>
        <w:tc>
          <w:tcPr>
            <w:tcW w:w="1259" w:type="pct"/>
            <w:tcBorders>
              <w:top w:val="single" w:color="auto" w:sz="2" w:space="0"/>
              <w:left w:val="single" w:color="auto" w:sz="2" w:space="0"/>
              <w:bottom w:val="single" w:color="auto" w:sz="2" w:space="0"/>
              <w:right w:val="single" w:color="auto" w:sz="4" w:space="0"/>
            </w:tcBorders>
            <w:vAlign w:val="center"/>
          </w:tcPr>
          <w:p w14:paraId="1FC48F85">
            <w:pPr>
              <w:snapToGrid w:val="0"/>
              <w:spacing w:line="360" w:lineRule="auto"/>
              <w:jc w:val="center"/>
              <w:rPr>
                <w:rFonts w:ascii="Calibri" w:hAnsi="Calibri"/>
                <w:color w:val="auto"/>
                <w:spacing w:val="20"/>
                <w:sz w:val="24"/>
                <w:highlight w:val="none"/>
              </w:rPr>
            </w:pPr>
          </w:p>
        </w:tc>
      </w:tr>
      <w:tr w14:paraId="788C175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left w:val="single" w:color="auto" w:sz="4" w:space="0"/>
              <w:bottom w:val="single" w:color="auto" w:sz="4" w:space="0"/>
              <w:right w:val="single" w:color="auto" w:sz="4" w:space="0"/>
            </w:tcBorders>
            <w:vAlign w:val="center"/>
          </w:tcPr>
          <w:p w14:paraId="0F8186E2">
            <w:pPr>
              <w:snapToGrid w:val="0"/>
              <w:spacing w:line="360" w:lineRule="auto"/>
              <w:jc w:val="left"/>
              <w:rPr>
                <w:rFonts w:ascii="Calibri" w:hAnsi="Calibri"/>
                <w:color w:val="auto"/>
                <w:spacing w:val="20"/>
                <w:sz w:val="24"/>
                <w:highlight w:val="none"/>
              </w:rPr>
            </w:pPr>
            <w:r>
              <w:rPr>
                <w:rFonts w:hint="eastAsia" w:ascii="宋体" w:hAnsi="宋体"/>
                <w:color w:val="auto"/>
                <w:sz w:val="24"/>
                <w:highlight w:val="none"/>
              </w:rPr>
              <w:t>注：涉及联合体或其他合同主体的信息应按上表格式加列。</w:t>
            </w:r>
          </w:p>
        </w:tc>
      </w:tr>
    </w:tbl>
    <w:p w14:paraId="3A0DEE60">
      <w:pPr>
        <w:rPr>
          <w:rFonts w:ascii="宋体" w:hAnsi="宋体"/>
          <w:b/>
          <w:color w:val="auto"/>
          <w:sz w:val="24"/>
          <w:highlight w:val="none"/>
        </w:rPr>
      </w:pPr>
      <w:r>
        <w:rPr>
          <w:rFonts w:ascii="宋体" w:hAnsi="宋体"/>
          <w:b/>
          <w:color w:val="auto"/>
          <w:sz w:val="24"/>
          <w:highlight w:val="none"/>
        </w:rPr>
        <w:br w:type="page"/>
      </w:r>
    </w:p>
    <w:p w14:paraId="3E362053">
      <w:pPr>
        <w:widowControl/>
        <w:spacing w:line="360" w:lineRule="auto"/>
        <w:jc w:val="left"/>
        <w:rPr>
          <w:rFonts w:ascii="宋体" w:hAnsi="宋体"/>
          <w:b/>
          <w:color w:val="auto"/>
          <w:sz w:val="24"/>
          <w:highlight w:val="none"/>
        </w:rPr>
      </w:pPr>
    </w:p>
    <w:p w14:paraId="1A97044E">
      <w:pPr>
        <w:pStyle w:val="284"/>
        <w:spacing w:after="0"/>
        <w:ind w:firstLine="482"/>
        <w:jc w:val="center"/>
        <w:outlineLvl w:val="1"/>
        <w:rPr>
          <w:rFonts w:ascii="宋体" w:hAnsi="宋体"/>
          <w:b/>
          <w:color w:val="auto"/>
          <w:szCs w:val="24"/>
          <w:highlight w:val="none"/>
        </w:rPr>
      </w:pPr>
      <w:r>
        <w:rPr>
          <w:rFonts w:hint="eastAsia" w:ascii="宋体" w:hAnsi="宋体"/>
          <w:b/>
          <w:color w:val="auto"/>
          <w:szCs w:val="24"/>
          <w:highlight w:val="none"/>
        </w:rPr>
        <w:t>第二节</w:t>
      </w:r>
      <w:r>
        <w:rPr>
          <w:rFonts w:ascii="宋体" w:hAnsi="宋体"/>
          <w:b/>
          <w:color w:val="auto"/>
          <w:szCs w:val="24"/>
          <w:highlight w:val="none"/>
        </w:rPr>
        <w:t xml:space="preserve"> </w:t>
      </w:r>
      <w:r>
        <w:rPr>
          <w:rFonts w:hint="eastAsia" w:ascii="宋体" w:hAnsi="宋体"/>
          <w:b/>
          <w:color w:val="auto"/>
          <w:szCs w:val="24"/>
          <w:highlight w:val="none"/>
        </w:rPr>
        <w:t>合同一般条款</w:t>
      </w:r>
    </w:p>
    <w:p w14:paraId="6BFBC155">
      <w:pPr>
        <w:spacing w:line="360" w:lineRule="auto"/>
        <w:ind w:firstLine="482" w:firstLineChars="200"/>
        <w:rPr>
          <w:rFonts w:ascii="宋体" w:hAnsi="宋体"/>
          <w:b/>
          <w:color w:val="auto"/>
          <w:sz w:val="24"/>
          <w:highlight w:val="none"/>
        </w:rPr>
      </w:pPr>
      <w:bookmarkStart w:id="101" w:name="_Toc31297"/>
      <w:bookmarkStart w:id="102" w:name="_Toc19680"/>
      <w:bookmarkStart w:id="103" w:name="_Toc5228"/>
      <w:bookmarkStart w:id="104" w:name="_Toc14021"/>
      <w:bookmarkStart w:id="105" w:name="_Toc25079"/>
      <w:r>
        <w:rPr>
          <w:rFonts w:ascii="宋体" w:hAnsi="宋体"/>
          <w:b/>
          <w:color w:val="auto"/>
          <w:sz w:val="24"/>
          <w:highlight w:val="none"/>
        </w:rPr>
        <w:t>2.1 定义</w:t>
      </w:r>
      <w:bookmarkEnd w:id="101"/>
      <w:bookmarkEnd w:id="102"/>
      <w:bookmarkEnd w:id="103"/>
      <w:bookmarkEnd w:id="104"/>
      <w:bookmarkEnd w:id="105"/>
    </w:p>
    <w:p w14:paraId="020D494E">
      <w:pPr>
        <w:spacing w:line="360" w:lineRule="auto"/>
        <w:ind w:firstLine="480" w:firstLineChars="200"/>
        <w:rPr>
          <w:rFonts w:ascii="宋体" w:hAnsi="宋体"/>
          <w:color w:val="auto"/>
          <w:sz w:val="24"/>
          <w:highlight w:val="none"/>
        </w:rPr>
      </w:pPr>
      <w:r>
        <w:rPr>
          <w:rFonts w:ascii="宋体" w:hAnsi="宋体"/>
          <w:color w:val="auto"/>
          <w:sz w:val="24"/>
          <w:highlight w:val="none"/>
        </w:rPr>
        <w:t>本合同中的下列</w:t>
      </w:r>
      <w:r>
        <w:rPr>
          <w:rFonts w:hint="eastAsia" w:ascii="宋体" w:hAnsi="宋体"/>
          <w:color w:val="auto"/>
          <w:sz w:val="24"/>
          <w:highlight w:val="none"/>
        </w:rPr>
        <w:t>词</w:t>
      </w:r>
      <w:r>
        <w:rPr>
          <w:rFonts w:ascii="宋体" w:hAnsi="宋体"/>
          <w:color w:val="auto"/>
          <w:sz w:val="24"/>
          <w:highlight w:val="none"/>
        </w:rPr>
        <w:t>语应</w:t>
      </w:r>
      <w:r>
        <w:rPr>
          <w:rFonts w:hint="eastAsia" w:ascii="宋体" w:hAnsi="宋体"/>
          <w:color w:val="auto"/>
          <w:sz w:val="24"/>
          <w:highlight w:val="none"/>
        </w:rPr>
        <w:t>按以下内容进行</w:t>
      </w:r>
      <w:r>
        <w:rPr>
          <w:rFonts w:ascii="宋体" w:hAnsi="宋体"/>
          <w:color w:val="auto"/>
          <w:sz w:val="24"/>
          <w:highlight w:val="none"/>
        </w:rPr>
        <w:t>解释：</w:t>
      </w:r>
    </w:p>
    <w:p w14:paraId="5DD1602F">
      <w:pPr>
        <w:spacing w:line="360" w:lineRule="auto"/>
        <w:ind w:firstLine="480" w:firstLineChars="200"/>
        <w:rPr>
          <w:rFonts w:ascii="宋体" w:hAnsi="宋体"/>
          <w:color w:val="auto"/>
          <w:sz w:val="24"/>
          <w:highlight w:val="none"/>
        </w:rPr>
      </w:pPr>
      <w:r>
        <w:rPr>
          <w:rFonts w:ascii="宋体" w:hAnsi="宋体"/>
          <w:color w:val="auto"/>
          <w:sz w:val="24"/>
          <w:highlight w:val="none"/>
        </w:rPr>
        <w:t>2.1.1 “合同”系指采购人和</w:t>
      </w:r>
      <w:r>
        <w:rPr>
          <w:rFonts w:hint="eastAsia" w:ascii="宋体" w:hAnsi="宋体" w:cs="宋体"/>
          <w:color w:val="auto"/>
          <w:sz w:val="24"/>
          <w:highlight w:val="none"/>
        </w:rPr>
        <w:t>成交</w:t>
      </w:r>
      <w:r>
        <w:rPr>
          <w:rFonts w:ascii="宋体" w:hAnsi="宋体"/>
          <w:color w:val="auto"/>
          <w:sz w:val="24"/>
          <w:highlight w:val="none"/>
        </w:rPr>
        <w:t>供应商签订的载明双方当事人所达成的协议，并包括所有的附件、附录和构成合同的其他文件。</w:t>
      </w:r>
    </w:p>
    <w:p w14:paraId="7B21B5C5">
      <w:pPr>
        <w:spacing w:line="360" w:lineRule="auto"/>
        <w:ind w:firstLine="480" w:firstLineChars="200"/>
        <w:rPr>
          <w:rFonts w:ascii="宋体" w:hAnsi="宋体"/>
          <w:color w:val="auto"/>
          <w:sz w:val="24"/>
          <w:highlight w:val="none"/>
        </w:rPr>
      </w:pPr>
      <w:r>
        <w:rPr>
          <w:rFonts w:ascii="宋体" w:hAnsi="宋体"/>
          <w:color w:val="auto"/>
          <w:sz w:val="24"/>
          <w:highlight w:val="none"/>
        </w:rPr>
        <w:t>2.1.2 “合同价”系指根据合同约定，</w:t>
      </w:r>
      <w:r>
        <w:rPr>
          <w:rFonts w:hint="eastAsia" w:ascii="宋体" w:hAnsi="宋体" w:cs="宋体"/>
          <w:color w:val="auto"/>
          <w:sz w:val="24"/>
          <w:highlight w:val="none"/>
        </w:rPr>
        <w:t>中标或成交</w:t>
      </w:r>
      <w:r>
        <w:rPr>
          <w:rFonts w:ascii="宋体" w:hAnsi="宋体"/>
          <w:color w:val="auto"/>
          <w:sz w:val="24"/>
          <w:highlight w:val="none"/>
        </w:rPr>
        <w:t>供应商在完全履行合同义务后</w:t>
      </w:r>
      <w:r>
        <w:rPr>
          <w:rFonts w:hint="eastAsia" w:ascii="宋体" w:hAnsi="宋体"/>
          <w:color w:val="auto"/>
          <w:sz w:val="24"/>
          <w:highlight w:val="none"/>
        </w:rPr>
        <w:t>，</w:t>
      </w:r>
      <w:r>
        <w:rPr>
          <w:rFonts w:ascii="宋体" w:hAnsi="宋体"/>
          <w:color w:val="auto"/>
          <w:sz w:val="24"/>
          <w:highlight w:val="none"/>
        </w:rPr>
        <w:t>采购人应支付给</w:t>
      </w:r>
      <w:r>
        <w:rPr>
          <w:rFonts w:hint="eastAsia" w:ascii="宋体" w:hAnsi="宋体" w:cs="宋体"/>
          <w:color w:val="auto"/>
          <w:sz w:val="24"/>
          <w:highlight w:val="none"/>
        </w:rPr>
        <w:t>中标或成交</w:t>
      </w:r>
      <w:r>
        <w:rPr>
          <w:rFonts w:ascii="宋体" w:hAnsi="宋体"/>
          <w:color w:val="auto"/>
          <w:sz w:val="24"/>
          <w:highlight w:val="none"/>
        </w:rPr>
        <w:t>供应商的价格。</w:t>
      </w:r>
    </w:p>
    <w:p w14:paraId="3ADF67A9">
      <w:pPr>
        <w:spacing w:line="360" w:lineRule="auto"/>
        <w:ind w:firstLine="480" w:firstLineChars="200"/>
        <w:rPr>
          <w:rFonts w:ascii="宋体" w:hAnsi="宋体"/>
          <w:color w:val="auto"/>
          <w:sz w:val="24"/>
          <w:highlight w:val="none"/>
        </w:rPr>
      </w:pPr>
      <w:r>
        <w:rPr>
          <w:rFonts w:ascii="宋体" w:hAnsi="宋体"/>
          <w:color w:val="auto"/>
          <w:sz w:val="24"/>
          <w:highlight w:val="none"/>
        </w:rPr>
        <w:t>2.1.3 “</w:t>
      </w:r>
      <w:r>
        <w:rPr>
          <w:rFonts w:hint="eastAsia" w:ascii="宋体" w:hAnsi="宋体"/>
          <w:color w:val="auto"/>
          <w:sz w:val="24"/>
          <w:highlight w:val="none"/>
        </w:rPr>
        <w:t>服务</w:t>
      </w:r>
      <w:r>
        <w:rPr>
          <w:rFonts w:ascii="宋体" w:hAnsi="宋体"/>
          <w:color w:val="auto"/>
          <w:sz w:val="24"/>
          <w:highlight w:val="none"/>
        </w:rPr>
        <w:t>”系指</w:t>
      </w:r>
      <w:r>
        <w:rPr>
          <w:rFonts w:hint="eastAsia" w:ascii="宋体" w:hAnsi="宋体" w:cs="宋体"/>
          <w:color w:val="auto"/>
          <w:sz w:val="24"/>
          <w:highlight w:val="none"/>
        </w:rPr>
        <w:t>中标或成交</w:t>
      </w:r>
      <w:r>
        <w:rPr>
          <w:rFonts w:hint="eastAsia" w:ascii="宋体" w:hAnsi="宋体"/>
          <w:color w:val="auto"/>
          <w:sz w:val="24"/>
          <w:highlight w:val="none"/>
        </w:rPr>
        <w:t>供应商</w:t>
      </w:r>
      <w:r>
        <w:rPr>
          <w:rFonts w:ascii="宋体" w:hAnsi="宋体"/>
          <w:color w:val="auto"/>
          <w:sz w:val="24"/>
          <w:highlight w:val="none"/>
        </w:rPr>
        <w:t>根据合同约定应向采购人</w:t>
      </w:r>
      <w:r>
        <w:rPr>
          <w:rFonts w:hint="eastAsia" w:ascii="宋体" w:hAnsi="宋体"/>
          <w:color w:val="auto"/>
          <w:sz w:val="24"/>
          <w:highlight w:val="none"/>
        </w:rPr>
        <w:t>履行</w:t>
      </w:r>
      <w:r>
        <w:rPr>
          <w:rFonts w:ascii="宋体" w:hAnsi="宋体"/>
          <w:color w:val="auto"/>
          <w:sz w:val="24"/>
          <w:highlight w:val="none"/>
        </w:rPr>
        <w:t>的</w:t>
      </w:r>
      <w:r>
        <w:rPr>
          <w:rFonts w:hint="eastAsia" w:ascii="宋体" w:hAnsi="宋体"/>
          <w:color w:val="auto"/>
          <w:sz w:val="24"/>
          <w:highlight w:val="none"/>
        </w:rPr>
        <w:t>除货物和工程以外的其他政府采购对象，包括采购人自身需要的服务和向社会公众提供的公共服务。</w:t>
      </w:r>
    </w:p>
    <w:p w14:paraId="5861056D">
      <w:pPr>
        <w:spacing w:line="360" w:lineRule="auto"/>
        <w:ind w:firstLine="480" w:firstLineChars="200"/>
        <w:rPr>
          <w:rFonts w:ascii="宋体" w:hAnsi="宋体"/>
          <w:color w:val="auto"/>
          <w:sz w:val="24"/>
          <w:highlight w:val="none"/>
        </w:rPr>
      </w:pPr>
      <w:r>
        <w:rPr>
          <w:rFonts w:ascii="宋体" w:hAnsi="宋体"/>
          <w:color w:val="auto"/>
          <w:sz w:val="24"/>
          <w:highlight w:val="none"/>
        </w:rPr>
        <w:t>2.1.4 “</w:t>
      </w:r>
      <w:r>
        <w:rPr>
          <w:rFonts w:hint="eastAsia" w:ascii="宋体" w:hAnsi="宋体"/>
          <w:color w:val="auto"/>
          <w:sz w:val="24"/>
          <w:highlight w:val="none"/>
        </w:rPr>
        <w:t>甲方</w:t>
      </w:r>
      <w:r>
        <w:rPr>
          <w:rFonts w:ascii="宋体" w:hAnsi="宋体"/>
          <w:color w:val="auto"/>
          <w:sz w:val="24"/>
          <w:highlight w:val="none"/>
        </w:rPr>
        <w:t>”系指与</w:t>
      </w:r>
      <w:r>
        <w:rPr>
          <w:rFonts w:hint="eastAsia" w:ascii="宋体" w:hAnsi="宋体" w:cs="宋体"/>
          <w:color w:val="auto"/>
          <w:sz w:val="24"/>
          <w:highlight w:val="none"/>
        </w:rPr>
        <w:t>中标或成交</w:t>
      </w:r>
      <w:r>
        <w:rPr>
          <w:rFonts w:hint="eastAsia" w:ascii="宋体" w:hAnsi="宋体"/>
          <w:color w:val="auto"/>
          <w:sz w:val="24"/>
          <w:highlight w:val="none"/>
        </w:rPr>
        <w:t>供应商</w:t>
      </w:r>
      <w:r>
        <w:rPr>
          <w:rFonts w:ascii="宋体" w:hAnsi="宋体"/>
          <w:color w:val="auto"/>
          <w:sz w:val="24"/>
          <w:highlight w:val="none"/>
        </w:rPr>
        <w:t>签署合同的采购人</w:t>
      </w:r>
      <w:r>
        <w:rPr>
          <w:rFonts w:hint="eastAsia" w:ascii="宋体" w:hAnsi="宋体"/>
          <w:color w:val="auto"/>
          <w:sz w:val="24"/>
          <w:highlight w:val="none"/>
        </w:rPr>
        <w:t>；采购人委托采购代理机构代表其与乙方签订合同的，采购人的授权委托书作为合同附件。</w:t>
      </w:r>
    </w:p>
    <w:p w14:paraId="2B301D1E">
      <w:pPr>
        <w:spacing w:line="360" w:lineRule="auto"/>
        <w:ind w:firstLine="480" w:firstLineChars="200"/>
        <w:rPr>
          <w:rFonts w:ascii="宋体" w:hAnsi="宋体"/>
          <w:color w:val="auto"/>
          <w:sz w:val="24"/>
          <w:highlight w:val="none"/>
        </w:rPr>
      </w:pPr>
      <w:r>
        <w:rPr>
          <w:rFonts w:ascii="宋体" w:hAnsi="宋体"/>
          <w:color w:val="auto"/>
          <w:sz w:val="24"/>
          <w:highlight w:val="none"/>
        </w:rPr>
        <w:t>2.1.5 “乙方”系指根据合同约定提供服务的</w:t>
      </w:r>
      <w:r>
        <w:rPr>
          <w:rFonts w:hint="eastAsia" w:ascii="宋体" w:hAnsi="宋体" w:cs="宋体"/>
          <w:color w:val="auto"/>
          <w:sz w:val="24"/>
          <w:highlight w:val="none"/>
        </w:rPr>
        <w:t>中标或成交</w:t>
      </w:r>
      <w:r>
        <w:rPr>
          <w:rFonts w:ascii="宋体" w:hAnsi="宋体"/>
          <w:color w:val="auto"/>
          <w:sz w:val="24"/>
          <w:highlight w:val="none"/>
        </w:rPr>
        <w:t>供应商</w:t>
      </w:r>
      <w:r>
        <w:rPr>
          <w:rFonts w:hint="eastAsia" w:ascii="宋体" w:hAnsi="宋体"/>
          <w:color w:val="auto"/>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2F1FE9C9">
      <w:pPr>
        <w:spacing w:line="360" w:lineRule="auto"/>
        <w:ind w:firstLine="480" w:firstLineChars="200"/>
        <w:rPr>
          <w:rFonts w:ascii="宋体" w:hAnsi="宋体"/>
          <w:color w:val="auto"/>
          <w:sz w:val="24"/>
          <w:highlight w:val="none"/>
        </w:rPr>
      </w:pPr>
      <w:r>
        <w:rPr>
          <w:rFonts w:ascii="宋体" w:hAnsi="宋体"/>
          <w:color w:val="auto"/>
          <w:sz w:val="24"/>
          <w:highlight w:val="none"/>
        </w:rPr>
        <w:t>2.1.6 “现场”系指合同约定提供服务的地点。</w:t>
      </w:r>
    </w:p>
    <w:p w14:paraId="2D0A2AAD">
      <w:pPr>
        <w:spacing w:line="360" w:lineRule="auto"/>
        <w:ind w:firstLine="482" w:firstLineChars="200"/>
        <w:rPr>
          <w:rFonts w:ascii="宋体" w:hAnsi="宋体"/>
          <w:b/>
          <w:color w:val="auto"/>
          <w:sz w:val="24"/>
          <w:highlight w:val="none"/>
        </w:rPr>
      </w:pPr>
      <w:bookmarkStart w:id="106" w:name="_Toc3769"/>
      <w:bookmarkStart w:id="107" w:name="_Toc23289"/>
      <w:bookmarkStart w:id="108" w:name="_Toc31402"/>
      <w:bookmarkStart w:id="109" w:name="_Toc16752"/>
      <w:bookmarkStart w:id="110" w:name="_Toc19539"/>
      <w:r>
        <w:rPr>
          <w:rFonts w:ascii="宋体" w:hAnsi="宋体"/>
          <w:b/>
          <w:color w:val="auto"/>
          <w:sz w:val="24"/>
          <w:highlight w:val="none"/>
        </w:rPr>
        <w:t>2.2 技术规范</w:t>
      </w:r>
      <w:bookmarkEnd w:id="106"/>
      <w:bookmarkEnd w:id="107"/>
      <w:bookmarkEnd w:id="108"/>
      <w:bookmarkEnd w:id="109"/>
      <w:bookmarkEnd w:id="110"/>
    </w:p>
    <w:p w14:paraId="3D4000B2">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服务</w:t>
      </w:r>
      <w:r>
        <w:rPr>
          <w:rFonts w:ascii="宋体" w:hAnsi="宋体"/>
          <w:color w:val="auto"/>
          <w:sz w:val="24"/>
          <w:highlight w:val="none"/>
        </w:rPr>
        <w:t>所应遵守的技术规范应与采购文件规定的技术规范和技术规范附件(如果有的话)及其技术规范偏差表(如果被甲方接受的话)相一致</w:t>
      </w:r>
      <w:r>
        <w:rPr>
          <w:rFonts w:hint="eastAsia" w:ascii="宋体" w:hAnsi="宋体"/>
          <w:color w:val="auto"/>
          <w:sz w:val="24"/>
          <w:highlight w:val="none"/>
        </w:rPr>
        <w:t>；</w:t>
      </w:r>
      <w:r>
        <w:rPr>
          <w:rFonts w:ascii="宋体" w:hAnsi="宋体"/>
          <w:color w:val="auto"/>
          <w:sz w:val="24"/>
          <w:highlight w:val="none"/>
        </w:rPr>
        <w:t>如果采购文件中没有技术规范的相应说明，那么应以国家有关部门最新颁布的相应标准</w:t>
      </w:r>
      <w:r>
        <w:rPr>
          <w:rFonts w:hint="eastAsia" w:ascii="宋体" w:hAnsi="宋体"/>
          <w:color w:val="auto"/>
          <w:sz w:val="24"/>
          <w:highlight w:val="none"/>
        </w:rPr>
        <w:t>和</w:t>
      </w:r>
      <w:r>
        <w:rPr>
          <w:rFonts w:ascii="宋体" w:hAnsi="宋体"/>
          <w:color w:val="auto"/>
          <w:sz w:val="24"/>
          <w:highlight w:val="none"/>
        </w:rPr>
        <w:t>规范为准。</w:t>
      </w:r>
    </w:p>
    <w:p w14:paraId="0A70A3DF">
      <w:pPr>
        <w:spacing w:line="360" w:lineRule="auto"/>
        <w:ind w:firstLine="482" w:firstLineChars="200"/>
        <w:rPr>
          <w:rFonts w:ascii="宋体" w:hAnsi="宋体"/>
          <w:b/>
          <w:color w:val="auto"/>
          <w:sz w:val="24"/>
          <w:highlight w:val="none"/>
        </w:rPr>
      </w:pPr>
      <w:bookmarkStart w:id="111" w:name="_Toc4133"/>
      <w:bookmarkStart w:id="112" w:name="_Toc27945"/>
      <w:bookmarkStart w:id="113" w:name="_Toc13673"/>
      <w:bookmarkStart w:id="114" w:name="_Toc12412"/>
      <w:bookmarkStart w:id="115" w:name="_Toc9161"/>
      <w:r>
        <w:rPr>
          <w:rFonts w:ascii="宋体" w:hAnsi="宋体"/>
          <w:b/>
          <w:color w:val="auto"/>
          <w:sz w:val="24"/>
          <w:highlight w:val="none"/>
        </w:rPr>
        <w:t>2.3 知识产权</w:t>
      </w:r>
      <w:bookmarkEnd w:id="111"/>
      <w:bookmarkEnd w:id="112"/>
      <w:bookmarkEnd w:id="113"/>
      <w:bookmarkEnd w:id="114"/>
      <w:bookmarkEnd w:id="115"/>
    </w:p>
    <w:p w14:paraId="5D7DBE50">
      <w:pPr>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2.3.1 </w:t>
      </w:r>
      <w:r>
        <w:rPr>
          <w:rFonts w:hint="eastAsia" w:ascii="宋体" w:hAnsi="宋体"/>
          <w:color w:val="auto"/>
          <w:sz w:val="24"/>
          <w:highlight w:val="none"/>
        </w:rPr>
        <w:t>乙</w:t>
      </w:r>
      <w:r>
        <w:rPr>
          <w:rFonts w:ascii="宋体" w:hAnsi="宋体"/>
          <w:color w:val="auto"/>
          <w:sz w:val="24"/>
          <w:highlight w:val="none"/>
        </w:rPr>
        <w:t>方应保证</w:t>
      </w:r>
      <w:r>
        <w:rPr>
          <w:rFonts w:hint="eastAsia" w:ascii="宋体" w:hAnsi="宋体"/>
          <w:color w:val="auto"/>
          <w:sz w:val="24"/>
          <w:highlight w:val="none"/>
        </w:rPr>
        <w:t>其提供的服务</w:t>
      </w:r>
      <w:r>
        <w:rPr>
          <w:rFonts w:ascii="宋体" w:hAnsi="宋体"/>
          <w:color w:val="auto"/>
          <w:sz w:val="24"/>
          <w:highlight w:val="none"/>
        </w:rPr>
        <w:t>不受任何第三方提出的侵犯其著作权、商标权、专利权等知识产权方面的起诉</w:t>
      </w:r>
      <w:r>
        <w:rPr>
          <w:rFonts w:hint="eastAsia" w:ascii="宋体" w:hAnsi="宋体"/>
          <w:color w:val="auto"/>
          <w:sz w:val="24"/>
          <w:highlight w:val="none"/>
        </w:rPr>
        <w:t>；</w:t>
      </w:r>
      <w:r>
        <w:rPr>
          <w:rFonts w:ascii="宋体" w:hAnsi="宋体"/>
          <w:color w:val="auto"/>
          <w:sz w:val="24"/>
          <w:highlight w:val="none"/>
        </w:rPr>
        <w:t>如果任何第三方提出侵权</w:t>
      </w:r>
      <w:r>
        <w:rPr>
          <w:rFonts w:hint="eastAsia" w:ascii="宋体" w:hAnsi="宋体"/>
          <w:color w:val="auto"/>
          <w:sz w:val="24"/>
          <w:highlight w:val="none"/>
        </w:rPr>
        <w:t>指控</w:t>
      </w:r>
      <w:r>
        <w:rPr>
          <w:rFonts w:ascii="宋体" w:hAnsi="宋体"/>
          <w:color w:val="auto"/>
          <w:sz w:val="24"/>
          <w:highlight w:val="none"/>
        </w:rPr>
        <w:t>，那么乙方须与该第三方交涉并承担由此发生的一切责任、费用和赔偿</w:t>
      </w:r>
      <w:r>
        <w:rPr>
          <w:rFonts w:hint="eastAsia" w:ascii="宋体" w:hAnsi="宋体"/>
          <w:color w:val="auto"/>
          <w:sz w:val="24"/>
          <w:highlight w:val="none"/>
        </w:rPr>
        <w:t>，乙方还应及时澄清相关信息，使甲方声誉免受损害，甲方保留追责的权利。</w:t>
      </w:r>
    </w:p>
    <w:p w14:paraId="1A3FE619">
      <w:pPr>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2.3.2 </w:t>
      </w:r>
      <w:r>
        <w:rPr>
          <w:rFonts w:hint="eastAsia" w:ascii="宋体" w:hAnsi="宋体"/>
          <w:color w:val="auto"/>
          <w:sz w:val="24"/>
          <w:highlight w:val="none"/>
        </w:rPr>
        <w:t>合同涉及技术成果的归属和收益的分成办法的，</w:t>
      </w:r>
      <w:r>
        <w:rPr>
          <w:rFonts w:ascii="宋体" w:hAnsi="宋体"/>
          <w:color w:val="auto"/>
          <w:sz w:val="24"/>
          <w:highlight w:val="none"/>
        </w:rPr>
        <w:t>详见</w:t>
      </w:r>
      <w:r>
        <w:rPr>
          <w:rFonts w:ascii="宋体" w:hAnsi="宋体"/>
          <w:b/>
          <w:color w:val="auto"/>
          <w:sz w:val="24"/>
          <w:highlight w:val="none"/>
          <w:u w:val="single"/>
        </w:rPr>
        <w:t>合同专用条款</w:t>
      </w:r>
      <w:r>
        <w:rPr>
          <w:rFonts w:ascii="宋体" w:hAnsi="宋体"/>
          <w:color w:val="auto"/>
          <w:sz w:val="24"/>
          <w:highlight w:val="none"/>
        </w:rPr>
        <w:t>。</w:t>
      </w:r>
    </w:p>
    <w:p w14:paraId="72D9D376">
      <w:pPr>
        <w:spacing w:line="360" w:lineRule="auto"/>
        <w:ind w:firstLine="482" w:firstLineChars="200"/>
        <w:rPr>
          <w:rFonts w:ascii="宋体" w:hAnsi="宋体"/>
          <w:b/>
          <w:color w:val="auto"/>
          <w:sz w:val="24"/>
          <w:highlight w:val="none"/>
        </w:rPr>
      </w:pPr>
      <w:r>
        <w:rPr>
          <w:rFonts w:ascii="宋体" w:hAnsi="宋体"/>
          <w:b/>
          <w:color w:val="auto"/>
          <w:sz w:val="24"/>
          <w:highlight w:val="none"/>
        </w:rPr>
        <w:t xml:space="preserve">2.4 </w:t>
      </w:r>
      <w:r>
        <w:rPr>
          <w:rFonts w:hint="eastAsia" w:ascii="宋体" w:hAnsi="宋体"/>
          <w:b/>
          <w:color w:val="auto"/>
          <w:sz w:val="24"/>
          <w:highlight w:val="none"/>
        </w:rPr>
        <w:t>履约检查和问题反馈</w:t>
      </w:r>
    </w:p>
    <w:p w14:paraId="164C583D">
      <w:pPr>
        <w:spacing w:line="360" w:lineRule="auto"/>
        <w:ind w:firstLine="480" w:firstLineChars="200"/>
        <w:rPr>
          <w:rFonts w:ascii="宋体" w:hAnsi="宋体"/>
          <w:color w:val="auto"/>
          <w:sz w:val="24"/>
          <w:highlight w:val="none"/>
        </w:rPr>
      </w:pPr>
      <w:r>
        <w:rPr>
          <w:rFonts w:ascii="宋体" w:hAnsi="宋体"/>
          <w:color w:val="auto"/>
          <w:sz w:val="24"/>
          <w:highlight w:val="none"/>
        </w:rPr>
        <w:t>2.4.1甲方</w:t>
      </w:r>
      <w:r>
        <w:rPr>
          <w:rFonts w:hint="eastAsia" w:ascii="宋体" w:hAnsi="宋体"/>
          <w:color w:val="auto"/>
          <w:sz w:val="24"/>
          <w:highlight w:val="none"/>
        </w:rPr>
        <w:t>有权</w:t>
      </w:r>
      <w:r>
        <w:rPr>
          <w:rFonts w:ascii="宋体" w:hAnsi="宋体"/>
          <w:color w:val="auto"/>
          <w:sz w:val="24"/>
          <w:highlight w:val="none"/>
        </w:rPr>
        <w:t>在其认为必要时</w:t>
      </w:r>
      <w:r>
        <w:rPr>
          <w:rFonts w:hint="eastAsia" w:ascii="宋体" w:hAnsi="宋体"/>
          <w:color w:val="auto"/>
          <w:sz w:val="24"/>
          <w:highlight w:val="none"/>
        </w:rPr>
        <w:t>，对乙方是否能够按照合同约定提供服务进行履约检查，以确保乙方所提供的服务能够依约满足甲方之项目需求，但不得因履约检查妨碍乙方的正常工作，乙方应予积极配合；</w:t>
      </w:r>
    </w:p>
    <w:p w14:paraId="249EE4F0">
      <w:pPr>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2.4.2 </w:t>
      </w:r>
      <w:r>
        <w:rPr>
          <w:rFonts w:hint="eastAsia" w:ascii="宋体" w:hAnsi="宋体"/>
          <w:color w:val="auto"/>
          <w:sz w:val="24"/>
          <w:highlight w:val="none"/>
        </w:rPr>
        <w:t>合同履行期间，甲方有权将履行过程中出现的问题反馈给乙方，双方当事人应以书面形式约定需要完善和改进的内容。</w:t>
      </w:r>
    </w:p>
    <w:p w14:paraId="55294CD4">
      <w:pPr>
        <w:spacing w:line="360" w:lineRule="auto"/>
        <w:ind w:firstLine="482" w:firstLineChars="200"/>
        <w:rPr>
          <w:rFonts w:ascii="宋体" w:hAnsi="宋体"/>
          <w:b/>
          <w:color w:val="auto"/>
          <w:sz w:val="24"/>
          <w:highlight w:val="none"/>
        </w:rPr>
      </w:pPr>
      <w:bookmarkStart w:id="116" w:name="_Toc22011"/>
      <w:bookmarkStart w:id="117" w:name="_Toc15447"/>
      <w:bookmarkStart w:id="118" w:name="_Toc31233"/>
      <w:bookmarkStart w:id="119" w:name="_Toc32670"/>
      <w:bookmarkStart w:id="120" w:name="_Toc26555"/>
      <w:r>
        <w:rPr>
          <w:rFonts w:ascii="宋体" w:hAnsi="宋体"/>
          <w:b/>
          <w:color w:val="auto"/>
          <w:sz w:val="24"/>
          <w:highlight w:val="none"/>
        </w:rPr>
        <w:t>2.5 结算方式和付款条件</w:t>
      </w:r>
      <w:bookmarkEnd w:id="116"/>
      <w:bookmarkEnd w:id="117"/>
      <w:bookmarkEnd w:id="118"/>
      <w:bookmarkEnd w:id="119"/>
      <w:bookmarkEnd w:id="120"/>
    </w:p>
    <w:p w14:paraId="1C886F82">
      <w:pPr>
        <w:spacing w:line="360" w:lineRule="auto"/>
        <w:ind w:firstLine="480" w:firstLineChars="200"/>
        <w:rPr>
          <w:rFonts w:ascii="宋体" w:hAnsi="宋体"/>
          <w:color w:val="auto"/>
          <w:sz w:val="24"/>
          <w:highlight w:val="none"/>
        </w:rPr>
      </w:pPr>
      <w:r>
        <w:rPr>
          <w:rFonts w:ascii="宋体" w:hAnsi="宋体"/>
          <w:color w:val="auto"/>
          <w:sz w:val="24"/>
          <w:highlight w:val="none"/>
        </w:rPr>
        <w:t>详见</w:t>
      </w:r>
      <w:r>
        <w:rPr>
          <w:rFonts w:ascii="宋体" w:hAnsi="宋体"/>
          <w:b/>
          <w:color w:val="auto"/>
          <w:sz w:val="24"/>
          <w:highlight w:val="none"/>
          <w:u w:val="single"/>
        </w:rPr>
        <w:t>合同专用条款</w:t>
      </w:r>
      <w:r>
        <w:rPr>
          <w:rFonts w:ascii="宋体" w:hAnsi="宋体"/>
          <w:color w:val="auto"/>
          <w:sz w:val="24"/>
          <w:highlight w:val="none"/>
        </w:rPr>
        <w:t>。</w:t>
      </w:r>
    </w:p>
    <w:p w14:paraId="5576FA93">
      <w:pPr>
        <w:spacing w:line="360" w:lineRule="auto"/>
        <w:ind w:firstLine="482" w:firstLineChars="200"/>
        <w:rPr>
          <w:rFonts w:ascii="宋体" w:hAnsi="宋体"/>
          <w:b/>
          <w:color w:val="auto"/>
          <w:sz w:val="24"/>
          <w:highlight w:val="none"/>
        </w:rPr>
      </w:pPr>
      <w:bookmarkStart w:id="121" w:name="_Toc30507"/>
      <w:bookmarkStart w:id="122" w:name="_Toc16163"/>
      <w:bookmarkStart w:id="123" w:name="_Toc13467"/>
      <w:bookmarkStart w:id="124" w:name="_Toc13154"/>
      <w:bookmarkStart w:id="125" w:name="_Toc18990"/>
      <w:r>
        <w:rPr>
          <w:rFonts w:ascii="宋体" w:hAnsi="宋体"/>
          <w:b/>
          <w:color w:val="auto"/>
          <w:sz w:val="24"/>
          <w:highlight w:val="none"/>
        </w:rPr>
        <w:t>2.6 技术资料和保密义务</w:t>
      </w:r>
      <w:bookmarkEnd w:id="121"/>
      <w:bookmarkEnd w:id="122"/>
      <w:bookmarkEnd w:id="123"/>
      <w:bookmarkEnd w:id="124"/>
      <w:bookmarkEnd w:id="125"/>
    </w:p>
    <w:p w14:paraId="3CADB685">
      <w:pPr>
        <w:spacing w:line="360" w:lineRule="auto"/>
        <w:ind w:firstLine="480" w:firstLineChars="200"/>
        <w:rPr>
          <w:rFonts w:ascii="宋体" w:hAnsi="宋体"/>
          <w:color w:val="auto"/>
          <w:sz w:val="24"/>
          <w:highlight w:val="none"/>
        </w:rPr>
      </w:pPr>
      <w:r>
        <w:rPr>
          <w:rFonts w:ascii="宋体" w:hAnsi="宋体"/>
          <w:color w:val="auto"/>
          <w:sz w:val="24"/>
          <w:highlight w:val="none"/>
        </w:rPr>
        <w:t>2.6.1 乙方有权依据合同约定和项目需要，向甲方了解有关情况，调阅有关资料等，甲方应予积极配合；</w:t>
      </w:r>
    </w:p>
    <w:p w14:paraId="56C57D29">
      <w:pPr>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2.6.2 </w:t>
      </w:r>
      <w:r>
        <w:rPr>
          <w:rFonts w:hint="eastAsia" w:ascii="宋体" w:hAnsi="宋体"/>
          <w:color w:val="auto"/>
          <w:sz w:val="24"/>
          <w:highlight w:val="none"/>
        </w:rPr>
        <w:t>乙方有义务妥善保管和保护由甲方提供的前款信息和资料等；</w:t>
      </w:r>
    </w:p>
    <w:p w14:paraId="4DA06FB6">
      <w:pPr>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2.6.3 </w:t>
      </w:r>
      <w:r>
        <w:rPr>
          <w:rFonts w:hint="eastAsia" w:ascii="宋体" w:hAnsi="宋体"/>
          <w:color w:val="auto"/>
          <w:sz w:val="24"/>
          <w:highlight w:val="none"/>
        </w:rPr>
        <w:t>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color w:val="auto"/>
          <w:sz w:val="24"/>
          <w:highlight w:val="none"/>
        </w:rPr>
        <w:t>技术情报</w:t>
      </w:r>
      <w:r>
        <w:rPr>
          <w:rFonts w:hint="eastAsia" w:ascii="宋体" w:hAnsi="宋体"/>
          <w:color w:val="auto"/>
          <w:sz w:val="24"/>
          <w:highlight w:val="none"/>
        </w:rPr>
        <w:t>、</w:t>
      </w:r>
      <w:r>
        <w:rPr>
          <w:rFonts w:ascii="宋体" w:hAnsi="宋体"/>
          <w:color w:val="auto"/>
          <w:sz w:val="24"/>
          <w:highlight w:val="none"/>
        </w:rPr>
        <w:t>技术资料</w:t>
      </w:r>
      <w:r>
        <w:rPr>
          <w:rFonts w:hint="eastAsia" w:ascii="宋体" w:hAnsi="宋体"/>
          <w:color w:val="auto"/>
          <w:sz w:val="24"/>
          <w:highlight w:val="none"/>
        </w:rPr>
        <w:t>、商业秘密和商业信息等，并采取一切合理和必要措施和方式防止任何第三方接触到对方当事人的上述保密信息和资料。</w:t>
      </w:r>
    </w:p>
    <w:p w14:paraId="088C7970">
      <w:pPr>
        <w:spacing w:line="360" w:lineRule="auto"/>
        <w:ind w:firstLine="482" w:firstLineChars="200"/>
        <w:rPr>
          <w:rFonts w:ascii="宋体" w:hAnsi="宋体"/>
          <w:b/>
          <w:color w:val="auto"/>
          <w:sz w:val="24"/>
          <w:highlight w:val="none"/>
        </w:rPr>
      </w:pPr>
      <w:bookmarkStart w:id="126" w:name="_Toc19069"/>
      <w:r>
        <w:rPr>
          <w:rFonts w:ascii="宋体" w:hAnsi="宋体"/>
          <w:b/>
          <w:color w:val="auto"/>
          <w:sz w:val="24"/>
          <w:highlight w:val="none"/>
        </w:rPr>
        <w:t xml:space="preserve">2.7 </w:t>
      </w:r>
      <w:r>
        <w:rPr>
          <w:rFonts w:hint="eastAsia" w:ascii="宋体" w:hAnsi="宋体"/>
          <w:b/>
          <w:color w:val="auto"/>
          <w:sz w:val="24"/>
          <w:highlight w:val="none"/>
        </w:rPr>
        <w:t>质量保证</w:t>
      </w:r>
      <w:bookmarkEnd w:id="126"/>
    </w:p>
    <w:p w14:paraId="44F85C80">
      <w:pPr>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2.7.1 </w:t>
      </w:r>
      <w:r>
        <w:rPr>
          <w:rFonts w:hint="eastAsia" w:ascii="宋体" w:hAnsi="宋体"/>
          <w:color w:val="auto"/>
          <w:sz w:val="24"/>
          <w:highlight w:val="none"/>
        </w:rPr>
        <w:t>乙方应建立和完善履行合同的内部质量保证体系，并提供相关内部规章制度给甲方，以便甲方进行监督检查；</w:t>
      </w:r>
    </w:p>
    <w:p w14:paraId="0ED4B271">
      <w:pPr>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2.7.2 </w:t>
      </w:r>
      <w:r>
        <w:rPr>
          <w:rFonts w:hint="eastAsia" w:ascii="宋体" w:hAnsi="宋体"/>
          <w:color w:val="auto"/>
          <w:sz w:val="24"/>
          <w:highlight w:val="none"/>
        </w:rPr>
        <w:t>乙方应保证履行合同的人员数量和素质、软件和硬件设备的配置、场地、环境和设施等满足全面履行合同的要求，并应接受甲方的监督检查。</w:t>
      </w:r>
    </w:p>
    <w:p w14:paraId="5D2A5ECD">
      <w:pPr>
        <w:spacing w:line="360" w:lineRule="auto"/>
        <w:ind w:firstLine="482" w:firstLineChars="200"/>
        <w:rPr>
          <w:rFonts w:ascii="宋体" w:hAnsi="宋体"/>
          <w:b/>
          <w:color w:val="auto"/>
          <w:sz w:val="24"/>
          <w:highlight w:val="none"/>
        </w:rPr>
      </w:pPr>
      <w:bookmarkStart w:id="127" w:name="_Toc22267"/>
      <w:r>
        <w:rPr>
          <w:rFonts w:ascii="宋体" w:hAnsi="宋体"/>
          <w:b/>
          <w:color w:val="auto"/>
          <w:sz w:val="24"/>
          <w:highlight w:val="none"/>
        </w:rPr>
        <w:t xml:space="preserve">2.8 </w:t>
      </w:r>
      <w:r>
        <w:rPr>
          <w:rFonts w:hint="eastAsia" w:ascii="宋体" w:hAnsi="宋体"/>
          <w:b/>
          <w:color w:val="auto"/>
          <w:sz w:val="24"/>
          <w:highlight w:val="none"/>
        </w:rPr>
        <w:t>延迟履行</w:t>
      </w:r>
      <w:bookmarkEnd w:id="127"/>
    </w:p>
    <w:p w14:paraId="58644090">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甲乙双方签订合同后，乙方应按照合同约定履行合同义务，除不可抗力外，乙方不得延迟履行。</w:t>
      </w:r>
      <w:r>
        <w:rPr>
          <w:rFonts w:ascii="宋体" w:hAnsi="宋体"/>
          <w:color w:val="auto"/>
          <w:sz w:val="24"/>
          <w:highlight w:val="none"/>
        </w:rPr>
        <w:t>在合同履行过程中，如果</w:t>
      </w:r>
      <w:r>
        <w:rPr>
          <w:rFonts w:hint="eastAsia" w:ascii="宋体" w:hAnsi="宋体"/>
          <w:color w:val="auto"/>
          <w:sz w:val="24"/>
          <w:highlight w:val="none"/>
        </w:rPr>
        <w:t>因不可抗力，</w:t>
      </w:r>
      <w:r>
        <w:rPr>
          <w:rFonts w:ascii="宋体" w:hAnsi="宋体"/>
          <w:color w:val="auto"/>
          <w:sz w:val="24"/>
          <w:highlight w:val="none"/>
        </w:rPr>
        <w:t>乙方遇到不能按时</w:t>
      </w:r>
      <w:r>
        <w:rPr>
          <w:rFonts w:hint="eastAsia" w:ascii="宋体" w:hAnsi="宋体"/>
          <w:color w:val="auto"/>
          <w:sz w:val="24"/>
          <w:highlight w:val="none"/>
        </w:rPr>
        <w:t>提供服务</w:t>
      </w:r>
      <w:r>
        <w:rPr>
          <w:rFonts w:ascii="宋体" w:hAnsi="宋体"/>
          <w:color w:val="auto"/>
          <w:sz w:val="24"/>
          <w:highlight w:val="none"/>
        </w:rPr>
        <w:t>的情况，应及时以书面形式将不能按时</w:t>
      </w:r>
      <w:r>
        <w:rPr>
          <w:rFonts w:hint="eastAsia" w:ascii="宋体" w:hAnsi="宋体"/>
          <w:color w:val="auto"/>
          <w:sz w:val="24"/>
          <w:highlight w:val="none"/>
        </w:rPr>
        <w:t>提供服务</w:t>
      </w:r>
      <w:r>
        <w:rPr>
          <w:rFonts w:ascii="宋体" w:hAnsi="宋体"/>
          <w:color w:val="auto"/>
          <w:sz w:val="24"/>
          <w:highlight w:val="none"/>
        </w:rPr>
        <w:t>的理由、预期延误时间通知甲方</w:t>
      </w:r>
      <w:r>
        <w:rPr>
          <w:rFonts w:hint="eastAsia" w:ascii="宋体" w:hAnsi="宋体"/>
          <w:color w:val="auto"/>
          <w:sz w:val="24"/>
          <w:highlight w:val="none"/>
        </w:rPr>
        <w:t>；甲</w:t>
      </w:r>
      <w:r>
        <w:rPr>
          <w:rFonts w:ascii="宋体" w:hAnsi="宋体"/>
          <w:color w:val="auto"/>
          <w:sz w:val="24"/>
          <w:highlight w:val="none"/>
        </w:rPr>
        <w:t>方收到乙方通知后，认为其理由正当的，可以书面形式酌情同意乙方可以延长</w:t>
      </w:r>
      <w:r>
        <w:rPr>
          <w:rFonts w:hint="eastAsia" w:ascii="宋体" w:hAnsi="宋体"/>
          <w:color w:val="auto"/>
          <w:sz w:val="24"/>
          <w:highlight w:val="none"/>
        </w:rPr>
        <w:t>履行</w:t>
      </w:r>
      <w:r>
        <w:rPr>
          <w:rFonts w:ascii="宋体" w:hAnsi="宋体"/>
          <w:color w:val="auto"/>
          <w:sz w:val="24"/>
          <w:highlight w:val="none"/>
        </w:rPr>
        <w:t>的具体时间。</w:t>
      </w:r>
    </w:p>
    <w:p w14:paraId="61727774">
      <w:pPr>
        <w:spacing w:line="360" w:lineRule="auto"/>
        <w:ind w:firstLine="482" w:firstLineChars="200"/>
        <w:rPr>
          <w:rFonts w:ascii="宋体" w:hAnsi="宋体"/>
          <w:b/>
          <w:color w:val="auto"/>
          <w:sz w:val="24"/>
          <w:highlight w:val="none"/>
        </w:rPr>
      </w:pPr>
      <w:bookmarkStart w:id="128" w:name="_Toc10611"/>
      <w:r>
        <w:rPr>
          <w:rFonts w:ascii="宋体" w:hAnsi="宋体"/>
          <w:b/>
          <w:color w:val="auto"/>
          <w:sz w:val="24"/>
          <w:highlight w:val="none"/>
        </w:rPr>
        <w:t xml:space="preserve">2.9 </w:t>
      </w:r>
      <w:r>
        <w:rPr>
          <w:rFonts w:hint="eastAsia" w:ascii="宋体" w:hAnsi="宋体"/>
          <w:b/>
          <w:color w:val="auto"/>
          <w:sz w:val="24"/>
          <w:highlight w:val="none"/>
        </w:rPr>
        <w:t>合同变更</w:t>
      </w:r>
      <w:bookmarkEnd w:id="128"/>
    </w:p>
    <w:p w14:paraId="5A4C3651">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合同继续履行将损害国家利益和社会公共利益的，双方当事人应当以书面形式变更合同。有过错的一方应当承担赔偿责任，双方当事人都有过错的，各自承担相应的责任。</w:t>
      </w:r>
    </w:p>
    <w:p w14:paraId="75611CFF">
      <w:pPr>
        <w:spacing w:line="360" w:lineRule="auto"/>
        <w:ind w:firstLine="482" w:firstLineChars="200"/>
        <w:rPr>
          <w:rFonts w:ascii="宋体" w:hAnsi="宋体"/>
          <w:b/>
          <w:color w:val="auto"/>
          <w:sz w:val="24"/>
          <w:highlight w:val="none"/>
        </w:rPr>
      </w:pPr>
      <w:bookmarkStart w:id="129" w:name="_Toc21830"/>
      <w:bookmarkStart w:id="130" w:name="_Toc10663"/>
      <w:bookmarkStart w:id="131" w:name="_Toc42"/>
      <w:bookmarkStart w:id="132" w:name="_Toc26689"/>
      <w:bookmarkStart w:id="133" w:name="_Toc23368"/>
      <w:r>
        <w:rPr>
          <w:rFonts w:ascii="宋体" w:hAnsi="宋体"/>
          <w:b/>
          <w:color w:val="auto"/>
          <w:sz w:val="24"/>
          <w:highlight w:val="none"/>
        </w:rPr>
        <w:t>2.10 合同转让和分包</w:t>
      </w:r>
      <w:bookmarkEnd w:id="129"/>
      <w:bookmarkEnd w:id="130"/>
      <w:bookmarkEnd w:id="131"/>
      <w:bookmarkEnd w:id="132"/>
      <w:bookmarkEnd w:id="133"/>
    </w:p>
    <w:p w14:paraId="21198247">
      <w:pPr>
        <w:spacing w:line="360" w:lineRule="auto"/>
        <w:ind w:firstLine="480" w:firstLineChars="200"/>
        <w:rPr>
          <w:rFonts w:ascii="宋体" w:hAnsi="宋体"/>
          <w:color w:val="auto"/>
          <w:sz w:val="24"/>
          <w:highlight w:val="none"/>
        </w:rPr>
      </w:pPr>
      <w:r>
        <w:rPr>
          <w:rFonts w:ascii="宋体" w:hAnsi="宋体"/>
          <w:color w:val="auto"/>
          <w:sz w:val="24"/>
          <w:highlight w:val="none"/>
        </w:rPr>
        <w:t>合同的权利义务依法不</w:t>
      </w:r>
      <w:r>
        <w:rPr>
          <w:rFonts w:hint="eastAsia" w:ascii="宋体" w:hAnsi="宋体"/>
          <w:color w:val="auto"/>
          <w:sz w:val="24"/>
          <w:highlight w:val="none"/>
        </w:rPr>
        <w:t>得</w:t>
      </w:r>
      <w:r>
        <w:rPr>
          <w:rFonts w:ascii="宋体" w:hAnsi="宋体"/>
          <w:color w:val="auto"/>
          <w:sz w:val="24"/>
          <w:highlight w:val="none"/>
        </w:rPr>
        <w:t>转让</w:t>
      </w:r>
      <w:r>
        <w:rPr>
          <w:rFonts w:hint="eastAsia" w:ascii="宋体" w:hAnsi="宋体"/>
          <w:color w:val="auto"/>
          <w:sz w:val="24"/>
          <w:highlight w:val="none"/>
        </w:rPr>
        <w:t>，</w:t>
      </w:r>
      <w:r>
        <w:rPr>
          <w:rFonts w:ascii="宋体" w:hAnsi="宋体"/>
          <w:color w:val="auto"/>
          <w:sz w:val="24"/>
          <w:highlight w:val="none"/>
        </w:rPr>
        <w:t>但经甲方</w:t>
      </w:r>
      <w:r>
        <w:rPr>
          <w:rFonts w:hint="eastAsia" w:ascii="宋体" w:hAnsi="宋体"/>
          <w:color w:val="auto"/>
          <w:sz w:val="24"/>
          <w:highlight w:val="none"/>
        </w:rPr>
        <w:t>同意，乙方可以依法采取分包方式履行合同，即：依法可以</w:t>
      </w:r>
      <w:r>
        <w:rPr>
          <w:rFonts w:ascii="宋体" w:hAnsi="宋体"/>
          <w:color w:val="auto"/>
          <w:sz w:val="24"/>
          <w:highlight w:val="none"/>
        </w:rPr>
        <w:t>将合同项下的部分非主体、非关键性工作分包给他人完成</w:t>
      </w:r>
      <w:r>
        <w:rPr>
          <w:rFonts w:hint="eastAsia" w:ascii="宋体" w:hAnsi="宋体"/>
          <w:color w:val="auto"/>
          <w:sz w:val="24"/>
          <w:highlight w:val="none"/>
        </w:rPr>
        <w:t>，</w:t>
      </w:r>
      <w:r>
        <w:rPr>
          <w:rFonts w:ascii="宋体" w:hAnsi="宋体"/>
          <w:color w:val="auto"/>
          <w:sz w:val="24"/>
          <w:highlight w:val="none"/>
        </w:rPr>
        <w:t>接受分包的人应当具备相应的资格条件，并不得再次分包</w:t>
      </w:r>
      <w:r>
        <w:rPr>
          <w:rFonts w:hint="eastAsia" w:ascii="宋体" w:hAnsi="宋体"/>
          <w:color w:val="auto"/>
          <w:sz w:val="24"/>
          <w:highlight w:val="none"/>
        </w:rPr>
        <w:t>，</w:t>
      </w:r>
      <w:r>
        <w:rPr>
          <w:rFonts w:ascii="宋体" w:hAnsi="宋体"/>
          <w:color w:val="auto"/>
          <w:sz w:val="24"/>
          <w:highlight w:val="none"/>
        </w:rPr>
        <w:t>且乙方应就分包项目向甲方负责</w:t>
      </w:r>
      <w:r>
        <w:rPr>
          <w:rFonts w:hint="eastAsia" w:ascii="宋体" w:hAnsi="宋体"/>
          <w:color w:val="auto"/>
          <w:sz w:val="24"/>
          <w:highlight w:val="none"/>
        </w:rPr>
        <w:t>，</w:t>
      </w:r>
      <w:r>
        <w:rPr>
          <w:rFonts w:ascii="宋体" w:hAnsi="宋体"/>
          <w:color w:val="auto"/>
          <w:sz w:val="24"/>
          <w:highlight w:val="none"/>
        </w:rPr>
        <w:t>并</w:t>
      </w:r>
      <w:r>
        <w:rPr>
          <w:rFonts w:hint="eastAsia" w:ascii="宋体" w:hAnsi="宋体"/>
          <w:color w:val="auto"/>
          <w:sz w:val="24"/>
          <w:highlight w:val="none"/>
        </w:rPr>
        <w:t>与分包供应商就分包项目向甲方承担连带责任。</w:t>
      </w:r>
    </w:p>
    <w:p w14:paraId="65C5680A">
      <w:pPr>
        <w:spacing w:line="360" w:lineRule="auto"/>
        <w:ind w:firstLine="482" w:firstLineChars="200"/>
        <w:rPr>
          <w:rFonts w:ascii="宋体" w:hAnsi="宋体"/>
          <w:b/>
          <w:color w:val="auto"/>
          <w:sz w:val="24"/>
          <w:highlight w:val="none"/>
        </w:rPr>
      </w:pPr>
      <w:bookmarkStart w:id="134" w:name="_Toc26633"/>
      <w:bookmarkStart w:id="135" w:name="_Toc32494"/>
      <w:bookmarkStart w:id="136" w:name="_Toc4720"/>
      <w:bookmarkStart w:id="137" w:name="_Toc14371"/>
      <w:bookmarkStart w:id="138" w:name="_Toc25571"/>
      <w:r>
        <w:rPr>
          <w:rFonts w:ascii="宋体" w:hAnsi="宋体"/>
          <w:b/>
          <w:color w:val="auto"/>
          <w:sz w:val="24"/>
          <w:highlight w:val="none"/>
        </w:rPr>
        <w:t>2.11 不可抗力</w:t>
      </w:r>
      <w:bookmarkEnd w:id="134"/>
      <w:bookmarkEnd w:id="135"/>
      <w:bookmarkEnd w:id="136"/>
      <w:bookmarkEnd w:id="137"/>
      <w:bookmarkEnd w:id="138"/>
    </w:p>
    <w:p w14:paraId="679D0CB9">
      <w:pPr>
        <w:spacing w:line="360" w:lineRule="auto"/>
        <w:ind w:firstLine="480" w:firstLineChars="200"/>
        <w:rPr>
          <w:rFonts w:ascii="宋体" w:hAnsi="宋体"/>
          <w:color w:val="auto"/>
          <w:sz w:val="24"/>
          <w:highlight w:val="none"/>
        </w:rPr>
      </w:pPr>
      <w:r>
        <w:rPr>
          <w:rFonts w:ascii="宋体" w:hAnsi="宋体"/>
          <w:color w:val="auto"/>
          <w:sz w:val="24"/>
          <w:highlight w:val="none"/>
        </w:rPr>
        <w:t>2.11.1如果任何一方遭遇法律规定的不可抗力，致使合同履行受阻时，履行合同的期限应予延长，延长的期限应相当于不可抗力所影响的时间</w:t>
      </w:r>
      <w:r>
        <w:rPr>
          <w:rFonts w:hint="eastAsia" w:ascii="宋体" w:hAnsi="宋体"/>
          <w:color w:val="auto"/>
          <w:sz w:val="24"/>
          <w:highlight w:val="none"/>
        </w:rPr>
        <w:t>；</w:t>
      </w:r>
    </w:p>
    <w:p w14:paraId="41E19525">
      <w:pPr>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2.11.2 </w:t>
      </w:r>
      <w:r>
        <w:rPr>
          <w:rFonts w:hint="eastAsia" w:ascii="宋体" w:hAnsi="宋体"/>
          <w:color w:val="auto"/>
          <w:sz w:val="24"/>
          <w:highlight w:val="none"/>
        </w:rPr>
        <w:t>因不可抗力致使不能实现合同目的的，当事人可以解除合同；</w:t>
      </w:r>
    </w:p>
    <w:p w14:paraId="38871393">
      <w:pPr>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2.11.3 </w:t>
      </w:r>
      <w:r>
        <w:rPr>
          <w:rFonts w:hint="eastAsia" w:ascii="宋体" w:hAnsi="宋体"/>
          <w:color w:val="auto"/>
          <w:sz w:val="24"/>
          <w:highlight w:val="none"/>
        </w:rPr>
        <w:t>因</w:t>
      </w:r>
      <w:r>
        <w:rPr>
          <w:rFonts w:ascii="宋体" w:hAnsi="宋体"/>
          <w:color w:val="auto"/>
          <w:sz w:val="24"/>
          <w:highlight w:val="none"/>
        </w:rPr>
        <w:t>不可抗力致使合同有变更必要的，双方当事人应在</w:t>
      </w:r>
      <w:r>
        <w:rPr>
          <w:rFonts w:ascii="宋体" w:hAnsi="宋体"/>
          <w:b/>
          <w:color w:val="auto"/>
          <w:sz w:val="24"/>
          <w:highlight w:val="none"/>
          <w:u w:val="single"/>
        </w:rPr>
        <w:t>合同专用条款</w:t>
      </w:r>
      <w:r>
        <w:rPr>
          <w:rFonts w:ascii="宋体" w:hAnsi="宋体"/>
          <w:color w:val="auto"/>
          <w:sz w:val="24"/>
          <w:highlight w:val="none"/>
        </w:rPr>
        <w:t>约定时间内以书面形式变更合同</w:t>
      </w:r>
      <w:r>
        <w:rPr>
          <w:rFonts w:hint="eastAsia" w:ascii="宋体" w:hAnsi="宋体"/>
          <w:color w:val="auto"/>
          <w:sz w:val="24"/>
          <w:highlight w:val="none"/>
        </w:rPr>
        <w:t>；</w:t>
      </w:r>
    </w:p>
    <w:p w14:paraId="372CBE5E">
      <w:pPr>
        <w:spacing w:line="360" w:lineRule="auto"/>
        <w:ind w:firstLine="480" w:firstLineChars="200"/>
        <w:rPr>
          <w:rFonts w:ascii="宋体" w:hAnsi="宋体"/>
          <w:color w:val="auto"/>
          <w:sz w:val="24"/>
          <w:highlight w:val="none"/>
        </w:rPr>
      </w:pPr>
      <w:r>
        <w:rPr>
          <w:rFonts w:ascii="宋体" w:hAnsi="宋体"/>
          <w:color w:val="auto"/>
          <w:sz w:val="24"/>
          <w:highlight w:val="none"/>
        </w:rPr>
        <w:t>2.11.4受</w:t>
      </w:r>
      <w:r>
        <w:rPr>
          <w:rFonts w:hint="eastAsia" w:ascii="宋体" w:hAnsi="宋体"/>
          <w:color w:val="auto"/>
          <w:sz w:val="24"/>
          <w:highlight w:val="none"/>
        </w:rPr>
        <w:t>不可抗力</w:t>
      </w:r>
      <w:r>
        <w:rPr>
          <w:rFonts w:ascii="宋体" w:hAnsi="宋体"/>
          <w:color w:val="auto"/>
          <w:sz w:val="24"/>
          <w:highlight w:val="none"/>
        </w:rPr>
        <w:t>影响的一方在不可抗力发生后</w:t>
      </w:r>
      <w:r>
        <w:rPr>
          <w:rFonts w:hint="eastAsia" w:ascii="宋体" w:hAnsi="宋体"/>
          <w:color w:val="auto"/>
          <w:sz w:val="24"/>
          <w:highlight w:val="none"/>
        </w:rPr>
        <w:t>，</w:t>
      </w:r>
      <w:r>
        <w:rPr>
          <w:rFonts w:ascii="宋体" w:hAnsi="宋体"/>
          <w:color w:val="auto"/>
          <w:sz w:val="24"/>
          <w:highlight w:val="none"/>
        </w:rPr>
        <w:t>应在</w:t>
      </w:r>
      <w:r>
        <w:rPr>
          <w:rFonts w:ascii="宋体" w:hAnsi="宋体"/>
          <w:b/>
          <w:color w:val="auto"/>
          <w:sz w:val="24"/>
          <w:highlight w:val="none"/>
          <w:u w:val="single"/>
        </w:rPr>
        <w:t>合同专用条款</w:t>
      </w:r>
      <w:r>
        <w:rPr>
          <w:rFonts w:ascii="宋体" w:hAnsi="宋体"/>
          <w:color w:val="auto"/>
          <w:sz w:val="24"/>
          <w:highlight w:val="none"/>
        </w:rPr>
        <w:t>约定时间内以书面形式通知</w:t>
      </w:r>
      <w:r>
        <w:rPr>
          <w:rFonts w:hint="eastAsia" w:ascii="宋体" w:hAnsi="宋体"/>
          <w:color w:val="auto"/>
          <w:sz w:val="24"/>
          <w:highlight w:val="none"/>
        </w:rPr>
        <w:t>对</w:t>
      </w:r>
      <w:r>
        <w:rPr>
          <w:rFonts w:ascii="宋体" w:hAnsi="宋体"/>
          <w:color w:val="auto"/>
          <w:sz w:val="24"/>
          <w:highlight w:val="none"/>
        </w:rPr>
        <w:t>方当事人，并在</w:t>
      </w:r>
      <w:r>
        <w:rPr>
          <w:rFonts w:ascii="宋体" w:hAnsi="宋体"/>
          <w:b/>
          <w:color w:val="auto"/>
          <w:sz w:val="24"/>
          <w:highlight w:val="none"/>
          <w:u w:val="single"/>
        </w:rPr>
        <w:t>合同专用条款</w:t>
      </w:r>
      <w:r>
        <w:rPr>
          <w:rFonts w:ascii="宋体" w:hAnsi="宋体"/>
          <w:color w:val="auto"/>
          <w:sz w:val="24"/>
          <w:highlight w:val="none"/>
        </w:rPr>
        <w:t>约定时间内，将有关部门出具的证明文件送达</w:t>
      </w:r>
      <w:r>
        <w:rPr>
          <w:rFonts w:hint="eastAsia" w:ascii="宋体" w:hAnsi="宋体"/>
          <w:color w:val="auto"/>
          <w:sz w:val="24"/>
          <w:highlight w:val="none"/>
        </w:rPr>
        <w:t>对方当事人</w:t>
      </w:r>
      <w:r>
        <w:rPr>
          <w:rFonts w:ascii="宋体" w:hAnsi="宋体"/>
          <w:color w:val="auto"/>
          <w:sz w:val="24"/>
          <w:highlight w:val="none"/>
        </w:rPr>
        <w:t>。</w:t>
      </w:r>
    </w:p>
    <w:p w14:paraId="310FAD0A">
      <w:pPr>
        <w:spacing w:line="360" w:lineRule="auto"/>
        <w:ind w:firstLine="482" w:firstLineChars="200"/>
        <w:rPr>
          <w:rFonts w:ascii="宋体" w:hAnsi="宋体"/>
          <w:b/>
          <w:color w:val="auto"/>
          <w:sz w:val="24"/>
          <w:highlight w:val="none"/>
        </w:rPr>
      </w:pPr>
      <w:bookmarkStart w:id="139" w:name="_Toc25783"/>
      <w:bookmarkStart w:id="140" w:name="_Toc3638"/>
      <w:bookmarkStart w:id="141" w:name="_Toc24465"/>
      <w:bookmarkStart w:id="142" w:name="_Toc14115"/>
      <w:bookmarkStart w:id="143" w:name="_Toc23854"/>
      <w:r>
        <w:rPr>
          <w:rFonts w:ascii="宋体" w:hAnsi="宋体"/>
          <w:b/>
          <w:color w:val="auto"/>
          <w:sz w:val="24"/>
          <w:highlight w:val="none"/>
        </w:rPr>
        <w:t>2.12 税费</w:t>
      </w:r>
      <w:bookmarkEnd w:id="139"/>
      <w:bookmarkEnd w:id="140"/>
      <w:bookmarkEnd w:id="141"/>
      <w:bookmarkEnd w:id="142"/>
      <w:bookmarkEnd w:id="143"/>
    </w:p>
    <w:p w14:paraId="7816F21C">
      <w:pPr>
        <w:spacing w:line="360" w:lineRule="auto"/>
        <w:ind w:firstLine="480" w:firstLineChars="200"/>
        <w:rPr>
          <w:rFonts w:ascii="宋体" w:hAnsi="宋体"/>
          <w:color w:val="auto"/>
          <w:sz w:val="24"/>
          <w:highlight w:val="none"/>
        </w:rPr>
      </w:pPr>
      <w:r>
        <w:rPr>
          <w:rFonts w:ascii="宋体" w:hAnsi="宋体"/>
          <w:color w:val="auto"/>
          <w:sz w:val="24"/>
          <w:highlight w:val="none"/>
        </w:rPr>
        <w:t>与合同有关的一切税费</w:t>
      </w:r>
      <w:r>
        <w:rPr>
          <w:rFonts w:hint="eastAsia" w:ascii="宋体" w:hAnsi="宋体"/>
          <w:color w:val="auto"/>
          <w:sz w:val="24"/>
          <w:highlight w:val="none"/>
        </w:rPr>
        <w:t>，</w:t>
      </w:r>
      <w:r>
        <w:rPr>
          <w:rFonts w:ascii="宋体" w:hAnsi="宋体"/>
          <w:color w:val="auto"/>
          <w:sz w:val="24"/>
          <w:highlight w:val="none"/>
        </w:rPr>
        <w:t>均按照中华人民共和国法律的相关规定缴纳。</w:t>
      </w:r>
    </w:p>
    <w:p w14:paraId="21315B41">
      <w:pPr>
        <w:spacing w:line="360" w:lineRule="auto"/>
        <w:ind w:firstLine="482" w:firstLineChars="200"/>
        <w:rPr>
          <w:rFonts w:ascii="宋体" w:hAnsi="宋体"/>
          <w:b/>
          <w:color w:val="auto"/>
          <w:sz w:val="24"/>
          <w:highlight w:val="none"/>
        </w:rPr>
      </w:pPr>
      <w:bookmarkStart w:id="144" w:name="_Toc7315"/>
      <w:bookmarkStart w:id="145" w:name="_Toc26883"/>
      <w:bookmarkStart w:id="146" w:name="_Toc25525"/>
      <w:bookmarkStart w:id="147" w:name="_Toc14814"/>
      <w:bookmarkStart w:id="148" w:name="_Toc30105"/>
      <w:r>
        <w:rPr>
          <w:rFonts w:ascii="宋体" w:hAnsi="宋体"/>
          <w:b/>
          <w:color w:val="auto"/>
          <w:sz w:val="24"/>
          <w:highlight w:val="none"/>
        </w:rPr>
        <w:t>2.13 乙方破产</w:t>
      </w:r>
      <w:bookmarkEnd w:id="144"/>
      <w:bookmarkEnd w:id="145"/>
      <w:bookmarkEnd w:id="146"/>
      <w:bookmarkEnd w:id="147"/>
      <w:bookmarkEnd w:id="148"/>
    </w:p>
    <w:p w14:paraId="2CDE5775">
      <w:pPr>
        <w:spacing w:line="360" w:lineRule="auto"/>
        <w:ind w:firstLine="480" w:firstLineChars="200"/>
        <w:rPr>
          <w:rFonts w:ascii="宋体" w:hAnsi="宋体"/>
          <w:color w:val="auto"/>
          <w:sz w:val="24"/>
          <w:highlight w:val="none"/>
        </w:rPr>
      </w:pPr>
      <w:r>
        <w:rPr>
          <w:rFonts w:ascii="宋体" w:hAnsi="宋体"/>
          <w:color w:val="auto"/>
          <w:sz w:val="24"/>
          <w:highlight w:val="none"/>
        </w:rPr>
        <w:t>如果乙方破产导致合同无法履行时，甲方可以书面形式通知乙方终止合同且不给予乙方任何补偿和赔偿</w:t>
      </w:r>
      <w:r>
        <w:rPr>
          <w:rFonts w:hint="eastAsia" w:ascii="宋体" w:hAnsi="宋体"/>
          <w:color w:val="auto"/>
          <w:sz w:val="24"/>
          <w:highlight w:val="none"/>
        </w:rPr>
        <w:t>，但合同的</w:t>
      </w:r>
      <w:r>
        <w:rPr>
          <w:rFonts w:ascii="宋体" w:hAnsi="宋体"/>
          <w:color w:val="auto"/>
          <w:sz w:val="24"/>
          <w:highlight w:val="none"/>
        </w:rPr>
        <w:t>终止不损害或不影响甲方已经采取或将要采取的任何要求乙方支付违约金</w:t>
      </w:r>
      <w:r>
        <w:rPr>
          <w:rFonts w:hint="eastAsia" w:ascii="宋体" w:hAnsi="宋体"/>
          <w:color w:val="auto"/>
          <w:sz w:val="24"/>
          <w:highlight w:val="none"/>
        </w:rPr>
        <w:t>、</w:t>
      </w:r>
      <w:r>
        <w:rPr>
          <w:rFonts w:ascii="宋体" w:hAnsi="宋体"/>
          <w:color w:val="auto"/>
          <w:sz w:val="24"/>
          <w:highlight w:val="none"/>
        </w:rPr>
        <w:t>赔偿损失等的行动或补救措施的权利</w:t>
      </w:r>
      <w:r>
        <w:rPr>
          <w:rFonts w:hint="eastAsia" w:ascii="宋体" w:hAnsi="宋体"/>
          <w:color w:val="auto"/>
          <w:sz w:val="24"/>
          <w:highlight w:val="none"/>
        </w:rPr>
        <w:t>。</w:t>
      </w:r>
    </w:p>
    <w:p w14:paraId="4F8711FB">
      <w:pPr>
        <w:spacing w:line="360" w:lineRule="auto"/>
        <w:ind w:firstLine="482" w:firstLineChars="200"/>
        <w:rPr>
          <w:rFonts w:ascii="宋体" w:hAnsi="宋体"/>
          <w:b/>
          <w:color w:val="auto"/>
          <w:sz w:val="24"/>
          <w:highlight w:val="none"/>
        </w:rPr>
      </w:pPr>
      <w:bookmarkStart w:id="149" w:name="_Toc23323"/>
      <w:bookmarkStart w:id="150" w:name="_Toc2016"/>
      <w:bookmarkStart w:id="151" w:name="_Toc1123"/>
      <w:r>
        <w:rPr>
          <w:rFonts w:ascii="宋体" w:hAnsi="宋体"/>
          <w:b/>
          <w:color w:val="auto"/>
          <w:sz w:val="24"/>
          <w:highlight w:val="none"/>
        </w:rPr>
        <w:t>2.14 合同中止、终止</w:t>
      </w:r>
      <w:bookmarkEnd w:id="149"/>
      <w:bookmarkEnd w:id="150"/>
      <w:bookmarkEnd w:id="151"/>
    </w:p>
    <w:p w14:paraId="1E1C6966">
      <w:pPr>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2.14.1 </w:t>
      </w:r>
      <w:r>
        <w:rPr>
          <w:rFonts w:hint="eastAsia" w:ascii="宋体" w:hAnsi="宋体"/>
          <w:color w:val="auto"/>
          <w:sz w:val="24"/>
          <w:highlight w:val="none"/>
        </w:rPr>
        <w:t>双方当事人不得擅自中止或者终止合同；</w:t>
      </w:r>
    </w:p>
    <w:p w14:paraId="7664603F">
      <w:pPr>
        <w:spacing w:line="360" w:lineRule="auto"/>
        <w:ind w:firstLine="480" w:firstLineChars="200"/>
        <w:rPr>
          <w:rFonts w:ascii="宋体" w:hAnsi="宋体"/>
          <w:color w:val="auto"/>
          <w:sz w:val="24"/>
          <w:highlight w:val="none"/>
        </w:rPr>
      </w:pPr>
      <w:r>
        <w:rPr>
          <w:rFonts w:ascii="宋体" w:hAnsi="宋体"/>
          <w:color w:val="auto"/>
          <w:sz w:val="24"/>
          <w:highlight w:val="none"/>
        </w:rPr>
        <w:t>2.14.2合同继续履行将损害国家利益和社会公共利益的，双方当事人应当中止或者终止合同。有过错的一方应当承担赔偿责任，双方当事人都有过错的，各自承担相应的责任。</w:t>
      </w:r>
    </w:p>
    <w:p w14:paraId="43BCD12A">
      <w:pPr>
        <w:spacing w:line="360" w:lineRule="auto"/>
        <w:ind w:firstLine="482" w:firstLineChars="200"/>
        <w:rPr>
          <w:rFonts w:ascii="宋体" w:hAnsi="宋体"/>
          <w:b/>
          <w:color w:val="auto"/>
          <w:sz w:val="24"/>
          <w:highlight w:val="none"/>
        </w:rPr>
      </w:pPr>
      <w:bookmarkStart w:id="152" w:name="_Toc1969"/>
      <w:bookmarkStart w:id="153" w:name="_Toc14525"/>
      <w:bookmarkStart w:id="154" w:name="_Toc17363"/>
      <w:r>
        <w:rPr>
          <w:rFonts w:ascii="宋体" w:hAnsi="宋体"/>
          <w:b/>
          <w:color w:val="auto"/>
          <w:sz w:val="24"/>
          <w:highlight w:val="none"/>
        </w:rPr>
        <w:t>2.15 检验和验收</w:t>
      </w:r>
      <w:bookmarkEnd w:id="152"/>
      <w:bookmarkEnd w:id="153"/>
      <w:bookmarkEnd w:id="154"/>
    </w:p>
    <w:p w14:paraId="37950132">
      <w:pPr>
        <w:tabs>
          <w:tab w:val="left" w:pos="360"/>
          <w:tab w:val="left" w:pos="540"/>
          <w:tab w:val="left" w:pos="1080"/>
        </w:tabs>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2.15.1 </w:t>
      </w:r>
      <w:r>
        <w:rPr>
          <w:rFonts w:hint="eastAsia" w:ascii="宋体" w:hAnsi="宋体"/>
          <w:color w:val="auto"/>
          <w:sz w:val="24"/>
          <w:highlight w:val="none"/>
        </w:rPr>
        <w:t>乙方按照</w:t>
      </w:r>
      <w:r>
        <w:rPr>
          <w:rFonts w:ascii="宋体" w:hAnsi="宋体"/>
          <w:b/>
          <w:color w:val="auto"/>
          <w:sz w:val="24"/>
          <w:highlight w:val="none"/>
          <w:u w:val="single"/>
        </w:rPr>
        <w:t>合同专用条款</w:t>
      </w:r>
      <w:r>
        <w:rPr>
          <w:rFonts w:ascii="宋体" w:hAnsi="宋体"/>
          <w:color w:val="auto"/>
          <w:sz w:val="24"/>
          <w:highlight w:val="none"/>
        </w:rPr>
        <w:t>的约定</w:t>
      </w:r>
      <w:r>
        <w:rPr>
          <w:rFonts w:hint="eastAsia" w:ascii="宋体" w:hAnsi="宋体"/>
          <w:color w:val="auto"/>
          <w:sz w:val="24"/>
          <w:highlight w:val="none"/>
        </w:rPr>
        <w:t>，</w:t>
      </w:r>
      <w:r>
        <w:rPr>
          <w:rFonts w:ascii="宋体" w:hAnsi="宋体"/>
          <w:color w:val="auto"/>
          <w:sz w:val="24"/>
          <w:highlight w:val="none"/>
        </w:rPr>
        <w:t>定期提交服务报告</w:t>
      </w:r>
      <w:r>
        <w:rPr>
          <w:rFonts w:hint="eastAsia" w:ascii="宋体" w:hAnsi="宋体"/>
          <w:color w:val="auto"/>
          <w:sz w:val="24"/>
          <w:highlight w:val="none"/>
        </w:rPr>
        <w:t>，甲方按照</w:t>
      </w:r>
      <w:r>
        <w:rPr>
          <w:rFonts w:ascii="宋体" w:hAnsi="宋体"/>
          <w:b/>
          <w:color w:val="auto"/>
          <w:sz w:val="24"/>
          <w:highlight w:val="none"/>
          <w:u w:val="single"/>
        </w:rPr>
        <w:t>合同专用条款</w:t>
      </w:r>
      <w:r>
        <w:rPr>
          <w:rFonts w:ascii="宋体" w:hAnsi="宋体"/>
          <w:color w:val="auto"/>
          <w:sz w:val="24"/>
          <w:highlight w:val="none"/>
        </w:rPr>
        <w:t>的约定进行定期验收</w:t>
      </w:r>
      <w:r>
        <w:rPr>
          <w:rFonts w:hint="eastAsia" w:ascii="宋体" w:hAnsi="宋体"/>
          <w:color w:val="auto"/>
          <w:sz w:val="24"/>
          <w:highlight w:val="none"/>
        </w:rPr>
        <w:t>；</w:t>
      </w:r>
    </w:p>
    <w:p w14:paraId="3023BCFE">
      <w:pPr>
        <w:tabs>
          <w:tab w:val="left" w:pos="360"/>
          <w:tab w:val="left" w:pos="540"/>
          <w:tab w:val="left" w:pos="1080"/>
        </w:tabs>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2.15.2 </w:t>
      </w:r>
      <w:r>
        <w:rPr>
          <w:rFonts w:hint="eastAsia" w:ascii="宋体" w:hAnsi="宋体"/>
          <w:color w:val="auto"/>
          <w:sz w:val="24"/>
          <w:highlight w:val="none"/>
        </w:rPr>
        <w:t>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4995C5BF">
      <w:pPr>
        <w:tabs>
          <w:tab w:val="left" w:pos="360"/>
          <w:tab w:val="left" w:pos="540"/>
          <w:tab w:val="left" w:pos="1080"/>
        </w:tabs>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2.15.3 </w:t>
      </w:r>
      <w:r>
        <w:rPr>
          <w:rFonts w:hint="eastAsia" w:ascii="宋体" w:hAnsi="宋体"/>
          <w:color w:val="auto"/>
          <w:sz w:val="24"/>
          <w:highlight w:val="none"/>
        </w:rPr>
        <w:t>检验和验收标准、程序等具体内容以及前述验收书的效力详见</w:t>
      </w:r>
      <w:r>
        <w:rPr>
          <w:rFonts w:ascii="宋体" w:hAnsi="宋体"/>
          <w:b/>
          <w:color w:val="auto"/>
          <w:sz w:val="24"/>
          <w:highlight w:val="none"/>
          <w:u w:val="single"/>
        </w:rPr>
        <w:t>合同专用条款</w:t>
      </w:r>
      <w:r>
        <w:rPr>
          <w:rFonts w:hint="eastAsia" w:ascii="宋体" w:hAnsi="宋体"/>
          <w:color w:val="auto"/>
          <w:sz w:val="24"/>
          <w:highlight w:val="none"/>
        </w:rPr>
        <w:t>。</w:t>
      </w:r>
    </w:p>
    <w:p w14:paraId="47793F56">
      <w:pPr>
        <w:spacing w:line="360" w:lineRule="auto"/>
        <w:ind w:firstLine="482" w:firstLineChars="200"/>
        <w:rPr>
          <w:rFonts w:ascii="宋体" w:hAnsi="宋体"/>
          <w:b/>
          <w:color w:val="auto"/>
          <w:sz w:val="24"/>
          <w:highlight w:val="none"/>
        </w:rPr>
      </w:pPr>
      <w:bookmarkStart w:id="155" w:name="_Toc2308"/>
      <w:bookmarkStart w:id="156" w:name="_Toc9808"/>
      <w:bookmarkStart w:id="157" w:name="_Toc25198"/>
      <w:bookmarkStart w:id="158" w:name="_Toc31892"/>
      <w:bookmarkStart w:id="159" w:name="_Toc12666"/>
      <w:r>
        <w:rPr>
          <w:rFonts w:ascii="宋体" w:hAnsi="宋体"/>
          <w:b/>
          <w:color w:val="auto"/>
          <w:sz w:val="24"/>
          <w:highlight w:val="none"/>
        </w:rPr>
        <w:t>2.16 通知和送达</w:t>
      </w:r>
      <w:bookmarkEnd w:id="155"/>
      <w:bookmarkEnd w:id="156"/>
      <w:bookmarkEnd w:id="157"/>
      <w:bookmarkEnd w:id="158"/>
      <w:bookmarkEnd w:id="159"/>
    </w:p>
    <w:p w14:paraId="03C3E755">
      <w:pPr>
        <w:spacing w:line="360" w:lineRule="auto"/>
        <w:ind w:firstLine="480" w:firstLineChars="200"/>
        <w:rPr>
          <w:rFonts w:ascii="宋体" w:hAnsi="宋体"/>
          <w:color w:val="auto"/>
          <w:sz w:val="24"/>
          <w:highlight w:val="none"/>
        </w:rPr>
      </w:pPr>
      <w:bookmarkStart w:id="160" w:name="_Toc18401"/>
      <w:bookmarkStart w:id="161" w:name="_Toc27674"/>
      <w:r>
        <w:rPr>
          <w:rFonts w:ascii="宋体" w:hAnsi="宋体"/>
          <w:color w:val="auto"/>
          <w:sz w:val="24"/>
          <w:highlight w:val="none"/>
        </w:rPr>
        <w:t>2.17.1</w:t>
      </w:r>
      <w:r>
        <w:rPr>
          <w:rFonts w:hint="eastAsia" w:ascii="宋体" w:hAnsi="宋体"/>
          <w:color w:val="auto"/>
          <w:sz w:val="24"/>
          <w:highlight w:val="none"/>
        </w:rPr>
        <w:t>任何一方因履行合同而以合同第一部分尾部所列明的传真或电子邮件</w:t>
      </w:r>
      <w:r>
        <w:rPr>
          <w:rFonts w:ascii="宋体" w:hAnsi="宋体"/>
          <w:color w:val="auto"/>
          <w:sz w:val="24"/>
          <w:highlight w:val="none"/>
        </w:rPr>
        <w:t xml:space="preserve"> </w:t>
      </w:r>
      <w:r>
        <w:rPr>
          <w:rFonts w:ascii="宋体" w:hAnsi="宋体"/>
          <w:color w:val="auto"/>
          <w:sz w:val="24"/>
          <w:highlight w:val="none"/>
          <w:u w:val="single"/>
        </w:rPr>
        <w:t xml:space="preserve">       </w:t>
      </w:r>
      <w:r>
        <w:rPr>
          <w:rFonts w:hint="eastAsia" w:ascii="宋体" w:hAnsi="宋体"/>
          <w:color w:val="auto"/>
          <w:sz w:val="24"/>
          <w:highlight w:val="none"/>
        </w:rPr>
        <w:t>发出的所有通知、文件、材料，均视为已向对方当事人送达；任何一方变更上述送达方式或者地址的，应于</w:t>
      </w:r>
      <w:r>
        <w:rPr>
          <w:rFonts w:ascii="宋体" w:hAnsi="宋体"/>
          <w:color w:val="auto"/>
          <w:sz w:val="24"/>
          <w:highlight w:val="none"/>
          <w:u w:val="single"/>
        </w:rPr>
        <w:t>3</w:t>
      </w:r>
      <w:r>
        <w:rPr>
          <w:rFonts w:hint="eastAsia" w:ascii="宋体" w:hAnsi="宋体"/>
          <w:color w:val="auto"/>
          <w:sz w:val="24"/>
          <w:highlight w:val="none"/>
        </w:rPr>
        <w:t>个工作日内书面通知对方当事人，在对方当事人收到有关变更通知之前，变更前的约定送达方式或者地址仍视为有效。</w:t>
      </w:r>
    </w:p>
    <w:p w14:paraId="11B256FD">
      <w:pPr>
        <w:spacing w:line="360" w:lineRule="auto"/>
        <w:ind w:firstLine="480" w:firstLineChars="200"/>
        <w:rPr>
          <w:rFonts w:ascii="宋体" w:hAnsi="宋体"/>
          <w:color w:val="auto"/>
          <w:sz w:val="24"/>
          <w:highlight w:val="none"/>
        </w:rPr>
      </w:pPr>
      <w:r>
        <w:rPr>
          <w:rFonts w:ascii="宋体" w:hAnsi="宋体"/>
          <w:color w:val="auto"/>
          <w:sz w:val="24"/>
          <w:highlight w:val="none"/>
        </w:rPr>
        <w:t>2.17.2以当面交付方式送达的，交付之时视为送达；以电子邮件方式送达的，发出电子邮件之时视为送达；以传真方式送达的，发出传真之时视为送达；以邮寄方式送达</w:t>
      </w:r>
      <w:r>
        <w:rPr>
          <w:rFonts w:hint="eastAsia" w:ascii="宋体" w:hAnsi="宋体"/>
          <w:color w:val="auto"/>
          <w:sz w:val="24"/>
          <w:highlight w:val="none"/>
        </w:rPr>
        <w:t>的，邮件挂号寄出或者交邮之日之次日视为送达。</w:t>
      </w:r>
      <w:bookmarkEnd w:id="160"/>
      <w:bookmarkEnd w:id="161"/>
    </w:p>
    <w:p w14:paraId="01BBAFD8">
      <w:pPr>
        <w:spacing w:line="360" w:lineRule="auto"/>
        <w:ind w:firstLine="482" w:firstLineChars="200"/>
        <w:rPr>
          <w:rFonts w:ascii="宋体" w:hAnsi="宋体"/>
          <w:b/>
          <w:color w:val="auto"/>
          <w:sz w:val="24"/>
          <w:highlight w:val="none"/>
        </w:rPr>
      </w:pPr>
      <w:bookmarkStart w:id="162" w:name="_Toc12254"/>
      <w:bookmarkStart w:id="163" w:name="_Toc5063"/>
      <w:bookmarkStart w:id="164" w:name="_Toc28906"/>
      <w:bookmarkStart w:id="165" w:name="_Toc20808"/>
      <w:bookmarkStart w:id="166" w:name="_Toc27644"/>
      <w:r>
        <w:rPr>
          <w:rFonts w:ascii="宋体" w:hAnsi="宋体"/>
          <w:b/>
          <w:color w:val="auto"/>
          <w:sz w:val="24"/>
          <w:highlight w:val="none"/>
        </w:rPr>
        <w:t xml:space="preserve">2.17 </w:t>
      </w:r>
      <w:r>
        <w:rPr>
          <w:rFonts w:hint="eastAsia" w:ascii="宋体" w:hAnsi="宋体"/>
          <w:b/>
          <w:color w:val="auto"/>
          <w:sz w:val="24"/>
          <w:highlight w:val="none"/>
        </w:rPr>
        <w:t>合同使用的文字和</w:t>
      </w:r>
      <w:r>
        <w:rPr>
          <w:rFonts w:ascii="宋体" w:hAnsi="宋体"/>
          <w:b/>
          <w:color w:val="auto"/>
          <w:sz w:val="24"/>
          <w:highlight w:val="none"/>
        </w:rPr>
        <w:t>适用的法律</w:t>
      </w:r>
      <w:bookmarkEnd w:id="162"/>
      <w:bookmarkEnd w:id="163"/>
      <w:bookmarkEnd w:id="164"/>
      <w:bookmarkEnd w:id="165"/>
      <w:bookmarkEnd w:id="166"/>
    </w:p>
    <w:p w14:paraId="17EE0601">
      <w:pPr>
        <w:spacing w:line="360" w:lineRule="auto"/>
        <w:ind w:firstLine="480" w:firstLineChars="200"/>
        <w:rPr>
          <w:rFonts w:ascii="宋体" w:hAnsi="宋体"/>
          <w:color w:val="auto"/>
          <w:sz w:val="24"/>
          <w:highlight w:val="none"/>
        </w:rPr>
      </w:pPr>
      <w:r>
        <w:rPr>
          <w:rFonts w:ascii="宋体" w:hAnsi="宋体"/>
          <w:color w:val="auto"/>
          <w:sz w:val="24"/>
          <w:highlight w:val="none"/>
        </w:rPr>
        <w:t>2.17.1 合同使用汉语书就</w:t>
      </w:r>
      <w:r>
        <w:rPr>
          <w:rFonts w:hint="eastAsia" w:ascii="宋体" w:hAnsi="宋体"/>
          <w:color w:val="auto"/>
          <w:sz w:val="24"/>
          <w:highlight w:val="none"/>
        </w:rPr>
        <w:t>、</w:t>
      </w:r>
      <w:r>
        <w:rPr>
          <w:rFonts w:ascii="宋体" w:hAnsi="宋体"/>
          <w:color w:val="auto"/>
          <w:sz w:val="24"/>
          <w:highlight w:val="none"/>
        </w:rPr>
        <w:t>变更和解释</w:t>
      </w:r>
      <w:r>
        <w:rPr>
          <w:rFonts w:hint="eastAsia" w:ascii="宋体" w:hAnsi="宋体"/>
          <w:color w:val="auto"/>
          <w:sz w:val="24"/>
          <w:highlight w:val="none"/>
        </w:rPr>
        <w:t>；</w:t>
      </w:r>
    </w:p>
    <w:p w14:paraId="2EF3B181">
      <w:pPr>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2.17.2 </w:t>
      </w:r>
      <w:r>
        <w:rPr>
          <w:rFonts w:hint="eastAsia" w:ascii="宋体" w:hAnsi="宋体"/>
          <w:color w:val="auto"/>
          <w:sz w:val="24"/>
          <w:highlight w:val="none"/>
        </w:rPr>
        <w:t>合同适用</w:t>
      </w:r>
      <w:r>
        <w:rPr>
          <w:rFonts w:ascii="宋体" w:hAnsi="宋体"/>
          <w:color w:val="auto"/>
          <w:sz w:val="24"/>
          <w:highlight w:val="none"/>
        </w:rPr>
        <w:t>中华人民共和国法律。</w:t>
      </w:r>
    </w:p>
    <w:p w14:paraId="25CCD92B">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2.18 计量单位</w:t>
      </w:r>
    </w:p>
    <w:p w14:paraId="5947DC2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除技术规范中另有规定外,合同的计量单位均使用国家法定计量单位。</w:t>
      </w:r>
    </w:p>
    <w:p w14:paraId="76CB2AAE">
      <w:pPr>
        <w:spacing w:line="360" w:lineRule="auto"/>
        <w:ind w:firstLine="482" w:firstLineChars="200"/>
        <w:rPr>
          <w:rFonts w:ascii="宋体" w:hAnsi="宋体"/>
          <w:b/>
          <w:color w:val="auto"/>
          <w:sz w:val="24"/>
          <w:highlight w:val="none"/>
        </w:rPr>
      </w:pPr>
      <w:r>
        <w:rPr>
          <w:rFonts w:ascii="宋体" w:hAnsi="宋体"/>
          <w:b/>
          <w:color w:val="auto"/>
          <w:sz w:val="24"/>
          <w:highlight w:val="none"/>
        </w:rPr>
        <w:t>2.</w:t>
      </w:r>
      <w:r>
        <w:rPr>
          <w:rFonts w:hint="eastAsia" w:ascii="宋体" w:hAnsi="宋体"/>
          <w:b/>
          <w:color w:val="auto"/>
          <w:sz w:val="24"/>
          <w:highlight w:val="none"/>
        </w:rPr>
        <w:t>19</w:t>
      </w:r>
      <w:r>
        <w:rPr>
          <w:rFonts w:ascii="宋体" w:hAnsi="宋体"/>
          <w:b/>
          <w:color w:val="auto"/>
          <w:sz w:val="24"/>
          <w:highlight w:val="none"/>
        </w:rPr>
        <w:t>合同份数</w:t>
      </w:r>
    </w:p>
    <w:p w14:paraId="7C0CB17F">
      <w:pPr>
        <w:spacing w:line="360" w:lineRule="auto"/>
        <w:ind w:firstLine="480" w:firstLineChars="200"/>
        <w:rPr>
          <w:rFonts w:ascii="宋体" w:hAnsi="宋体"/>
          <w:color w:val="auto"/>
          <w:sz w:val="24"/>
          <w:highlight w:val="none"/>
        </w:rPr>
      </w:pPr>
      <w:r>
        <w:rPr>
          <w:rFonts w:ascii="宋体" w:hAnsi="宋体"/>
          <w:color w:val="auto"/>
          <w:sz w:val="24"/>
          <w:highlight w:val="none"/>
        </w:rPr>
        <w:t>合同份数按</w:t>
      </w:r>
      <w:r>
        <w:rPr>
          <w:rFonts w:ascii="宋体" w:hAnsi="宋体"/>
          <w:b/>
          <w:color w:val="auto"/>
          <w:sz w:val="24"/>
          <w:highlight w:val="none"/>
          <w:u w:val="single"/>
        </w:rPr>
        <w:t>合同专用条款</w:t>
      </w:r>
      <w:r>
        <w:rPr>
          <w:rFonts w:ascii="宋体" w:hAnsi="宋体"/>
          <w:color w:val="auto"/>
          <w:sz w:val="24"/>
          <w:highlight w:val="none"/>
        </w:rPr>
        <w:t>规定</w:t>
      </w:r>
      <w:r>
        <w:rPr>
          <w:rFonts w:hint="eastAsia" w:ascii="宋体" w:hAnsi="宋体"/>
          <w:color w:val="auto"/>
          <w:sz w:val="24"/>
          <w:highlight w:val="none"/>
        </w:rPr>
        <w:t>，</w:t>
      </w:r>
      <w:r>
        <w:rPr>
          <w:rFonts w:ascii="宋体" w:hAnsi="宋体"/>
          <w:color w:val="auto"/>
          <w:sz w:val="24"/>
          <w:highlight w:val="none"/>
        </w:rPr>
        <w:t>每份均具有同等法律效力</w:t>
      </w:r>
      <w:r>
        <w:rPr>
          <w:rFonts w:hint="eastAsia" w:ascii="宋体" w:hAnsi="宋体"/>
          <w:color w:val="auto"/>
          <w:sz w:val="24"/>
          <w:highlight w:val="none"/>
        </w:rPr>
        <w:t>。</w:t>
      </w:r>
    </w:p>
    <w:p w14:paraId="36AA8019">
      <w:pPr>
        <w:spacing w:line="360" w:lineRule="auto"/>
        <w:jc w:val="center"/>
        <w:outlineLvl w:val="1"/>
        <w:rPr>
          <w:rFonts w:ascii="宋体" w:hAnsi="宋体" w:cs="宋体"/>
          <w:b/>
          <w:color w:val="auto"/>
          <w:sz w:val="24"/>
          <w:highlight w:val="none"/>
        </w:rPr>
      </w:pPr>
      <w:r>
        <w:rPr>
          <w:rFonts w:hint="eastAsia" w:ascii="宋体" w:hAnsi="宋体" w:cs="宋体"/>
          <w:color w:val="auto"/>
          <w:kern w:val="0"/>
          <w:highlight w:val="none"/>
        </w:rPr>
        <w:br w:type="page"/>
      </w:r>
      <w:r>
        <w:rPr>
          <w:rFonts w:hint="eastAsia" w:ascii="宋体" w:hAnsi="宋体" w:cs="宋体"/>
          <w:b/>
          <w:color w:val="auto"/>
          <w:sz w:val="24"/>
          <w:highlight w:val="none"/>
        </w:rPr>
        <w:t>第三节 合同专用条款</w:t>
      </w:r>
    </w:p>
    <w:p w14:paraId="6B77FC3C">
      <w:pPr>
        <w:spacing w:line="360" w:lineRule="auto"/>
        <w:ind w:left="-420" w:leftChars="-200" w:right="-420" w:rightChars="-200" w:firstLine="480" w:firstLineChars="200"/>
        <w:rPr>
          <w:rFonts w:ascii="宋体" w:hAnsi="宋体" w:cs="宋体"/>
          <w:color w:val="auto"/>
          <w:highlight w:val="none"/>
        </w:rPr>
      </w:pPr>
      <w:r>
        <w:rPr>
          <w:rFonts w:hint="eastAsia" w:ascii="宋体" w:hAnsi="宋体" w:cs="宋体"/>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2"/>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977"/>
        <w:gridCol w:w="8149"/>
      </w:tblGrid>
      <w:tr w14:paraId="5A27F3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535" w:type="pct"/>
            <w:tcBorders>
              <w:left w:val="single" w:color="auto" w:sz="4" w:space="0"/>
            </w:tcBorders>
            <w:vAlign w:val="center"/>
          </w:tcPr>
          <w:p w14:paraId="037395A4">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条款号</w:t>
            </w:r>
          </w:p>
        </w:tc>
        <w:tc>
          <w:tcPr>
            <w:tcW w:w="4464" w:type="pct"/>
            <w:vAlign w:val="center"/>
          </w:tcPr>
          <w:p w14:paraId="136A191F">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约定内容</w:t>
            </w:r>
          </w:p>
        </w:tc>
      </w:tr>
      <w:tr w14:paraId="154785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39F66D81">
            <w:pPr>
              <w:spacing w:line="360" w:lineRule="auto"/>
              <w:rPr>
                <w:rFonts w:ascii="宋体" w:hAnsi="宋体" w:cs="宋体"/>
                <w:color w:val="auto"/>
                <w:sz w:val="24"/>
                <w:highlight w:val="none"/>
              </w:rPr>
            </w:pPr>
            <w:r>
              <w:rPr>
                <w:rFonts w:hint="eastAsia" w:ascii="宋体" w:hAnsi="宋体" w:cs="宋体"/>
                <w:color w:val="auto"/>
                <w:sz w:val="24"/>
                <w:highlight w:val="none"/>
              </w:rPr>
              <w:t>1.3.2</w:t>
            </w:r>
          </w:p>
        </w:tc>
        <w:tc>
          <w:tcPr>
            <w:tcW w:w="4464" w:type="pct"/>
            <w:vAlign w:val="center"/>
          </w:tcPr>
          <w:p w14:paraId="7704EC51">
            <w:pPr>
              <w:spacing w:line="360" w:lineRule="auto"/>
              <w:rPr>
                <w:rFonts w:ascii="宋体" w:hAnsi="宋体" w:cs="宋体"/>
                <w:color w:val="auto"/>
                <w:sz w:val="24"/>
                <w:highlight w:val="none"/>
              </w:rPr>
            </w:pPr>
          </w:p>
        </w:tc>
      </w:tr>
      <w:tr w14:paraId="4F7AC5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3ECE1702">
            <w:pPr>
              <w:spacing w:line="360" w:lineRule="auto"/>
              <w:rPr>
                <w:rFonts w:ascii="宋体" w:hAnsi="宋体" w:cs="宋体"/>
                <w:color w:val="auto"/>
                <w:sz w:val="24"/>
                <w:highlight w:val="none"/>
              </w:rPr>
            </w:pPr>
            <w:r>
              <w:rPr>
                <w:rFonts w:hint="eastAsia" w:ascii="宋体" w:hAnsi="宋体" w:cs="宋体"/>
                <w:color w:val="auto"/>
                <w:sz w:val="24"/>
                <w:highlight w:val="none"/>
              </w:rPr>
              <w:t>1.4.2</w:t>
            </w:r>
          </w:p>
        </w:tc>
        <w:tc>
          <w:tcPr>
            <w:tcW w:w="4464" w:type="pct"/>
            <w:vAlign w:val="center"/>
          </w:tcPr>
          <w:p w14:paraId="7E2E33F4">
            <w:pPr>
              <w:spacing w:line="360" w:lineRule="auto"/>
              <w:rPr>
                <w:rFonts w:ascii="宋体" w:hAnsi="宋体" w:cs="宋体"/>
                <w:color w:val="auto"/>
                <w:sz w:val="24"/>
                <w:highlight w:val="none"/>
              </w:rPr>
            </w:pPr>
          </w:p>
        </w:tc>
      </w:tr>
      <w:tr w14:paraId="159D6A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2538BF9F">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1.5.1 </w:t>
            </w:r>
          </w:p>
        </w:tc>
        <w:tc>
          <w:tcPr>
            <w:tcW w:w="4464" w:type="pct"/>
            <w:vAlign w:val="center"/>
          </w:tcPr>
          <w:p w14:paraId="1BAF3A8B">
            <w:pPr>
              <w:spacing w:line="360" w:lineRule="auto"/>
              <w:rPr>
                <w:rFonts w:ascii="宋体" w:hAnsi="宋体" w:cs="宋体"/>
                <w:color w:val="auto"/>
                <w:sz w:val="24"/>
                <w:highlight w:val="none"/>
              </w:rPr>
            </w:pPr>
          </w:p>
        </w:tc>
      </w:tr>
      <w:tr w14:paraId="708AF8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33AB7F4B">
            <w:pPr>
              <w:spacing w:line="360" w:lineRule="auto"/>
              <w:rPr>
                <w:rFonts w:ascii="宋体" w:hAnsi="宋体" w:cs="宋体"/>
                <w:color w:val="auto"/>
                <w:sz w:val="24"/>
                <w:highlight w:val="none"/>
              </w:rPr>
            </w:pPr>
            <w:r>
              <w:rPr>
                <w:rFonts w:hint="eastAsia" w:ascii="宋体" w:hAnsi="宋体" w:cs="宋体"/>
                <w:color w:val="auto"/>
                <w:sz w:val="24"/>
                <w:highlight w:val="none"/>
              </w:rPr>
              <w:t>1.5.2</w:t>
            </w:r>
          </w:p>
        </w:tc>
        <w:tc>
          <w:tcPr>
            <w:tcW w:w="4464" w:type="pct"/>
            <w:vAlign w:val="center"/>
          </w:tcPr>
          <w:p w14:paraId="4A358551">
            <w:pPr>
              <w:spacing w:line="360" w:lineRule="auto"/>
              <w:rPr>
                <w:rFonts w:ascii="宋体" w:hAnsi="宋体" w:cs="宋体"/>
                <w:color w:val="auto"/>
                <w:sz w:val="24"/>
                <w:highlight w:val="none"/>
              </w:rPr>
            </w:pPr>
          </w:p>
        </w:tc>
      </w:tr>
      <w:tr w14:paraId="057344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2DCB110B">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1.5.3 </w:t>
            </w:r>
          </w:p>
        </w:tc>
        <w:tc>
          <w:tcPr>
            <w:tcW w:w="4464" w:type="pct"/>
            <w:vAlign w:val="center"/>
          </w:tcPr>
          <w:p w14:paraId="65595E70">
            <w:pPr>
              <w:spacing w:line="360" w:lineRule="auto"/>
              <w:rPr>
                <w:rFonts w:ascii="宋体" w:hAnsi="宋体" w:cs="宋体"/>
                <w:color w:val="auto"/>
                <w:sz w:val="24"/>
                <w:highlight w:val="none"/>
              </w:rPr>
            </w:pPr>
          </w:p>
        </w:tc>
      </w:tr>
      <w:tr w14:paraId="3C4AEA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360E8722">
            <w:pPr>
              <w:spacing w:line="360" w:lineRule="auto"/>
              <w:rPr>
                <w:rFonts w:ascii="宋体" w:hAnsi="宋体" w:cs="宋体"/>
                <w:color w:val="auto"/>
                <w:sz w:val="24"/>
                <w:highlight w:val="none"/>
              </w:rPr>
            </w:pPr>
            <w:r>
              <w:rPr>
                <w:rFonts w:hint="eastAsia" w:ascii="宋体" w:hAnsi="宋体" w:cs="宋体"/>
                <w:color w:val="auto"/>
                <w:sz w:val="24"/>
                <w:highlight w:val="none"/>
              </w:rPr>
              <w:t>1.6.2</w:t>
            </w:r>
          </w:p>
        </w:tc>
        <w:tc>
          <w:tcPr>
            <w:tcW w:w="4464" w:type="pct"/>
            <w:vAlign w:val="center"/>
          </w:tcPr>
          <w:p w14:paraId="5663C0E4">
            <w:pPr>
              <w:spacing w:line="360" w:lineRule="auto"/>
              <w:rPr>
                <w:rFonts w:ascii="宋体" w:hAnsi="宋体" w:cs="宋体"/>
                <w:color w:val="auto"/>
                <w:sz w:val="24"/>
                <w:highlight w:val="none"/>
              </w:rPr>
            </w:pPr>
          </w:p>
        </w:tc>
      </w:tr>
      <w:tr w14:paraId="0A1BA2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1FF22946">
            <w:pPr>
              <w:spacing w:line="360" w:lineRule="auto"/>
              <w:rPr>
                <w:rFonts w:ascii="宋体" w:hAnsi="宋体" w:cs="宋体"/>
                <w:color w:val="auto"/>
                <w:sz w:val="24"/>
                <w:highlight w:val="none"/>
              </w:rPr>
            </w:pPr>
            <w:r>
              <w:rPr>
                <w:rFonts w:hint="eastAsia" w:ascii="宋体" w:hAnsi="宋体" w:cs="宋体"/>
                <w:color w:val="auto"/>
                <w:sz w:val="24"/>
                <w:highlight w:val="none"/>
              </w:rPr>
              <w:t>1.7.1</w:t>
            </w:r>
          </w:p>
        </w:tc>
        <w:tc>
          <w:tcPr>
            <w:tcW w:w="4464" w:type="pct"/>
            <w:vAlign w:val="center"/>
          </w:tcPr>
          <w:p w14:paraId="028D030B">
            <w:pPr>
              <w:spacing w:line="360" w:lineRule="auto"/>
              <w:rPr>
                <w:rFonts w:ascii="宋体" w:hAnsi="宋体" w:cs="宋体"/>
                <w:color w:val="auto"/>
                <w:sz w:val="24"/>
                <w:highlight w:val="none"/>
              </w:rPr>
            </w:pPr>
          </w:p>
        </w:tc>
      </w:tr>
      <w:tr w14:paraId="37235F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326E3B9F">
            <w:pPr>
              <w:spacing w:line="360" w:lineRule="auto"/>
              <w:rPr>
                <w:rFonts w:ascii="宋体" w:hAnsi="宋体" w:cs="宋体"/>
                <w:color w:val="auto"/>
                <w:sz w:val="24"/>
                <w:highlight w:val="none"/>
              </w:rPr>
            </w:pPr>
            <w:r>
              <w:rPr>
                <w:rFonts w:hint="eastAsia" w:ascii="宋体" w:hAnsi="宋体" w:cs="宋体"/>
                <w:color w:val="auto"/>
                <w:sz w:val="24"/>
                <w:highlight w:val="none"/>
              </w:rPr>
              <w:t>1.7.2</w:t>
            </w:r>
          </w:p>
        </w:tc>
        <w:tc>
          <w:tcPr>
            <w:tcW w:w="4464" w:type="pct"/>
            <w:vAlign w:val="center"/>
          </w:tcPr>
          <w:p w14:paraId="22F92BD0">
            <w:pPr>
              <w:spacing w:line="360" w:lineRule="auto"/>
              <w:rPr>
                <w:rFonts w:ascii="宋体" w:hAnsi="宋体" w:cs="宋体"/>
                <w:color w:val="auto"/>
                <w:sz w:val="24"/>
                <w:highlight w:val="none"/>
              </w:rPr>
            </w:pPr>
          </w:p>
        </w:tc>
      </w:tr>
      <w:tr w14:paraId="24F04B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2C094169">
            <w:pPr>
              <w:spacing w:line="360" w:lineRule="auto"/>
              <w:rPr>
                <w:rFonts w:ascii="宋体" w:hAnsi="宋体" w:cs="宋体"/>
                <w:color w:val="auto"/>
                <w:sz w:val="24"/>
                <w:highlight w:val="none"/>
              </w:rPr>
            </w:pPr>
            <w:r>
              <w:rPr>
                <w:rFonts w:hint="eastAsia" w:ascii="宋体" w:hAnsi="宋体" w:cs="宋体"/>
                <w:color w:val="auto"/>
                <w:sz w:val="24"/>
                <w:highlight w:val="none"/>
              </w:rPr>
              <w:t>1.7.3</w:t>
            </w:r>
          </w:p>
        </w:tc>
        <w:tc>
          <w:tcPr>
            <w:tcW w:w="4464" w:type="pct"/>
            <w:vAlign w:val="center"/>
          </w:tcPr>
          <w:p w14:paraId="3BE00E40">
            <w:pPr>
              <w:spacing w:line="360" w:lineRule="auto"/>
              <w:rPr>
                <w:rFonts w:ascii="宋体" w:hAnsi="宋体" w:cs="宋体"/>
                <w:color w:val="auto"/>
                <w:sz w:val="24"/>
                <w:highlight w:val="none"/>
              </w:rPr>
            </w:pPr>
          </w:p>
        </w:tc>
      </w:tr>
      <w:tr w14:paraId="646825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5E25F7BD">
            <w:pPr>
              <w:spacing w:line="360" w:lineRule="auto"/>
              <w:rPr>
                <w:rFonts w:ascii="宋体" w:hAnsi="宋体" w:cs="宋体"/>
                <w:color w:val="auto"/>
                <w:sz w:val="24"/>
                <w:highlight w:val="none"/>
              </w:rPr>
            </w:pPr>
            <w:r>
              <w:rPr>
                <w:rFonts w:hint="eastAsia" w:ascii="宋体" w:hAnsi="宋体" w:cs="宋体"/>
                <w:color w:val="auto"/>
                <w:sz w:val="24"/>
                <w:highlight w:val="none"/>
              </w:rPr>
              <w:t>1.7.4.1</w:t>
            </w:r>
          </w:p>
        </w:tc>
        <w:tc>
          <w:tcPr>
            <w:tcW w:w="4464" w:type="pct"/>
            <w:vAlign w:val="center"/>
          </w:tcPr>
          <w:p w14:paraId="064DE01F">
            <w:pPr>
              <w:spacing w:line="360" w:lineRule="auto"/>
              <w:rPr>
                <w:rFonts w:ascii="宋体" w:hAnsi="宋体" w:cs="宋体"/>
                <w:color w:val="auto"/>
                <w:sz w:val="24"/>
                <w:highlight w:val="none"/>
              </w:rPr>
            </w:pPr>
          </w:p>
        </w:tc>
      </w:tr>
      <w:tr w14:paraId="4CE017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3E1FFEF7">
            <w:pPr>
              <w:spacing w:line="360" w:lineRule="auto"/>
              <w:rPr>
                <w:rFonts w:ascii="宋体" w:hAnsi="宋体" w:cs="宋体"/>
                <w:color w:val="auto"/>
                <w:sz w:val="24"/>
                <w:highlight w:val="none"/>
              </w:rPr>
            </w:pPr>
            <w:r>
              <w:rPr>
                <w:rFonts w:hint="eastAsia" w:ascii="宋体" w:hAnsi="宋体" w:cs="宋体"/>
                <w:color w:val="auto"/>
                <w:sz w:val="24"/>
                <w:highlight w:val="none"/>
              </w:rPr>
              <w:t>1.7.4.2</w:t>
            </w:r>
          </w:p>
        </w:tc>
        <w:tc>
          <w:tcPr>
            <w:tcW w:w="4464" w:type="pct"/>
            <w:vAlign w:val="center"/>
          </w:tcPr>
          <w:p w14:paraId="4CEE5059">
            <w:pPr>
              <w:spacing w:line="360" w:lineRule="auto"/>
              <w:rPr>
                <w:rFonts w:ascii="宋体" w:hAnsi="宋体" w:cs="宋体"/>
                <w:color w:val="auto"/>
                <w:sz w:val="24"/>
                <w:highlight w:val="none"/>
              </w:rPr>
            </w:pPr>
          </w:p>
        </w:tc>
      </w:tr>
      <w:tr w14:paraId="7BEF9F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1C8B88A0">
            <w:pPr>
              <w:spacing w:line="360" w:lineRule="auto"/>
              <w:rPr>
                <w:rFonts w:ascii="宋体" w:hAnsi="宋体" w:cs="宋体"/>
                <w:color w:val="auto"/>
                <w:sz w:val="24"/>
                <w:highlight w:val="none"/>
              </w:rPr>
            </w:pPr>
            <w:r>
              <w:rPr>
                <w:rFonts w:hint="eastAsia" w:ascii="宋体" w:hAnsi="宋体" w:cs="宋体"/>
                <w:color w:val="auto"/>
                <w:sz w:val="24"/>
                <w:highlight w:val="none"/>
              </w:rPr>
              <w:t>1.7.4.3</w:t>
            </w:r>
          </w:p>
        </w:tc>
        <w:tc>
          <w:tcPr>
            <w:tcW w:w="4464" w:type="pct"/>
            <w:vAlign w:val="center"/>
          </w:tcPr>
          <w:p w14:paraId="6AE5536C">
            <w:pPr>
              <w:spacing w:line="360" w:lineRule="auto"/>
              <w:rPr>
                <w:rFonts w:ascii="宋体" w:hAnsi="宋体" w:cs="宋体"/>
                <w:color w:val="auto"/>
                <w:sz w:val="24"/>
                <w:highlight w:val="none"/>
              </w:rPr>
            </w:pPr>
          </w:p>
        </w:tc>
      </w:tr>
      <w:tr w14:paraId="4509E6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01DFDFE5">
            <w:pPr>
              <w:spacing w:line="360" w:lineRule="auto"/>
              <w:rPr>
                <w:rFonts w:ascii="宋体" w:hAnsi="宋体" w:cs="宋体"/>
                <w:color w:val="auto"/>
                <w:sz w:val="24"/>
                <w:highlight w:val="none"/>
              </w:rPr>
            </w:pPr>
            <w:r>
              <w:rPr>
                <w:rFonts w:hint="eastAsia" w:ascii="宋体" w:hAnsi="宋体" w:cs="宋体"/>
                <w:color w:val="auto"/>
                <w:sz w:val="24"/>
                <w:highlight w:val="none"/>
              </w:rPr>
              <w:t>1.8.7</w:t>
            </w:r>
          </w:p>
        </w:tc>
        <w:tc>
          <w:tcPr>
            <w:tcW w:w="4464" w:type="pct"/>
            <w:vAlign w:val="center"/>
          </w:tcPr>
          <w:p w14:paraId="0A0F851C">
            <w:pPr>
              <w:spacing w:line="360" w:lineRule="auto"/>
              <w:rPr>
                <w:rFonts w:ascii="宋体" w:hAnsi="宋体" w:cs="宋体"/>
                <w:color w:val="auto"/>
                <w:sz w:val="24"/>
                <w:highlight w:val="none"/>
              </w:rPr>
            </w:pPr>
          </w:p>
        </w:tc>
      </w:tr>
      <w:tr w14:paraId="264233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249AAA7F">
            <w:pPr>
              <w:spacing w:line="360" w:lineRule="auto"/>
              <w:rPr>
                <w:rFonts w:ascii="宋体" w:hAnsi="宋体" w:cs="宋体"/>
                <w:color w:val="auto"/>
                <w:sz w:val="24"/>
                <w:highlight w:val="none"/>
              </w:rPr>
            </w:pPr>
            <w:r>
              <w:rPr>
                <w:rFonts w:hint="eastAsia" w:ascii="宋体" w:hAnsi="宋体" w:cs="宋体"/>
                <w:color w:val="auto"/>
                <w:sz w:val="24"/>
                <w:highlight w:val="none"/>
              </w:rPr>
              <w:t>1.9.1</w:t>
            </w:r>
          </w:p>
        </w:tc>
        <w:tc>
          <w:tcPr>
            <w:tcW w:w="4464" w:type="pct"/>
            <w:vAlign w:val="center"/>
          </w:tcPr>
          <w:p w14:paraId="33B3F576">
            <w:pPr>
              <w:spacing w:line="360" w:lineRule="auto"/>
              <w:rPr>
                <w:rFonts w:ascii="宋体" w:hAnsi="宋体" w:cs="宋体"/>
                <w:color w:val="auto"/>
                <w:sz w:val="24"/>
                <w:highlight w:val="none"/>
              </w:rPr>
            </w:pPr>
          </w:p>
        </w:tc>
      </w:tr>
      <w:tr w14:paraId="75E93A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75462D28">
            <w:pPr>
              <w:spacing w:line="360" w:lineRule="auto"/>
              <w:rPr>
                <w:rFonts w:ascii="宋体" w:hAnsi="宋体" w:cs="宋体"/>
                <w:color w:val="auto"/>
                <w:sz w:val="24"/>
                <w:highlight w:val="none"/>
              </w:rPr>
            </w:pPr>
            <w:r>
              <w:rPr>
                <w:rFonts w:hint="eastAsia" w:ascii="宋体" w:hAnsi="宋体" w:cs="宋体"/>
                <w:color w:val="auto"/>
                <w:sz w:val="24"/>
                <w:highlight w:val="none"/>
              </w:rPr>
              <w:t>1.9.2</w:t>
            </w:r>
          </w:p>
        </w:tc>
        <w:tc>
          <w:tcPr>
            <w:tcW w:w="4464" w:type="pct"/>
            <w:vAlign w:val="center"/>
          </w:tcPr>
          <w:p w14:paraId="11D71E43">
            <w:pPr>
              <w:spacing w:line="360" w:lineRule="auto"/>
              <w:rPr>
                <w:rFonts w:ascii="宋体" w:hAnsi="宋体" w:cs="宋体"/>
                <w:color w:val="auto"/>
                <w:sz w:val="24"/>
                <w:highlight w:val="none"/>
              </w:rPr>
            </w:pPr>
          </w:p>
        </w:tc>
      </w:tr>
      <w:tr w14:paraId="67D398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63DDD284">
            <w:pPr>
              <w:spacing w:line="360" w:lineRule="auto"/>
              <w:rPr>
                <w:rFonts w:ascii="宋体" w:hAnsi="宋体" w:cs="宋体"/>
                <w:color w:val="auto"/>
                <w:sz w:val="24"/>
                <w:highlight w:val="none"/>
              </w:rPr>
            </w:pPr>
            <w:r>
              <w:rPr>
                <w:rFonts w:hint="eastAsia" w:ascii="宋体" w:hAnsi="宋体" w:cs="宋体"/>
                <w:color w:val="auto"/>
                <w:sz w:val="24"/>
                <w:highlight w:val="none"/>
              </w:rPr>
              <w:t>2.3.2</w:t>
            </w:r>
          </w:p>
        </w:tc>
        <w:tc>
          <w:tcPr>
            <w:tcW w:w="4464" w:type="pct"/>
            <w:vAlign w:val="center"/>
          </w:tcPr>
          <w:p w14:paraId="37E17996">
            <w:pPr>
              <w:spacing w:line="360" w:lineRule="auto"/>
              <w:ind w:left="-420" w:leftChars="-200" w:right="-420" w:rightChars="-200" w:firstLine="480" w:firstLineChars="200"/>
              <w:rPr>
                <w:rFonts w:ascii="宋体" w:hAnsi="宋体" w:cs="宋体"/>
                <w:color w:val="auto"/>
                <w:sz w:val="24"/>
                <w:highlight w:val="none"/>
              </w:rPr>
            </w:pPr>
          </w:p>
        </w:tc>
      </w:tr>
      <w:tr w14:paraId="33149E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4615A467">
            <w:pPr>
              <w:spacing w:line="360" w:lineRule="auto"/>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5</w:t>
            </w:r>
          </w:p>
        </w:tc>
        <w:tc>
          <w:tcPr>
            <w:tcW w:w="4464" w:type="pct"/>
            <w:vAlign w:val="center"/>
          </w:tcPr>
          <w:p w14:paraId="04471C90">
            <w:pPr>
              <w:spacing w:line="360" w:lineRule="auto"/>
              <w:ind w:left="-420" w:leftChars="-200" w:right="-420" w:rightChars="-200" w:firstLine="480" w:firstLineChars="200"/>
              <w:rPr>
                <w:rFonts w:ascii="宋体" w:hAnsi="宋体" w:cs="宋体"/>
                <w:color w:val="auto"/>
                <w:sz w:val="24"/>
                <w:highlight w:val="none"/>
              </w:rPr>
            </w:pPr>
          </w:p>
        </w:tc>
      </w:tr>
      <w:tr w14:paraId="1BF382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2342EC76">
            <w:pPr>
              <w:spacing w:line="360" w:lineRule="auto"/>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11</w:t>
            </w:r>
            <w:r>
              <w:rPr>
                <w:rFonts w:hint="eastAsia" w:ascii="宋体" w:hAnsi="宋体" w:cs="宋体"/>
                <w:color w:val="auto"/>
                <w:sz w:val="24"/>
                <w:highlight w:val="none"/>
              </w:rPr>
              <w:t>.</w:t>
            </w:r>
            <w:r>
              <w:rPr>
                <w:rFonts w:ascii="宋体" w:hAnsi="宋体" w:cs="宋体"/>
                <w:color w:val="auto"/>
                <w:sz w:val="24"/>
                <w:highlight w:val="none"/>
              </w:rPr>
              <w:t>3</w:t>
            </w:r>
          </w:p>
        </w:tc>
        <w:tc>
          <w:tcPr>
            <w:tcW w:w="4464" w:type="pct"/>
            <w:vAlign w:val="center"/>
          </w:tcPr>
          <w:p w14:paraId="321478C5">
            <w:pPr>
              <w:spacing w:line="360" w:lineRule="auto"/>
              <w:rPr>
                <w:rFonts w:ascii="宋体" w:hAnsi="宋体" w:cs="宋体"/>
                <w:color w:val="auto"/>
                <w:sz w:val="24"/>
                <w:highlight w:val="none"/>
              </w:rPr>
            </w:pPr>
          </w:p>
        </w:tc>
      </w:tr>
      <w:tr w14:paraId="48C1BA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tcPr>
          <w:p w14:paraId="16134255">
            <w:pPr>
              <w:spacing w:line="360" w:lineRule="auto"/>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11.4</w:t>
            </w:r>
            <w:r>
              <w:rPr>
                <w:rFonts w:hint="eastAsia" w:ascii="宋体" w:hAnsi="宋体" w:cs="宋体"/>
                <w:color w:val="auto"/>
                <w:sz w:val="24"/>
                <w:highlight w:val="none"/>
              </w:rPr>
              <w:t xml:space="preserve"> </w:t>
            </w:r>
          </w:p>
        </w:tc>
        <w:tc>
          <w:tcPr>
            <w:tcW w:w="4464" w:type="pct"/>
          </w:tcPr>
          <w:p w14:paraId="7C5A01EB">
            <w:pPr>
              <w:spacing w:line="360" w:lineRule="auto"/>
              <w:rPr>
                <w:rFonts w:ascii="宋体" w:hAnsi="宋体" w:cs="宋体"/>
                <w:color w:val="auto"/>
                <w:sz w:val="24"/>
                <w:highlight w:val="none"/>
              </w:rPr>
            </w:pPr>
          </w:p>
        </w:tc>
      </w:tr>
      <w:tr w14:paraId="73235F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180C9475">
            <w:pPr>
              <w:spacing w:line="360" w:lineRule="auto"/>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15</w:t>
            </w:r>
            <w:r>
              <w:rPr>
                <w:rFonts w:hint="eastAsia" w:ascii="宋体" w:hAnsi="宋体" w:cs="宋体"/>
                <w:color w:val="auto"/>
                <w:sz w:val="24"/>
                <w:highlight w:val="none"/>
              </w:rPr>
              <w:t>.</w:t>
            </w:r>
            <w:r>
              <w:rPr>
                <w:rFonts w:ascii="宋体" w:hAnsi="宋体" w:cs="宋体"/>
                <w:color w:val="auto"/>
                <w:sz w:val="24"/>
                <w:highlight w:val="none"/>
              </w:rPr>
              <w:t>1</w:t>
            </w:r>
          </w:p>
        </w:tc>
        <w:tc>
          <w:tcPr>
            <w:tcW w:w="4464" w:type="pct"/>
            <w:vAlign w:val="center"/>
          </w:tcPr>
          <w:p w14:paraId="5A52BB2A">
            <w:pPr>
              <w:spacing w:line="360" w:lineRule="auto"/>
              <w:rPr>
                <w:rFonts w:ascii="宋体" w:hAnsi="宋体" w:cs="宋体"/>
                <w:color w:val="auto"/>
                <w:sz w:val="24"/>
                <w:highlight w:val="none"/>
              </w:rPr>
            </w:pPr>
          </w:p>
        </w:tc>
      </w:tr>
      <w:tr w14:paraId="21672C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59200424">
            <w:pPr>
              <w:spacing w:line="360" w:lineRule="auto"/>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15</w:t>
            </w:r>
            <w:r>
              <w:rPr>
                <w:rFonts w:hint="eastAsia" w:ascii="宋体" w:hAnsi="宋体" w:cs="宋体"/>
                <w:color w:val="auto"/>
                <w:sz w:val="24"/>
                <w:highlight w:val="none"/>
              </w:rPr>
              <w:t>.</w:t>
            </w:r>
            <w:r>
              <w:rPr>
                <w:rFonts w:ascii="宋体" w:hAnsi="宋体" w:cs="宋体"/>
                <w:color w:val="auto"/>
                <w:sz w:val="24"/>
                <w:highlight w:val="none"/>
              </w:rPr>
              <w:t>3</w:t>
            </w:r>
          </w:p>
        </w:tc>
        <w:tc>
          <w:tcPr>
            <w:tcW w:w="4464" w:type="pct"/>
            <w:vAlign w:val="center"/>
          </w:tcPr>
          <w:p w14:paraId="56B7F3C6">
            <w:pPr>
              <w:spacing w:line="360" w:lineRule="auto"/>
              <w:rPr>
                <w:rFonts w:ascii="宋体" w:hAnsi="宋体" w:cs="宋体"/>
                <w:color w:val="auto"/>
                <w:sz w:val="24"/>
                <w:highlight w:val="none"/>
              </w:rPr>
            </w:pPr>
          </w:p>
        </w:tc>
      </w:tr>
      <w:tr w14:paraId="499110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535" w:type="pct"/>
            <w:tcBorders>
              <w:left w:val="single" w:color="auto" w:sz="4" w:space="0"/>
            </w:tcBorders>
          </w:tcPr>
          <w:p w14:paraId="5D90A313">
            <w:pPr>
              <w:spacing w:line="360" w:lineRule="auto"/>
              <w:rPr>
                <w:rFonts w:ascii="宋体" w:hAnsi="宋体" w:cs="宋体"/>
                <w:color w:val="auto"/>
                <w:sz w:val="24"/>
                <w:highlight w:val="none"/>
              </w:rPr>
            </w:pPr>
            <w:r>
              <w:rPr>
                <w:rFonts w:hint="eastAsia" w:ascii="宋体" w:hAnsi="宋体" w:cs="宋体"/>
                <w:color w:val="auto"/>
                <w:sz w:val="24"/>
                <w:highlight w:val="none"/>
              </w:rPr>
              <w:t>2.19</w:t>
            </w:r>
          </w:p>
        </w:tc>
        <w:tc>
          <w:tcPr>
            <w:tcW w:w="4464" w:type="pct"/>
          </w:tcPr>
          <w:p w14:paraId="1D985004">
            <w:pPr>
              <w:spacing w:line="360" w:lineRule="auto"/>
              <w:rPr>
                <w:rFonts w:ascii="宋体" w:hAnsi="宋体" w:cs="宋体"/>
                <w:color w:val="auto"/>
                <w:sz w:val="24"/>
                <w:highlight w:val="none"/>
              </w:rPr>
            </w:pPr>
          </w:p>
        </w:tc>
      </w:tr>
    </w:tbl>
    <w:p w14:paraId="7C2D38F6">
      <w:pPr>
        <w:snapToGrid w:val="0"/>
        <w:spacing w:line="360" w:lineRule="exact"/>
        <w:ind w:firstLine="420" w:firstLineChars="200"/>
        <w:rPr>
          <w:rFonts w:ascii="Times New Roman" w:hAnsi="Times New Roman" w:eastAsia="宋体" w:cs="Times New Roman"/>
          <w:color w:val="auto"/>
          <w:szCs w:val="21"/>
          <w:highlight w:val="none"/>
        </w:rPr>
      </w:pPr>
    </w:p>
    <w:p w14:paraId="3CE9AD14">
      <w:pPr>
        <w:spacing w:before="120" w:line="320" w:lineRule="atLeast"/>
        <w:jc w:val="left"/>
        <w:outlineLvl w:val="1"/>
        <w:rPr>
          <w:rFonts w:ascii="Times New Roman" w:hAnsi="Times New Roman" w:eastAsia="宋体" w:cs="Times New Roman"/>
          <w:b/>
          <w:bCs/>
          <w:color w:val="auto"/>
          <w:kern w:val="0"/>
          <w:szCs w:val="21"/>
          <w:highlight w:val="none"/>
        </w:rPr>
      </w:pPr>
      <w:r>
        <w:rPr>
          <w:rFonts w:ascii="Times New Roman" w:hAnsi="Times New Roman" w:eastAsia="宋体" w:cs="Times New Roman"/>
          <w:color w:val="auto"/>
          <w:szCs w:val="21"/>
          <w:highlight w:val="none"/>
        </w:rPr>
        <w:br w:type="page"/>
      </w:r>
      <w:r>
        <w:rPr>
          <w:rFonts w:ascii="Times New Roman" w:hAnsi="Times New Roman" w:eastAsia="宋体" w:cs="Times New Roman"/>
          <w:b/>
          <w:bCs/>
          <w:color w:val="auto"/>
          <w:kern w:val="0"/>
          <w:szCs w:val="21"/>
          <w:highlight w:val="none"/>
        </w:rPr>
        <w:t>合同附件1</w:t>
      </w:r>
    </w:p>
    <w:p w14:paraId="736BEEC1">
      <w:pPr>
        <w:snapToGrid w:val="0"/>
        <w:rPr>
          <w:rFonts w:ascii="Times New Roman" w:hAnsi="Times New Roman" w:eastAsia="宋体" w:cs="Times New Roman"/>
          <w:color w:val="auto"/>
          <w:sz w:val="18"/>
          <w:szCs w:val="18"/>
          <w:highlight w:val="none"/>
        </w:rPr>
      </w:pPr>
    </w:p>
    <w:tbl>
      <w:tblPr>
        <w:tblStyle w:val="62"/>
        <w:tblW w:w="96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640"/>
      </w:tblGrid>
      <w:tr w14:paraId="33D5D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vAlign w:val="center"/>
          </w:tcPr>
          <w:p w14:paraId="7B40A60C">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供</w:t>
            </w:r>
          </w:p>
          <w:p w14:paraId="0F97160A">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应</w:t>
            </w:r>
          </w:p>
          <w:p w14:paraId="1E9EA137">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商</w:t>
            </w:r>
          </w:p>
          <w:p w14:paraId="55458411">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申</w:t>
            </w:r>
          </w:p>
          <w:p w14:paraId="4C8145FB">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请</w:t>
            </w:r>
          </w:p>
        </w:tc>
        <w:tc>
          <w:tcPr>
            <w:tcW w:w="8640" w:type="dxa"/>
            <w:vAlign w:val="center"/>
          </w:tcPr>
          <w:p w14:paraId="58136DE8">
            <w:pP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项目编号：</w:t>
            </w:r>
          </w:p>
        </w:tc>
      </w:tr>
      <w:tr w14:paraId="27568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vAlign w:val="center"/>
          </w:tcPr>
          <w:p w14:paraId="47C530A1">
            <w:pPr>
              <w:rPr>
                <w:rFonts w:ascii="Times New Roman" w:hAnsi="Times New Roman" w:eastAsia="宋体" w:cs="Times New Roman"/>
                <w:color w:val="auto"/>
                <w:szCs w:val="21"/>
                <w:highlight w:val="none"/>
              </w:rPr>
            </w:pPr>
          </w:p>
        </w:tc>
        <w:tc>
          <w:tcPr>
            <w:tcW w:w="8640" w:type="dxa"/>
            <w:vAlign w:val="center"/>
          </w:tcPr>
          <w:p w14:paraId="7A493232">
            <w:pP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项目名称：</w:t>
            </w:r>
          </w:p>
        </w:tc>
      </w:tr>
      <w:tr w14:paraId="7CBA9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tcPr>
          <w:p w14:paraId="199296F8">
            <w:pPr>
              <w:rPr>
                <w:rFonts w:ascii="Times New Roman" w:hAnsi="Times New Roman" w:eastAsia="宋体" w:cs="Times New Roman"/>
                <w:color w:val="auto"/>
                <w:szCs w:val="21"/>
                <w:highlight w:val="none"/>
              </w:rPr>
            </w:pPr>
          </w:p>
        </w:tc>
        <w:tc>
          <w:tcPr>
            <w:tcW w:w="8640" w:type="dxa"/>
          </w:tcPr>
          <w:p w14:paraId="3C7F66B0">
            <w:pP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 xml:space="preserve">  </w:t>
            </w:r>
          </w:p>
          <w:p w14:paraId="0043E4A9">
            <w:pPr>
              <w:spacing w:line="40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该项目已于</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年</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月</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日验收并交付使用。根据合同规定，该项目的履约保证金期限于</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年</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月</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日已满，请将履约保证金</w:t>
            </w:r>
          </w:p>
          <w:p w14:paraId="33FCC439">
            <w:pPr>
              <w:spacing w:line="400" w:lineRule="exac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（大写）¥</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（小写）退付到达以下账户。</w:t>
            </w:r>
          </w:p>
          <w:p w14:paraId="36DF2E14">
            <w:pPr>
              <w:spacing w:line="400" w:lineRule="exact"/>
              <w:ind w:firstLine="705"/>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单位名称：</w:t>
            </w:r>
          </w:p>
          <w:p w14:paraId="3F813581">
            <w:pPr>
              <w:spacing w:line="400" w:lineRule="exact"/>
              <w:ind w:firstLine="705"/>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开户银行：</w:t>
            </w:r>
          </w:p>
          <w:p w14:paraId="0C2364F3">
            <w:pPr>
              <w:spacing w:line="400" w:lineRule="exact"/>
              <w:ind w:firstLine="705"/>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账   号：</w:t>
            </w:r>
          </w:p>
          <w:p w14:paraId="3ECF11A3">
            <w:pPr>
              <w:spacing w:line="400" w:lineRule="exac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联系人及电话：</w:t>
            </w:r>
          </w:p>
          <w:p w14:paraId="02EB7078">
            <w:pPr>
              <w:spacing w:line="400" w:lineRule="exact"/>
              <w:rPr>
                <w:rFonts w:ascii="Times New Roman" w:hAnsi="Times New Roman" w:eastAsia="宋体" w:cs="Times New Roman"/>
                <w:color w:val="auto"/>
                <w:szCs w:val="21"/>
                <w:highlight w:val="none"/>
              </w:rPr>
            </w:pPr>
          </w:p>
          <w:p w14:paraId="5EDEA4FF">
            <w:pPr>
              <w:spacing w:line="520" w:lineRule="exact"/>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 xml:space="preserve">                                     供应商</w:t>
            </w:r>
            <w:r>
              <w:rPr>
                <w:rFonts w:hint="eastAsia" w:ascii="Times New Roman" w:hAnsi="Times New Roman" w:eastAsia="宋体" w:cs="Times New Roman"/>
                <w:color w:val="auto"/>
                <w:szCs w:val="21"/>
                <w:highlight w:val="none"/>
              </w:rPr>
              <w:t>公</w:t>
            </w:r>
            <w:r>
              <w:rPr>
                <w:rFonts w:ascii="Times New Roman" w:hAnsi="Times New Roman" w:eastAsia="宋体" w:cs="Times New Roman"/>
                <w:color w:val="auto"/>
                <w:szCs w:val="21"/>
                <w:highlight w:val="none"/>
              </w:rPr>
              <w:t>章：</w:t>
            </w:r>
          </w:p>
          <w:p w14:paraId="0BEF84E4">
            <w:pPr>
              <w:spacing w:line="520" w:lineRule="exact"/>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 xml:space="preserve">                           年    月     日</w:t>
            </w:r>
          </w:p>
        </w:tc>
      </w:tr>
      <w:tr w14:paraId="0DEF1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7AE15C97">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采</w:t>
            </w:r>
          </w:p>
          <w:p w14:paraId="4588DCD7">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购</w:t>
            </w:r>
          </w:p>
          <w:p w14:paraId="6721BC6F">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单</w:t>
            </w:r>
          </w:p>
          <w:p w14:paraId="63476F20">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位</w:t>
            </w:r>
          </w:p>
          <w:p w14:paraId="272E3846">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意</w:t>
            </w:r>
          </w:p>
          <w:p w14:paraId="1E1E7E9E">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见</w:t>
            </w:r>
          </w:p>
        </w:tc>
        <w:tc>
          <w:tcPr>
            <w:tcW w:w="8640" w:type="dxa"/>
          </w:tcPr>
          <w:p w14:paraId="2FDBAD8D">
            <w:pPr>
              <w:rPr>
                <w:rFonts w:ascii="Times New Roman" w:hAnsi="Times New Roman" w:eastAsia="宋体" w:cs="Times New Roman"/>
                <w:color w:val="auto"/>
                <w:szCs w:val="21"/>
                <w:highlight w:val="none"/>
              </w:rPr>
            </w:pPr>
          </w:p>
          <w:p w14:paraId="5458C551">
            <w:pP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退付意见：是否同意退付履约保证金及退付金额：</w:t>
            </w:r>
          </w:p>
          <w:p w14:paraId="650CF269">
            <w:pPr>
              <w:rPr>
                <w:rFonts w:ascii="Times New Roman" w:hAnsi="Times New Roman" w:eastAsia="宋体" w:cs="Times New Roman"/>
                <w:color w:val="auto"/>
                <w:szCs w:val="21"/>
                <w:highlight w:val="none"/>
              </w:rPr>
            </w:pPr>
          </w:p>
          <w:p w14:paraId="375F74A4">
            <w:pPr>
              <w:rPr>
                <w:rFonts w:ascii="Times New Roman" w:hAnsi="Times New Roman" w:eastAsia="宋体" w:cs="Times New Roman"/>
                <w:color w:val="auto"/>
                <w:szCs w:val="21"/>
                <w:highlight w:val="none"/>
              </w:rPr>
            </w:pPr>
          </w:p>
          <w:p w14:paraId="7E5F143B">
            <w:pPr>
              <w:spacing w:line="520" w:lineRule="exac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联系人及电话：                                 采购单位</w:t>
            </w:r>
            <w:r>
              <w:rPr>
                <w:rFonts w:hint="eastAsia" w:ascii="Times New Roman" w:hAnsi="Times New Roman" w:eastAsia="宋体" w:cs="Times New Roman"/>
                <w:color w:val="auto"/>
                <w:szCs w:val="21"/>
                <w:highlight w:val="none"/>
              </w:rPr>
              <w:t>公</w:t>
            </w:r>
            <w:r>
              <w:rPr>
                <w:rFonts w:ascii="Times New Roman" w:hAnsi="Times New Roman" w:eastAsia="宋体" w:cs="Times New Roman"/>
                <w:color w:val="auto"/>
                <w:szCs w:val="21"/>
                <w:highlight w:val="none"/>
              </w:rPr>
              <w:t>章</w:t>
            </w:r>
          </w:p>
          <w:p w14:paraId="1CAFA7D0">
            <w:pPr>
              <w:spacing w:line="520" w:lineRule="exact"/>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 xml:space="preserve">                                        年    月     日</w:t>
            </w:r>
          </w:p>
        </w:tc>
      </w:tr>
      <w:tr w14:paraId="783B9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5FCDB2D9">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财</w:t>
            </w:r>
          </w:p>
          <w:p w14:paraId="6CF1DA4A">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务</w:t>
            </w:r>
          </w:p>
          <w:p w14:paraId="17FE5781">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部</w:t>
            </w:r>
          </w:p>
          <w:p w14:paraId="2AFE6B4D">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门</w:t>
            </w:r>
          </w:p>
          <w:p w14:paraId="6BFBEF8C">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意</w:t>
            </w:r>
          </w:p>
          <w:p w14:paraId="748523D6">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见</w:t>
            </w:r>
          </w:p>
        </w:tc>
        <w:tc>
          <w:tcPr>
            <w:tcW w:w="8640" w:type="dxa"/>
          </w:tcPr>
          <w:p w14:paraId="036C604B">
            <w:pPr>
              <w:spacing w:line="640" w:lineRule="exac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此表于</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年</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 xml:space="preserve"> 月 </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 xml:space="preserve"> 日收到。</w:t>
            </w:r>
          </w:p>
          <w:p w14:paraId="6CA83380">
            <w:pPr>
              <w:spacing w:line="640" w:lineRule="exac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会计审核：</w:t>
            </w:r>
          </w:p>
          <w:p w14:paraId="3ACB1CD7">
            <w:pPr>
              <w:spacing w:line="640" w:lineRule="exac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财务负责人审核：</w:t>
            </w:r>
          </w:p>
          <w:p w14:paraId="725C9AB8">
            <w:pPr>
              <w:spacing w:line="640" w:lineRule="exac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单位负责人签字：</w:t>
            </w:r>
          </w:p>
          <w:p w14:paraId="73EB4B11">
            <w:pPr>
              <w:spacing w:line="640" w:lineRule="exac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出纳办理转账日期：</w:t>
            </w:r>
          </w:p>
        </w:tc>
      </w:tr>
    </w:tbl>
    <w:p w14:paraId="027DC9F6">
      <w:pPr>
        <w:widowControl w:val="0"/>
        <w:ind w:left="450" w:leftChars="114" w:hanging="211" w:hangingChars="100"/>
        <w:jc w:val="both"/>
        <w:rPr>
          <w:rFonts w:ascii="Calibri" w:hAnsi="Calibri" w:eastAsia="宋体" w:cs="Times New Roman"/>
          <w:b/>
          <w:bCs/>
          <w:color w:val="auto"/>
          <w:kern w:val="2"/>
          <w:sz w:val="21"/>
          <w:szCs w:val="21"/>
          <w:highlight w:val="none"/>
          <w:lang w:val="en-US" w:eastAsia="zh-CN" w:bidi="ar-SA"/>
        </w:rPr>
      </w:pPr>
      <w:r>
        <w:rPr>
          <w:rFonts w:ascii="Calibri" w:hAnsi="Calibri" w:eastAsia="宋体" w:cs="Times New Roman"/>
          <w:b/>
          <w:bCs/>
          <w:color w:val="auto"/>
          <w:kern w:val="2"/>
          <w:sz w:val="21"/>
          <w:szCs w:val="21"/>
          <w:highlight w:val="none"/>
          <w:lang w:val="en-US" w:eastAsia="zh-CN" w:bidi="ar-SA"/>
        </w:rPr>
        <w:t>注：供应商凭经采购单位审批的退付意见书到相关财务部办理履约保证金退付事宜。</w:t>
      </w:r>
    </w:p>
    <w:p w14:paraId="2B07D6C3">
      <w:pPr>
        <w:spacing w:before="120" w:line="320" w:lineRule="atLeast"/>
        <w:jc w:val="left"/>
        <w:outlineLvl w:val="1"/>
        <w:rPr>
          <w:rFonts w:ascii="Times New Roman" w:hAnsi="Times New Roman" w:eastAsia="宋体" w:cs="Times New Roman"/>
          <w:b/>
          <w:bCs/>
          <w:color w:val="auto"/>
          <w:kern w:val="0"/>
          <w:szCs w:val="21"/>
          <w:highlight w:val="none"/>
        </w:rPr>
      </w:pPr>
      <w:r>
        <w:rPr>
          <w:rFonts w:ascii="Times New Roman" w:hAnsi="Times New Roman" w:eastAsia="宋体" w:cs="Times New Roman"/>
          <w:b/>
          <w:color w:val="auto"/>
          <w:sz w:val="32"/>
          <w:szCs w:val="32"/>
          <w:highlight w:val="none"/>
        </w:rPr>
        <w:br w:type="page"/>
      </w:r>
      <w:r>
        <w:rPr>
          <w:rFonts w:ascii="Times New Roman" w:hAnsi="Times New Roman" w:eastAsia="宋体" w:cs="Times New Roman"/>
          <w:b/>
          <w:bCs/>
          <w:color w:val="auto"/>
          <w:kern w:val="0"/>
          <w:szCs w:val="21"/>
          <w:highlight w:val="none"/>
        </w:rPr>
        <w:t>合同附件2</w:t>
      </w:r>
    </w:p>
    <w:p w14:paraId="76EB85BA">
      <w:pPr>
        <w:snapToGrid w:val="0"/>
        <w:spacing w:line="360" w:lineRule="exact"/>
        <w:jc w:val="center"/>
        <w:rPr>
          <w:rFonts w:ascii="Times New Roman" w:hAnsi="Times New Roman" w:eastAsia="宋体" w:cs="Times New Roman"/>
          <w:b/>
          <w:bCs/>
          <w:color w:val="auto"/>
          <w:szCs w:val="21"/>
          <w:highlight w:val="none"/>
        </w:rPr>
      </w:pPr>
    </w:p>
    <w:p w14:paraId="53EA19D6">
      <w:pPr>
        <w:snapToGrid w:val="0"/>
        <w:spacing w:line="360" w:lineRule="exact"/>
        <w:jc w:val="center"/>
        <w:rPr>
          <w:rFonts w:ascii="Times New Roman" w:hAnsi="Times New Roman" w:eastAsia="宋体" w:cs="Times New Roman"/>
          <w:b/>
          <w:bCs/>
          <w:color w:val="auto"/>
          <w:szCs w:val="21"/>
          <w:highlight w:val="none"/>
        </w:rPr>
      </w:pPr>
      <w:r>
        <w:rPr>
          <w:rFonts w:ascii="Times New Roman" w:hAnsi="Times New Roman" w:eastAsia="宋体" w:cs="Times New Roman"/>
          <w:b/>
          <w:bCs/>
          <w:color w:val="auto"/>
          <w:szCs w:val="21"/>
          <w:highlight w:val="none"/>
        </w:rPr>
        <w:t>履约</w:t>
      </w:r>
      <w:r>
        <w:rPr>
          <w:rFonts w:hint="eastAsia" w:ascii="Times New Roman" w:hAnsi="Times New Roman" w:eastAsia="宋体" w:cs="Times New Roman"/>
          <w:b/>
          <w:bCs/>
          <w:color w:val="auto"/>
          <w:szCs w:val="21"/>
          <w:highlight w:val="none"/>
        </w:rPr>
        <w:t>验收方案</w:t>
      </w:r>
    </w:p>
    <w:p w14:paraId="0AFEB1A8">
      <w:pPr>
        <w:widowControl/>
        <w:jc w:val="left"/>
        <w:rPr>
          <w:rFonts w:ascii="Times New Roman" w:hAnsi="Times New Roman" w:eastAsia="宋体" w:cs="Times New Roman"/>
          <w:color w:val="auto"/>
          <w:szCs w:val="21"/>
          <w:highlight w:val="none"/>
        </w:rPr>
      </w:pPr>
    </w:p>
    <w:p w14:paraId="51403270">
      <w:pPr>
        <w:widowControl/>
        <w:spacing w:line="360" w:lineRule="auto"/>
        <w:ind w:firstLine="200" w:firstLineChars="0"/>
        <w:jc w:val="both"/>
        <w:rPr>
          <w:rFonts w:ascii="Times New Roman" w:hAnsi="Times New Roman" w:eastAsia="宋体" w:cs="Times New Roman"/>
          <w:color w:val="auto"/>
          <w:kern w:val="2"/>
          <w:sz w:val="21"/>
          <w:szCs w:val="21"/>
          <w:highlight w:val="none"/>
          <w:lang w:val="en-US" w:eastAsia="zh-CN" w:bidi="ar-SA"/>
        </w:rPr>
      </w:pPr>
    </w:p>
    <w:p w14:paraId="7C1E0B39">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1.履约验收工作参加人员</w:t>
      </w:r>
    </w:p>
    <w:p w14:paraId="74D25798">
      <w:pPr>
        <w:spacing w:before="120" w:line="320" w:lineRule="exact"/>
        <w:jc w:val="lef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1.1履约验收主体单位</w:t>
      </w:r>
    </w:p>
    <w:p w14:paraId="29AE1C1A">
      <w:pPr>
        <w:spacing w:before="120" w:line="320" w:lineRule="exact"/>
        <w:ind w:firstLine="420" w:firstLineChars="200"/>
        <w:jc w:val="left"/>
        <w:rPr>
          <w:rFonts w:hint="eastAsia" w:ascii="宋体" w:hAnsi="宋体" w:eastAsia="宋体" w:cs="宋体"/>
          <w:color w:val="auto"/>
          <w:szCs w:val="21"/>
          <w:highlight w:val="none"/>
          <w:u w:val="single"/>
        </w:rPr>
      </w:pPr>
      <w:r>
        <w:rPr>
          <w:rFonts w:hint="eastAsia" w:ascii="Times New Roman" w:hAnsi="Times New Roman" w:eastAsia="宋体" w:cs="Times New Roman"/>
          <w:color w:val="auto"/>
          <w:szCs w:val="21"/>
          <w:highlight w:val="none"/>
          <w:u w:val="single"/>
        </w:rPr>
        <w:t>采购人</w:t>
      </w:r>
      <w:r>
        <w:rPr>
          <w:rFonts w:hint="eastAsia" w:ascii="Times New Roman" w:hAnsi="Times New Roman" w:eastAsia="宋体" w:cs="Times New Roman"/>
          <w:color w:val="auto"/>
          <w:szCs w:val="21"/>
          <w:highlight w:val="none"/>
        </w:rPr>
        <w:t>（如委托第三方机构签订，应注明收费方式）</w:t>
      </w:r>
    </w:p>
    <w:p w14:paraId="20D3B328">
      <w:pPr>
        <w:spacing w:before="120" w:line="320" w:lineRule="exact"/>
        <w:jc w:val="lef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1.2履约验收参加人员</w:t>
      </w:r>
    </w:p>
    <w:p w14:paraId="345596C5">
      <w:pPr>
        <w:spacing w:before="120" w:line="320" w:lineRule="exact"/>
        <w:ind w:firstLine="420" w:firstLineChars="200"/>
        <w:jc w:val="left"/>
        <w:rPr>
          <w:rFonts w:hint="eastAsia" w:ascii="宋体" w:hAnsi="宋体" w:eastAsia="宋体" w:cs="宋体"/>
          <w:color w:val="auto"/>
          <w:szCs w:val="21"/>
          <w:highlight w:val="none"/>
          <w:u w:val="single"/>
        </w:rPr>
      </w:pPr>
      <w:r>
        <w:rPr>
          <w:rFonts w:hint="eastAsia" w:ascii="Times New Roman" w:hAnsi="Times New Roman" w:eastAsia="宋体" w:cs="Times New Roman"/>
          <w:color w:val="auto"/>
          <w:highlight w:val="none"/>
        </w:rPr>
        <w:t>采购人代表、委托机构代表、成交供应商代表及采购人邀请的其他人员</w:t>
      </w:r>
    </w:p>
    <w:p w14:paraId="2EA5458A">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2.履约验收时间</w:t>
      </w:r>
    </w:p>
    <w:p w14:paraId="48FABC03">
      <w:pPr>
        <w:spacing w:before="120" w:line="32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20XX年XX月XX日</w:t>
      </w:r>
    </w:p>
    <w:p w14:paraId="164C5451">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3.履约验收地点</w:t>
      </w:r>
    </w:p>
    <w:p w14:paraId="6A497A36">
      <w:pPr>
        <w:spacing w:before="120" w:line="32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XX市XX区XX路XX号</w:t>
      </w:r>
    </w:p>
    <w:p w14:paraId="4CDB1CD4">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4.履约验收方式</w:t>
      </w:r>
    </w:p>
    <w:p w14:paraId="69128C28">
      <w:pPr>
        <w:spacing w:before="120" w:line="320" w:lineRule="exact"/>
        <w:jc w:val="left"/>
        <w:rPr>
          <w:rFonts w:hint="eastAsia" w:ascii="宋体" w:hAnsi="宋体" w:eastAsia="宋体" w:cs="宋体"/>
          <w:b/>
          <w:bCs/>
          <w:color w:val="auto"/>
          <w:szCs w:val="21"/>
          <w:highlight w:val="none"/>
          <w:u w:val="single"/>
        </w:rPr>
      </w:pPr>
      <w:r>
        <w:rPr>
          <w:rFonts w:hint="eastAsia" w:ascii="宋体" w:hAnsi="宋体" w:eastAsia="宋体" w:cs="宋体"/>
          <w:color w:val="auto"/>
          <w:szCs w:val="21"/>
          <w:highlight w:val="none"/>
          <w:u w:val="single"/>
        </w:rPr>
        <w:t>采购人自行验收</w:t>
      </w:r>
    </w:p>
    <w:p w14:paraId="4B3A7096">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5.履约验收程序</w:t>
      </w:r>
    </w:p>
    <w:p w14:paraId="40FBBA73">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5.1成立验收小组</w:t>
      </w:r>
    </w:p>
    <w:p w14:paraId="5A8B6BEB">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w:t>
      </w:r>
      <w:r>
        <w:rPr>
          <w:rFonts w:ascii="宋体" w:hAnsi="宋体" w:eastAsia="宋体" w:cs="宋体"/>
          <w:b/>
          <w:bCs/>
          <w:color w:val="auto"/>
          <w:szCs w:val="21"/>
          <w:highlight w:val="none"/>
        </w:rPr>
        <w:t>.2</w:t>
      </w:r>
      <w:r>
        <w:rPr>
          <w:rFonts w:hint="eastAsia" w:ascii="宋体" w:hAnsi="宋体" w:eastAsia="宋体" w:cs="宋体"/>
          <w:b/>
          <w:bCs/>
          <w:color w:val="auto"/>
          <w:szCs w:val="21"/>
          <w:highlight w:val="none"/>
        </w:rPr>
        <w:t>量化验收标准</w:t>
      </w:r>
    </w:p>
    <w:p w14:paraId="1DCEF20D">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w:t>
      </w:r>
      <w:r>
        <w:rPr>
          <w:rFonts w:ascii="宋体" w:hAnsi="宋体" w:eastAsia="宋体" w:cs="宋体"/>
          <w:b/>
          <w:bCs/>
          <w:color w:val="auto"/>
          <w:szCs w:val="21"/>
          <w:highlight w:val="none"/>
        </w:rPr>
        <w:t>3</w:t>
      </w:r>
      <w:r>
        <w:rPr>
          <w:rFonts w:hint="eastAsia" w:ascii="宋体" w:hAnsi="宋体" w:eastAsia="宋体" w:cs="宋体"/>
          <w:b/>
          <w:bCs/>
          <w:color w:val="auto"/>
          <w:szCs w:val="21"/>
          <w:highlight w:val="none"/>
        </w:rPr>
        <w:t>组织验收</w:t>
      </w:r>
    </w:p>
    <w:p w14:paraId="61069456">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w:t>
      </w:r>
      <w:r>
        <w:rPr>
          <w:rFonts w:ascii="宋体" w:hAnsi="宋体" w:eastAsia="宋体" w:cs="宋体"/>
          <w:b/>
          <w:bCs/>
          <w:color w:val="auto"/>
          <w:szCs w:val="21"/>
          <w:highlight w:val="none"/>
        </w:rPr>
        <w:t>4</w:t>
      </w:r>
      <w:r>
        <w:rPr>
          <w:rFonts w:hint="eastAsia" w:ascii="宋体" w:hAnsi="宋体" w:eastAsia="宋体" w:cs="宋体"/>
          <w:b/>
          <w:bCs/>
          <w:color w:val="auto"/>
          <w:szCs w:val="21"/>
          <w:highlight w:val="none"/>
        </w:rPr>
        <w:t>出具验收报告</w:t>
      </w:r>
    </w:p>
    <w:p w14:paraId="1B911BEB">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w:t>
      </w:r>
      <w:r>
        <w:rPr>
          <w:rFonts w:ascii="宋体" w:hAnsi="宋体" w:eastAsia="宋体" w:cs="宋体"/>
          <w:b/>
          <w:bCs/>
          <w:color w:val="auto"/>
          <w:szCs w:val="21"/>
          <w:highlight w:val="none"/>
        </w:rPr>
        <w:t>5</w:t>
      </w:r>
      <w:r>
        <w:rPr>
          <w:rFonts w:hint="eastAsia" w:ascii="宋体" w:hAnsi="宋体" w:eastAsia="宋体" w:cs="宋体"/>
          <w:b/>
          <w:bCs/>
          <w:color w:val="auto"/>
          <w:szCs w:val="21"/>
          <w:highlight w:val="none"/>
        </w:rPr>
        <w:t>验收结果公告</w:t>
      </w:r>
    </w:p>
    <w:p w14:paraId="65E0DE3B">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w:t>
      </w:r>
      <w:r>
        <w:rPr>
          <w:rFonts w:ascii="宋体" w:hAnsi="宋体" w:eastAsia="宋体" w:cs="宋体"/>
          <w:b/>
          <w:bCs/>
          <w:color w:val="auto"/>
          <w:szCs w:val="21"/>
          <w:highlight w:val="none"/>
        </w:rPr>
        <w:t>6</w:t>
      </w:r>
      <w:r>
        <w:rPr>
          <w:rFonts w:hint="eastAsia" w:ascii="宋体" w:hAnsi="宋体" w:eastAsia="宋体" w:cs="宋体"/>
          <w:b/>
          <w:bCs/>
          <w:color w:val="auto"/>
          <w:szCs w:val="21"/>
          <w:highlight w:val="none"/>
        </w:rPr>
        <w:t>验收资料归档</w:t>
      </w:r>
    </w:p>
    <w:p w14:paraId="7341BF60">
      <w:pPr>
        <w:spacing w:before="120"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采购合同项目完成验收后，采购人整理好验收原始记录、验收书等资料后妥善保管，不得变造、隐匿或者销毁，验收资料保存期为采购结束之日起至少保存15年。</w:t>
      </w:r>
    </w:p>
    <w:p w14:paraId="0496A72E">
      <w:pPr>
        <w:spacing w:before="120" w:line="320" w:lineRule="exact"/>
        <w:jc w:val="left"/>
        <w:rPr>
          <w:rFonts w:hint="eastAsia" w:ascii="宋体" w:hAnsi="宋体" w:eastAsia="宋体" w:cs="宋体"/>
          <w:b/>
          <w:bCs/>
          <w:iCs/>
          <w:color w:val="auto"/>
          <w:szCs w:val="21"/>
          <w:highlight w:val="none"/>
        </w:rPr>
      </w:pPr>
      <w:r>
        <w:rPr>
          <w:rFonts w:hint="eastAsia" w:ascii="宋体" w:hAnsi="宋体" w:eastAsia="宋体" w:cs="宋体"/>
          <w:b/>
          <w:bCs/>
          <w:color w:val="auto"/>
          <w:szCs w:val="21"/>
          <w:highlight w:val="none"/>
        </w:rPr>
        <w:t>6.履约验收内容</w:t>
      </w:r>
    </w:p>
    <w:p w14:paraId="024AD437">
      <w:pPr>
        <w:spacing w:before="120" w:line="320" w:lineRule="exact"/>
        <w:jc w:val="left"/>
        <w:rPr>
          <w:rFonts w:hint="eastAsia" w:ascii="宋体" w:hAnsi="宋体" w:eastAsia="宋体" w:cs="宋体"/>
          <w:iCs/>
          <w:color w:val="auto"/>
          <w:szCs w:val="21"/>
          <w:highlight w:val="none"/>
        </w:rPr>
      </w:pPr>
      <w:r>
        <w:rPr>
          <w:rFonts w:hint="eastAsia" w:ascii="宋体" w:hAnsi="宋体" w:eastAsia="宋体" w:cs="宋体"/>
          <w:b/>
          <w:bCs/>
          <w:color w:val="auto"/>
          <w:szCs w:val="21"/>
          <w:highlight w:val="none"/>
        </w:rPr>
        <w:t>6.1商务验收内容</w:t>
      </w:r>
    </w:p>
    <w:p w14:paraId="2EEF5DD5">
      <w:pPr>
        <w:spacing w:before="120" w:line="320" w:lineRule="exact"/>
        <w:ind w:firstLine="420" w:firstLineChars="200"/>
        <w:jc w:val="left"/>
        <w:rPr>
          <w:rFonts w:hint="eastAsia" w:ascii="宋体" w:hAnsi="宋体" w:eastAsia="Microsoft YaHei UI" w:cs="宋体"/>
          <w:color w:val="auto"/>
          <w:szCs w:val="21"/>
          <w:highlight w:val="none"/>
          <w:u w:val="single"/>
        </w:rPr>
      </w:pPr>
      <w:r>
        <w:rPr>
          <w:rFonts w:hint="eastAsia" w:ascii="宋体" w:hAnsi="宋体" w:eastAsia="宋体" w:cs="宋体"/>
          <w:color w:val="auto"/>
          <w:szCs w:val="21"/>
          <w:highlight w:val="none"/>
        </w:rPr>
        <w:t>对采购标的交付的情况、财务和服务要求，包括交付（实施）的时间（期限）和地点（范围），付款条件（进度和方式），包装和运输，售后服务，保险等进行验收。</w:t>
      </w:r>
    </w:p>
    <w:p w14:paraId="7B628685">
      <w:pPr>
        <w:spacing w:before="120" w:line="320" w:lineRule="exact"/>
        <w:jc w:val="left"/>
        <w:rPr>
          <w:rFonts w:hint="eastAsia" w:ascii="宋体" w:hAnsi="宋体" w:eastAsia="宋体" w:cs="宋体"/>
          <w:iCs/>
          <w:color w:val="auto"/>
          <w:szCs w:val="21"/>
          <w:highlight w:val="none"/>
        </w:rPr>
      </w:pPr>
      <w:r>
        <w:rPr>
          <w:rFonts w:hint="eastAsia" w:ascii="宋体" w:hAnsi="宋体" w:eastAsia="宋体" w:cs="宋体"/>
          <w:b/>
          <w:bCs/>
          <w:color w:val="auto"/>
          <w:szCs w:val="21"/>
          <w:highlight w:val="none"/>
        </w:rPr>
        <w:t>6.2技术验收内容</w:t>
      </w:r>
    </w:p>
    <w:p w14:paraId="01E6A7D5">
      <w:pPr>
        <w:spacing w:before="120" w:line="32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对采购标的的功能和质量要求，包括性能、材料、结构、外观、安全，或者服务内容和标准等进行验收。</w:t>
      </w:r>
    </w:p>
    <w:p w14:paraId="53381644">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7.履约验收标准</w:t>
      </w:r>
    </w:p>
    <w:p w14:paraId="0F653277">
      <w:pPr>
        <w:widowControl/>
        <w:spacing w:before="120" w:line="320" w:lineRule="exact"/>
        <w:ind w:firstLine="420" w:firstLineChars="20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验收标准：</w:t>
      </w:r>
    </w:p>
    <w:p w14:paraId="2B686E9A">
      <w:pPr>
        <w:widowControl/>
        <w:spacing w:before="120" w:line="32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（1）中标（成交）供应商应提供完备的技术或服务资料、装箱单和合格证等，并派遣专业人员进行现场安装调试。验收合格条件如下：</w:t>
      </w:r>
    </w:p>
    <w:p w14:paraId="639ACAAD">
      <w:pPr>
        <w:spacing w:before="120"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服务技术参数与响应文件中响应表或证明材料一致，性能或指标达到规定的标准。否则，以实际服务技术参数与响应文件响应表参数或证明材料比较，按如下情况处理：</w:t>
      </w:r>
    </w:p>
    <w:p w14:paraId="3AC8FE26">
      <w:pPr>
        <w:spacing w:before="120"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①供应商响应文件响应表或证明材料中满足或优于的技术参数，在验收时实际不满足技术参数要求的，视为供应商违约，采购人有权终止合同拒收服务成果，并追究供应商责任，同时报财政部门备案。</w:t>
      </w:r>
    </w:p>
    <w:p w14:paraId="507E47E6">
      <w:pPr>
        <w:spacing w:before="120"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②供应商响应文件响应表或证明材料中优于的技术参数，在验收时实际仅满足并未优于技术参数要求的，视为供应商违约，采购人有权终止合同拒收服务成果，并追究供应商责任，同时报财政部门备案。</w:t>
      </w:r>
    </w:p>
    <w:p w14:paraId="7E9D0E62">
      <w:pPr>
        <w:spacing w:before="120"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③供应商响应文件响应表或证明材料中不满足的技术参数，在验收时实际满足技术参数的要求，以满足技术参数的要求验收。 </w:t>
      </w:r>
    </w:p>
    <w:p w14:paraId="4CACE7E6">
      <w:pPr>
        <w:spacing w:before="120"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④供应商响应文件响应表或证明材料中满足的技术参数，在验收时实际优于技术参数的要求，以满足技术参数的要求验收。</w:t>
      </w:r>
    </w:p>
    <w:p w14:paraId="78DAE7D9">
      <w:pPr>
        <w:spacing w:before="120"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⑤供应商响应文件响应表或证明材料中优于的技术参数，在验收时实际也优于技术参数的要求，但没有达到响应表或证明材料中优于的程度，由采购人与供应商协商按是否满足要求验收。</w:t>
      </w:r>
    </w:p>
    <w:p w14:paraId="1C263513">
      <w:pPr>
        <w:spacing w:before="120"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（1）在测试或试运行期间所出现的问题得到解决，并运行或工作正常。</w:t>
      </w:r>
    </w:p>
    <w:p w14:paraId="602F74C9">
      <w:pPr>
        <w:spacing w:before="120"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（2）在规定时间内完成交付及验收，并经采购人确认。</w:t>
      </w:r>
    </w:p>
    <w:p w14:paraId="10216887">
      <w:pPr>
        <w:spacing w:before="120"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（3）服务在安装调试并试运行符合要求后，才作为最终验收。</w:t>
      </w:r>
    </w:p>
    <w:p w14:paraId="462C809C">
      <w:pPr>
        <w:spacing w:before="120"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（4）成交供应商提供的服务未达到采购文件规定要求，且对采购人造成损失的，由成交供应商承担一切责任，并赔偿所造成的损失。</w:t>
      </w:r>
    </w:p>
    <w:p w14:paraId="774D0847">
      <w:pPr>
        <w:spacing w:before="120"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（5）政府采购合同约定的其他要求及响应文件响应的其他标准。</w:t>
      </w:r>
    </w:p>
    <w:p w14:paraId="20F41A6E">
      <w:pPr>
        <w:spacing w:before="120" w:line="320" w:lineRule="exact"/>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8.履约验收其他事项</w:t>
      </w:r>
    </w:p>
    <w:p w14:paraId="7AAF6F41">
      <w:pPr>
        <w:spacing w:before="120"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p w14:paraId="2BE1B91A">
      <w:pPr>
        <w:spacing w:before="120" w:line="320" w:lineRule="exact"/>
        <w:rPr>
          <w:rFonts w:hint="eastAsia" w:ascii="仿宋" w:hAnsi="仿宋" w:eastAsia="仿宋" w:cs="Times New Roman"/>
          <w:color w:val="auto"/>
          <w:szCs w:val="21"/>
          <w:highlight w:val="none"/>
          <w:u w:val="single"/>
        </w:rPr>
      </w:pPr>
      <w:r>
        <w:rPr>
          <w:rFonts w:hint="eastAsia" w:ascii="仿宋" w:hAnsi="仿宋" w:eastAsia="仿宋" w:cs="Times New Roman"/>
          <w:color w:val="auto"/>
          <w:szCs w:val="21"/>
          <w:highlight w:val="none"/>
          <w:u w:val="single"/>
        </w:rPr>
        <w:br w:type="page"/>
      </w:r>
    </w:p>
    <w:p w14:paraId="3A72971F">
      <w:pPr>
        <w:snapToGrid w:val="0"/>
        <w:spacing w:line="360" w:lineRule="exact"/>
        <w:jc w:val="center"/>
        <w:rPr>
          <w:rFonts w:ascii="Times New Roman" w:hAnsi="Times New Roman" w:eastAsia="宋体" w:cs="Times New Roman"/>
          <w:b/>
          <w:bCs/>
          <w:color w:val="auto"/>
          <w:szCs w:val="21"/>
          <w:highlight w:val="none"/>
        </w:rPr>
      </w:pPr>
      <w:r>
        <w:rPr>
          <w:rFonts w:ascii="Times New Roman" w:hAnsi="Times New Roman" w:eastAsia="宋体" w:cs="Times New Roman"/>
          <w:b/>
          <w:bCs/>
          <w:color w:val="auto"/>
          <w:szCs w:val="21"/>
          <w:highlight w:val="none"/>
        </w:rPr>
        <w:t>广西壮族自治区政府采购项目合同验收书</w:t>
      </w:r>
    </w:p>
    <w:p w14:paraId="5D92FBCC">
      <w:pPr>
        <w:widowControl/>
        <w:snapToGrid w:val="0"/>
        <w:spacing w:before="100" w:beforeAutospacing="1" w:after="100" w:afterAutospacing="1" w:line="320" w:lineRule="exact"/>
        <w:ind w:left="-359" w:leftChars="-171" w:firstLine="420" w:firstLineChars="200"/>
        <w:jc w:val="left"/>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根据政府采购项目（</w:t>
      </w:r>
      <w:r>
        <w:rPr>
          <w:rFonts w:ascii="Times New Roman" w:hAnsi="Times New Roman" w:eastAsia="宋体" w:cs="Times New Roman"/>
          <w:color w:val="auto"/>
          <w:kern w:val="0"/>
          <w:szCs w:val="21"/>
          <w:highlight w:val="none"/>
          <w:u w:val="single"/>
        </w:rPr>
        <w:t>采购合同编号：</w:t>
      </w:r>
      <w:r>
        <w:rPr>
          <w:rFonts w:ascii="Times New Roman" w:hAnsi="Times New Roman" w:eastAsia="宋体" w:cs="Arial"/>
          <w:color w:val="auto"/>
          <w:szCs w:val="21"/>
          <w:highlight w:val="none"/>
          <w:u w:val="single"/>
        </w:rPr>
        <w:t>GXZC20XX-XX-XXXXX-</w:t>
      </w:r>
      <w:r>
        <w:rPr>
          <w:rFonts w:ascii="Times New Roman" w:hAnsi="Times New Roman" w:eastAsia="宋体" w:cs="Times New Roman"/>
          <w:color w:val="auto"/>
          <w:kern w:val="0"/>
          <w:szCs w:val="21"/>
          <w:highlight w:val="none"/>
        </w:rPr>
        <w:t>）的约定，我单位对（</w:t>
      </w:r>
      <w:r>
        <w:rPr>
          <w:rFonts w:hint="eastAsia" w:ascii="Times New Roman" w:hAnsi="Times New Roman" w:eastAsia="宋体" w:cs="Arial"/>
          <w:color w:val="auto"/>
          <w:szCs w:val="21"/>
          <w:highlight w:val="none"/>
          <w:u w:val="single"/>
        </w:rPr>
        <w:t>XXXX采购项目</w:t>
      </w:r>
      <w:r>
        <w:rPr>
          <w:rFonts w:ascii="Times New Roman" w:hAnsi="Times New Roman" w:eastAsia="宋体" w:cs="Times New Roman"/>
          <w:color w:val="auto"/>
          <w:kern w:val="0"/>
          <w:szCs w:val="21"/>
          <w:highlight w:val="none"/>
        </w:rPr>
        <w:t>）政府采购项目中标（或成交）供应商</w:t>
      </w:r>
      <w:r>
        <w:rPr>
          <w:rFonts w:hint="eastAsia" w:ascii="Times New Roman" w:hAnsi="Times New Roman" w:eastAsia="宋体" w:cs="Times New Roman"/>
          <w:color w:val="auto"/>
          <w:kern w:val="0"/>
          <w:szCs w:val="21"/>
          <w:highlight w:val="none"/>
          <w:u w:val="single"/>
        </w:rPr>
        <w:t>XX公司（填写供应商名称）</w:t>
      </w:r>
      <w:r>
        <w:rPr>
          <w:rFonts w:ascii="Times New Roman" w:hAnsi="Times New Roman" w:eastAsia="宋体" w:cs="Times New Roman"/>
          <w:color w:val="auto"/>
          <w:kern w:val="0"/>
          <w:szCs w:val="21"/>
          <w:highlight w:val="none"/>
        </w:rPr>
        <w:t>提供的</w:t>
      </w:r>
      <w:r>
        <w:rPr>
          <w:rFonts w:hint="eastAsia" w:ascii="Times New Roman" w:hAnsi="Times New Roman" w:eastAsia="宋体" w:cs="Times New Roman"/>
          <w:color w:val="auto"/>
          <w:kern w:val="0"/>
          <w:szCs w:val="21"/>
          <w:highlight w:val="none"/>
        </w:rPr>
        <w:t>服务（或工程、货物）</w:t>
      </w:r>
      <w:r>
        <w:rPr>
          <w:rFonts w:ascii="Times New Roman" w:hAnsi="Times New Roman" w:eastAsia="宋体" w:cs="Times New Roman"/>
          <w:color w:val="auto"/>
          <w:kern w:val="0"/>
          <w:szCs w:val="21"/>
          <w:highlight w:val="none"/>
        </w:rPr>
        <w:t>进行了验收，验收情况如下：</w:t>
      </w:r>
    </w:p>
    <w:tbl>
      <w:tblPr>
        <w:tblStyle w:val="62"/>
        <w:tblW w:w="962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661"/>
        <w:gridCol w:w="866"/>
        <w:gridCol w:w="977"/>
        <w:gridCol w:w="2263"/>
        <w:gridCol w:w="1608"/>
        <w:gridCol w:w="850"/>
        <w:gridCol w:w="242"/>
        <w:gridCol w:w="2160"/>
      </w:tblGrid>
      <w:tr w14:paraId="62A2EE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1" w:hRule="atLeast"/>
          <w:jc w:val="center"/>
        </w:trPr>
        <w:tc>
          <w:tcPr>
            <w:tcW w:w="2504" w:type="dxa"/>
            <w:gridSpan w:val="3"/>
            <w:tcBorders>
              <w:top w:val="single" w:color="auto" w:sz="8" w:space="0"/>
              <w:left w:val="single" w:color="auto" w:sz="8" w:space="0"/>
              <w:bottom w:val="single" w:color="auto" w:sz="8" w:space="0"/>
              <w:right w:val="single" w:color="auto" w:sz="8" w:space="0"/>
            </w:tcBorders>
            <w:vAlign w:val="center"/>
          </w:tcPr>
          <w:p w14:paraId="738E38F1">
            <w:pPr>
              <w:widowControl/>
              <w:snapToGrid w:val="0"/>
              <w:spacing w:before="100" w:beforeAutospacing="1" w:after="100" w:afterAutospacing="1" w:line="320" w:lineRule="exact"/>
              <w:ind w:left="-3" w:firstLine="4" w:firstLineChars="2"/>
              <w:jc w:val="center"/>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验收方式：</w:t>
            </w:r>
          </w:p>
        </w:tc>
        <w:tc>
          <w:tcPr>
            <w:tcW w:w="7123" w:type="dxa"/>
            <w:gridSpan w:val="5"/>
            <w:tcBorders>
              <w:top w:val="single" w:color="auto" w:sz="8" w:space="0"/>
              <w:left w:val="single" w:color="auto" w:sz="8" w:space="0"/>
              <w:bottom w:val="single" w:color="auto" w:sz="8" w:space="0"/>
              <w:right w:val="single" w:color="auto" w:sz="8" w:space="0"/>
            </w:tcBorders>
            <w:vAlign w:val="center"/>
          </w:tcPr>
          <w:p w14:paraId="31FE0B4F">
            <w:pPr>
              <w:widowControl/>
              <w:snapToGrid w:val="0"/>
              <w:spacing w:before="100" w:beforeAutospacing="1" w:after="100" w:afterAutospacing="1" w:line="320" w:lineRule="exact"/>
              <w:ind w:left="-3" w:firstLine="420" w:firstLineChars="200"/>
              <w:jc w:val="center"/>
              <w:rPr>
                <w:rFonts w:ascii="Times New Roman" w:hAnsi="Times New Roman" w:eastAsia="宋体" w:cs="Times New Roman"/>
                <w:color w:val="auto"/>
                <w:kern w:val="0"/>
                <w:szCs w:val="21"/>
                <w:highlight w:val="none"/>
              </w:rPr>
            </w:pPr>
            <w:r>
              <w:rPr>
                <w:rFonts w:hint="eastAsia" w:ascii="Times New Roman" w:hAnsi="Times New Roman" w:eastAsia="宋体" w:cs="Arial"/>
                <w:color w:val="auto"/>
                <w:szCs w:val="21"/>
                <w:highlight w:val="none"/>
              </w:rPr>
              <w:t>□</w:t>
            </w:r>
            <w:r>
              <w:rPr>
                <w:rFonts w:ascii="Times New Roman" w:hAnsi="Times New Roman" w:eastAsia="宋体" w:cs="Times New Roman"/>
                <w:color w:val="auto"/>
                <w:kern w:val="0"/>
                <w:szCs w:val="21"/>
                <w:highlight w:val="none"/>
              </w:rPr>
              <w:t>自行验收        </w:t>
            </w:r>
            <w:r>
              <w:rPr>
                <w:rFonts w:ascii="Times New Roman" w:hAnsi="Times New Roman" w:eastAsia="宋体" w:cs="Arial"/>
                <w:color w:val="auto"/>
                <w:szCs w:val="21"/>
                <w:highlight w:val="none"/>
              </w:rPr>
              <w:sym w:font="Wingdings 2" w:char="00A3"/>
            </w:r>
            <w:r>
              <w:rPr>
                <w:rFonts w:ascii="Times New Roman" w:hAnsi="Times New Roman" w:eastAsia="宋体" w:cs="Times New Roman"/>
                <w:color w:val="auto"/>
                <w:kern w:val="0"/>
                <w:szCs w:val="21"/>
                <w:highlight w:val="none"/>
              </w:rPr>
              <w:t>委托验收</w:t>
            </w:r>
          </w:p>
        </w:tc>
      </w:tr>
      <w:tr w14:paraId="65EA0C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4" w:hRule="atLeast"/>
          <w:jc w:val="center"/>
        </w:trPr>
        <w:tc>
          <w:tcPr>
            <w:tcW w:w="661" w:type="dxa"/>
            <w:tcBorders>
              <w:top w:val="single" w:color="auto" w:sz="8" w:space="0"/>
              <w:left w:val="single" w:color="auto" w:sz="8" w:space="0"/>
              <w:bottom w:val="single" w:color="auto" w:sz="8" w:space="0"/>
              <w:right w:val="single" w:color="auto" w:sz="8" w:space="0"/>
            </w:tcBorders>
            <w:vAlign w:val="center"/>
          </w:tcPr>
          <w:p w14:paraId="0A433565">
            <w:pPr>
              <w:widowControl/>
              <w:snapToGrid w:val="0"/>
              <w:spacing w:before="100" w:beforeAutospacing="1" w:after="100" w:afterAutospacing="1" w:line="320" w:lineRule="exact"/>
              <w:ind w:firstLine="2" w:firstLineChars="1"/>
              <w:jc w:val="center"/>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序号</w:t>
            </w:r>
          </w:p>
        </w:tc>
        <w:tc>
          <w:tcPr>
            <w:tcW w:w="1843" w:type="dxa"/>
            <w:gridSpan w:val="2"/>
            <w:tcBorders>
              <w:top w:val="single" w:color="auto" w:sz="8" w:space="0"/>
              <w:left w:val="single" w:color="auto" w:sz="8" w:space="0"/>
              <w:bottom w:val="single" w:color="auto" w:sz="8" w:space="0"/>
              <w:right w:val="single" w:color="auto" w:sz="8" w:space="0"/>
            </w:tcBorders>
            <w:vAlign w:val="center"/>
          </w:tcPr>
          <w:p w14:paraId="5596E6C9">
            <w:pPr>
              <w:widowControl/>
              <w:snapToGrid w:val="0"/>
              <w:spacing w:before="100" w:beforeAutospacing="1" w:after="100" w:afterAutospacing="1" w:line="320" w:lineRule="exact"/>
              <w:ind w:left="-3" w:firstLine="2" w:firstLineChars="1"/>
              <w:jc w:val="center"/>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名  称</w:t>
            </w:r>
          </w:p>
        </w:tc>
        <w:tc>
          <w:tcPr>
            <w:tcW w:w="3871" w:type="dxa"/>
            <w:gridSpan w:val="2"/>
            <w:tcBorders>
              <w:top w:val="single" w:color="auto" w:sz="8" w:space="0"/>
              <w:left w:val="single" w:color="auto" w:sz="8" w:space="0"/>
              <w:bottom w:val="single" w:color="auto" w:sz="8" w:space="0"/>
              <w:right w:val="single" w:color="auto" w:sz="8" w:space="0"/>
            </w:tcBorders>
            <w:vAlign w:val="center"/>
          </w:tcPr>
          <w:p w14:paraId="667418CE">
            <w:pPr>
              <w:widowControl/>
              <w:snapToGrid w:val="0"/>
              <w:spacing w:before="100" w:beforeAutospacing="1" w:after="100" w:afterAutospacing="1" w:line="320" w:lineRule="exact"/>
              <w:ind w:left="-3" w:firstLine="2" w:firstLineChars="1"/>
              <w:jc w:val="center"/>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服务内容、标准等</w:t>
            </w:r>
          </w:p>
        </w:tc>
        <w:tc>
          <w:tcPr>
            <w:tcW w:w="850" w:type="dxa"/>
            <w:tcBorders>
              <w:top w:val="single" w:color="auto" w:sz="8" w:space="0"/>
              <w:left w:val="single" w:color="auto" w:sz="8" w:space="0"/>
              <w:bottom w:val="single" w:color="auto" w:sz="8" w:space="0"/>
              <w:right w:val="single" w:color="auto" w:sz="8" w:space="0"/>
            </w:tcBorders>
            <w:vAlign w:val="center"/>
          </w:tcPr>
          <w:p w14:paraId="27E7D7C0">
            <w:pPr>
              <w:widowControl/>
              <w:snapToGrid w:val="0"/>
              <w:spacing w:before="100" w:beforeAutospacing="1" w:after="100" w:afterAutospacing="1" w:line="320" w:lineRule="exact"/>
              <w:jc w:val="center"/>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数量</w:t>
            </w:r>
          </w:p>
        </w:tc>
        <w:tc>
          <w:tcPr>
            <w:tcW w:w="2402" w:type="dxa"/>
            <w:gridSpan w:val="2"/>
            <w:tcBorders>
              <w:top w:val="single" w:color="auto" w:sz="8" w:space="0"/>
              <w:left w:val="single" w:color="auto" w:sz="8" w:space="0"/>
              <w:bottom w:val="single" w:color="auto" w:sz="8" w:space="0"/>
              <w:right w:val="single" w:color="auto" w:sz="8" w:space="0"/>
            </w:tcBorders>
            <w:vAlign w:val="center"/>
          </w:tcPr>
          <w:p w14:paraId="5D29AD3D">
            <w:pPr>
              <w:widowControl/>
              <w:snapToGrid w:val="0"/>
              <w:spacing w:before="100" w:beforeAutospacing="1" w:after="100" w:afterAutospacing="1" w:line="320" w:lineRule="exact"/>
              <w:ind w:left="-3" w:firstLine="2" w:firstLineChars="1"/>
              <w:jc w:val="center"/>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金  额</w:t>
            </w:r>
          </w:p>
        </w:tc>
      </w:tr>
      <w:tr w14:paraId="622F85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661" w:type="dxa"/>
            <w:tcBorders>
              <w:top w:val="single" w:color="auto" w:sz="8" w:space="0"/>
              <w:left w:val="single" w:color="auto" w:sz="8" w:space="0"/>
              <w:bottom w:val="single" w:color="auto" w:sz="8" w:space="0"/>
              <w:right w:val="single" w:color="auto" w:sz="8" w:space="0"/>
            </w:tcBorders>
            <w:vAlign w:val="center"/>
          </w:tcPr>
          <w:p w14:paraId="7AAACD8C">
            <w:pPr>
              <w:widowControl/>
              <w:snapToGrid w:val="0"/>
              <w:spacing w:before="100" w:beforeAutospacing="1" w:after="100" w:afterAutospacing="1" w:line="320" w:lineRule="exact"/>
              <w:ind w:left="-3" w:firstLine="4" w:firstLineChars="2"/>
              <w:jc w:val="center"/>
              <w:rPr>
                <w:rFonts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1</w:t>
            </w:r>
          </w:p>
        </w:tc>
        <w:tc>
          <w:tcPr>
            <w:tcW w:w="1843" w:type="dxa"/>
            <w:gridSpan w:val="2"/>
            <w:tcBorders>
              <w:top w:val="single" w:color="auto" w:sz="8" w:space="0"/>
              <w:left w:val="single" w:color="auto" w:sz="8" w:space="0"/>
              <w:bottom w:val="single" w:color="auto" w:sz="8" w:space="0"/>
              <w:right w:val="single" w:color="auto" w:sz="8" w:space="0"/>
            </w:tcBorders>
            <w:vAlign w:val="center"/>
          </w:tcPr>
          <w:p w14:paraId="6CF61C9E">
            <w:pPr>
              <w:widowControl/>
              <w:snapToGrid w:val="0"/>
              <w:spacing w:before="100" w:beforeAutospacing="1" w:after="100" w:afterAutospacing="1" w:line="320" w:lineRule="exact"/>
              <w:ind w:left="-3" w:firstLine="420" w:firstLineChars="200"/>
              <w:jc w:val="left"/>
              <w:rPr>
                <w:rFonts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XXXX设备</w:t>
            </w:r>
          </w:p>
        </w:tc>
        <w:tc>
          <w:tcPr>
            <w:tcW w:w="3871" w:type="dxa"/>
            <w:gridSpan w:val="2"/>
            <w:tcBorders>
              <w:top w:val="single" w:color="auto" w:sz="8" w:space="0"/>
              <w:left w:val="single" w:color="auto" w:sz="8" w:space="0"/>
              <w:bottom w:val="single" w:color="auto" w:sz="8" w:space="0"/>
              <w:right w:val="single" w:color="auto" w:sz="8" w:space="0"/>
            </w:tcBorders>
            <w:vAlign w:val="center"/>
          </w:tcPr>
          <w:p w14:paraId="0FD4B577">
            <w:pPr>
              <w:widowControl w:val="0"/>
              <w:spacing w:before="120" w:after="120"/>
              <w:ind w:firstLine="0" w:firstLineChars="0"/>
              <w:jc w:val="both"/>
              <w:rPr>
                <w:rFonts w:hint="eastAsia" w:ascii="等线" w:hAnsi="等线" w:eastAsia="等线" w:cs="Times New Roman"/>
                <w:color w:val="auto"/>
                <w:kern w:val="2"/>
                <w:sz w:val="21"/>
                <w:szCs w:val="21"/>
                <w:highlight w:val="none"/>
                <w:lang w:val="en-US" w:eastAsia="zh-CN" w:bidi="ar-SA"/>
              </w:rPr>
            </w:pPr>
          </w:p>
        </w:tc>
        <w:tc>
          <w:tcPr>
            <w:tcW w:w="850" w:type="dxa"/>
            <w:tcBorders>
              <w:top w:val="single" w:color="auto" w:sz="8" w:space="0"/>
              <w:left w:val="single" w:color="auto" w:sz="8" w:space="0"/>
              <w:bottom w:val="single" w:color="auto" w:sz="8" w:space="0"/>
              <w:right w:val="single" w:color="auto" w:sz="8" w:space="0"/>
            </w:tcBorders>
            <w:vAlign w:val="center"/>
          </w:tcPr>
          <w:p w14:paraId="0AE9FBCC">
            <w:pPr>
              <w:widowControl/>
              <w:snapToGrid w:val="0"/>
              <w:spacing w:before="100" w:beforeAutospacing="1" w:after="100" w:afterAutospacing="1" w:line="320" w:lineRule="exact"/>
              <w:jc w:val="center"/>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1</w:t>
            </w:r>
            <w:r>
              <w:rPr>
                <w:rFonts w:hint="eastAsia" w:ascii="Times New Roman" w:hAnsi="Times New Roman" w:eastAsia="宋体" w:cs="Times New Roman"/>
                <w:color w:val="auto"/>
                <w:kern w:val="0"/>
                <w:szCs w:val="21"/>
                <w:highlight w:val="none"/>
              </w:rPr>
              <w:t>套</w:t>
            </w:r>
          </w:p>
        </w:tc>
        <w:tc>
          <w:tcPr>
            <w:tcW w:w="2402" w:type="dxa"/>
            <w:gridSpan w:val="2"/>
            <w:tcBorders>
              <w:top w:val="single" w:color="auto" w:sz="8" w:space="0"/>
              <w:left w:val="single" w:color="auto" w:sz="8" w:space="0"/>
              <w:bottom w:val="single" w:color="auto" w:sz="8" w:space="0"/>
              <w:right w:val="single" w:color="auto" w:sz="8" w:space="0"/>
            </w:tcBorders>
            <w:vAlign w:val="center"/>
          </w:tcPr>
          <w:p w14:paraId="73BBFACF">
            <w:pPr>
              <w:widowControl w:val="0"/>
              <w:spacing w:before="120" w:after="120"/>
              <w:ind w:firstLine="0" w:firstLineChars="0"/>
              <w:jc w:val="center"/>
              <w:rPr>
                <w:rFonts w:hint="eastAsia" w:ascii="等线" w:hAnsi="等线" w:eastAsia="等线" w:cs="Times New Roman"/>
                <w:color w:val="auto"/>
                <w:kern w:val="2"/>
                <w:sz w:val="21"/>
                <w:szCs w:val="21"/>
                <w:highlight w:val="none"/>
                <w:lang w:val="en-US" w:eastAsia="zh-CN" w:bidi="ar-SA"/>
              </w:rPr>
            </w:pPr>
            <w:r>
              <w:rPr>
                <w:rFonts w:ascii="等线" w:hAnsi="等线" w:eastAsia="等线" w:cs="Times New Roman"/>
                <w:color w:val="auto"/>
                <w:kern w:val="2"/>
                <w:sz w:val="21"/>
                <w:szCs w:val="21"/>
                <w:highlight w:val="none"/>
                <w:lang w:val="en-US" w:eastAsia="zh-CN" w:bidi="ar-SA"/>
              </w:rPr>
              <w:t>¥0.00元</w:t>
            </w:r>
          </w:p>
        </w:tc>
      </w:tr>
      <w:tr w14:paraId="39DC41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6375" w:type="dxa"/>
            <w:gridSpan w:val="5"/>
            <w:tcBorders>
              <w:top w:val="single" w:color="auto" w:sz="8" w:space="0"/>
              <w:left w:val="single" w:color="auto" w:sz="8" w:space="0"/>
              <w:bottom w:val="single" w:color="auto" w:sz="8" w:space="0"/>
              <w:right w:val="single" w:color="auto" w:sz="8" w:space="0"/>
            </w:tcBorders>
            <w:vAlign w:val="center"/>
          </w:tcPr>
          <w:p w14:paraId="4D77F750">
            <w:pPr>
              <w:widowControl w:val="0"/>
              <w:spacing w:before="120" w:after="120"/>
              <w:ind w:firstLine="0" w:firstLineChars="0"/>
              <w:jc w:val="center"/>
              <w:rPr>
                <w:rFonts w:hint="eastAsia" w:ascii="等线" w:hAnsi="等线" w:eastAsia="等线" w:cs="Times New Roman"/>
                <w:color w:val="auto"/>
                <w:kern w:val="2"/>
                <w:sz w:val="21"/>
                <w:szCs w:val="21"/>
                <w:highlight w:val="none"/>
                <w:lang w:val="en-US" w:eastAsia="zh-CN" w:bidi="ar-SA"/>
              </w:rPr>
            </w:pPr>
            <w:r>
              <w:rPr>
                <w:rFonts w:hint="eastAsia" w:ascii="等线" w:hAnsi="等线" w:eastAsia="等线" w:cs="Times New Roman"/>
                <w:color w:val="auto"/>
                <w:kern w:val="2"/>
                <w:sz w:val="21"/>
                <w:szCs w:val="21"/>
                <w:highlight w:val="none"/>
                <w:lang w:val="en-US" w:eastAsia="zh-CN" w:bidi="ar-SA"/>
              </w:rPr>
              <w:t>合 计</w:t>
            </w:r>
          </w:p>
        </w:tc>
        <w:tc>
          <w:tcPr>
            <w:tcW w:w="850" w:type="dxa"/>
            <w:tcBorders>
              <w:top w:val="single" w:color="auto" w:sz="8" w:space="0"/>
              <w:left w:val="single" w:color="auto" w:sz="8" w:space="0"/>
              <w:bottom w:val="single" w:color="auto" w:sz="8" w:space="0"/>
              <w:right w:val="single" w:color="auto" w:sz="8" w:space="0"/>
            </w:tcBorders>
            <w:vAlign w:val="center"/>
          </w:tcPr>
          <w:p w14:paraId="1ED650E4">
            <w:pPr>
              <w:widowControl/>
              <w:snapToGrid w:val="0"/>
              <w:spacing w:before="100" w:beforeAutospacing="1" w:after="100" w:afterAutospacing="1" w:line="320" w:lineRule="exact"/>
              <w:jc w:val="center"/>
              <w:rPr>
                <w:rFonts w:ascii="Times New Roman" w:hAnsi="Times New Roman" w:eastAsia="宋体" w:cs="Times New Roman"/>
                <w:color w:val="auto"/>
                <w:kern w:val="0"/>
                <w:szCs w:val="21"/>
                <w:highlight w:val="none"/>
              </w:rPr>
            </w:pPr>
          </w:p>
        </w:tc>
        <w:tc>
          <w:tcPr>
            <w:tcW w:w="2402" w:type="dxa"/>
            <w:gridSpan w:val="2"/>
            <w:tcBorders>
              <w:top w:val="single" w:color="auto" w:sz="8" w:space="0"/>
              <w:left w:val="single" w:color="auto" w:sz="8" w:space="0"/>
              <w:bottom w:val="single" w:color="auto" w:sz="8" w:space="0"/>
              <w:right w:val="single" w:color="auto" w:sz="8" w:space="0"/>
            </w:tcBorders>
            <w:vAlign w:val="center"/>
          </w:tcPr>
          <w:p w14:paraId="1F5E6BBF">
            <w:pPr>
              <w:widowControl w:val="0"/>
              <w:spacing w:before="120" w:after="120"/>
              <w:ind w:firstLine="0" w:firstLineChars="0"/>
              <w:jc w:val="center"/>
              <w:rPr>
                <w:rFonts w:hint="eastAsia" w:ascii="等线" w:hAnsi="等线" w:eastAsia="等线" w:cs="Times New Roman"/>
                <w:color w:val="auto"/>
                <w:kern w:val="2"/>
                <w:sz w:val="21"/>
                <w:szCs w:val="21"/>
                <w:highlight w:val="none"/>
                <w:lang w:val="en-US" w:eastAsia="zh-CN" w:bidi="ar-SA"/>
              </w:rPr>
            </w:pPr>
            <w:r>
              <w:rPr>
                <w:rFonts w:ascii="等线" w:hAnsi="等线" w:eastAsia="等线" w:cs="Times New Roman"/>
                <w:color w:val="auto"/>
                <w:kern w:val="2"/>
                <w:sz w:val="21"/>
                <w:szCs w:val="21"/>
                <w:highlight w:val="none"/>
                <w:lang w:val="en-US" w:eastAsia="zh-CN" w:bidi="ar-SA"/>
              </w:rPr>
              <w:t>¥0.00元</w:t>
            </w:r>
          </w:p>
        </w:tc>
      </w:tr>
      <w:tr w14:paraId="63E5D0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55" w:hRule="atLeast"/>
          <w:jc w:val="center"/>
        </w:trPr>
        <w:tc>
          <w:tcPr>
            <w:tcW w:w="9627" w:type="dxa"/>
            <w:gridSpan w:val="8"/>
            <w:tcBorders>
              <w:top w:val="single" w:color="auto" w:sz="8" w:space="0"/>
              <w:left w:val="single" w:color="auto" w:sz="8" w:space="0"/>
              <w:bottom w:val="single" w:color="auto" w:sz="8" w:space="0"/>
              <w:right w:val="single" w:color="auto" w:sz="8" w:space="0"/>
            </w:tcBorders>
            <w:vAlign w:val="center"/>
          </w:tcPr>
          <w:p w14:paraId="46DD37E0">
            <w:pPr>
              <w:widowControl/>
              <w:snapToGrid w:val="0"/>
              <w:spacing w:before="100" w:beforeAutospacing="1" w:after="100" w:afterAutospacing="1" w:line="320" w:lineRule="exact"/>
              <w:ind w:firstLine="2" w:firstLineChars="1"/>
              <w:jc w:val="left"/>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合计大写金额：</w:t>
            </w:r>
            <w:r>
              <w:rPr>
                <w:rFonts w:hint="eastAsia" w:ascii="Times New Roman" w:hAnsi="Times New Roman" w:eastAsia="宋体" w:cs="Times New Roman"/>
                <w:color w:val="auto"/>
                <w:kern w:val="0"/>
                <w:szCs w:val="21"/>
                <w:highlight w:val="none"/>
              </w:rPr>
              <w:t>人民币元整</w:t>
            </w:r>
          </w:p>
        </w:tc>
      </w:tr>
      <w:tr w14:paraId="70258A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9" w:hRule="atLeast"/>
          <w:jc w:val="center"/>
        </w:trPr>
        <w:tc>
          <w:tcPr>
            <w:tcW w:w="1527" w:type="dxa"/>
            <w:gridSpan w:val="2"/>
            <w:tcBorders>
              <w:top w:val="single" w:color="auto" w:sz="8" w:space="0"/>
              <w:left w:val="single" w:color="auto" w:sz="8" w:space="0"/>
              <w:bottom w:val="single" w:color="auto" w:sz="8" w:space="0"/>
              <w:right w:val="single" w:color="auto" w:sz="8" w:space="0"/>
            </w:tcBorders>
            <w:vAlign w:val="center"/>
          </w:tcPr>
          <w:p w14:paraId="6C3BBE6C">
            <w:pPr>
              <w:widowControl/>
              <w:snapToGrid w:val="0"/>
              <w:spacing w:before="100" w:beforeAutospacing="1" w:after="100" w:afterAutospacing="1" w:line="320" w:lineRule="exact"/>
              <w:ind w:firstLine="2" w:firstLineChars="1"/>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实际交付日期</w:t>
            </w:r>
          </w:p>
        </w:tc>
        <w:tc>
          <w:tcPr>
            <w:tcW w:w="3240" w:type="dxa"/>
            <w:gridSpan w:val="2"/>
            <w:tcBorders>
              <w:top w:val="single" w:color="auto" w:sz="8" w:space="0"/>
              <w:left w:val="single" w:color="auto" w:sz="8" w:space="0"/>
              <w:bottom w:val="single" w:color="auto" w:sz="8" w:space="0"/>
              <w:right w:val="single" w:color="auto" w:sz="8" w:space="0"/>
            </w:tcBorders>
            <w:vAlign w:val="center"/>
          </w:tcPr>
          <w:p w14:paraId="36D67229">
            <w:pPr>
              <w:snapToGrid w:val="0"/>
              <w:spacing w:before="100" w:beforeAutospacing="1" w:after="100" w:afterAutospacing="1" w:line="32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  年  月  日</w:t>
            </w:r>
          </w:p>
        </w:tc>
        <w:tc>
          <w:tcPr>
            <w:tcW w:w="2700" w:type="dxa"/>
            <w:gridSpan w:val="3"/>
            <w:tcBorders>
              <w:top w:val="single" w:color="auto" w:sz="8" w:space="0"/>
              <w:left w:val="single" w:color="auto" w:sz="8" w:space="0"/>
              <w:bottom w:val="single" w:color="auto" w:sz="8" w:space="0"/>
              <w:right w:val="single" w:color="auto" w:sz="8" w:space="0"/>
            </w:tcBorders>
            <w:vAlign w:val="center"/>
          </w:tcPr>
          <w:p w14:paraId="5EE0B692">
            <w:pPr>
              <w:snapToGrid w:val="0"/>
              <w:spacing w:before="100" w:beforeAutospacing="1" w:after="100" w:afterAutospacing="1" w:line="320" w:lineRule="exact"/>
              <w:ind w:firstLine="39" w:firstLineChars="19"/>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合同交付验收日期</w:t>
            </w:r>
          </w:p>
        </w:tc>
        <w:tc>
          <w:tcPr>
            <w:tcW w:w="2160" w:type="dxa"/>
            <w:tcBorders>
              <w:top w:val="single" w:color="auto" w:sz="8" w:space="0"/>
              <w:left w:val="single" w:color="auto" w:sz="8" w:space="0"/>
              <w:bottom w:val="single" w:color="auto" w:sz="8" w:space="0"/>
              <w:right w:val="single" w:color="auto" w:sz="8" w:space="0"/>
            </w:tcBorders>
            <w:vAlign w:val="center"/>
          </w:tcPr>
          <w:p w14:paraId="0D44EC9D">
            <w:pPr>
              <w:snapToGrid w:val="0"/>
              <w:spacing w:before="100" w:beforeAutospacing="1" w:after="100" w:afterAutospacing="1" w:line="32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  年  月  日</w:t>
            </w:r>
          </w:p>
        </w:tc>
      </w:tr>
      <w:tr w14:paraId="798BD5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93" w:hRule="atLeast"/>
          <w:jc w:val="center"/>
        </w:trPr>
        <w:tc>
          <w:tcPr>
            <w:tcW w:w="1527"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F83D8E2">
            <w:pPr>
              <w:widowControl/>
              <w:snapToGrid w:val="0"/>
              <w:spacing w:before="100" w:beforeAutospacing="1" w:after="100" w:afterAutospacing="1" w:line="32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验收具体内容</w:t>
            </w:r>
          </w:p>
        </w:tc>
        <w:tc>
          <w:tcPr>
            <w:tcW w:w="8100" w:type="dxa"/>
            <w:gridSpan w:val="6"/>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4272A51">
            <w:pPr>
              <w:widowControl w:val="0"/>
              <w:spacing w:before="120" w:after="120"/>
              <w:ind w:firstLine="0" w:firstLineChars="0"/>
              <w:jc w:val="both"/>
              <w:rPr>
                <w:rFonts w:hint="eastAsia" w:ascii="宋体" w:hAnsi="宋体" w:eastAsia="等线" w:cs="宋体"/>
                <w:color w:val="auto"/>
                <w:kern w:val="2"/>
                <w:sz w:val="21"/>
                <w:szCs w:val="21"/>
                <w:highlight w:val="none"/>
                <w:lang w:val="en-US" w:eastAsia="zh-CN" w:bidi="ar-SA"/>
              </w:rPr>
            </w:pPr>
            <w:r>
              <w:rPr>
                <w:rFonts w:hint="eastAsia" w:ascii="宋体" w:hAnsi="宋体" w:eastAsia="等线" w:cs="宋体"/>
                <w:color w:val="auto"/>
                <w:kern w:val="2"/>
                <w:sz w:val="21"/>
                <w:szCs w:val="21"/>
                <w:highlight w:val="none"/>
                <w:lang w:val="en-US" w:eastAsia="zh-CN" w:bidi="ar-SA"/>
              </w:rPr>
              <w:t>中标人所提供服务的内容满足采购合同约定的要求、标准。</w:t>
            </w:r>
          </w:p>
        </w:tc>
      </w:tr>
      <w:tr w14:paraId="492E5A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6" w:hRule="atLeast"/>
          <w:jc w:val="center"/>
        </w:trPr>
        <w:tc>
          <w:tcPr>
            <w:tcW w:w="1527" w:type="dxa"/>
            <w:gridSpan w:val="2"/>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C753F43">
            <w:pPr>
              <w:widowControl/>
              <w:spacing w:before="100" w:beforeAutospacing="1" w:after="100" w:afterAutospacing="1" w:line="32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验收小组意见</w:t>
            </w:r>
          </w:p>
        </w:tc>
        <w:tc>
          <w:tcPr>
            <w:tcW w:w="8100" w:type="dxa"/>
            <w:gridSpan w:val="6"/>
            <w:tcBorders>
              <w:top w:val="single" w:color="auto" w:sz="8" w:space="0"/>
              <w:left w:val="single" w:color="auto" w:sz="8" w:space="0"/>
              <w:bottom w:val="single" w:color="auto" w:sz="4" w:space="0"/>
              <w:right w:val="single" w:color="auto" w:sz="8" w:space="0"/>
            </w:tcBorders>
            <w:vAlign w:val="center"/>
          </w:tcPr>
          <w:p w14:paraId="4485605B">
            <w:pPr>
              <w:widowControl/>
              <w:spacing w:before="100" w:beforeAutospacing="1" w:after="100" w:afterAutospacing="1" w:line="32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验收结论性意见：同意（不同意）通过项目验收</w:t>
            </w:r>
          </w:p>
        </w:tc>
      </w:tr>
      <w:tr w14:paraId="55758E2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037" w:hRule="atLeast"/>
          <w:jc w:val="center"/>
        </w:trPr>
        <w:tc>
          <w:tcPr>
            <w:tcW w:w="1527" w:type="dxa"/>
            <w:gridSpan w:val="2"/>
            <w:vMerge w:val="continue"/>
            <w:tcBorders>
              <w:top w:val="single" w:color="auto" w:sz="8" w:space="0"/>
              <w:left w:val="single" w:color="auto" w:sz="8" w:space="0"/>
              <w:bottom w:val="single" w:color="auto" w:sz="8" w:space="0"/>
              <w:right w:val="single" w:color="auto" w:sz="8" w:space="0"/>
            </w:tcBorders>
            <w:vAlign w:val="center"/>
          </w:tcPr>
          <w:p w14:paraId="4AED2F18">
            <w:pPr>
              <w:widowControl/>
              <w:spacing w:line="320" w:lineRule="exact"/>
              <w:jc w:val="left"/>
              <w:rPr>
                <w:rFonts w:hint="eastAsia" w:ascii="宋体" w:hAnsi="宋体" w:eastAsia="宋体" w:cs="宋体"/>
                <w:color w:val="auto"/>
                <w:kern w:val="0"/>
                <w:szCs w:val="21"/>
                <w:highlight w:val="none"/>
              </w:rPr>
            </w:pPr>
          </w:p>
        </w:tc>
        <w:tc>
          <w:tcPr>
            <w:tcW w:w="8100" w:type="dxa"/>
            <w:gridSpan w:val="6"/>
            <w:tcBorders>
              <w:top w:val="single" w:color="auto" w:sz="4" w:space="0"/>
              <w:left w:val="single" w:color="auto" w:sz="8" w:space="0"/>
              <w:bottom w:val="single" w:color="auto" w:sz="8" w:space="0"/>
              <w:right w:val="single" w:color="auto" w:sz="8" w:space="0"/>
            </w:tcBorders>
            <w:vAlign w:val="center"/>
          </w:tcPr>
          <w:p w14:paraId="53A22392">
            <w:pPr>
              <w:widowControl w:val="0"/>
              <w:spacing w:before="120" w:after="120"/>
              <w:ind w:firstLine="0" w:firstLineChars="0"/>
              <w:jc w:val="both"/>
              <w:rPr>
                <w:rFonts w:hint="eastAsia" w:ascii="宋体" w:hAnsi="宋体" w:eastAsia="等线" w:cs="宋体"/>
                <w:color w:val="auto"/>
                <w:kern w:val="2"/>
                <w:sz w:val="21"/>
                <w:szCs w:val="21"/>
                <w:highlight w:val="none"/>
                <w:lang w:val="en-US" w:eastAsia="zh-CN" w:bidi="ar-SA"/>
              </w:rPr>
            </w:pPr>
            <w:r>
              <w:rPr>
                <w:rFonts w:hint="eastAsia" w:ascii="宋体" w:hAnsi="宋体" w:eastAsia="等线" w:cs="宋体"/>
                <w:color w:val="auto"/>
                <w:kern w:val="2"/>
                <w:sz w:val="21"/>
                <w:szCs w:val="21"/>
                <w:highlight w:val="none"/>
                <w:lang w:val="en-US" w:eastAsia="zh-CN" w:bidi="ar-SA"/>
              </w:rPr>
              <w:t>有异议的意见和说明理由：</w:t>
            </w:r>
          </w:p>
          <w:p w14:paraId="1CCE07F1">
            <w:pPr>
              <w:widowControl w:val="0"/>
              <w:spacing w:before="120" w:after="120"/>
              <w:ind w:firstLine="5880" w:firstLineChars="2800"/>
              <w:jc w:val="both"/>
              <w:rPr>
                <w:rFonts w:hint="eastAsia" w:ascii="宋体" w:hAnsi="宋体" w:eastAsia="等线" w:cs="宋体"/>
                <w:color w:val="auto"/>
                <w:kern w:val="2"/>
                <w:sz w:val="21"/>
                <w:szCs w:val="21"/>
                <w:highlight w:val="none"/>
                <w:lang w:val="en-US" w:eastAsia="zh-CN" w:bidi="ar-SA"/>
              </w:rPr>
            </w:pPr>
            <w:r>
              <w:rPr>
                <w:rFonts w:hint="eastAsia" w:ascii="宋体" w:hAnsi="宋体" w:eastAsia="等线" w:cs="宋体"/>
                <w:color w:val="auto"/>
                <w:kern w:val="2"/>
                <w:sz w:val="21"/>
                <w:szCs w:val="21"/>
                <w:highlight w:val="none"/>
                <w:lang w:val="en-US" w:eastAsia="zh-CN" w:bidi="ar-SA"/>
              </w:rPr>
              <w:t>签字：</w:t>
            </w:r>
          </w:p>
        </w:tc>
      </w:tr>
      <w:tr w14:paraId="7AC407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331" w:hRule="atLeast"/>
          <w:jc w:val="center"/>
        </w:trPr>
        <w:tc>
          <w:tcPr>
            <w:tcW w:w="9627" w:type="dxa"/>
            <w:gridSpan w:val="8"/>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50A8631">
            <w:pPr>
              <w:widowControl/>
              <w:spacing w:before="100" w:beforeAutospacing="1" w:after="100" w:afterAutospacing="1" w:line="320" w:lineRule="exact"/>
              <w:jc w:val="left"/>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验收小组成员签字：</w:t>
            </w:r>
          </w:p>
          <w:p w14:paraId="71B19743">
            <w:pPr>
              <w:widowControl/>
              <w:spacing w:before="100" w:beforeAutospacing="1" w:after="100" w:afterAutospacing="1" w:line="320" w:lineRule="exact"/>
              <w:jc w:val="left"/>
              <w:rPr>
                <w:rFonts w:ascii="Times New Roman" w:hAnsi="Times New Roman" w:eastAsia="宋体" w:cs="Times New Roman"/>
                <w:color w:val="auto"/>
                <w:kern w:val="0"/>
                <w:szCs w:val="21"/>
                <w:highlight w:val="none"/>
              </w:rPr>
            </w:pPr>
          </w:p>
        </w:tc>
      </w:tr>
      <w:tr w14:paraId="746308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10" w:hRule="atLeast"/>
          <w:jc w:val="center"/>
        </w:trPr>
        <w:tc>
          <w:tcPr>
            <w:tcW w:w="9627" w:type="dxa"/>
            <w:gridSpan w:val="8"/>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5B4C2AE">
            <w:pPr>
              <w:widowControl/>
              <w:spacing w:before="100" w:beforeAutospacing="1" w:after="100" w:afterAutospacing="1" w:line="320" w:lineRule="exact"/>
              <w:jc w:val="left"/>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监督人员或其他相关人员签字：</w:t>
            </w:r>
          </w:p>
          <w:p w14:paraId="76303AF0">
            <w:pPr>
              <w:widowControl/>
              <w:spacing w:before="100" w:beforeAutospacing="1" w:after="100" w:afterAutospacing="1" w:line="320" w:lineRule="exact"/>
              <w:ind w:firstLine="65" w:firstLineChars="31"/>
              <w:jc w:val="left"/>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或受邀机构的意见（盖章）：</w:t>
            </w:r>
          </w:p>
        </w:tc>
      </w:tr>
      <w:tr w14:paraId="651015B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418" w:hRule="atLeast"/>
          <w:jc w:val="center"/>
        </w:trPr>
        <w:tc>
          <w:tcPr>
            <w:tcW w:w="4767" w:type="dxa"/>
            <w:gridSpan w:val="4"/>
            <w:tcBorders>
              <w:top w:val="single" w:color="auto" w:sz="8" w:space="0"/>
              <w:left w:val="single" w:color="auto" w:sz="8" w:space="0"/>
              <w:bottom w:val="single" w:color="auto" w:sz="8" w:space="0"/>
              <w:right w:val="nil"/>
            </w:tcBorders>
            <w:tcMar>
              <w:top w:w="0" w:type="dxa"/>
              <w:left w:w="108" w:type="dxa"/>
              <w:bottom w:w="0" w:type="dxa"/>
              <w:right w:w="108" w:type="dxa"/>
            </w:tcMar>
            <w:vAlign w:val="center"/>
          </w:tcPr>
          <w:p w14:paraId="5F9D479B">
            <w:pPr>
              <w:widowControl/>
              <w:spacing w:before="100" w:beforeAutospacing="1" w:after="100" w:afterAutospacing="1" w:line="320" w:lineRule="exact"/>
              <w:ind w:firstLine="65" w:firstLineChars="31"/>
              <w:jc w:val="left"/>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中标或者成交供应商负责人签字或盖章：</w:t>
            </w:r>
          </w:p>
          <w:p w14:paraId="77311A6C">
            <w:pPr>
              <w:widowControl/>
              <w:spacing w:before="100" w:beforeAutospacing="1" w:after="100" w:afterAutospacing="1" w:line="320" w:lineRule="exact"/>
              <w:jc w:val="left"/>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联系电话：     </w:t>
            </w:r>
            <w:r>
              <w:rPr>
                <w:rFonts w:hint="eastAsia" w:ascii="Times New Roman" w:hAnsi="Times New Roman" w:eastAsia="宋体" w:cs="Times New Roman"/>
                <w:color w:val="auto"/>
                <w:kern w:val="0"/>
                <w:szCs w:val="21"/>
                <w:highlight w:val="none"/>
              </w:rPr>
              <w:t xml:space="preserve">   </w:t>
            </w:r>
            <w:r>
              <w:rPr>
                <w:rFonts w:ascii="Times New Roman" w:hAnsi="Times New Roman" w:eastAsia="宋体" w:cs="Times New Roman"/>
                <w:color w:val="auto"/>
                <w:kern w:val="0"/>
                <w:szCs w:val="21"/>
                <w:highlight w:val="none"/>
              </w:rPr>
              <w:t>  年</w:t>
            </w:r>
            <w:r>
              <w:rPr>
                <w:rFonts w:hint="eastAsia" w:ascii="Times New Roman" w:hAnsi="Times New Roman" w:eastAsia="宋体" w:cs="Times New Roman"/>
                <w:color w:val="auto"/>
                <w:kern w:val="0"/>
                <w:szCs w:val="21"/>
                <w:highlight w:val="none"/>
              </w:rPr>
              <w:t xml:space="preserve">  </w:t>
            </w:r>
            <w:r>
              <w:rPr>
                <w:rFonts w:ascii="Times New Roman" w:hAnsi="Times New Roman" w:eastAsia="宋体" w:cs="Times New Roman"/>
                <w:color w:val="auto"/>
                <w:kern w:val="0"/>
                <w:szCs w:val="21"/>
                <w:highlight w:val="none"/>
              </w:rPr>
              <w:t> 月 </w:t>
            </w:r>
            <w:r>
              <w:rPr>
                <w:rFonts w:hint="eastAsia" w:ascii="Times New Roman" w:hAnsi="Times New Roman" w:eastAsia="宋体" w:cs="Times New Roman"/>
                <w:color w:val="auto"/>
                <w:kern w:val="0"/>
                <w:szCs w:val="21"/>
                <w:highlight w:val="none"/>
              </w:rPr>
              <w:t xml:space="preserve">  </w:t>
            </w:r>
            <w:r>
              <w:rPr>
                <w:rFonts w:ascii="Times New Roman" w:hAnsi="Times New Roman" w:eastAsia="宋体" w:cs="Times New Roman"/>
                <w:color w:val="auto"/>
                <w:kern w:val="0"/>
                <w:szCs w:val="21"/>
                <w:highlight w:val="none"/>
              </w:rPr>
              <w:t>日</w:t>
            </w:r>
          </w:p>
          <w:p w14:paraId="27625391">
            <w:pPr>
              <w:widowControl/>
              <w:spacing w:before="100" w:beforeAutospacing="1" w:after="100" w:afterAutospacing="1" w:line="320" w:lineRule="exact"/>
              <w:jc w:val="left"/>
              <w:rPr>
                <w:rFonts w:ascii="Times New Roman" w:hAnsi="Times New Roman" w:eastAsia="宋体" w:cs="Times New Roman"/>
                <w:color w:val="auto"/>
                <w:kern w:val="0"/>
                <w:szCs w:val="21"/>
                <w:highlight w:val="none"/>
              </w:rPr>
            </w:pPr>
          </w:p>
          <w:p w14:paraId="77D98053">
            <w:pPr>
              <w:widowControl/>
              <w:spacing w:before="100" w:beforeAutospacing="1" w:after="100" w:afterAutospacing="1" w:line="320" w:lineRule="exact"/>
              <w:ind w:firstLine="65" w:firstLineChars="31"/>
              <w:jc w:val="left"/>
              <w:rPr>
                <w:rFonts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采购人</w:t>
            </w:r>
            <w:r>
              <w:rPr>
                <w:rFonts w:ascii="Times New Roman" w:hAnsi="Times New Roman" w:eastAsia="宋体" w:cs="Times New Roman"/>
                <w:color w:val="auto"/>
                <w:kern w:val="0"/>
                <w:szCs w:val="21"/>
                <w:highlight w:val="none"/>
              </w:rPr>
              <w:t>签字或盖章：</w:t>
            </w:r>
          </w:p>
          <w:p w14:paraId="7F218468">
            <w:pPr>
              <w:widowControl/>
              <w:spacing w:before="100" w:beforeAutospacing="1" w:after="100" w:afterAutospacing="1" w:line="320" w:lineRule="exact"/>
              <w:jc w:val="left"/>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 xml:space="preserve">联系电话：      </w:t>
            </w:r>
            <w:r>
              <w:rPr>
                <w:rFonts w:hint="eastAsia" w:ascii="Times New Roman" w:hAnsi="Times New Roman" w:eastAsia="宋体" w:cs="Times New Roman"/>
                <w:color w:val="auto"/>
                <w:kern w:val="0"/>
                <w:szCs w:val="21"/>
                <w:highlight w:val="none"/>
              </w:rPr>
              <w:t xml:space="preserve"> </w:t>
            </w:r>
            <w:r>
              <w:rPr>
                <w:rFonts w:ascii="Times New Roman" w:hAnsi="Times New Roman" w:eastAsia="宋体" w:cs="Times New Roman"/>
                <w:color w:val="auto"/>
                <w:kern w:val="0"/>
                <w:szCs w:val="21"/>
                <w:highlight w:val="none"/>
              </w:rPr>
              <w:t>  年</w:t>
            </w:r>
            <w:r>
              <w:rPr>
                <w:rFonts w:hint="eastAsia" w:ascii="Times New Roman" w:hAnsi="Times New Roman" w:eastAsia="宋体" w:cs="Times New Roman"/>
                <w:color w:val="auto"/>
                <w:kern w:val="0"/>
                <w:szCs w:val="21"/>
                <w:highlight w:val="none"/>
              </w:rPr>
              <w:t xml:space="preserve">  </w:t>
            </w:r>
            <w:r>
              <w:rPr>
                <w:rFonts w:ascii="Times New Roman" w:hAnsi="Times New Roman" w:eastAsia="宋体" w:cs="Times New Roman"/>
                <w:color w:val="auto"/>
                <w:kern w:val="0"/>
                <w:szCs w:val="21"/>
                <w:highlight w:val="none"/>
              </w:rPr>
              <w:t> 月 </w:t>
            </w:r>
            <w:r>
              <w:rPr>
                <w:rFonts w:hint="eastAsia" w:ascii="Times New Roman" w:hAnsi="Times New Roman" w:eastAsia="宋体" w:cs="Times New Roman"/>
                <w:color w:val="auto"/>
                <w:kern w:val="0"/>
                <w:szCs w:val="21"/>
                <w:highlight w:val="none"/>
              </w:rPr>
              <w:t xml:space="preserve">  </w:t>
            </w:r>
            <w:r>
              <w:rPr>
                <w:rFonts w:ascii="Times New Roman" w:hAnsi="Times New Roman" w:eastAsia="宋体" w:cs="Times New Roman"/>
                <w:color w:val="auto"/>
                <w:kern w:val="0"/>
                <w:szCs w:val="21"/>
                <w:highlight w:val="none"/>
              </w:rPr>
              <w:t>日</w:t>
            </w:r>
          </w:p>
        </w:tc>
        <w:tc>
          <w:tcPr>
            <w:tcW w:w="4860" w:type="dxa"/>
            <w:gridSpan w:val="4"/>
            <w:tcBorders>
              <w:top w:val="single" w:color="auto" w:sz="8" w:space="0"/>
              <w:left w:val="nil"/>
              <w:bottom w:val="single" w:color="auto" w:sz="8" w:space="0"/>
              <w:right w:val="single" w:color="auto" w:sz="8" w:space="0"/>
            </w:tcBorders>
            <w:vAlign w:val="center"/>
          </w:tcPr>
          <w:p w14:paraId="217684FE">
            <w:pPr>
              <w:widowControl/>
              <w:spacing w:before="100" w:beforeAutospacing="1" w:after="100" w:afterAutospacing="1" w:line="320" w:lineRule="exact"/>
              <w:jc w:val="left"/>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 受托机构的意见（盖章）：</w:t>
            </w:r>
          </w:p>
          <w:p w14:paraId="2642A7E6">
            <w:pPr>
              <w:widowControl/>
              <w:spacing w:before="100" w:beforeAutospacing="1" w:after="100" w:afterAutospacing="1" w:line="320" w:lineRule="exact"/>
              <w:jc w:val="left"/>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 xml:space="preserve">联系电话：                 </w:t>
            </w:r>
            <w:r>
              <w:rPr>
                <w:rFonts w:hint="eastAsia" w:ascii="Times New Roman" w:hAnsi="Times New Roman" w:eastAsia="宋体" w:cs="Times New Roman"/>
                <w:color w:val="auto"/>
                <w:kern w:val="0"/>
                <w:szCs w:val="21"/>
                <w:highlight w:val="none"/>
              </w:rPr>
              <w:t xml:space="preserve">    </w:t>
            </w:r>
            <w:r>
              <w:rPr>
                <w:rFonts w:ascii="Times New Roman" w:hAnsi="Times New Roman" w:eastAsia="宋体" w:cs="Times New Roman"/>
                <w:color w:val="auto"/>
                <w:kern w:val="0"/>
                <w:szCs w:val="21"/>
                <w:highlight w:val="none"/>
              </w:rPr>
              <w:t>年   月   日</w:t>
            </w:r>
          </w:p>
          <w:p w14:paraId="2262698B">
            <w:pPr>
              <w:widowControl/>
              <w:spacing w:before="100" w:beforeAutospacing="1" w:after="100" w:afterAutospacing="1" w:line="320" w:lineRule="exact"/>
              <w:jc w:val="left"/>
              <w:rPr>
                <w:rFonts w:ascii="Times New Roman" w:hAnsi="Times New Roman" w:eastAsia="宋体" w:cs="Times New Roman"/>
                <w:color w:val="auto"/>
                <w:kern w:val="0"/>
                <w:szCs w:val="21"/>
                <w:highlight w:val="none"/>
              </w:rPr>
            </w:pPr>
          </w:p>
          <w:p w14:paraId="20D13220">
            <w:pPr>
              <w:widowControl/>
              <w:spacing w:before="100" w:beforeAutospacing="1" w:after="100" w:afterAutospacing="1" w:line="320" w:lineRule="exact"/>
              <w:jc w:val="left"/>
              <w:rPr>
                <w:rFonts w:ascii="Times New Roman" w:hAnsi="Times New Roman" w:eastAsia="宋体" w:cs="Times New Roman"/>
                <w:color w:val="auto"/>
                <w:kern w:val="0"/>
                <w:szCs w:val="21"/>
                <w:highlight w:val="none"/>
              </w:rPr>
            </w:pPr>
          </w:p>
          <w:p w14:paraId="44E82C35">
            <w:pPr>
              <w:widowControl/>
              <w:spacing w:before="100" w:beforeAutospacing="1" w:after="100" w:afterAutospacing="1" w:line="320" w:lineRule="exact"/>
              <w:jc w:val="left"/>
              <w:rPr>
                <w:rFonts w:ascii="Times New Roman" w:hAnsi="Times New Roman" w:eastAsia="宋体" w:cs="Times New Roman"/>
                <w:color w:val="auto"/>
                <w:kern w:val="0"/>
                <w:szCs w:val="21"/>
                <w:highlight w:val="none"/>
              </w:rPr>
            </w:pPr>
          </w:p>
        </w:tc>
      </w:tr>
    </w:tbl>
    <w:p w14:paraId="03A453B2">
      <w:pPr>
        <w:spacing w:line="276" w:lineRule="auto"/>
        <w:jc w:val="left"/>
        <w:rPr>
          <w:rFonts w:hint="eastAsia" w:ascii="仿宋" w:hAnsi="仿宋" w:eastAsia="仿宋" w:cs="Times New Roman"/>
          <w:iCs/>
          <w:color w:val="auto"/>
          <w:kern w:val="0"/>
          <w:sz w:val="28"/>
          <w:szCs w:val="28"/>
          <w:highlight w:val="none"/>
        </w:rPr>
      </w:pPr>
      <w:r>
        <w:rPr>
          <w:rFonts w:ascii="Times New Roman" w:hAnsi="Times New Roman" w:eastAsia="宋体" w:cs="Times New Roman"/>
          <w:color w:val="auto"/>
          <w:spacing w:val="-10"/>
          <w:kern w:val="0"/>
          <w:szCs w:val="21"/>
          <w:highlight w:val="none"/>
        </w:rPr>
        <w:t>备注：本报告单一式4份（采购单位1份、供应商1份、采购监督部门备案1份、采购代理机构1份）</w:t>
      </w:r>
    </w:p>
    <w:p w14:paraId="7157BC8A">
      <w:pPr>
        <w:rPr>
          <w:color w:val="auto"/>
          <w:highlight w:val="none"/>
        </w:rPr>
      </w:pPr>
    </w:p>
    <w:p w14:paraId="0F7D2C34">
      <w:pPr>
        <w:rPr>
          <w:color w:val="auto"/>
          <w:highlight w:val="none"/>
        </w:rPr>
      </w:pPr>
    </w:p>
    <w:p w14:paraId="0984A510">
      <w:pPr>
        <w:spacing w:line="360" w:lineRule="auto"/>
        <w:ind w:firstLine="562" w:firstLineChars="200"/>
        <w:jc w:val="center"/>
        <w:rPr>
          <w:rFonts w:asciiTheme="minorEastAsia" w:hAnsiTheme="minorEastAsia" w:eastAsiaTheme="minorEastAsia"/>
          <w:b/>
          <w:color w:val="auto"/>
          <w:sz w:val="28"/>
          <w:szCs w:val="28"/>
          <w:highlight w:val="none"/>
        </w:rPr>
      </w:pPr>
    </w:p>
    <w:p w14:paraId="5080D714">
      <w:pPr>
        <w:rPr>
          <w:rFonts w:hint="eastAsia" w:cs="仿宋_GB2312" w:asciiTheme="minorEastAsia" w:hAnsiTheme="minorEastAsia" w:eastAsiaTheme="minorEastAsia"/>
          <w:b/>
          <w:color w:val="auto"/>
          <w:sz w:val="36"/>
          <w:szCs w:val="20"/>
          <w:highlight w:val="none"/>
        </w:rPr>
      </w:pPr>
      <w:r>
        <w:rPr>
          <w:rFonts w:hint="eastAsia" w:cs="仿宋_GB2312" w:asciiTheme="minorEastAsia" w:hAnsiTheme="minorEastAsia" w:eastAsiaTheme="minorEastAsia"/>
          <w:b/>
          <w:color w:val="auto"/>
          <w:sz w:val="36"/>
          <w:szCs w:val="20"/>
          <w:highlight w:val="none"/>
        </w:rPr>
        <w:br w:type="page"/>
      </w:r>
    </w:p>
    <w:p w14:paraId="68B098AE">
      <w:pPr>
        <w:pStyle w:val="3"/>
        <w:numPr>
          <w:ilvl w:val="0"/>
          <w:numId w:val="0"/>
        </w:numPr>
        <w:bidi w:val="0"/>
        <w:spacing w:line="240" w:lineRule="auto"/>
        <w:ind w:leftChars="0"/>
        <w:jc w:val="center"/>
        <w:rPr>
          <w:rFonts w:hint="eastAsia" w:ascii="Times New Roman" w:hAnsi="Times New Roman" w:eastAsia="宋体" w:cs="Times New Roman"/>
          <w:color w:val="auto"/>
          <w:sz w:val="40"/>
          <w:szCs w:val="40"/>
          <w:highlight w:val="none"/>
        </w:rPr>
      </w:pPr>
      <w:bookmarkStart w:id="167" w:name="_Toc65"/>
      <w:r>
        <w:rPr>
          <w:rFonts w:hint="eastAsia" w:ascii="Times New Roman" w:hAnsi="Times New Roman" w:eastAsia="宋体" w:cs="Times New Roman"/>
          <w:color w:val="auto"/>
          <w:sz w:val="40"/>
          <w:szCs w:val="40"/>
          <w:highlight w:val="none"/>
        </w:rPr>
        <w:t>第七部分</w:t>
      </w:r>
      <w:bookmarkEnd w:id="60"/>
      <w:r>
        <w:rPr>
          <w:rFonts w:hint="eastAsia" w:ascii="Times New Roman" w:hAnsi="Times New Roman" w:eastAsia="宋体" w:cs="Times New Roman"/>
          <w:color w:val="auto"/>
          <w:sz w:val="40"/>
          <w:szCs w:val="40"/>
          <w:highlight w:val="none"/>
        </w:rPr>
        <w:t xml:space="preserve">  </w:t>
      </w:r>
      <w:bookmarkEnd w:id="61"/>
      <w:r>
        <w:rPr>
          <w:rFonts w:hint="eastAsia" w:ascii="Times New Roman" w:hAnsi="Times New Roman" w:eastAsia="宋体" w:cs="Times New Roman"/>
          <w:color w:val="auto"/>
          <w:sz w:val="40"/>
          <w:szCs w:val="40"/>
          <w:highlight w:val="none"/>
        </w:rPr>
        <w:t>应提交的有关格式范例</w:t>
      </w:r>
      <w:bookmarkEnd w:id="167"/>
    </w:p>
    <w:p w14:paraId="4073B118">
      <w:pPr>
        <w:spacing w:line="360" w:lineRule="auto"/>
        <w:ind w:firstLine="480"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供应商按照以下格式编制响应文件。</w:t>
      </w:r>
    </w:p>
    <w:p w14:paraId="26124058">
      <w:pPr>
        <w:spacing w:line="360" w:lineRule="auto"/>
        <w:jc w:val="center"/>
        <w:outlineLvl w:val="1"/>
        <w:rPr>
          <w:rFonts w:ascii="宋体" w:hAnsi="宋体" w:cs="宋体"/>
          <w:b/>
          <w:color w:val="auto"/>
          <w:kern w:val="0"/>
          <w:sz w:val="36"/>
          <w:szCs w:val="36"/>
          <w:highlight w:val="none"/>
        </w:rPr>
      </w:pPr>
      <w:r>
        <w:rPr>
          <w:rFonts w:hint="eastAsia" w:ascii="宋体" w:hAnsi="宋体" w:cs="宋体"/>
          <w:b/>
          <w:color w:val="auto"/>
          <w:kern w:val="0"/>
          <w:sz w:val="36"/>
          <w:szCs w:val="36"/>
          <w:highlight w:val="none"/>
          <w:lang w:val="en-US" w:eastAsia="zh-CN"/>
        </w:rPr>
        <w:t>报价</w:t>
      </w:r>
      <w:r>
        <w:rPr>
          <w:rFonts w:hint="eastAsia" w:ascii="宋体" w:hAnsi="宋体" w:cs="宋体"/>
          <w:b/>
          <w:color w:val="auto"/>
          <w:kern w:val="0"/>
          <w:sz w:val="36"/>
          <w:szCs w:val="36"/>
          <w:highlight w:val="none"/>
        </w:rPr>
        <w:t>文件部分</w:t>
      </w:r>
    </w:p>
    <w:p w14:paraId="452FCA6E">
      <w:pPr>
        <w:spacing w:line="360" w:lineRule="auto"/>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目录</w:t>
      </w:r>
    </w:p>
    <w:p w14:paraId="14800633">
      <w:pPr>
        <w:spacing w:line="360" w:lineRule="auto"/>
        <w:jc w:val="center"/>
        <w:rPr>
          <w:rFonts w:ascii="宋体" w:hAnsi="宋体" w:cs="宋体"/>
          <w:b/>
          <w:color w:val="auto"/>
          <w:kern w:val="0"/>
          <w:sz w:val="36"/>
          <w:szCs w:val="36"/>
          <w:highlight w:val="none"/>
        </w:rPr>
      </w:pPr>
    </w:p>
    <w:p w14:paraId="34E329F8">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报价表</w:t>
      </w:r>
      <w:r>
        <w:rPr>
          <w:rFonts w:hint="eastAsia" w:ascii="宋体" w:hAnsi="宋体" w:cs="宋体"/>
          <w:color w:val="auto"/>
          <w:sz w:val="24"/>
          <w:highlight w:val="none"/>
        </w:rPr>
        <w:t>…………………………………………………………………（页码）</w:t>
      </w:r>
    </w:p>
    <w:p w14:paraId="2EE4DA47">
      <w:pPr>
        <w:snapToGrid w:val="0"/>
        <w:spacing w:line="360" w:lineRule="auto"/>
        <w:rPr>
          <w:rFonts w:ascii="宋体" w:hAnsi="宋体" w:cs="宋体"/>
          <w:color w:val="auto"/>
          <w:sz w:val="24"/>
          <w:highlight w:val="none"/>
        </w:rPr>
      </w:pPr>
      <w:r>
        <w:rPr>
          <w:rFonts w:hint="eastAsia" w:cs="仿宋_GB2312" w:asciiTheme="minorEastAsia" w:hAnsiTheme="minorEastAsia" w:eastAsiaTheme="minorEastAsia"/>
          <w:color w:val="auto"/>
          <w:kern w:val="0"/>
          <w:sz w:val="24"/>
          <w:highlight w:val="none"/>
          <w:lang w:val="zh-CN" w:eastAsia="zh-CN"/>
        </w:rPr>
        <w:t>（</w:t>
      </w:r>
      <w:r>
        <w:rPr>
          <w:rFonts w:hint="eastAsia" w:cs="仿宋_GB2312" w:asciiTheme="minorEastAsia" w:hAnsiTheme="minorEastAsia" w:eastAsiaTheme="minorEastAsia"/>
          <w:color w:val="auto"/>
          <w:kern w:val="0"/>
          <w:sz w:val="24"/>
          <w:highlight w:val="none"/>
          <w:lang w:val="en-US" w:eastAsia="zh-CN"/>
        </w:rPr>
        <w:t>2</w:t>
      </w:r>
      <w:r>
        <w:rPr>
          <w:rFonts w:hint="eastAsia" w:cs="仿宋_GB2312" w:asciiTheme="minorEastAsia" w:hAnsiTheme="minorEastAsia" w:eastAsiaTheme="minorEastAsia"/>
          <w:color w:val="auto"/>
          <w:kern w:val="0"/>
          <w:sz w:val="24"/>
          <w:highlight w:val="none"/>
          <w:lang w:val="zh-CN" w:eastAsia="zh-CN"/>
        </w:rPr>
        <w:t>）磋商供应商认为需要提供的有关资料</w:t>
      </w:r>
      <w:r>
        <w:rPr>
          <w:rFonts w:hint="eastAsia" w:ascii="宋体" w:hAnsi="宋体" w:cs="宋体"/>
          <w:color w:val="auto"/>
          <w:sz w:val="24"/>
          <w:highlight w:val="none"/>
        </w:rPr>
        <w:t>………………………………（页码）</w:t>
      </w:r>
    </w:p>
    <w:p w14:paraId="2BB4711F">
      <w:pPr>
        <w:pStyle w:val="32"/>
        <w:spacing w:line="360" w:lineRule="auto"/>
        <w:outlineLvl w:val="9"/>
        <w:rPr>
          <w:rFonts w:hint="default" w:cs="仿宋_GB2312" w:asciiTheme="minorEastAsia" w:hAnsiTheme="minorEastAsia" w:eastAsiaTheme="minorEastAsia"/>
          <w:color w:val="auto"/>
          <w:kern w:val="0"/>
          <w:sz w:val="24"/>
          <w:highlight w:val="none"/>
          <w:lang w:val="en-US" w:eastAsia="zh-CN"/>
        </w:rPr>
      </w:pPr>
    </w:p>
    <w:p w14:paraId="358DC543">
      <w:pPr>
        <w:spacing w:line="360" w:lineRule="auto"/>
        <w:rPr>
          <w:rFonts w:hint="eastAsia" w:cs="仿宋_GB2312" w:asciiTheme="minorEastAsia" w:hAnsiTheme="minorEastAsia" w:eastAsiaTheme="minorEastAsia"/>
          <w:b/>
          <w:bCs/>
          <w:color w:val="auto"/>
          <w:sz w:val="24"/>
          <w:highlight w:val="none"/>
        </w:rPr>
      </w:pPr>
    </w:p>
    <w:p w14:paraId="2FC34DF0">
      <w:pPr>
        <w:spacing w:line="360" w:lineRule="auto"/>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b/>
          <w:bCs/>
          <w:color w:val="auto"/>
          <w:sz w:val="24"/>
          <w:highlight w:val="none"/>
        </w:rPr>
        <w:t>注</w:t>
      </w:r>
      <w:r>
        <w:rPr>
          <w:rFonts w:hint="eastAsia" w:cs="仿宋_GB2312" w:asciiTheme="minorEastAsia" w:hAnsiTheme="minorEastAsia" w:eastAsiaTheme="minorEastAsia"/>
          <w:b/>
          <w:bCs/>
          <w:color w:val="auto"/>
          <w:sz w:val="24"/>
          <w:highlight w:val="none"/>
          <w:lang w:eastAsia="zh-CN"/>
        </w:rPr>
        <w:t>：</w:t>
      </w:r>
      <w:r>
        <w:rPr>
          <w:rFonts w:hint="eastAsia" w:cs="仿宋_GB2312" w:asciiTheme="minorEastAsia" w:hAnsiTheme="minorEastAsia" w:eastAsiaTheme="minorEastAsia"/>
          <w:b/>
          <w:bCs/>
          <w:color w:val="auto"/>
          <w:sz w:val="24"/>
          <w:highlight w:val="none"/>
        </w:rPr>
        <w:t>以上目录是编制供应商响应文件的基本格式要求，各供应商可根据自身情况进一步细化。</w:t>
      </w:r>
    </w:p>
    <w:p w14:paraId="470BC557">
      <w:pPr>
        <w:spacing w:line="360" w:lineRule="auto"/>
        <w:rPr>
          <w:rFonts w:cs="仿宋_GB2312" w:asciiTheme="minorEastAsia" w:hAnsiTheme="minorEastAsia" w:eastAsiaTheme="minorEastAsia"/>
          <w:b/>
          <w:bCs/>
          <w:color w:val="auto"/>
          <w:sz w:val="24"/>
          <w:highlight w:val="none"/>
        </w:rPr>
      </w:pPr>
    </w:p>
    <w:p w14:paraId="7AD9BA0E">
      <w:pPr>
        <w:spacing w:line="360" w:lineRule="auto"/>
        <w:jc w:val="center"/>
        <w:rPr>
          <w:rFonts w:hint="eastAsia" w:cs="仿宋_GB2312" w:asciiTheme="minorEastAsia" w:hAnsiTheme="minorEastAsia" w:eastAsiaTheme="minorEastAsia"/>
          <w:color w:val="auto"/>
          <w:sz w:val="36"/>
          <w:szCs w:val="36"/>
          <w:highlight w:val="none"/>
        </w:rPr>
      </w:pPr>
      <w:r>
        <w:rPr>
          <w:rFonts w:hint="eastAsia" w:cs="仿宋_GB2312" w:asciiTheme="minorEastAsia" w:hAnsiTheme="minorEastAsia" w:eastAsiaTheme="minorEastAsia"/>
          <w:color w:val="auto"/>
          <w:sz w:val="36"/>
          <w:szCs w:val="36"/>
          <w:highlight w:val="none"/>
        </w:rPr>
        <w:br w:type="page"/>
      </w:r>
    </w:p>
    <w:p w14:paraId="4D2C869B">
      <w:pPr>
        <w:pStyle w:val="32"/>
        <w:spacing w:line="360" w:lineRule="auto"/>
        <w:jc w:val="center"/>
        <w:rPr>
          <w:rFonts w:hint="eastAsia" w:ascii="宋体" w:hAnsi="宋体" w:eastAsia="宋体" w:cs="宋体"/>
          <w:b/>
          <w:color w:val="auto"/>
          <w:sz w:val="32"/>
          <w:highlight w:val="none"/>
        </w:rPr>
      </w:pPr>
      <w:r>
        <w:rPr>
          <w:rFonts w:hint="eastAsia" w:ascii="宋体" w:hAnsi="宋体" w:eastAsia="宋体" w:cs="宋体"/>
          <w:b/>
          <w:color w:val="auto"/>
          <w:sz w:val="32"/>
          <w:highlight w:val="none"/>
        </w:rPr>
        <w:t>报价表</w:t>
      </w:r>
    </w:p>
    <w:p w14:paraId="29DFA878">
      <w:pPr>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项目名称</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37C56B31">
      <w:pPr>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项目编号</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244DC4A4">
      <w:pPr>
        <w:pStyle w:val="32"/>
        <w:spacing w:line="360" w:lineRule="auto"/>
        <w:rPr>
          <w:rFonts w:hint="eastAsia" w:hAnsi="宋体"/>
          <w:color w:val="auto"/>
          <w:sz w:val="24"/>
          <w:highlight w:val="none"/>
        </w:rPr>
      </w:pPr>
      <w:r>
        <w:rPr>
          <w:rFonts w:hint="eastAsia" w:hAnsi="宋体" w:cs="宋体"/>
          <w:color w:val="auto"/>
          <w:szCs w:val="21"/>
          <w:highlight w:val="none"/>
          <w:u w:val="none"/>
          <w:lang w:val="en-US" w:eastAsia="zh-CN"/>
        </w:rPr>
        <w:t>标项</w:t>
      </w:r>
      <w:r>
        <w:rPr>
          <w:rFonts w:hint="eastAsia" w:ascii="宋体" w:hAnsi="宋体" w:cs="宋体"/>
          <w:color w:val="auto"/>
          <w:szCs w:val="21"/>
          <w:highlight w:val="none"/>
          <w:u w:val="none"/>
          <w:lang w:val="en-US" w:eastAsia="zh-CN"/>
        </w:rPr>
        <w:t>号：</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rPr>
        <w:t xml:space="preserve">    </w:t>
      </w:r>
    </w:p>
    <w:tbl>
      <w:tblPr>
        <w:tblStyle w:val="62"/>
        <w:tblW w:w="945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2"/>
        <w:gridCol w:w="3102"/>
        <w:gridCol w:w="2609"/>
        <w:gridCol w:w="2685"/>
      </w:tblGrid>
      <w:tr w14:paraId="6373FC1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1062" w:type="dxa"/>
            <w:noWrap w:val="0"/>
            <w:vAlign w:val="center"/>
          </w:tcPr>
          <w:p w14:paraId="348A7DA3">
            <w:pPr>
              <w:jc w:val="center"/>
              <w:rPr>
                <w:rFonts w:hint="eastAsia"/>
                <w:color w:val="auto"/>
                <w:sz w:val="24"/>
                <w:highlight w:val="none"/>
              </w:rPr>
            </w:pPr>
            <w:r>
              <w:rPr>
                <w:rFonts w:hint="eastAsia"/>
                <w:color w:val="auto"/>
                <w:sz w:val="24"/>
                <w:highlight w:val="none"/>
              </w:rPr>
              <w:t>序号</w:t>
            </w:r>
          </w:p>
        </w:tc>
        <w:tc>
          <w:tcPr>
            <w:tcW w:w="3102" w:type="dxa"/>
            <w:noWrap w:val="0"/>
            <w:vAlign w:val="center"/>
          </w:tcPr>
          <w:p w14:paraId="00783612">
            <w:pPr>
              <w:jc w:val="center"/>
              <w:rPr>
                <w:rFonts w:hint="default"/>
                <w:color w:val="auto"/>
                <w:sz w:val="24"/>
                <w:highlight w:val="none"/>
                <w:lang w:val="en-US"/>
              </w:rPr>
            </w:pPr>
            <w:r>
              <w:rPr>
                <w:rFonts w:hint="default"/>
                <w:color w:val="auto"/>
                <w:sz w:val="24"/>
                <w:highlight w:val="none"/>
                <w:lang w:val="en-US" w:eastAsia="zh-CN"/>
              </w:rPr>
              <w:t>服务及技术</w:t>
            </w:r>
            <w:r>
              <w:rPr>
                <w:rFonts w:hint="default"/>
                <w:color w:val="auto"/>
                <w:sz w:val="24"/>
                <w:highlight w:val="none"/>
                <w:lang w:val="en-US"/>
              </w:rPr>
              <w:t>要求</w:t>
            </w:r>
          </w:p>
        </w:tc>
        <w:tc>
          <w:tcPr>
            <w:tcW w:w="2609" w:type="dxa"/>
            <w:noWrap w:val="0"/>
            <w:vAlign w:val="center"/>
          </w:tcPr>
          <w:p w14:paraId="7A195D47">
            <w:pPr>
              <w:jc w:val="center"/>
              <w:rPr>
                <w:rFonts w:hint="eastAsia" w:eastAsia="宋体"/>
                <w:color w:val="auto"/>
                <w:sz w:val="24"/>
                <w:highlight w:val="none"/>
                <w:lang w:eastAsia="zh-CN"/>
              </w:rPr>
            </w:pPr>
            <w:r>
              <w:rPr>
                <w:rFonts w:hint="eastAsia" w:ascii="宋体" w:hAnsi="宋体" w:eastAsia="宋体" w:cs="宋体"/>
                <w:b w:val="0"/>
                <w:bCs w:val="0"/>
                <w:color w:val="auto"/>
                <w:kern w:val="0"/>
                <w:sz w:val="21"/>
                <w:szCs w:val="21"/>
                <w:highlight w:val="none"/>
              </w:rPr>
              <w:t>数量及单位</w:t>
            </w:r>
            <w:r>
              <w:rPr>
                <w:rFonts w:hint="eastAsia" w:hAnsi="宋体" w:cs="宋体"/>
                <w:b w:val="0"/>
                <w:bCs w:val="0"/>
                <w:color w:val="auto"/>
                <w:kern w:val="0"/>
                <w:sz w:val="21"/>
                <w:szCs w:val="21"/>
                <w:highlight w:val="none"/>
                <w:lang w:eastAsia="zh-CN"/>
              </w:rPr>
              <w:t>（批次）</w:t>
            </w:r>
          </w:p>
        </w:tc>
        <w:tc>
          <w:tcPr>
            <w:tcW w:w="2685" w:type="dxa"/>
            <w:noWrap w:val="0"/>
            <w:vAlign w:val="center"/>
          </w:tcPr>
          <w:p w14:paraId="22809AEE">
            <w:pPr>
              <w:jc w:val="center"/>
              <w:rPr>
                <w:rFonts w:hint="eastAsia"/>
                <w:color w:val="auto"/>
                <w:sz w:val="24"/>
                <w:highlight w:val="none"/>
              </w:rPr>
            </w:pPr>
            <w:r>
              <w:rPr>
                <w:rFonts w:hint="eastAsia"/>
                <w:color w:val="auto"/>
                <w:sz w:val="24"/>
                <w:highlight w:val="none"/>
              </w:rPr>
              <w:t>备注</w:t>
            </w:r>
          </w:p>
        </w:tc>
      </w:tr>
      <w:tr w14:paraId="5A8CBDA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1062" w:type="dxa"/>
            <w:noWrap w:val="0"/>
            <w:vAlign w:val="center"/>
          </w:tcPr>
          <w:p w14:paraId="009A5CBD">
            <w:pPr>
              <w:jc w:val="center"/>
              <w:rPr>
                <w:rFonts w:hint="eastAsia"/>
                <w:color w:val="auto"/>
                <w:sz w:val="24"/>
                <w:highlight w:val="none"/>
              </w:rPr>
            </w:pPr>
            <w:r>
              <w:rPr>
                <w:rFonts w:hint="eastAsia"/>
                <w:color w:val="auto"/>
                <w:sz w:val="24"/>
                <w:highlight w:val="none"/>
              </w:rPr>
              <w:t>1</w:t>
            </w:r>
          </w:p>
        </w:tc>
        <w:tc>
          <w:tcPr>
            <w:tcW w:w="3102" w:type="dxa"/>
            <w:noWrap w:val="0"/>
            <w:vAlign w:val="center"/>
          </w:tcPr>
          <w:p w14:paraId="5A4A27F8">
            <w:pPr>
              <w:jc w:val="center"/>
              <w:rPr>
                <w:rFonts w:hint="eastAsia" w:ascii="宋体" w:hAnsi="宋体" w:cs="宋体"/>
                <w:bCs/>
                <w:color w:val="auto"/>
                <w:sz w:val="24"/>
                <w:highlight w:val="none"/>
              </w:rPr>
            </w:pPr>
          </w:p>
        </w:tc>
        <w:tc>
          <w:tcPr>
            <w:tcW w:w="2609" w:type="dxa"/>
            <w:noWrap w:val="0"/>
            <w:vAlign w:val="center"/>
          </w:tcPr>
          <w:p w14:paraId="42C7AF6E">
            <w:pPr>
              <w:spacing w:after="156" w:afterLines="50" w:line="360" w:lineRule="auto"/>
              <w:jc w:val="center"/>
              <w:rPr>
                <w:rFonts w:hint="eastAsia"/>
                <w:color w:val="auto"/>
                <w:sz w:val="24"/>
                <w:highlight w:val="none"/>
              </w:rPr>
            </w:pPr>
          </w:p>
        </w:tc>
        <w:tc>
          <w:tcPr>
            <w:tcW w:w="2685" w:type="dxa"/>
            <w:tcBorders>
              <w:bottom w:val="single" w:color="auto" w:sz="4" w:space="0"/>
            </w:tcBorders>
            <w:noWrap w:val="0"/>
            <w:vAlign w:val="center"/>
          </w:tcPr>
          <w:p w14:paraId="79682181">
            <w:pPr>
              <w:jc w:val="center"/>
              <w:rPr>
                <w:rFonts w:hint="eastAsia"/>
                <w:color w:val="auto"/>
                <w:sz w:val="24"/>
                <w:highlight w:val="none"/>
              </w:rPr>
            </w:pPr>
          </w:p>
        </w:tc>
      </w:tr>
      <w:tr w14:paraId="210FE8C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9458" w:type="dxa"/>
            <w:gridSpan w:val="4"/>
            <w:noWrap w:val="0"/>
            <w:vAlign w:val="center"/>
          </w:tcPr>
          <w:p w14:paraId="617415F9">
            <w:pPr>
              <w:jc w:val="left"/>
              <w:rPr>
                <w:rFonts w:hint="default"/>
                <w:color w:val="auto"/>
                <w:sz w:val="24"/>
                <w:highlight w:val="none"/>
                <w:lang w:val="en-US"/>
              </w:rPr>
            </w:pPr>
            <w:r>
              <w:rPr>
                <w:rFonts w:hint="eastAsia"/>
                <w:color w:val="auto"/>
                <w:sz w:val="24"/>
                <w:highlight w:val="none"/>
                <w:lang w:val="en-US" w:eastAsia="zh-CN"/>
              </w:rPr>
              <w:t>报价总金额：</w:t>
            </w:r>
          </w:p>
        </w:tc>
      </w:tr>
    </w:tbl>
    <w:p w14:paraId="191AC61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eastAsia" w:ascii="宋体" w:hAnsi="宋体" w:eastAsia="宋体" w:cs="宋体"/>
          <w:color w:val="auto"/>
          <w:szCs w:val="21"/>
          <w:highlight w:val="none"/>
          <w:lang w:val="zh-CN"/>
        </w:rPr>
      </w:pPr>
    </w:p>
    <w:p w14:paraId="7EFDBC4D">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eastAsia"/>
          <w:color w:val="auto"/>
          <w:lang w:val="en-US" w:eastAsia="zh-CN"/>
        </w:rPr>
      </w:pPr>
      <w:r>
        <w:rPr>
          <w:rFonts w:hint="eastAsia" w:ascii="宋体" w:hAnsi="宋体" w:cs="宋体"/>
          <w:color w:val="auto"/>
          <w:szCs w:val="21"/>
          <w:highlight w:val="none"/>
          <w:lang w:val="en-US" w:eastAsia="zh-CN"/>
        </w:rPr>
        <w:t>其中：</w:t>
      </w:r>
    </w:p>
    <w:tbl>
      <w:tblPr>
        <w:tblStyle w:val="62"/>
        <w:tblW w:w="911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91"/>
        <w:gridCol w:w="768"/>
        <w:gridCol w:w="978"/>
        <w:gridCol w:w="4208"/>
        <w:gridCol w:w="645"/>
        <w:gridCol w:w="788"/>
        <w:gridCol w:w="940"/>
      </w:tblGrid>
      <w:tr w14:paraId="767D0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791" w:type="dxa"/>
            <w:vMerge w:val="restart"/>
            <w:tcBorders>
              <w:top w:val="single" w:color="000000" w:sz="4" w:space="0"/>
              <w:left w:val="single" w:color="000000" w:sz="4" w:space="0"/>
              <w:bottom w:val="single" w:color="000000" w:sz="4" w:space="0"/>
              <w:right w:val="single" w:color="000000" w:sz="4" w:space="0"/>
            </w:tcBorders>
            <w:noWrap w:val="0"/>
            <w:vAlign w:val="center"/>
          </w:tcPr>
          <w:p w14:paraId="564331D8">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标项号</w:t>
            </w:r>
          </w:p>
        </w:tc>
        <w:tc>
          <w:tcPr>
            <w:tcW w:w="768" w:type="dxa"/>
            <w:vMerge w:val="restart"/>
            <w:tcBorders>
              <w:top w:val="single" w:color="000000" w:sz="4" w:space="0"/>
              <w:left w:val="single" w:color="000000" w:sz="4" w:space="0"/>
              <w:bottom w:val="single" w:color="000000" w:sz="4" w:space="0"/>
              <w:right w:val="single" w:color="000000" w:sz="4" w:space="0"/>
            </w:tcBorders>
            <w:noWrap w:val="0"/>
            <w:vAlign w:val="center"/>
          </w:tcPr>
          <w:p w14:paraId="329CFB9B">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产品类别</w:t>
            </w:r>
          </w:p>
        </w:tc>
        <w:tc>
          <w:tcPr>
            <w:tcW w:w="978" w:type="dxa"/>
            <w:vMerge w:val="restart"/>
            <w:tcBorders>
              <w:top w:val="single" w:color="000000" w:sz="4" w:space="0"/>
              <w:left w:val="single" w:color="000000" w:sz="4" w:space="0"/>
              <w:bottom w:val="single" w:color="000000" w:sz="4" w:space="0"/>
              <w:right w:val="single" w:color="000000" w:sz="4" w:space="0"/>
            </w:tcBorders>
            <w:noWrap w:val="0"/>
            <w:vAlign w:val="center"/>
          </w:tcPr>
          <w:p w14:paraId="06754EAE">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检测类别</w:t>
            </w:r>
          </w:p>
        </w:tc>
        <w:tc>
          <w:tcPr>
            <w:tcW w:w="4208" w:type="dxa"/>
            <w:vMerge w:val="restart"/>
            <w:tcBorders>
              <w:top w:val="single" w:color="000000" w:sz="4" w:space="0"/>
              <w:left w:val="single" w:color="000000" w:sz="4" w:space="0"/>
              <w:bottom w:val="single" w:color="000000" w:sz="4" w:space="0"/>
              <w:right w:val="single" w:color="000000" w:sz="4" w:space="0"/>
            </w:tcBorders>
            <w:noWrap w:val="0"/>
            <w:vAlign w:val="center"/>
          </w:tcPr>
          <w:p w14:paraId="15F991E0">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检测项目</w:t>
            </w:r>
            <w:r>
              <w:rPr>
                <w:rFonts w:hint="eastAsia" w:ascii="宋体" w:hAnsi="宋体" w:cs="宋体"/>
                <w:b/>
                <w:bCs/>
                <w:color w:val="auto"/>
                <w:sz w:val="21"/>
                <w:szCs w:val="21"/>
                <w:highlight w:val="none"/>
                <w:lang w:val="en-US" w:eastAsia="zh-CN"/>
              </w:rPr>
              <w:t>（根据实际工作需要可能临时调整）</w:t>
            </w:r>
          </w:p>
        </w:tc>
        <w:tc>
          <w:tcPr>
            <w:tcW w:w="645" w:type="dxa"/>
            <w:vMerge w:val="restart"/>
            <w:tcBorders>
              <w:top w:val="single" w:color="000000" w:sz="4" w:space="0"/>
              <w:left w:val="single" w:color="000000" w:sz="4" w:space="0"/>
              <w:bottom w:val="single" w:color="000000" w:sz="4" w:space="0"/>
              <w:right w:val="single" w:color="000000" w:sz="4" w:space="0"/>
            </w:tcBorders>
            <w:noWrap w:val="0"/>
            <w:vAlign w:val="center"/>
          </w:tcPr>
          <w:p w14:paraId="091C2D6F">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批次数量</w:t>
            </w:r>
          </w:p>
        </w:tc>
        <w:tc>
          <w:tcPr>
            <w:tcW w:w="788" w:type="dxa"/>
            <w:tcBorders>
              <w:top w:val="single" w:color="000000" w:sz="4" w:space="0"/>
              <w:left w:val="single" w:color="000000" w:sz="4" w:space="0"/>
              <w:bottom w:val="single" w:color="000000" w:sz="4" w:space="0"/>
              <w:right w:val="single" w:color="000000" w:sz="4" w:space="0"/>
            </w:tcBorders>
            <w:noWrap w:val="0"/>
            <w:vAlign w:val="center"/>
          </w:tcPr>
          <w:p w14:paraId="6A0A1656">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单价</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75C309DE">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小计</w:t>
            </w:r>
          </w:p>
        </w:tc>
      </w:tr>
      <w:tr w14:paraId="6A30A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79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BE2E9F">
            <w:pPr>
              <w:jc w:val="center"/>
              <w:rPr>
                <w:rFonts w:hint="eastAsia" w:ascii="宋体" w:hAnsi="宋体" w:eastAsia="宋体" w:cs="宋体"/>
                <w:i w:val="0"/>
                <w:color w:val="auto"/>
                <w:sz w:val="21"/>
                <w:szCs w:val="21"/>
                <w:u w:val="none"/>
              </w:rPr>
            </w:pPr>
          </w:p>
        </w:tc>
        <w:tc>
          <w:tcPr>
            <w:tcW w:w="76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2946EE">
            <w:pPr>
              <w:jc w:val="center"/>
              <w:rPr>
                <w:rFonts w:hint="eastAsia" w:ascii="宋体" w:hAnsi="宋体" w:eastAsia="宋体" w:cs="宋体"/>
                <w:i w:val="0"/>
                <w:color w:val="auto"/>
                <w:sz w:val="21"/>
                <w:szCs w:val="21"/>
                <w:u w:val="none"/>
              </w:rPr>
            </w:pPr>
          </w:p>
        </w:tc>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D10DE1">
            <w:pPr>
              <w:jc w:val="center"/>
              <w:rPr>
                <w:rFonts w:hint="eastAsia" w:ascii="宋体" w:hAnsi="宋体" w:eastAsia="宋体" w:cs="宋体"/>
                <w:i w:val="0"/>
                <w:color w:val="auto"/>
                <w:sz w:val="21"/>
                <w:szCs w:val="21"/>
                <w:u w:val="none"/>
              </w:rPr>
            </w:pPr>
          </w:p>
        </w:tc>
        <w:tc>
          <w:tcPr>
            <w:tcW w:w="42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FA8CCA">
            <w:pPr>
              <w:jc w:val="center"/>
              <w:rPr>
                <w:rFonts w:hint="eastAsia" w:ascii="宋体" w:hAnsi="宋体" w:eastAsia="宋体" w:cs="宋体"/>
                <w:i w:val="0"/>
                <w:color w:val="auto"/>
                <w:sz w:val="21"/>
                <w:szCs w:val="21"/>
                <w:u w:val="none"/>
              </w:rPr>
            </w:pPr>
          </w:p>
        </w:tc>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504376">
            <w:pPr>
              <w:jc w:val="center"/>
              <w:rPr>
                <w:rFonts w:hint="eastAsia" w:ascii="宋体" w:hAnsi="宋体" w:eastAsia="宋体" w:cs="宋体"/>
                <w:i w:val="0"/>
                <w:color w:val="auto"/>
                <w:sz w:val="21"/>
                <w:szCs w:val="21"/>
                <w:u w:val="none"/>
              </w:rPr>
            </w:pPr>
          </w:p>
        </w:tc>
        <w:tc>
          <w:tcPr>
            <w:tcW w:w="788" w:type="dxa"/>
            <w:tcBorders>
              <w:top w:val="single" w:color="000000" w:sz="4" w:space="0"/>
              <w:left w:val="single" w:color="000000" w:sz="4" w:space="0"/>
              <w:bottom w:val="single" w:color="000000" w:sz="4" w:space="0"/>
              <w:right w:val="single" w:color="000000" w:sz="4" w:space="0"/>
            </w:tcBorders>
            <w:noWrap w:val="0"/>
            <w:vAlign w:val="center"/>
          </w:tcPr>
          <w:p w14:paraId="59E379F4">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(元）</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68580955">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(元）</w:t>
            </w:r>
          </w:p>
        </w:tc>
      </w:tr>
      <w:tr w14:paraId="5ADB4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8" w:hRule="atLeast"/>
        </w:trPr>
        <w:tc>
          <w:tcPr>
            <w:tcW w:w="791" w:type="dxa"/>
            <w:vMerge w:val="restart"/>
            <w:tcBorders>
              <w:top w:val="single" w:color="000000" w:sz="4" w:space="0"/>
              <w:left w:val="single" w:color="000000" w:sz="4" w:space="0"/>
              <w:right w:val="single" w:color="000000" w:sz="4" w:space="0"/>
            </w:tcBorders>
            <w:noWrap w:val="0"/>
            <w:vAlign w:val="center"/>
          </w:tcPr>
          <w:p w14:paraId="3CE2AE9E">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b/>
                <w:bCs/>
                <w:i w:val="0"/>
                <w:color w:val="auto"/>
                <w:kern w:val="0"/>
                <w:sz w:val="21"/>
                <w:szCs w:val="21"/>
                <w:u w:val="none"/>
                <w:lang w:val="en-US" w:eastAsia="zh-CN" w:bidi="ar"/>
              </w:rPr>
              <w:t>Ⅰ</w:t>
            </w:r>
          </w:p>
        </w:tc>
        <w:tc>
          <w:tcPr>
            <w:tcW w:w="768" w:type="dxa"/>
            <w:vMerge w:val="restart"/>
            <w:tcBorders>
              <w:top w:val="single" w:color="000000" w:sz="4" w:space="0"/>
              <w:left w:val="single" w:color="000000" w:sz="4" w:space="0"/>
              <w:bottom w:val="single" w:color="000000" w:sz="4" w:space="0"/>
              <w:right w:val="single" w:color="000000" w:sz="4" w:space="0"/>
            </w:tcBorders>
            <w:noWrap w:val="0"/>
            <w:vAlign w:val="center"/>
          </w:tcPr>
          <w:p w14:paraId="7F86186E">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种植业产品</w:t>
            </w:r>
          </w:p>
        </w:tc>
        <w:tc>
          <w:tcPr>
            <w:tcW w:w="978" w:type="dxa"/>
            <w:tcBorders>
              <w:top w:val="single" w:color="000000" w:sz="4" w:space="0"/>
              <w:left w:val="single" w:color="000000" w:sz="4" w:space="0"/>
              <w:bottom w:val="single" w:color="000000" w:sz="4" w:space="0"/>
              <w:right w:val="single" w:color="000000" w:sz="4" w:space="0"/>
            </w:tcBorders>
            <w:noWrap w:val="0"/>
            <w:vAlign w:val="center"/>
          </w:tcPr>
          <w:p w14:paraId="30ED65D3">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风险监测</w:t>
            </w:r>
          </w:p>
        </w:tc>
        <w:tc>
          <w:tcPr>
            <w:tcW w:w="4208" w:type="dxa"/>
            <w:vMerge w:val="restart"/>
            <w:tcBorders>
              <w:top w:val="single" w:color="000000" w:sz="4" w:space="0"/>
              <w:left w:val="single" w:color="000000" w:sz="4" w:space="0"/>
              <w:bottom w:val="single" w:color="000000" w:sz="4" w:space="0"/>
              <w:right w:val="single" w:color="000000" w:sz="4" w:space="0"/>
            </w:tcBorders>
            <w:noWrap w:val="0"/>
            <w:vAlign w:val="center"/>
          </w:tcPr>
          <w:p w14:paraId="7905EF73">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甲胺磷、特丁硫磷、乙酰甲胺磷、甲拌磷（包括甲拌磷砜和甲拌磷亚砜）、氧乐果、克百威（包括3-羟基克百威）、涕灭威（包括涕灭威砜、涕灭威亚砜）、灭多威、毒死蜱、水胺硫磷、甲基异柳磷、三唑磷、氟虫腈（包括氟甲腈、氟虫腈硫醚、氟虫腈砜）、乐果、治螟磷、内吸磷、三氯杀螨醇、杀扑磷、久效磷、丙溴磷、灭蝇胺，倍硫磷、噻虫嗪、噻虫胺、吡唑醚菌酯、甲氨基阿维菌素苯甲酸盐、氯氰菊酯、氯氟氰菊酯、啶虫脒、抑霉唑、咪鲜胺等多种农药，韭菜、番茄、辣椒、芒果、荔枝等样品加测腐霉利。</w:t>
            </w:r>
          </w:p>
        </w:tc>
        <w:tc>
          <w:tcPr>
            <w:tcW w:w="645" w:type="dxa"/>
            <w:tcBorders>
              <w:top w:val="single" w:color="000000" w:sz="4" w:space="0"/>
              <w:left w:val="single" w:color="000000" w:sz="4" w:space="0"/>
              <w:bottom w:val="single" w:color="000000" w:sz="4" w:space="0"/>
              <w:right w:val="single" w:color="000000" w:sz="4" w:space="0"/>
            </w:tcBorders>
            <w:noWrap w:val="0"/>
            <w:vAlign w:val="center"/>
          </w:tcPr>
          <w:p w14:paraId="5DC0ABB5">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342</w:t>
            </w:r>
          </w:p>
        </w:tc>
        <w:tc>
          <w:tcPr>
            <w:tcW w:w="788" w:type="dxa"/>
            <w:tcBorders>
              <w:top w:val="single" w:color="000000" w:sz="4" w:space="0"/>
              <w:left w:val="single" w:color="000000" w:sz="4" w:space="0"/>
              <w:bottom w:val="single" w:color="000000" w:sz="4" w:space="0"/>
              <w:right w:val="single" w:color="000000" w:sz="4" w:space="0"/>
            </w:tcBorders>
            <w:noWrap w:val="0"/>
            <w:vAlign w:val="center"/>
          </w:tcPr>
          <w:p w14:paraId="223437B6">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15F95AA4">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r>
      <w:tr w14:paraId="3B8D6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6" w:hRule="atLeast"/>
        </w:trPr>
        <w:tc>
          <w:tcPr>
            <w:tcW w:w="791" w:type="dxa"/>
            <w:vMerge w:val="continue"/>
            <w:tcBorders>
              <w:left w:val="single" w:color="000000" w:sz="4" w:space="0"/>
              <w:right w:val="single" w:color="000000" w:sz="4" w:space="0"/>
            </w:tcBorders>
            <w:noWrap w:val="0"/>
            <w:vAlign w:val="center"/>
          </w:tcPr>
          <w:p w14:paraId="10DC72C6">
            <w:pPr>
              <w:jc w:val="center"/>
              <w:rPr>
                <w:rFonts w:hint="eastAsia" w:ascii="宋体" w:hAnsi="宋体" w:eastAsia="宋体" w:cs="宋体"/>
                <w:i w:val="0"/>
                <w:color w:val="auto"/>
                <w:sz w:val="21"/>
                <w:szCs w:val="21"/>
                <w:u w:val="none"/>
              </w:rPr>
            </w:pPr>
          </w:p>
        </w:tc>
        <w:tc>
          <w:tcPr>
            <w:tcW w:w="76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6FC653">
            <w:pPr>
              <w:jc w:val="center"/>
              <w:rPr>
                <w:rFonts w:hint="eastAsia" w:ascii="宋体" w:hAnsi="宋体" w:eastAsia="宋体" w:cs="宋体"/>
                <w:i w:val="0"/>
                <w:color w:val="auto"/>
                <w:sz w:val="21"/>
                <w:szCs w:val="21"/>
                <w:u w:val="none"/>
              </w:rPr>
            </w:pPr>
          </w:p>
        </w:tc>
        <w:tc>
          <w:tcPr>
            <w:tcW w:w="978" w:type="dxa"/>
            <w:tcBorders>
              <w:top w:val="single" w:color="000000" w:sz="4" w:space="0"/>
              <w:left w:val="single" w:color="000000" w:sz="4" w:space="0"/>
              <w:bottom w:val="single" w:color="000000" w:sz="4" w:space="0"/>
              <w:right w:val="single" w:color="000000" w:sz="4" w:space="0"/>
            </w:tcBorders>
            <w:noWrap w:val="0"/>
            <w:vAlign w:val="center"/>
          </w:tcPr>
          <w:p w14:paraId="19F08A64">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监督抽检</w:t>
            </w:r>
          </w:p>
        </w:tc>
        <w:tc>
          <w:tcPr>
            <w:tcW w:w="42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DDFEBC">
            <w:pPr>
              <w:jc w:val="center"/>
              <w:rPr>
                <w:rFonts w:hint="eastAsia" w:ascii="宋体" w:hAnsi="宋体" w:eastAsia="宋体" w:cs="宋体"/>
                <w:i w:val="0"/>
                <w:color w:val="auto"/>
                <w:sz w:val="21"/>
                <w:szCs w:val="21"/>
                <w:u w:val="none"/>
              </w:rPr>
            </w:pPr>
          </w:p>
        </w:tc>
        <w:tc>
          <w:tcPr>
            <w:tcW w:w="645" w:type="dxa"/>
            <w:tcBorders>
              <w:top w:val="single" w:color="000000" w:sz="4" w:space="0"/>
              <w:left w:val="single" w:color="000000" w:sz="4" w:space="0"/>
              <w:bottom w:val="single" w:color="000000" w:sz="4" w:space="0"/>
              <w:right w:val="single" w:color="000000" w:sz="4" w:space="0"/>
            </w:tcBorders>
            <w:noWrap w:val="0"/>
            <w:vAlign w:val="center"/>
          </w:tcPr>
          <w:p w14:paraId="14FB5B74">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548</w:t>
            </w:r>
          </w:p>
        </w:tc>
        <w:tc>
          <w:tcPr>
            <w:tcW w:w="788" w:type="dxa"/>
            <w:tcBorders>
              <w:top w:val="single" w:color="000000" w:sz="4" w:space="0"/>
              <w:left w:val="single" w:color="000000" w:sz="4" w:space="0"/>
              <w:bottom w:val="single" w:color="000000" w:sz="4" w:space="0"/>
              <w:right w:val="single" w:color="000000" w:sz="4" w:space="0"/>
            </w:tcBorders>
            <w:noWrap w:val="0"/>
            <w:vAlign w:val="center"/>
          </w:tcPr>
          <w:p w14:paraId="39AD63B6">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5CF6E453">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r>
      <w:tr w14:paraId="171E0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791" w:type="dxa"/>
            <w:vMerge w:val="continue"/>
            <w:tcBorders>
              <w:left w:val="single" w:color="000000" w:sz="4" w:space="0"/>
              <w:right w:val="single" w:color="000000" w:sz="4" w:space="0"/>
            </w:tcBorders>
            <w:noWrap w:val="0"/>
            <w:vAlign w:val="center"/>
          </w:tcPr>
          <w:p w14:paraId="40EF795D">
            <w:pPr>
              <w:jc w:val="center"/>
              <w:rPr>
                <w:rFonts w:hint="eastAsia" w:ascii="宋体" w:hAnsi="宋体" w:eastAsia="宋体" w:cs="宋体"/>
                <w:i w:val="0"/>
                <w:color w:val="auto"/>
                <w:sz w:val="21"/>
                <w:szCs w:val="21"/>
                <w:u w:val="none"/>
              </w:rPr>
            </w:pPr>
          </w:p>
        </w:tc>
        <w:tc>
          <w:tcPr>
            <w:tcW w:w="768" w:type="dxa"/>
            <w:vMerge w:val="restart"/>
            <w:tcBorders>
              <w:top w:val="single" w:color="000000" w:sz="4" w:space="0"/>
              <w:left w:val="single" w:color="000000" w:sz="4" w:space="0"/>
              <w:bottom w:val="single" w:color="000000" w:sz="4" w:space="0"/>
              <w:right w:val="single" w:color="000000" w:sz="4" w:space="0"/>
            </w:tcBorders>
            <w:noWrap w:val="0"/>
            <w:vAlign w:val="center"/>
          </w:tcPr>
          <w:p w14:paraId="055EC470">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畜牧产品</w:t>
            </w:r>
          </w:p>
        </w:tc>
        <w:tc>
          <w:tcPr>
            <w:tcW w:w="978" w:type="dxa"/>
            <w:tcBorders>
              <w:top w:val="single" w:color="000000" w:sz="4" w:space="0"/>
              <w:left w:val="single" w:color="000000" w:sz="4" w:space="0"/>
              <w:bottom w:val="single" w:color="000000" w:sz="4" w:space="0"/>
              <w:right w:val="single" w:color="000000" w:sz="4" w:space="0"/>
            </w:tcBorders>
            <w:noWrap w:val="0"/>
            <w:vAlign w:val="center"/>
          </w:tcPr>
          <w:p w14:paraId="6A2212D1">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风险监测</w:t>
            </w:r>
          </w:p>
        </w:tc>
        <w:tc>
          <w:tcPr>
            <w:tcW w:w="4208" w:type="dxa"/>
            <w:vMerge w:val="restart"/>
            <w:tcBorders>
              <w:top w:val="single" w:color="000000" w:sz="4" w:space="0"/>
              <w:left w:val="single" w:color="000000" w:sz="4" w:space="0"/>
              <w:bottom w:val="single" w:color="000000" w:sz="4" w:space="0"/>
              <w:right w:val="single" w:color="000000" w:sz="4" w:space="0"/>
            </w:tcBorders>
            <w:noWrap w:val="0"/>
            <w:vAlign w:val="center"/>
          </w:tcPr>
          <w:p w14:paraId="32856471">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磺胺类、氟苯尼考、氟喹诺酮类、硝基呋喃代谢物、四环素、氯霉素、青霉素、多西环素、土霉素、金霉素、金刚烷胺等，猪牛羊产品加测盐酸克伦特罗、沙丁胺醇、莱克多巴胺、硫酸特布他林、马布特罗、溴布特罗。</w:t>
            </w:r>
          </w:p>
        </w:tc>
        <w:tc>
          <w:tcPr>
            <w:tcW w:w="645" w:type="dxa"/>
            <w:tcBorders>
              <w:top w:val="single" w:color="000000" w:sz="4" w:space="0"/>
              <w:left w:val="single" w:color="000000" w:sz="4" w:space="0"/>
              <w:bottom w:val="single" w:color="000000" w:sz="4" w:space="0"/>
              <w:right w:val="single" w:color="000000" w:sz="4" w:space="0"/>
            </w:tcBorders>
            <w:noWrap w:val="0"/>
            <w:vAlign w:val="center"/>
          </w:tcPr>
          <w:p w14:paraId="3F9289D7">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w:t>
            </w:r>
          </w:p>
        </w:tc>
        <w:tc>
          <w:tcPr>
            <w:tcW w:w="788" w:type="dxa"/>
            <w:tcBorders>
              <w:top w:val="single" w:color="000000" w:sz="4" w:space="0"/>
              <w:left w:val="single" w:color="000000" w:sz="4" w:space="0"/>
              <w:bottom w:val="single" w:color="000000" w:sz="4" w:space="0"/>
              <w:right w:val="single" w:color="000000" w:sz="4" w:space="0"/>
            </w:tcBorders>
            <w:noWrap w:val="0"/>
            <w:vAlign w:val="center"/>
          </w:tcPr>
          <w:p w14:paraId="415C4B50">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0F8FEC2B">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r>
      <w:tr w14:paraId="4544D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791" w:type="dxa"/>
            <w:vMerge w:val="continue"/>
            <w:tcBorders>
              <w:left w:val="single" w:color="000000" w:sz="4" w:space="0"/>
              <w:right w:val="single" w:color="000000" w:sz="4" w:space="0"/>
            </w:tcBorders>
            <w:noWrap w:val="0"/>
            <w:vAlign w:val="center"/>
          </w:tcPr>
          <w:p w14:paraId="56495766">
            <w:pPr>
              <w:jc w:val="center"/>
              <w:rPr>
                <w:rFonts w:hint="eastAsia" w:ascii="宋体" w:hAnsi="宋体" w:eastAsia="宋体" w:cs="宋体"/>
                <w:i w:val="0"/>
                <w:color w:val="auto"/>
                <w:sz w:val="21"/>
                <w:szCs w:val="21"/>
                <w:u w:val="none"/>
              </w:rPr>
            </w:pPr>
          </w:p>
        </w:tc>
        <w:tc>
          <w:tcPr>
            <w:tcW w:w="76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275681">
            <w:pPr>
              <w:jc w:val="center"/>
              <w:rPr>
                <w:rFonts w:hint="eastAsia" w:ascii="宋体" w:hAnsi="宋体" w:eastAsia="宋体" w:cs="宋体"/>
                <w:i w:val="0"/>
                <w:color w:val="auto"/>
                <w:sz w:val="21"/>
                <w:szCs w:val="21"/>
                <w:u w:val="none"/>
              </w:rPr>
            </w:pPr>
          </w:p>
        </w:tc>
        <w:tc>
          <w:tcPr>
            <w:tcW w:w="978" w:type="dxa"/>
            <w:tcBorders>
              <w:top w:val="single" w:color="000000" w:sz="4" w:space="0"/>
              <w:left w:val="single" w:color="000000" w:sz="4" w:space="0"/>
              <w:bottom w:val="single" w:color="000000" w:sz="4" w:space="0"/>
              <w:right w:val="single" w:color="000000" w:sz="4" w:space="0"/>
            </w:tcBorders>
            <w:noWrap w:val="0"/>
            <w:vAlign w:val="center"/>
          </w:tcPr>
          <w:p w14:paraId="7CDD3A5C">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监督抽检</w:t>
            </w:r>
          </w:p>
        </w:tc>
        <w:tc>
          <w:tcPr>
            <w:tcW w:w="42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74FF9A">
            <w:pPr>
              <w:jc w:val="center"/>
              <w:rPr>
                <w:rFonts w:hint="eastAsia" w:ascii="宋体" w:hAnsi="宋体" w:eastAsia="宋体" w:cs="宋体"/>
                <w:i w:val="0"/>
                <w:color w:val="auto"/>
                <w:sz w:val="21"/>
                <w:szCs w:val="21"/>
                <w:u w:val="none"/>
              </w:rPr>
            </w:pPr>
          </w:p>
        </w:tc>
        <w:tc>
          <w:tcPr>
            <w:tcW w:w="645" w:type="dxa"/>
            <w:tcBorders>
              <w:top w:val="single" w:color="000000" w:sz="4" w:space="0"/>
              <w:left w:val="single" w:color="000000" w:sz="4" w:space="0"/>
              <w:bottom w:val="single" w:color="000000" w:sz="4" w:space="0"/>
              <w:right w:val="single" w:color="000000" w:sz="4" w:space="0"/>
            </w:tcBorders>
            <w:noWrap w:val="0"/>
            <w:vAlign w:val="center"/>
          </w:tcPr>
          <w:p w14:paraId="0C8BD5FA">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w:t>
            </w:r>
          </w:p>
        </w:tc>
        <w:tc>
          <w:tcPr>
            <w:tcW w:w="788" w:type="dxa"/>
            <w:tcBorders>
              <w:top w:val="single" w:color="000000" w:sz="4" w:space="0"/>
              <w:left w:val="single" w:color="000000" w:sz="4" w:space="0"/>
              <w:bottom w:val="single" w:color="000000" w:sz="4" w:space="0"/>
              <w:right w:val="single" w:color="000000" w:sz="4" w:space="0"/>
            </w:tcBorders>
            <w:noWrap w:val="0"/>
            <w:vAlign w:val="center"/>
          </w:tcPr>
          <w:p w14:paraId="0B9E29FE">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1D9FAB5D">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r>
      <w:tr w14:paraId="03F3F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791" w:type="dxa"/>
            <w:vMerge w:val="continue"/>
            <w:tcBorders>
              <w:left w:val="single" w:color="000000" w:sz="4" w:space="0"/>
              <w:right w:val="single" w:color="000000" w:sz="4" w:space="0"/>
            </w:tcBorders>
            <w:noWrap w:val="0"/>
            <w:vAlign w:val="center"/>
          </w:tcPr>
          <w:p w14:paraId="2C877968">
            <w:pPr>
              <w:jc w:val="center"/>
              <w:rPr>
                <w:rFonts w:hint="eastAsia" w:ascii="宋体" w:hAnsi="宋体" w:eastAsia="宋体" w:cs="宋体"/>
                <w:i w:val="0"/>
                <w:color w:val="auto"/>
                <w:sz w:val="21"/>
                <w:szCs w:val="21"/>
                <w:u w:val="none"/>
              </w:rPr>
            </w:pPr>
          </w:p>
        </w:tc>
        <w:tc>
          <w:tcPr>
            <w:tcW w:w="768" w:type="dxa"/>
            <w:vMerge w:val="restart"/>
            <w:tcBorders>
              <w:top w:val="single" w:color="000000" w:sz="4" w:space="0"/>
              <w:left w:val="single" w:color="000000" w:sz="4" w:space="0"/>
              <w:right w:val="single" w:color="000000" w:sz="4" w:space="0"/>
            </w:tcBorders>
            <w:noWrap w:val="0"/>
            <w:vAlign w:val="center"/>
          </w:tcPr>
          <w:p w14:paraId="7CB5CF6D">
            <w:pPr>
              <w:keepNext w:val="0"/>
              <w:keepLines w:val="0"/>
              <w:widowControl/>
              <w:suppressLineNumbers w:val="0"/>
              <w:jc w:val="center"/>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淡水产品</w:t>
            </w:r>
          </w:p>
          <w:p w14:paraId="428021E3">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978" w:type="dxa"/>
            <w:tcBorders>
              <w:top w:val="single" w:color="000000" w:sz="4" w:space="0"/>
              <w:left w:val="single" w:color="000000" w:sz="4" w:space="0"/>
              <w:bottom w:val="single" w:color="000000" w:sz="4" w:space="0"/>
              <w:right w:val="single" w:color="000000" w:sz="4" w:space="0"/>
            </w:tcBorders>
            <w:noWrap w:val="0"/>
            <w:vAlign w:val="center"/>
          </w:tcPr>
          <w:p w14:paraId="49106EC1">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风险监测</w:t>
            </w:r>
          </w:p>
        </w:tc>
        <w:tc>
          <w:tcPr>
            <w:tcW w:w="4208" w:type="dxa"/>
            <w:vMerge w:val="restart"/>
            <w:tcBorders>
              <w:top w:val="single" w:color="000000" w:sz="4" w:space="0"/>
              <w:left w:val="single" w:color="000000" w:sz="4" w:space="0"/>
              <w:bottom w:val="single" w:color="000000" w:sz="4" w:space="0"/>
              <w:right w:val="single" w:color="000000" w:sz="4" w:space="0"/>
            </w:tcBorders>
            <w:noWrap w:val="0"/>
            <w:vAlign w:val="center"/>
          </w:tcPr>
          <w:p w14:paraId="6DFFB683">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氯霉素、孔雀石绿、硝基呋喃代谢物、洛美沙星、培氟沙星、诺氟沙星、氧氟沙星、地西泮、恩诺沙星和环丙沙星、磺胺类(磺胺嘧啶、磺胺二甲基嘧啶、磺胺间甲氧嘧啶、磺胺甲基异噁唑4种)等。</w:t>
            </w:r>
          </w:p>
        </w:tc>
        <w:tc>
          <w:tcPr>
            <w:tcW w:w="645" w:type="dxa"/>
            <w:tcBorders>
              <w:top w:val="single" w:color="000000" w:sz="4" w:space="0"/>
              <w:left w:val="single" w:color="000000" w:sz="4" w:space="0"/>
              <w:bottom w:val="single" w:color="000000" w:sz="4" w:space="0"/>
              <w:right w:val="single" w:color="000000" w:sz="4" w:space="0"/>
            </w:tcBorders>
            <w:noWrap w:val="0"/>
            <w:vAlign w:val="center"/>
          </w:tcPr>
          <w:p w14:paraId="07934C0D">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w:t>
            </w:r>
          </w:p>
        </w:tc>
        <w:tc>
          <w:tcPr>
            <w:tcW w:w="788" w:type="dxa"/>
            <w:tcBorders>
              <w:top w:val="single" w:color="000000" w:sz="4" w:space="0"/>
              <w:left w:val="single" w:color="000000" w:sz="4" w:space="0"/>
              <w:bottom w:val="single" w:color="000000" w:sz="4" w:space="0"/>
              <w:right w:val="single" w:color="000000" w:sz="4" w:space="0"/>
            </w:tcBorders>
            <w:noWrap w:val="0"/>
            <w:vAlign w:val="center"/>
          </w:tcPr>
          <w:p w14:paraId="1FE3A78D">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16E80DA0">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r>
      <w:tr w14:paraId="72BC1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791" w:type="dxa"/>
            <w:vMerge w:val="continue"/>
            <w:tcBorders>
              <w:left w:val="single" w:color="000000" w:sz="4" w:space="0"/>
              <w:right w:val="single" w:color="000000" w:sz="4" w:space="0"/>
            </w:tcBorders>
            <w:noWrap w:val="0"/>
            <w:vAlign w:val="center"/>
          </w:tcPr>
          <w:p w14:paraId="57A019C7">
            <w:pPr>
              <w:jc w:val="center"/>
              <w:rPr>
                <w:rFonts w:hint="eastAsia" w:ascii="宋体" w:hAnsi="宋体" w:eastAsia="宋体" w:cs="宋体"/>
                <w:i w:val="0"/>
                <w:color w:val="auto"/>
                <w:sz w:val="21"/>
                <w:szCs w:val="21"/>
                <w:u w:val="none"/>
              </w:rPr>
            </w:pPr>
          </w:p>
        </w:tc>
        <w:tc>
          <w:tcPr>
            <w:tcW w:w="768" w:type="dxa"/>
            <w:vMerge w:val="continue"/>
            <w:tcBorders>
              <w:left w:val="single" w:color="000000" w:sz="4" w:space="0"/>
              <w:right w:val="single" w:color="000000" w:sz="4" w:space="0"/>
            </w:tcBorders>
            <w:noWrap w:val="0"/>
            <w:vAlign w:val="center"/>
          </w:tcPr>
          <w:p w14:paraId="2D88A3D0">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978" w:type="dxa"/>
            <w:tcBorders>
              <w:top w:val="single" w:color="000000" w:sz="4" w:space="0"/>
              <w:left w:val="single" w:color="000000" w:sz="4" w:space="0"/>
              <w:bottom w:val="single" w:color="000000" w:sz="4" w:space="0"/>
              <w:right w:val="single" w:color="000000" w:sz="4" w:space="0"/>
            </w:tcBorders>
            <w:noWrap w:val="0"/>
            <w:vAlign w:val="center"/>
          </w:tcPr>
          <w:p w14:paraId="613CD50F">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监督抽检</w:t>
            </w:r>
          </w:p>
        </w:tc>
        <w:tc>
          <w:tcPr>
            <w:tcW w:w="42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F56D37">
            <w:pPr>
              <w:jc w:val="center"/>
              <w:rPr>
                <w:rFonts w:hint="eastAsia" w:ascii="宋体" w:hAnsi="宋体" w:eastAsia="宋体" w:cs="宋体"/>
                <w:i w:val="0"/>
                <w:color w:val="auto"/>
                <w:sz w:val="21"/>
                <w:szCs w:val="21"/>
                <w:u w:val="none"/>
              </w:rPr>
            </w:pPr>
          </w:p>
        </w:tc>
        <w:tc>
          <w:tcPr>
            <w:tcW w:w="645" w:type="dxa"/>
            <w:tcBorders>
              <w:top w:val="single" w:color="000000" w:sz="4" w:space="0"/>
              <w:left w:val="single" w:color="000000" w:sz="4" w:space="0"/>
              <w:bottom w:val="single" w:color="000000" w:sz="4" w:space="0"/>
              <w:right w:val="single" w:color="000000" w:sz="4" w:space="0"/>
            </w:tcBorders>
            <w:noWrap w:val="0"/>
            <w:vAlign w:val="center"/>
          </w:tcPr>
          <w:p w14:paraId="2E71BAB0">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w:t>
            </w:r>
          </w:p>
        </w:tc>
        <w:tc>
          <w:tcPr>
            <w:tcW w:w="788" w:type="dxa"/>
            <w:tcBorders>
              <w:top w:val="single" w:color="000000" w:sz="4" w:space="0"/>
              <w:left w:val="single" w:color="000000" w:sz="4" w:space="0"/>
              <w:bottom w:val="single" w:color="000000" w:sz="4" w:space="0"/>
              <w:right w:val="single" w:color="000000" w:sz="4" w:space="0"/>
            </w:tcBorders>
            <w:noWrap w:val="0"/>
            <w:vAlign w:val="center"/>
          </w:tcPr>
          <w:p w14:paraId="6FFC28F1">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12146E4E">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r>
      <w:tr w14:paraId="76576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791" w:type="dxa"/>
            <w:vMerge w:val="continue"/>
            <w:tcBorders>
              <w:left w:val="single" w:color="000000" w:sz="4" w:space="0"/>
              <w:bottom w:val="single" w:color="000000" w:sz="4" w:space="0"/>
              <w:right w:val="single" w:color="000000" w:sz="4" w:space="0"/>
            </w:tcBorders>
            <w:noWrap w:val="0"/>
            <w:vAlign w:val="center"/>
          </w:tcPr>
          <w:p w14:paraId="2ACAA4AC">
            <w:pPr>
              <w:jc w:val="center"/>
              <w:rPr>
                <w:rFonts w:hint="eastAsia" w:ascii="宋体" w:hAnsi="宋体" w:eastAsia="宋体" w:cs="宋体"/>
                <w:i w:val="0"/>
                <w:color w:val="auto"/>
                <w:sz w:val="21"/>
                <w:szCs w:val="21"/>
                <w:u w:val="none"/>
              </w:rPr>
            </w:pPr>
          </w:p>
        </w:tc>
        <w:tc>
          <w:tcPr>
            <w:tcW w:w="768" w:type="dxa"/>
            <w:tcBorders>
              <w:left w:val="single" w:color="000000" w:sz="4" w:space="0"/>
              <w:bottom w:val="single" w:color="000000" w:sz="4" w:space="0"/>
              <w:right w:val="single" w:color="000000" w:sz="4" w:space="0"/>
            </w:tcBorders>
            <w:noWrap w:val="0"/>
            <w:vAlign w:val="center"/>
          </w:tcPr>
          <w:p w14:paraId="1AB87154">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2"/>
                <w:szCs w:val="22"/>
                <w:u w:val="none"/>
                <w:lang w:val="en-US" w:eastAsia="zh-CN" w:bidi="ar"/>
              </w:rPr>
              <w:t>合计</w:t>
            </w:r>
          </w:p>
        </w:tc>
        <w:tc>
          <w:tcPr>
            <w:tcW w:w="978" w:type="dxa"/>
            <w:tcBorders>
              <w:top w:val="single" w:color="000000" w:sz="4" w:space="0"/>
              <w:left w:val="single" w:color="000000" w:sz="4" w:space="0"/>
              <w:bottom w:val="single" w:color="000000" w:sz="4" w:space="0"/>
              <w:right w:val="single" w:color="000000" w:sz="4" w:space="0"/>
            </w:tcBorders>
            <w:noWrap w:val="0"/>
            <w:vAlign w:val="center"/>
          </w:tcPr>
          <w:p w14:paraId="6F8755FC">
            <w:pPr>
              <w:jc w:val="center"/>
              <w:rPr>
                <w:rFonts w:hint="eastAsia" w:ascii="宋体" w:hAnsi="宋体" w:eastAsia="宋体" w:cs="宋体"/>
                <w:i w:val="0"/>
                <w:color w:val="auto"/>
                <w:kern w:val="0"/>
                <w:sz w:val="21"/>
                <w:szCs w:val="21"/>
                <w:u w:val="none"/>
                <w:lang w:val="en-US" w:eastAsia="zh-CN" w:bidi="ar"/>
              </w:rPr>
            </w:pPr>
          </w:p>
        </w:tc>
        <w:tc>
          <w:tcPr>
            <w:tcW w:w="4208" w:type="dxa"/>
            <w:tcBorders>
              <w:top w:val="single" w:color="000000" w:sz="4" w:space="0"/>
              <w:left w:val="single" w:color="000000" w:sz="4" w:space="0"/>
              <w:bottom w:val="single" w:color="000000" w:sz="4" w:space="0"/>
              <w:right w:val="single" w:color="000000" w:sz="4" w:space="0"/>
            </w:tcBorders>
            <w:noWrap w:val="0"/>
            <w:vAlign w:val="center"/>
          </w:tcPr>
          <w:p w14:paraId="4A3B8A7A">
            <w:pPr>
              <w:jc w:val="center"/>
              <w:rPr>
                <w:rFonts w:hint="eastAsia" w:ascii="宋体" w:hAnsi="宋体" w:eastAsia="宋体" w:cs="宋体"/>
                <w:i w:val="0"/>
                <w:color w:val="auto"/>
                <w:sz w:val="21"/>
                <w:szCs w:val="21"/>
                <w:u w:val="none"/>
              </w:rPr>
            </w:pPr>
          </w:p>
        </w:tc>
        <w:tc>
          <w:tcPr>
            <w:tcW w:w="645" w:type="dxa"/>
            <w:tcBorders>
              <w:top w:val="single" w:color="000000" w:sz="4" w:space="0"/>
              <w:left w:val="single" w:color="000000" w:sz="4" w:space="0"/>
              <w:bottom w:val="single" w:color="000000" w:sz="4" w:space="0"/>
              <w:right w:val="single" w:color="000000" w:sz="4" w:space="0"/>
            </w:tcBorders>
            <w:noWrap w:val="0"/>
            <w:vAlign w:val="center"/>
          </w:tcPr>
          <w:p w14:paraId="55721DD3">
            <w:pPr>
              <w:keepNext w:val="0"/>
              <w:keepLines w:val="0"/>
              <w:widowControl/>
              <w:suppressLineNumbers w:val="0"/>
              <w:jc w:val="center"/>
              <w:textAlignment w:val="center"/>
              <w:rPr>
                <w:rFonts w:hint="default" w:ascii="宋体" w:hAnsi="宋体" w:eastAsia="宋体" w:cs="宋体"/>
                <w:i w:val="0"/>
                <w:color w:val="auto"/>
                <w:kern w:val="0"/>
                <w:sz w:val="21"/>
                <w:szCs w:val="21"/>
                <w:u w:val="none"/>
                <w:lang w:val="en-US" w:eastAsia="zh-CN" w:bidi="ar"/>
              </w:rPr>
            </w:pPr>
            <w:r>
              <w:rPr>
                <w:rFonts w:hint="eastAsia" w:ascii="宋体" w:hAnsi="宋体" w:cs="宋体"/>
                <w:i w:val="0"/>
                <w:color w:val="auto"/>
                <w:kern w:val="0"/>
                <w:sz w:val="21"/>
                <w:szCs w:val="21"/>
                <w:u w:val="none"/>
                <w:lang w:val="en-US" w:eastAsia="zh-CN" w:bidi="ar"/>
              </w:rPr>
              <w:t>1010</w:t>
            </w:r>
          </w:p>
        </w:tc>
        <w:tc>
          <w:tcPr>
            <w:tcW w:w="788" w:type="dxa"/>
            <w:tcBorders>
              <w:top w:val="single" w:color="000000" w:sz="4" w:space="0"/>
              <w:left w:val="single" w:color="000000" w:sz="4" w:space="0"/>
              <w:bottom w:val="single" w:color="000000" w:sz="4" w:space="0"/>
              <w:right w:val="single" w:color="000000" w:sz="4" w:space="0"/>
            </w:tcBorders>
            <w:noWrap w:val="0"/>
            <w:vAlign w:val="center"/>
          </w:tcPr>
          <w:p w14:paraId="28510A9F">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42D6574A">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r>
    </w:tbl>
    <w:p w14:paraId="27343422">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eastAsia" w:ascii="宋体" w:hAnsi="宋体" w:eastAsia="宋体" w:cs="宋体"/>
          <w:color w:val="auto"/>
          <w:szCs w:val="21"/>
          <w:highlight w:val="none"/>
          <w:lang w:val="zh-CN"/>
        </w:rPr>
      </w:pPr>
    </w:p>
    <w:p w14:paraId="32A999BC">
      <w:pPr>
        <w:bidi w:val="0"/>
        <w:rPr>
          <w:rFonts w:hint="eastAsia"/>
          <w:color w:val="auto"/>
          <w:lang w:val="zh-CN"/>
        </w:rPr>
      </w:pPr>
    </w:p>
    <w:p w14:paraId="62155B2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其中：</w:t>
      </w:r>
    </w:p>
    <w:tbl>
      <w:tblPr>
        <w:tblStyle w:val="62"/>
        <w:tblW w:w="10157" w:type="dxa"/>
        <w:tblInd w:w="-44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7"/>
        <w:gridCol w:w="832"/>
        <w:gridCol w:w="1059"/>
        <w:gridCol w:w="4559"/>
        <w:gridCol w:w="698"/>
        <w:gridCol w:w="941"/>
        <w:gridCol w:w="1211"/>
      </w:tblGrid>
      <w:tr w14:paraId="1D159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857" w:type="dxa"/>
            <w:vMerge w:val="restart"/>
            <w:tcBorders>
              <w:top w:val="single" w:color="000000" w:sz="4" w:space="0"/>
              <w:left w:val="single" w:color="000000" w:sz="4" w:space="0"/>
              <w:bottom w:val="single" w:color="000000" w:sz="4" w:space="0"/>
              <w:right w:val="single" w:color="000000" w:sz="4" w:space="0"/>
            </w:tcBorders>
            <w:noWrap w:val="0"/>
            <w:vAlign w:val="center"/>
          </w:tcPr>
          <w:p w14:paraId="38EBF9B2">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标项号</w:t>
            </w:r>
          </w:p>
        </w:tc>
        <w:tc>
          <w:tcPr>
            <w:tcW w:w="832" w:type="dxa"/>
            <w:vMerge w:val="restart"/>
            <w:tcBorders>
              <w:top w:val="single" w:color="000000" w:sz="4" w:space="0"/>
              <w:left w:val="single" w:color="000000" w:sz="4" w:space="0"/>
              <w:bottom w:val="single" w:color="000000" w:sz="4" w:space="0"/>
              <w:right w:val="single" w:color="000000" w:sz="4" w:space="0"/>
            </w:tcBorders>
            <w:noWrap w:val="0"/>
            <w:vAlign w:val="center"/>
          </w:tcPr>
          <w:p w14:paraId="02198C5F">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产品类别</w:t>
            </w:r>
          </w:p>
        </w:tc>
        <w:tc>
          <w:tcPr>
            <w:tcW w:w="1059" w:type="dxa"/>
            <w:vMerge w:val="restart"/>
            <w:tcBorders>
              <w:top w:val="single" w:color="000000" w:sz="4" w:space="0"/>
              <w:left w:val="single" w:color="000000" w:sz="4" w:space="0"/>
              <w:bottom w:val="single" w:color="000000" w:sz="4" w:space="0"/>
              <w:right w:val="single" w:color="000000" w:sz="4" w:space="0"/>
            </w:tcBorders>
            <w:noWrap w:val="0"/>
            <w:vAlign w:val="center"/>
          </w:tcPr>
          <w:p w14:paraId="2FCDDF8F">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检测类别</w:t>
            </w:r>
          </w:p>
        </w:tc>
        <w:tc>
          <w:tcPr>
            <w:tcW w:w="4559" w:type="dxa"/>
            <w:vMerge w:val="restart"/>
            <w:tcBorders>
              <w:top w:val="single" w:color="000000" w:sz="4" w:space="0"/>
              <w:left w:val="single" w:color="000000" w:sz="4" w:space="0"/>
              <w:bottom w:val="single" w:color="000000" w:sz="4" w:space="0"/>
              <w:right w:val="single" w:color="000000" w:sz="4" w:space="0"/>
            </w:tcBorders>
            <w:noWrap w:val="0"/>
            <w:vAlign w:val="center"/>
          </w:tcPr>
          <w:p w14:paraId="72FB1D67">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检测项目</w:t>
            </w:r>
            <w:r>
              <w:rPr>
                <w:rFonts w:hint="eastAsia" w:ascii="宋体" w:hAnsi="宋体" w:cs="宋体"/>
                <w:b/>
                <w:bCs/>
                <w:color w:val="auto"/>
                <w:sz w:val="21"/>
                <w:szCs w:val="21"/>
                <w:highlight w:val="none"/>
                <w:lang w:val="en-US" w:eastAsia="zh-CN"/>
              </w:rPr>
              <w:t>（根据实际工作需要可能临时调整）</w:t>
            </w:r>
          </w:p>
        </w:tc>
        <w:tc>
          <w:tcPr>
            <w:tcW w:w="698" w:type="dxa"/>
            <w:vMerge w:val="restart"/>
            <w:tcBorders>
              <w:top w:val="single" w:color="000000" w:sz="4" w:space="0"/>
              <w:left w:val="single" w:color="000000" w:sz="4" w:space="0"/>
              <w:bottom w:val="single" w:color="000000" w:sz="4" w:space="0"/>
              <w:right w:val="single" w:color="000000" w:sz="4" w:space="0"/>
            </w:tcBorders>
            <w:noWrap w:val="0"/>
            <w:vAlign w:val="center"/>
          </w:tcPr>
          <w:p w14:paraId="34C97C32">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批次数量</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428F8861">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单价</w:t>
            </w:r>
          </w:p>
        </w:tc>
        <w:tc>
          <w:tcPr>
            <w:tcW w:w="1211" w:type="dxa"/>
            <w:tcBorders>
              <w:top w:val="single" w:color="000000" w:sz="4" w:space="0"/>
              <w:left w:val="single" w:color="000000" w:sz="4" w:space="0"/>
              <w:bottom w:val="single" w:color="000000" w:sz="4" w:space="0"/>
              <w:right w:val="single" w:color="000000" w:sz="4" w:space="0"/>
            </w:tcBorders>
            <w:noWrap w:val="0"/>
            <w:vAlign w:val="center"/>
          </w:tcPr>
          <w:p w14:paraId="21917BC0">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小计</w:t>
            </w:r>
          </w:p>
        </w:tc>
      </w:tr>
      <w:tr w14:paraId="188CB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8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9E323B">
            <w:pPr>
              <w:jc w:val="center"/>
              <w:rPr>
                <w:rFonts w:hint="eastAsia" w:ascii="宋体" w:hAnsi="宋体" w:eastAsia="宋体" w:cs="宋体"/>
                <w:i w:val="0"/>
                <w:color w:val="auto"/>
                <w:sz w:val="21"/>
                <w:szCs w:val="21"/>
                <w:u w:val="none"/>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F1D6AE">
            <w:pPr>
              <w:jc w:val="center"/>
              <w:rPr>
                <w:rFonts w:hint="eastAsia" w:ascii="宋体" w:hAnsi="宋体" w:eastAsia="宋体" w:cs="宋体"/>
                <w:i w:val="0"/>
                <w:color w:val="auto"/>
                <w:sz w:val="21"/>
                <w:szCs w:val="21"/>
                <w:u w:val="none"/>
              </w:rPr>
            </w:pPr>
          </w:p>
        </w:tc>
        <w:tc>
          <w:tcPr>
            <w:tcW w:w="10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009081">
            <w:pPr>
              <w:jc w:val="center"/>
              <w:rPr>
                <w:rFonts w:hint="eastAsia" w:ascii="宋体" w:hAnsi="宋体" w:eastAsia="宋体" w:cs="宋体"/>
                <w:i w:val="0"/>
                <w:color w:val="auto"/>
                <w:sz w:val="21"/>
                <w:szCs w:val="21"/>
                <w:u w:val="none"/>
              </w:rPr>
            </w:pPr>
          </w:p>
        </w:tc>
        <w:tc>
          <w:tcPr>
            <w:tcW w:w="45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A37FA7">
            <w:pPr>
              <w:jc w:val="center"/>
              <w:rPr>
                <w:rFonts w:hint="eastAsia" w:ascii="宋体" w:hAnsi="宋体" w:eastAsia="宋体" w:cs="宋体"/>
                <w:i w:val="0"/>
                <w:color w:val="auto"/>
                <w:sz w:val="21"/>
                <w:szCs w:val="21"/>
                <w:u w:val="none"/>
              </w:rPr>
            </w:pPr>
          </w:p>
        </w:tc>
        <w:tc>
          <w:tcPr>
            <w:tcW w:w="6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3A11C0">
            <w:pPr>
              <w:jc w:val="center"/>
              <w:rPr>
                <w:rFonts w:hint="eastAsia" w:ascii="宋体" w:hAnsi="宋体" w:eastAsia="宋体" w:cs="宋体"/>
                <w:i w:val="0"/>
                <w:color w:val="auto"/>
                <w:sz w:val="21"/>
                <w:szCs w:val="21"/>
                <w:u w:val="none"/>
              </w:rPr>
            </w:pP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42F25B14">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(元）</w:t>
            </w:r>
          </w:p>
        </w:tc>
        <w:tc>
          <w:tcPr>
            <w:tcW w:w="1211" w:type="dxa"/>
            <w:tcBorders>
              <w:top w:val="single" w:color="000000" w:sz="4" w:space="0"/>
              <w:left w:val="single" w:color="000000" w:sz="4" w:space="0"/>
              <w:bottom w:val="single" w:color="000000" w:sz="4" w:space="0"/>
              <w:right w:val="single" w:color="000000" w:sz="4" w:space="0"/>
            </w:tcBorders>
            <w:noWrap w:val="0"/>
            <w:vAlign w:val="center"/>
          </w:tcPr>
          <w:p w14:paraId="289FDE8D">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(元）</w:t>
            </w:r>
          </w:p>
        </w:tc>
      </w:tr>
      <w:tr w14:paraId="2E65B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7" w:hRule="atLeast"/>
        </w:trPr>
        <w:tc>
          <w:tcPr>
            <w:tcW w:w="857" w:type="dxa"/>
            <w:vMerge w:val="restart"/>
            <w:tcBorders>
              <w:top w:val="single" w:color="000000" w:sz="4" w:space="0"/>
              <w:left w:val="single" w:color="000000" w:sz="4" w:space="0"/>
              <w:bottom w:val="single" w:color="000000" w:sz="4" w:space="0"/>
              <w:right w:val="single" w:color="000000" w:sz="4" w:space="0"/>
            </w:tcBorders>
            <w:noWrap w:val="0"/>
            <w:vAlign w:val="center"/>
          </w:tcPr>
          <w:p w14:paraId="28F4B609">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Ⅱ</w:t>
            </w:r>
          </w:p>
        </w:tc>
        <w:tc>
          <w:tcPr>
            <w:tcW w:w="832" w:type="dxa"/>
            <w:vMerge w:val="restart"/>
            <w:tcBorders>
              <w:top w:val="single" w:color="000000" w:sz="4" w:space="0"/>
              <w:left w:val="single" w:color="000000" w:sz="4" w:space="0"/>
              <w:bottom w:val="single" w:color="000000" w:sz="4" w:space="0"/>
              <w:right w:val="single" w:color="000000" w:sz="4" w:space="0"/>
            </w:tcBorders>
            <w:noWrap w:val="0"/>
            <w:vAlign w:val="center"/>
          </w:tcPr>
          <w:p w14:paraId="74F94FA0">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种植业产品</w:t>
            </w:r>
          </w:p>
        </w:tc>
        <w:tc>
          <w:tcPr>
            <w:tcW w:w="1059" w:type="dxa"/>
            <w:tcBorders>
              <w:top w:val="single" w:color="000000" w:sz="4" w:space="0"/>
              <w:left w:val="single" w:color="000000" w:sz="4" w:space="0"/>
              <w:bottom w:val="single" w:color="000000" w:sz="4" w:space="0"/>
              <w:right w:val="single" w:color="000000" w:sz="4" w:space="0"/>
            </w:tcBorders>
            <w:noWrap w:val="0"/>
            <w:vAlign w:val="center"/>
          </w:tcPr>
          <w:p w14:paraId="7557BC41">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风险监测</w:t>
            </w:r>
          </w:p>
        </w:tc>
        <w:tc>
          <w:tcPr>
            <w:tcW w:w="4559" w:type="dxa"/>
            <w:vMerge w:val="restart"/>
            <w:tcBorders>
              <w:top w:val="single" w:color="000000" w:sz="4" w:space="0"/>
              <w:left w:val="single" w:color="000000" w:sz="4" w:space="0"/>
              <w:bottom w:val="single" w:color="000000" w:sz="4" w:space="0"/>
              <w:right w:val="single" w:color="000000" w:sz="4" w:space="0"/>
            </w:tcBorders>
            <w:noWrap w:val="0"/>
            <w:vAlign w:val="center"/>
          </w:tcPr>
          <w:p w14:paraId="0ABE56CD">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甲胺磷、特丁硫磷、乙酰甲胺磷、甲拌磷（包括甲拌磷砜和甲拌磷亚砜）、氧乐果、克百威（包括3-羟基克百威）、涕灭威（包括涕灭威砜、涕灭威亚砜）、灭多威、毒死蜱、水胺硫磷、甲基异柳磷、三唑磷、氟虫腈（包括氟甲腈、氟虫腈硫醚、氟虫腈砜）、乐果、治螟磷、内吸磷、三氯杀螨醇、杀扑磷、久效磷、丙溴磷、灭蝇胺，倍硫磷、噻虫嗪、噻虫胺、吡唑醚菌酯、甲氨基阿维菌素苯甲酸盐、氯氰菊酯、氯氟氰菊酯、啶虫脒、抑霉唑、咪鲜胺等多种农药，韭菜、番茄、辣椒、芒果、荔枝等样品加测腐霉利。</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0A95D06F">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340</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2AD65BEF">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1211" w:type="dxa"/>
            <w:tcBorders>
              <w:top w:val="single" w:color="000000" w:sz="4" w:space="0"/>
              <w:left w:val="single" w:color="000000" w:sz="4" w:space="0"/>
              <w:bottom w:val="single" w:color="000000" w:sz="4" w:space="0"/>
              <w:right w:val="single" w:color="000000" w:sz="4" w:space="0"/>
            </w:tcBorders>
            <w:noWrap/>
            <w:vAlign w:val="center"/>
          </w:tcPr>
          <w:p w14:paraId="1A24258A">
            <w:pPr>
              <w:keepNext w:val="0"/>
              <w:keepLines w:val="0"/>
              <w:widowControl/>
              <w:suppressLineNumbers w:val="0"/>
              <w:jc w:val="center"/>
              <w:textAlignment w:val="center"/>
              <w:rPr>
                <w:rFonts w:hint="eastAsia" w:ascii="宋体" w:hAnsi="宋体" w:eastAsia="宋体" w:cs="宋体"/>
                <w:i w:val="0"/>
                <w:color w:val="auto"/>
                <w:sz w:val="22"/>
                <w:szCs w:val="22"/>
                <w:u w:val="none"/>
              </w:rPr>
            </w:pPr>
          </w:p>
        </w:tc>
      </w:tr>
      <w:tr w14:paraId="00B24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5" w:hRule="atLeast"/>
        </w:trPr>
        <w:tc>
          <w:tcPr>
            <w:tcW w:w="8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B89B09">
            <w:pPr>
              <w:jc w:val="center"/>
              <w:rPr>
                <w:rFonts w:hint="eastAsia" w:ascii="宋体" w:hAnsi="宋体" w:eastAsia="宋体" w:cs="宋体"/>
                <w:i w:val="0"/>
                <w:color w:val="auto"/>
                <w:sz w:val="21"/>
                <w:szCs w:val="21"/>
                <w:u w:val="none"/>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45F331">
            <w:pPr>
              <w:jc w:val="center"/>
              <w:rPr>
                <w:rFonts w:hint="eastAsia" w:ascii="宋体" w:hAnsi="宋体" w:eastAsia="宋体" w:cs="宋体"/>
                <w:i w:val="0"/>
                <w:color w:val="auto"/>
                <w:sz w:val="21"/>
                <w:szCs w:val="21"/>
                <w:u w:val="none"/>
              </w:rPr>
            </w:pPr>
          </w:p>
        </w:tc>
        <w:tc>
          <w:tcPr>
            <w:tcW w:w="1059" w:type="dxa"/>
            <w:tcBorders>
              <w:top w:val="single" w:color="000000" w:sz="4" w:space="0"/>
              <w:left w:val="single" w:color="000000" w:sz="4" w:space="0"/>
              <w:bottom w:val="single" w:color="000000" w:sz="4" w:space="0"/>
              <w:right w:val="single" w:color="000000" w:sz="4" w:space="0"/>
            </w:tcBorders>
            <w:noWrap w:val="0"/>
            <w:vAlign w:val="center"/>
          </w:tcPr>
          <w:p w14:paraId="5ED588CC">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监督抽检</w:t>
            </w:r>
          </w:p>
        </w:tc>
        <w:tc>
          <w:tcPr>
            <w:tcW w:w="45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791160">
            <w:pPr>
              <w:jc w:val="center"/>
              <w:rPr>
                <w:rFonts w:hint="eastAsia" w:ascii="宋体" w:hAnsi="宋体" w:eastAsia="宋体" w:cs="宋体"/>
                <w:i w:val="0"/>
                <w:color w:val="auto"/>
                <w:sz w:val="21"/>
                <w:szCs w:val="21"/>
                <w:u w:val="none"/>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373DB938">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540</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03CA9EF2">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1211" w:type="dxa"/>
            <w:tcBorders>
              <w:top w:val="single" w:color="000000" w:sz="4" w:space="0"/>
              <w:left w:val="single" w:color="000000" w:sz="4" w:space="0"/>
              <w:bottom w:val="single" w:color="000000" w:sz="4" w:space="0"/>
              <w:right w:val="single" w:color="000000" w:sz="4" w:space="0"/>
            </w:tcBorders>
            <w:noWrap/>
            <w:vAlign w:val="center"/>
          </w:tcPr>
          <w:p w14:paraId="67BFF739">
            <w:pPr>
              <w:keepNext w:val="0"/>
              <w:keepLines w:val="0"/>
              <w:widowControl/>
              <w:suppressLineNumbers w:val="0"/>
              <w:jc w:val="center"/>
              <w:textAlignment w:val="center"/>
              <w:rPr>
                <w:rFonts w:hint="eastAsia" w:ascii="宋体" w:hAnsi="宋体" w:eastAsia="宋体" w:cs="宋体"/>
                <w:i w:val="0"/>
                <w:color w:val="auto"/>
                <w:sz w:val="22"/>
                <w:szCs w:val="22"/>
                <w:u w:val="none"/>
              </w:rPr>
            </w:pPr>
          </w:p>
        </w:tc>
      </w:tr>
      <w:tr w14:paraId="772DD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8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AF9B82">
            <w:pPr>
              <w:jc w:val="center"/>
              <w:rPr>
                <w:rFonts w:hint="eastAsia" w:ascii="宋体" w:hAnsi="宋体" w:eastAsia="宋体" w:cs="宋体"/>
                <w:i w:val="0"/>
                <w:color w:val="auto"/>
                <w:sz w:val="21"/>
                <w:szCs w:val="21"/>
                <w:u w:val="none"/>
              </w:rPr>
            </w:pPr>
          </w:p>
        </w:tc>
        <w:tc>
          <w:tcPr>
            <w:tcW w:w="832" w:type="dxa"/>
            <w:vMerge w:val="restart"/>
            <w:tcBorders>
              <w:top w:val="single" w:color="000000" w:sz="4" w:space="0"/>
              <w:left w:val="single" w:color="000000" w:sz="4" w:space="0"/>
              <w:bottom w:val="single" w:color="000000" w:sz="4" w:space="0"/>
              <w:right w:val="single" w:color="000000" w:sz="4" w:space="0"/>
            </w:tcBorders>
            <w:noWrap w:val="0"/>
            <w:vAlign w:val="center"/>
          </w:tcPr>
          <w:p w14:paraId="120D8286">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畜牧产品</w:t>
            </w:r>
          </w:p>
        </w:tc>
        <w:tc>
          <w:tcPr>
            <w:tcW w:w="1059" w:type="dxa"/>
            <w:tcBorders>
              <w:top w:val="single" w:color="000000" w:sz="4" w:space="0"/>
              <w:left w:val="single" w:color="000000" w:sz="4" w:space="0"/>
              <w:bottom w:val="single" w:color="000000" w:sz="4" w:space="0"/>
              <w:right w:val="single" w:color="000000" w:sz="4" w:space="0"/>
            </w:tcBorders>
            <w:noWrap w:val="0"/>
            <w:vAlign w:val="center"/>
          </w:tcPr>
          <w:p w14:paraId="4B2DAD71">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风险监测</w:t>
            </w:r>
          </w:p>
        </w:tc>
        <w:tc>
          <w:tcPr>
            <w:tcW w:w="4559" w:type="dxa"/>
            <w:vMerge w:val="restart"/>
            <w:tcBorders>
              <w:top w:val="single" w:color="000000" w:sz="4" w:space="0"/>
              <w:left w:val="single" w:color="000000" w:sz="4" w:space="0"/>
              <w:bottom w:val="single" w:color="000000" w:sz="4" w:space="0"/>
              <w:right w:val="single" w:color="000000" w:sz="4" w:space="0"/>
            </w:tcBorders>
            <w:noWrap w:val="0"/>
            <w:vAlign w:val="center"/>
          </w:tcPr>
          <w:p w14:paraId="3798F249">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磺胺类、氟苯尼考、氟喹诺酮类、硝基呋喃代谢物、四环素、氯霉素、青霉素、多西环素、土霉素、金霉素、金刚烷胺等，猪牛羊产品加测盐酸克伦特罗、沙丁胺醇、莱克多巴胺、硫酸特布他林、马布特罗、溴布特罗。</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662A8063">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05E01FC6">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1211" w:type="dxa"/>
            <w:tcBorders>
              <w:top w:val="single" w:color="000000" w:sz="4" w:space="0"/>
              <w:left w:val="single" w:color="000000" w:sz="4" w:space="0"/>
              <w:bottom w:val="single" w:color="000000" w:sz="4" w:space="0"/>
              <w:right w:val="single" w:color="000000" w:sz="4" w:space="0"/>
            </w:tcBorders>
            <w:noWrap/>
            <w:vAlign w:val="center"/>
          </w:tcPr>
          <w:p w14:paraId="47028010">
            <w:pPr>
              <w:keepNext w:val="0"/>
              <w:keepLines w:val="0"/>
              <w:widowControl/>
              <w:suppressLineNumbers w:val="0"/>
              <w:jc w:val="center"/>
              <w:textAlignment w:val="center"/>
              <w:rPr>
                <w:rFonts w:hint="eastAsia" w:ascii="宋体" w:hAnsi="宋体" w:eastAsia="宋体" w:cs="宋体"/>
                <w:i w:val="0"/>
                <w:color w:val="auto"/>
                <w:sz w:val="22"/>
                <w:szCs w:val="22"/>
                <w:u w:val="none"/>
              </w:rPr>
            </w:pPr>
          </w:p>
        </w:tc>
      </w:tr>
      <w:tr w14:paraId="73298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trPr>
        <w:tc>
          <w:tcPr>
            <w:tcW w:w="8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E44139">
            <w:pPr>
              <w:jc w:val="center"/>
              <w:rPr>
                <w:rFonts w:hint="eastAsia" w:ascii="宋体" w:hAnsi="宋体" w:eastAsia="宋体" w:cs="宋体"/>
                <w:i w:val="0"/>
                <w:color w:val="auto"/>
                <w:sz w:val="21"/>
                <w:szCs w:val="21"/>
                <w:u w:val="none"/>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C654B2">
            <w:pPr>
              <w:jc w:val="center"/>
              <w:rPr>
                <w:rFonts w:hint="eastAsia" w:ascii="宋体" w:hAnsi="宋体" w:eastAsia="宋体" w:cs="宋体"/>
                <w:i w:val="0"/>
                <w:color w:val="auto"/>
                <w:sz w:val="21"/>
                <w:szCs w:val="21"/>
                <w:u w:val="none"/>
              </w:rPr>
            </w:pPr>
          </w:p>
        </w:tc>
        <w:tc>
          <w:tcPr>
            <w:tcW w:w="1059" w:type="dxa"/>
            <w:tcBorders>
              <w:top w:val="single" w:color="000000" w:sz="4" w:space="0"/>
              <w:left w:val="single" w:color="000000" w:sz="4" w:space="0"/>
              <w:bottom w:val="single" w:color="000000" w:sz="4" w:space="0"/>
              <w:right w:val="single" w:color="000000" w:sz="4" w:space="0"/>
            </w:tcBorders>
            <w:noWrap w:val="0"/>
            <w:vAlign w:val="center"/>
          </w:tcPr>
          <w:p w14:paraId="41828E63">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监督抽检</w:t>
            </w:r>
          </w:p>
        </w:tc>
        <w:tc>
          <w:tcPr>
            <w:tcW w:w="45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4E9F68">
            <w:pPr>
              <w:jc w:val="center"/>
              <w:rPr>
                <w:rFonts w:hint="eastAsia" w:ascii="宋体" w:hAnsi="宋体" w:eastAsia="宋体" w:cs="宋体"/>
                <w:i w:val="0"/>
                <w:color w:val="auto"/>
                <w:sz w:val="21"/>
                <w:szCs w:val="21"/>
                <w:u w:val="none"/>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13619165">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43A42E6F">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1211" w:type="dxa"/>
            <w:tcBorders>
              <w:top w:val="single" w:color="000000" w:sz="4" w:space="0"/>
              <w:left w:val="single" w:color="000000" w:sz="4" w:space="0"/>
              <w:bottom w:val="single" w:color="000000" w:sz="4" w:space="0"/>
              <w:right w:val="single" w:color="000000" w:sz="4" w:space="0"/>
            </w:tcBorders>
            <w:noWrap/>
            <w:vAlign w:val="center"/>
          </w:tcPr>
          <w:p w14:paraId="53056425">
            <w:pPr>
              <w:keepNext w:val="0"/>
              <w:keepLines w:val="0"/>
              <w:widowControl/>
              <w:suppressLineNumbers w:val="0"/>
              <w:jc w:val="center"/>
              <w:textAlignment w:val="center"/>
              <w:rPr>
                <w:rFonts w:hint="eastAsia" w:ascii="宋体" w:hAnsi="宋体" w:eastAsia="宋体" w:cs="宋体"/>
                <w:i w:val="0"/>
                <w:color w:val="auto"/>
                <w:sz w:val="22"/>
                <w:szCs w:val="22"/>
                <w:u w:val="none"/>
              </w:rPr>
            </w:pPr>
          </w:p>
        </w:tc>
      </w:tr>
      <w:tr w14:paraId="3DC6E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8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5D1B2A">
            <w:pPr>
              <w:jc w:val="center"/>
              <w:rPr>
                <w:rFonts w:hint="eastAsia" w:ascii="宋体" w:hAnsi="宋体" w:eastAsia="宋体" w:cs="宋体"/>
                <w:i w:val="0"/>
                <w:color w:val="auto"/>
                <w:sz w:val="21"/>
                <w:szCs w:val="21"/>
                <w:u w:val="none"/>
              </w:rPr>
            </w:pPr>
          </w:p>
        </w:tc>
        <w:tc>
          <w:tcPr>
            <w:tcW w:w="832" w:type="dxa"/>
            <w:vMerge w:val="restart"/>
            <w:tcBorders>
              <w:top w:val="single" w:color="000000" w:sz="4" w:space="0"/>
              <w:left w:val="single" w:color="000000" w:sz="4" w:space="0"/>
              <w:right w:val="single" w:color="000000" w:sz="4" w:space="0"/>
            </w:tcBorders>
            <w:noWrap w:val="0"/>
            <w:vAlign w:val="center"/>
          </w:tcPr>
          <w:p w14:paraId="580F600E">
            <w:pPr>
              <w:keepNext w:val="0"/>
              <w:keepLines w:val="0"/>
              <w:widowControl/>
              <w:suppressLineNumbers w:val="0"/>
              <w:jc w:val="center"/>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淡水产品</w:t>
            </w:r>
          </w:p>
          <w:p w14:paraId="3698BDA6">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1059" w:type="dxa"/>
            <w:tcBorders>
              <w:top w:val="single" w:color="000000" w:sz="4" w:space="0"/>
              <w:left w:val="single" w:color="000000" w:sz="4" w:space="0"/>
              <w:bottom w:val="single" w:color="000000" w:sz="4" w:space="0"/>
              <w:right w:val="single" w:color="000000" w:sz="4" w:space="0"/>
            </w:tcBorders>
            <w:noWrap w:val="0"/>
            <w:vAlign w:val="center"/>
          </w:tcPr>
          <w:p w14:paraId="77875A4F">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风险监测</w:t>
            </w:r>
          </w:p>
        </w:tc>
        <w:tc>
          <w:tcPr>
            <w:tcW w:w="4559" w:type="dxa"/>
            <w:vMerge w:val="restart"/>
            <w:tcBorders>
              <w:top w:val="single" w:color="000000" w:sz="4" w:space="0"/>
              <w:left w:val="single" w:color="000000" w:sz="4" w:space="0"/>
              <w:bottom w:val="single" w:color="000000" w:sz="4" w:space="0"/>
              <w:right w:val="single" w:color="000000" w:sz="4" w:space="0"/>
            </w:tcBorders>
            <w:noWrap w:val="0"/>
            <w:vAlign w:val="center"/>
          </w:tcPr>
          <w:p w14:paraId="483F5981">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氯霉素、孔雀石绿、硝基呋喃代谢物、洛美沙星、培氟沙星、诺氟沙星、氧氟沙星、地西泮、恩诺沙星和环丙沙星、磺胺类(磺胺嘧啶、磺胺二甲基嘧啶、磺胺间甲氧嘧啶、磺胺甲基异噁唑4种)等。</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383C5716">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786E4980">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1211" w:type="dxa"/>
            <w:tcBorders>
              <w:top w:val="single" w:color="000000" w:sz="4" w:space="0"/>
              <w:left w:val="single" w:color="000000" w:sz="4" w:space="0"/>
              <w:bottom w:val="single" w:color="000000" w:sz="4" w:space="0"/>
              <w:right w:val="single" w:color="000000" w:sz="4" w:space="0"/>
            </w:tcBorders>
            <w:noWrap/>
            <w:vAlign w:val="center"/>
          </w:tcPr>
          <w:p w14:paraId="716A1B77">
            <w:pPr>
              <w:keepNext w:val="0"/>
              <w:keepLines w:val="0"/>
              <w:widowControl/>
              <w:suppressLineNumbers w:val="0"/>
              <w:jc w:val="center"/>
              <w:textAlignment w:val="center"/>
              <w:rPr>
                <w:rFonts w:hint="eastAsia" w:ascii="宋体" w:hAnsi="宋体" w:eastAsia="宋体" w:cs="宋体"/>
                <w:i w:val="0"/>
                <w:color w:val="auto"/>
                <w:sz w:val="22"/>
                <w:szCs w:val="22"/>
                <w:u w:val="none"/>
              </w:rPr>
            </w:pPr>
          </w:p>
        </w:tc>
      </w:tr>
      <w:tr w14:paraId="10AA8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trPr>
        <w:tc>
          <w:tcPr>
            <w:tcW w:w="8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735E61">
            <w:pPr>
              <w:jc w:val="center"/>
              <w:rPr>
                <w:rFonts w:hint="eastAsia" w:ascii="宋体" w:hAnsi="宋体" w:eastAsia="宋体" w:cs="宋体"/>
                <w:i w:val="0"/>
                <w:color w:val="auto"/>
                <w:sz w:val="21"/>
                <w:szCs w:val="21"/>
                <w:u w:val="none"/>
              </w:rPr>
            </w:pPr>
          </w:p>
        </w:tc>
        <w:tc>
          <w:tcPr>
            <w:tcW w:w="832" w:type="dxa"/>
            <w:vMerge w:val="continue"/>
            <w:tcBorders>
              <w:left w:val="single" w:color="000000" w:sz="4" w:space="0"/>
              <w:bottom w:val="single" w:color="000000" w:sz="4" w:space="0"/>
              <w:right w:val="single" w:color="000000" w:sz="4" w:space="0"/>
            </w:tcBorders>
            <w:noWrap w:val="0"/>
            <w:vAlign w:val="center"/>
          </w:tcPr>
          <w:p w14:paraId="11C52F03">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1059" w:type="dxa"/>
            <w:tcBorders>
              <w:top w:val="single" w:color="000000" w:sz="4" w:space="0"/>
              <w:left w:val="single" w:color="000000" w:sz="4" w:space="0"/>
              <w:bottom w:val="single" w:color="000000" w:sz="4" w:space="0"/>
              <w:right w:val="single" w:color="000000" w:sz="4" w:space="0"/>
            </w:tcBorders>
            <w:noWrap w:val="0"/>
            <w:vAlign w:val="center"/>
          </w:tcPr>
          <w:p w14:paraId="26D585E9">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监督抽检</w:t>
            </w:r>
          </w:p>
        </w:tc>
        <w:tc>
          <w:tcPr>
            <w:tcW w:w="45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DB04DC">
            <w:pPr>
              <w:jc w:val="center"/>
              <w:rPr>
                <w:rFonts w:hint="eastAsia" w:ascii="宋体" w:hAnsi="宋体" w:eastAsia="宋体" w:cs="宋体"/>
                <w:i w:val="0"/>
                <w:color w:val="auto"/>
                <w:sz w:val="21"/>
                <w:szCs w:val="21"/>
                <w:u w:val="none"/>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4C86292C">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031D5D02">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1211" w:type="dxa"/>
            <w:tcBorders>
              <w:top w:val="single" w:color="000000" w:sz="4" w:space="0"/>
              <w:left w:val="single" w:color="000000" w:sz="4" w:space="0"/>
              <w:bottom w:val="single" w:color="000000" w:sz="4" w:space="0"/>
              <w:right w:val="single" w:color="000000" w:sz="4" w:space="0"/>
            </w:tcBorders>
            <w:noWrap/>
            <w:vAlign w:val="center"/>
          </w:tcPr>
          <w:p w14:paraId="748F66FA">
            <w:pPr>
              <w:keepNext w:val="0"/>
              <w:keepLines w:val="0"/>
              <w:widowControl/>
              <w:suppressLineNumbers w:val="0"/>
              <w:jc w:val="center"/>
              <w:textAlignment w:val="center"/>
              <w:rPr>
                <w:rFonts w:hint="eastAsia" w:ascii="宋体" w:hAnsi="宋体" w:eastAsia="宋体" w:cs="宋体"/>
                <w:i w:val="0"/>
                <w:color w:val="auto"/>
                <w:sz w:val="22"/>
                <w:szCs w:val="22"/>
                <w:u w:val="none"/>
              </w:rPr>
            </w:pPr>
          </w:p>
        </w:tc>
      </w:tr>
      <w:tr w14:paraId="11424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8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5DCA02">
            <w:pPr>
              <w:jc w:val="center"/>
              <w:rPr>
                <w:rFonts w:hint="eastAsia" w:ascii="宋体" w:hAnsi="宋体" w:eastAsia="宋体" w:cs="宋体"/>
                <w:i w:val="0"/>
                <w:color w:val="auto"/>
                <w:sz w:val="21"/>
                <w:szCs w:val="21"/>
                <w:u w:val="none"/>
              </w:rPr>
            </w:pPr>
          </w:p>
        </w:tc>
        <w:tc>
          <w:tcPr>
            <w:tcW w:w="832" w:type="dxa"/>
            <w:tcBorders>
              <w:top w:val="single" w:color="000000" w:sz="4" w:space="0"/>
              <w:left w:val="single" w:color="000000" w:sz="4" w:space="0"/>
              <w:bottom w:val="single" w:color="000000" w:sz="4" w:space="0"/>
              <w:right w:val="single" w:color="000000" w:sz="4" w:space="0"/>
            </w:tcBorders>
            <w:noWrap/>
            <w:vAlign w:val="center"/>
          </w:tcPr>
          <w:p w14:paraId="184FB842">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合计</w:t>
            </w:r>
          </w:p>
        </w:tc>
        <w:tc>
          <w:tcPr>
            <w:tcW w:w="1059" w:type="dxa"/>
            <w:tcBorders>
              <w:top w:val="single" w:color="000000" w:sz="4" w:space="0"/>
              <w:left w:val="single" w:color="000000" w:sz="4" w:space="0"/>
              <w:bottom w:val="single" w:color="000000" w:sz="4" w:space="0"/>
              <w:right w:val="single" w:color="000000" w:sz="4" w:space="0"/>
            </w:tcBorders>
            <w:noWrap/>
            <w:vAlign w:val="center"/>
          </w:tcPr>
          <w:p w14:paraId="56079742">
            <w:pPr>
              <w:jc w:val="center"/>
              <w:rPr>
                <w:rFonts w:hint="eastAsia" w:ascii="宋体" w:hAnsi="宋体" w:eastAsia="宋体" w:cs="宋体"/>
                <w:i w:val="0"/>
                <w:color w:val="auto"/>
                <w:sz w:val="22"/>
                <w:szCs w:val="22"/>
                <w:u w:val="none"/>
              </w:rPr>
            </w:pPr>
          </w:p>
        </w:tc>
        <w:tc>
          <w:tcPr>
            <w:tcW w:w="4559" w:type="dxa"/>
            <w:tcBorders>
              <w:top w:val="single" w:color="000000" w:sz="4" w:space="0"/>
              <w:left w:val="single" w:color="000000" w:sz="4" w:space="0"/>
              <w:bottom w:val="single" w:color="000000" w:sz="4" w:space="0"/>
              <w:right w:val="single" w:color="000000" w:sz="4" w:space="0"/>
            </w:tcBorders>
            <w:noWrap/>
            <w:vAlign w:val="center"/>
          </w:tcPr>
          <w:p w14:paraId="310A34E8">
            <w:pPr>
              <w:jc w:val="center"/>
              <w:rPr>
                <w:rFonts w:hint="eastAsia" w:ascii="宋体" w:hAnsi="宋体" w:eastAsia="宋体" w:cs="宋体"/>
                <w:i w:val="0"/>
                <w:color w:val="auto"/>
                <w:sz w:val="22"/>
                <w:szCs w:val="22"/>
                <w:u w:val="none"/>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6D668497">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960</w:t>
            </w: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699050E8">
            <w:pPr>
              <w:keepNext w:val="0"/>
              <w:keepLines w:val="0"/>
              <w:widowControl/>
              <w:suppressLineNumbers w:val="0"/>
              <w:jc w:val="center"/>
              <w:textAlignment w:val="center"/>
              <w:rPr>
                <w:rFonts w:hint="eastAsia" w:ascii="宋体" w:hAnsi="宋体" w:eastAsia="宋体" w:cs="宋体"/>
                <w:i w:val="0"/>
                <w:color w:val="auto"/>
                <w:sz w:val="22"/>
                <w:szCs w:val="22"/>
                <w:u w:val="none"/>
              </w:rPr>
            </w:pPr>
          </w:p>
        </w:tc>
        <w:tc>
          <w:tcPr>
            <w:tcW w:w="1211" w:type="dxa"/>
            <w:tcBorders>
              <w:top w:val="single" w:color="000000" w:sz="4" w:space="0"/>
              <w:left w:val="single" w:color="000000" w:sz="4" w:space="0"/>
              <w:bottom w:val="single" w:color="000000" w:sz="4" w:space="0"/>
              <w:right w:val="single" w:color="000000" w:sz="4" w:space="0"/>
            </w:tcBorders>
            <w:noWrap/>
            <w:vAlign w:val="center"/>
          </w:tcPr>
          <w:p w14:paraId="071FEFE2">
            <w:pPr>
              <w:keepNext w:val="0"/>
              <w:keepLines w:val="0"/>
              <w:widowControl/>
              <w:suppressLineNumbers w:val="0"/>
              <w:jc w:val="center"/>
              <w:textAlignment w:val="center"/>
              <w:rPr>
                <w:rFonts w:hint="eastAsia" w:ascii="宋体" w:hAnsi="宋体" w:eastAsia="宋体" w:cs="宋体"/>
                <w:i w:val="0"/>
                <w:color w:val="auto"/>
                <w:sz w:val="22"/>
                <w:szCs w:val="22"/>
                <w:u w:val="none"/>
              </w:rPr>
            </w:pPr>
          </w:p>
        </w:tc>
      </w:tr>
    </w:tbl>
    <w:p w14:paraId="2DCB707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eastAsia" w:ascii="宋体" w:hAnsi="宋体" w:eastAsia="宋体" w:cs="宋体"/>
          <w:color w:val="auto"/>
          <w:szCs w:val="21"/>
          <w:highlight w:val="none"/>
          <w:lang w:val="zh-CN"/>
        </w:rPr>
      </w:pPr>
    </w:p>
    <w:p w14:paraId="2E413044">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注：</w:t>
      </w:r>
    </w:p>
    <w:p w14:paraId="3BD4160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eastAsia" w:ascii="宋体" w:hAnsi="宋体" w:eastAsia="宋体" w:cs="宋体"/>
          <w:color w:val="auto"/>
          <w:szCs w:val="21"/>
          <w:highlight w:val="none"/>
          <w:lang w:val="zh-CN" w:eastAsia="zh-CN"/>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lang w:val="zh-CN" w:eastAsia="zh-CN"/>
        </w:rPr>
        <w:t>报价时均不能超过预算单价，否则响应无效。</w:t>
      </w:r>
    </w:p>
    <w:p w14:paraId="12741A4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磋商供应商</w:t>
      </w:r>
      <w:r>
        <w:rPr>
          <w:rFonts w:hint="eastAsia" w:ascii="宋体" w:hAnsi="宋体" w:eastAsia="宋体" w:cs="宋体"/>
          <w:color w:val="auto"/>
          <w:szCs w:val="21"/>
          <w:highlight w:val="none"/>
        </w:rPr>
        <w:t>的投标报价应包括但不限于完成</w:t>
      </w:r>
      <w:r>
        <w:rPr>
          <w:rFonts w:hint="eastAsia" w:ascii="宋体" w:hAnsi="宋体" w:eastAsia="宋体" w:cs="宋体"/>
          <w:color w:val="auto"/>
          <w:szCs w:val="21"/>
          <w:highlight w:val="none"/>
          <w:lang w:eastAsia="zh-CN"/>
        </w:rPr>
        <w:t>本项目</w:t>
      </w:r>
      <w:r>
        <w:rPr>
          <w:rFonts w:hint="eastAsia" w:ascii="宋体" w:hAnsi="宋体" w:eastAsia="宋体" w:cs="宋体"/>
          <w:color w:val="auto"/>
          <w:szCs w:val="21"/>
          <w:highlight w:val="none"/>
        </w:rPr>
        <w:t>所需的一切费用（含购买</w:t>
      </w:r>
      <w:r>
        <w:rPr>
          <w:rFonts w:hint="eastAsia" w:ascii="宋体" w:hAnsi="宋体" w:eastAsia="宋体" w:cs="宋体"/>
          <w:color w:val="auto"/>
          <w:szCs w:val="21"/>
          <w:highlight w:val="none"/>
          <w:lang w:eastAsia="zh-CN"/>
        </w:rPr>
        <w:t>样品、</w:t>
      </w:r>
      <w:r>
        <w:rPr>
          <w:rFonts w:hint="eastAsia" w:ascii="宋体" w:hAnsi="宋体" w:eastAsia="宋体" w:cs="宋体"/>
          <w:color w:val="auto"/>
          <w:szCs w:val="21"/>
          <w:highlight w:val="none"/>
        </w:rPr>
        <w:t>协助抽样与制样、各项检测指标、技术服务、</w:t>
      </w:r>
      <w:r>
        <w:rPr>
          <w:rFonts w:hint="eastAsia" w:ascii="宋体" w:hAnsi="宋体" w:eastAsia="宋体" w:cs="宋体"/>
          <w:color w:val="auto"/>
          <w:szCs w:val="21"/>
          <w:highlight w:val="none"/>
          <w:lang w:eastAsia="zh-CN"/>
        </w:rPr>
        <w:t>代理机构服务费、</w:t>
      </w:r>
      <w:r>
        <w:rPr>
          <w:rFonts w:hint="eastAsia" w:ascii="宋体" w:hAnsi="宋体" w:eastAsia="宋体" w:cs="宋体"/>
          <w:color w:val="auto"/>
          <w:szCs w:val="21"/>
          <w:highlight w:val="none"/>
        </w:rPr>
        <w:t>验收</w:t>
      </w:r>
      <w:r>
        <w:rPr>
          <w:rFonts w:hint="eastAsia" w:ascii="宋体" w:hAnsi="宋体" w:eastAsia="宋体" w:cs="宋体"/>
          <w:color w:val="auto"/>
          <w:szCs w:val="21"/>
          <w:highlight w:val="none"/>
          <w:lang w:eastAsia="zh-CN"/>
        </w:rPr>
        <w:t>及税费</w:t>
      </w:r>
      <w:r>
        <w:rPr>
          <w:rFonts w:hint="eastAsia" w:ascii="宋体" w:hAnsi="宋体" w:eastAsia="宋体" w:cs="宋体"/>
          <w:color w:val="auto"/>
          <w:szCs w:val="21"/>
          <w:highlight w:val="none"/>
        </w:rPr>
        <w:t>等费用）</w:t>
      </w:r>
    </w:p>
    <w:p w14:paraId="49213DB3">
      <w:pPr>
        <w:keepNext w:val="0"/>
        <w:keepLines w:val="0"/>
        <w:pageBreakBefore w:val="0"/>
        <w:widowControl w:val="0"/>
        <w:kinsoku/>
        <w:wordWrap/>
        <w:overflowPunct/>
        <w:topLinePunct w:val="0"/>
        <w:autoSpaceDE/>
        <w:autoSpaceDN/>
        <w:bidi w:val="0"/>
        <w:adjustRightInd/>
        <w:snapToGrid/>
        <w:spacing w:line="400" w:lineRule="exact"/>
        <w:ind w:firstLine="3150" w:firstLineChars="1500"/>
        <w:textAlignment w:val="auto"/>
        <w:rPr>
          <w:rFonts w:hint="eastAsia" w:ascii="宋体" w:hAnsi="宋体" w:eastAsia="宋体" w:cs="宋体"/>
          <w:color w:val="auto"/>
          <w:szCs w:val="21"/>
          <w:highlight w:val="none"/>
        </w:rPr>
      </w:pPr>
    </w:p>
    <w:p w14:paraId="65BF78B5">
      <w:pPr>
        <w:keepNext w:val="0"/>
        <w:keepLines w:val="0"/>
        <w:pageBreakBefore w:val="0"/>
        <w:widowControl w:val="0"/>
        <w:kinsoku/>
        <w:wordWrap/>
        <w:overflowPunct/>
        <w:topLinePunct w:val="0"/>
        <w:autoSpaceDE/>
        <w:autoSpaceDN/>
        <w:bidi w:val="0"/>
        <w:adjustRightInd/>
        <w:snapToGrid/>
        <w:spacing w:line="400" w:lineRule="exact"/>
        <w:ind w:firstLine="3150" w:firstLineChars="15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负责人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或委托代理人（</w:t>
      </w:r>
      <w:r>
        <w:rPr>
          <w:rFonts w:hint="eastAsia" w:ascii="宋体" w:hAnsi="宋体" w:eastAsia="宋体" w:cs="宋体"/>
          <w:color w:val="auto"/>
          <w:szCs w:val="21"/>
          <w:highlight w:val="none"/>
          <w:lang w:eastAsia="zh-CN"/>
        </w:rPr>
        <w:t>签</w:t>
      </w:r>
      <w:r>
        <w:rPr>
          <w:rFonts w:hint="eastAsia" w:ascii="宋体" w:hAnsi="宋体" w:cs="宋体"/>
          <w:color w:val="auto"/>
          <w:szCs w:val="21"/>
          <w:highlight w:val="none"/>
          <w:lang w:val="en-US" w:eastAsia="zh-CN"/>
        </w:rPr>
        <w:t>名</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1BA2CA5C">
      <w:pPr>
        <w:keepNext w:val="0"/>
        <w:keepLines w:val="0"/>
        <w:pageBreakBefore w:val="0"/>
        <w:widowControl w:val="0"/>
        <w:kinsoku/>
        <w:wordWrap/>
        <w:overflowPunct/>
        <w:topLinePunct w:val="0"/>
        <w:autoSpaceDE/>
        <w:autoSpaceDN/>
        <w:bidi w:val="0"/>
        <w:adjustRightInd/>
        <w:snapToGrid/>
        <w:spacing w:line="400" w:lineRule="exact"/>
        <w:ind w:firstLine="3150" w:firstLineChars="1500"/>
        <w:textAlignment w:val="auto"/>
        <w:rPr>
          <w:rFonts w:hint="default"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rPr>
        <w:t>磋商供应商名称（</w:t>
      </w:r>
      <w:r>
        <w:rPr>
          <w:rFonts w:hint="eastAsia" w:ascii="宋体" w:hAnsi="宋体" w:eastAsia="宋体" w:cs="宋体"/>
          <w:color w:val="auto"/>
          <w:szCs w:val="21"/>
          <w:highlight w:val="none"/>
          <w:lang w:eastAsia="zh-CN"/>
        </w:rPr>
        <w:t>电子</w:t>
      </w:r>
      <w:r>
        <w:rPr>
          <w:rFonts w:hint="eastAsia" w:ascii="宋体" w:hAnsi="宋体" w:cs="宋体"/>
          <w:b w:val="0"/>
          <w:bCs/>
          <w:color w:val="auto"/>
          <w:szCs w:val="21"/>
          <w:highlight w:val="none"/>
          <w:lang w:val="en-US" w:eastAsia="zh-CN"/>
        </w:rPr>
        <w:t>公章</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p>
    <w:p w14:paraId="25F17D61">
      <w:pPr>
        <w:keepNext w:val="0"/>
        <w:keepLines w:val="0"/>
        <w:pageBreakBefore w:val="0"/>
        <w:widowControl w:val="0"/>
        <w:kinsoku/>
        <w:wordWrap/>
        <w:overflowPunct/>
        <w:topLinePunct w:val="0"/>
        <w:autoSpaceDE/>
        <w:autoSpaceDN/>
        <w:bidi w:val="0"/>
        <w:adjustRightInd/>
        <w:snapToGrid/>
        <w:spacing w:line="400" w:lineRule="exact"/>
        <w:ind w:firstLine="3150" w:firstLineChars="1500"/>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报价时间</w:t>
      </w:r>
      <w:r>
        <w:rPr>
          <w:rFonts w:hint="eastAsia" w:ascii="宋体" w:hAnsi="宋体" w:cs="宋体"/>
          <w:color w:val="auto"/>
          <w:highlight w:val="none"/>
          <w:lang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14:paraId="64A3D1F9">
      <w:pPr>
        <w:spacing w:line="360" w:lineRule="auto"/>
        <w:jc w:val="center"/>
        <w:rPr>
          <w:rFonts w:hint="eastAsia" w:cs="仿宋_GB2312" w:asciiTheme="minorEastAsia" w:hAnsiTheme="minorEastAsia" w:eastAsiaTheme="minorEastAsia"/>
          <w:color w:val="auto"/>
          <w:sz w:val="36"/>
          <w:szCs w:val="36"/>
          <w:highlight w:val="none"/>
        </w:rPr>
      </w:pPr>
    </w:p>
    <w:p w14:paraId="2DCBAED4">
      <w:pPr>
        <w:spacing w:line="360" w:lineRule="auto"/>
        <w:jc w:val="center"/>
        <w:rPr>
          <w:rFonts w:hint="eastAsia" w:cs="仿宋_GB2312" w:asciiTheme="minorEastAsia" w:hAnsiTheme="minorEastAsia" w:eastAsiaTheme="minorEastAsia"/>
          <w:color w:val="auto"/>
          <w:sz w:val="36"/>
          <w:szCs w:val="36"/>
          <w:highlight w:val="none"/>
        </w:rPr>
      </w:pPr>
    </w:p>
    <w:p w14:paraId="73D5C2E1">
      <w:pPr>
        <w:spacing w:line="360" w:lineRule="auto"/>
        <w:jc w:val="center"/>
        <w:rPr>
          <w:rFonts w:hint="eastAsia" w:cs="仿宋_GB2312" w:asciiTheme="minorEastAsia" w:hAnsiTheme="minorEastAsia" w:eastAsiaTheme="minorEastAsia"/>
          <w:color w:val="auto"/>
          <w:sz w:val="36"/>
          <w:szCs w:val="36"/>
          <w:highlight w:val="none"/>
        </w:rPr>
      </w:pPr>
    </w:p>
    <w:p w14:paraId="4591FF63">
      <w:pPr>
        <w:spacing w:line="360" w:lineRule="auto"/>
        <w:jc w:val="both"/>
        <w:outlineLvl w:val="9"/>
        <w:rPr>
          <w:rFonts w:hint="eastAsia" w:ascii="宋体" w:hAnsi="宋体" w:cs="宋体"/>
          <w:b/>
          <w:color w:val="auto"/>
          <w:kern w:val="0"/>
          <w:sz w:val="36"/>
          <w:szCs w:val="36"/>
          <w:highlight w:val="none"/>
        </w:rPr>
      </w:pPr>
    </w:p>
    <w:p w14:paraId="5A72164C">
      <w:pPr>
        <w:spacing w:line="360" w:lineRule="auto"/>
        <w:jc w:val="center"/>
        <w:outlineLvl w:val="1"/>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资格文件部分</w:t>
      </w:r>
    </w:p>
    <w:p w14:paraId="7B77FA1D">
      <w:pPr>
        <w:spacing w:line="360" w:lineRule="auto"/>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目录</w:t>
      </w:r>
    </w:p>
    <w:p w14:paraId="1E022301">
      <w:pPr>
        <w:spacing w:line="360" w:lineRule="auto"/>
        <w:jc w:val="center"/>
        <w:rPr>
          <w:rFonts w:ascii="宋体" w:hAnsi="宋体" w:cs="宋体"/>
          <w:b/>
          <w:color w:val="auto"/>
          <w:kern w:val="0"/>
          <w:sz w:val="36"/>
          <w:szCs w:val="36"/>
          <w:highlight w:val="none"/>
        </w:rPr>
      </w:pPr>
    </w:p>
    <w:p w14:paraId="6171A964">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（1）符合参加政府采购活动应当具备的一般条件的承诺函……………（页码）</w:t>
      </w:r>
    </w:p>
    <w:p w14:paraId="64529BF1">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供应商直接控股股东及出资信息表</w:t>
      </w:r>
      <w:r>
        <w:rPr>
          <w:rFonts w:hint="eastAsia" w:ascii="宋体" w:hAnsi="宋体" w:cs="宋体"/>
          <w:color w:val="auto"/>
          <w:sz w:val="24"/>
          <w:highlight w:val="none"/>
        </w:rPr>
        <w:t>…………………………………（页码）</w:t>
      </w:r>
    </w:p>
    <w:p w14:paraId="5D96DCD1">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供应商直接管理关系信息表</w:t>
      </w:r>
      <w:r>
        <w:rPr>
          <w:rFonts w:hint="eastAsia" w:ascii="宋体" w:hAnsi="宋体" w:cs="宋体"/>
          <w:color w:val="auto"/>
          <w:sz w:val="24"/>
          <w:highlight w:val="none"/>
        </w:rPr>
        <w:t>…………………………………………（页码）</w:t>
      </w:r>
    </w:p>
    <w:p w14:paraId="72075D75">
      <w:pPr>
        <w:spacing w:line="360" w:lineRule="auto"/>
        <w:rPr>
          <w:rFonts w:hint="eastAsia" w:cs="仿宋_GB2312" w:asciiTheme="minorEastAsia" w:hAnsiTheme="minorEastAsia" w:eastAsiaTheme="minorEastAsia"/>
          <w:b w:val="0"/>
          <w:bCs w:val="0"/>
          <w:color w:val="auto"/>
          <w:sz w:val="24"/>
          <w:highlight w:val="none"/>
          <w:lang w:eastAsia="zh-CN"/>
        </w:rPr>
      </w:pPr>
      <w:r>
        <w:rPr>
          <w:rFonts w:hint="eastAsia" w:cs="仿宋_GB2312" w:asciiTheme="minorEastAsia" w:hAnsiTheme="minorEastAsia" w:eastAsiaTheme="minorEastAsia"/>
          <w:b w:val="0"/>
          <w:bCs w:val="0"/>
          <w:color w:val="auto"/>
          <w:sz w:val="24"/>
          <w:highlight w:val="none"/>
          <w:lang w:eastAsia="zh-CN"/>
        </w:rPr>
        <w:t>（</w:t>
      </w:r>
      <w:r>
        <w:rPr>
          <w:rFonts w:hint="eastAsia" w:cs="仿宋_GB2312" w:asciiTheme="minorEastAsia" w:hAnsiTheme="minorEastAsia" w:eastAsiaTheme="minorEastAsia"/>
          <w:b w:val="0"/>
          <w:bCs w:val="0"/>
          <w:color w:val="auto"/>
          <w:sz w:val="24"/>
          <w:highlight w:val="none"/>
          <w:lang w:val="en-US" w:eastAsia="zh-CN"/>
        </w:rPr>
        <w:t>4</w:t>
      </w:r>
      <w:r>
        <w:rPr>
          <w:rFonts w:hint="eastAsia" w:cs="仿宋_GB2312" w:asciiTheme="minorEastAsia" w:hAnsiTheme="minorEastAsia" w:eastAsiaTheme="minorEastAsia"/>
          <w:b w:val="0"/>
          <w:bCs w:val="0"/>
          <w:color w:val="auto"/>
          <w:sz w:val="24"/>
          <w:highlight w:val="none"/>
          <w:lang w:eastAsia="zh-CN"/>
        </w:rPr>
        <w:t>）</w:t>
      </w:r>
      <w:r>
        <w:rPr>
          <w:rFonts w:hint="eastAsia" w:cs="仿宋_GB2312" w:asciiTheme="minorEastAsia" w:hAnsiTheme="minorEastAsia" w:eastAsiaTheme="minorEastAsia"/>
          <w:b w:val="0"/>
          <w:bCs w:val="0"/>
          <w:color w:val="auto"/>
          <w:sz w:val="24"/>
          <w:highlight w:val="none"/>
          <w:lang w:val="en-US" w:eastAsia="zh-CN"/>
        </w:rPr>
        <w:t>中小企业声明函或者残疾人福利性单位声明函或者供应商属于监狱企业的证明材料</w:t>
      </w:r>
      <w:r>
        <w:rPr>
          <w:rFonts w:hint="eastAsia" w:ascii="宋体" w:hAnsi="宋体" w:cs="宋体"/>
          <w:b w:val="0"/>
          <w:bCs w:val="0"/>
          <w:color w:val="auto"/>
          <w:sz w:val="24"/>
          <w:highlight w:val="none"/>
        </w:rPr>
        <w:t>………………………………………………………………………………（页码）</w:t>
      </w:r>
    </w:p>
    <w:p w14:paraId="04535ABE">
      <w:pPr>
        <w:pStyle w:val="32"/>
        <w:spacing w:line="360" w:lineRule="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color w:val="auto"/>
          <w:sz w:val="24"/>
          <w:highlight w:val="none"/>
          <w:lang w:eastAsia="zh-CN"/>
        </w:rPr>
        <w:t>）特定资质：</w:t>
      </w:r>
      <w:r>
        <w:rPr>
          <w:rFonts w:hint="eastAsia" w:cs="Times New Roman" w:asciiTheme="minorEastAsia" w:hAnsiTheme="minorEastAsia" w:eastAsiaTheme="minorEastAsia"/>
          <w:color w:val="auto"/>
          <w:sz w:val="24"/>
          <w:highlight w:val="none"/>
          <w:lang w:val="en-US" w:eastAsia="zh-CN"/>
        </w:rPr>
        <w:t>具备有效的省级或省级以上行政主管部门颁发的检验检测机构资质认定证书和农产品质量安全检测机构考核合格证书</w:t>
      </w:r>
      <w:r>
        <w:rPr>
          <w:rFonts w:hint="eastAsia" w:ascii="宋体" w:hAnsi="宋体" w:cs="宋体"/>
          <w:b w:val="0"/>
          <w:bCs w:val="0"/>
          <w:color w:val="auto"/>
          <w:sz w:val="24"/>
          <w:highlight w:val="none"/>
        </w:rPr>
        <w:t>…………………………（页码）</w:t>
      </w:r>
    </w:p>
    <w:p w14:paraId="70A36891">
      <w:pPr>
        <w:pStyle w:val="32"/>
        <w:spacing w:line="360" w:lineRule="auto"/>
        <w:outlineLvl w:val="9"/>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zh-CN" w:eastAsia="zh-CN"/>
        </w:rPr>
        <w:t>（</w:t>
      </w:r>
      <w:r>
        <w:rPr>
          <w:rFonts w:hint="eastAsia" w:cs="仿宋_GB2312" w:asciiTheme="minorEastAsia" w:hAnsiTheme="minorEastAsia" w:eastAsiaTheme="minorEastAsia"/>
          <w:color w:val="auto"/>
          <w:kern w:val="0"/>
          <w:sz w:val="24"/>
          <w:highlight w:val="none"/>
          <w:lang w:val="en-US" w:eastAsia="zh-CN"/>
        </w:rPr>
        <w:t>6</w:t>
      </w:r>
      <w:r>
        <w:rPr>
          <w:rFonts w:hint="eastAsia" w:cs="仿宋_GB2312" w:asciiTheme="minorEastAsia" w:hAnsiTheme="minorEastAsia" w:eastAsiaTheme="minorEastAsia"/>
          <w:color w:val="auto"/>
          <w:kern w:val="0"/>
          <w:sz w:val="24"/>
          <w:highlight w:val="none"/>
          <w:lang w:val="zh-CN" w:eastAsia="zh-CN"/>
        </w:rPr>
        <w:t>）磋商供应商认为需要提供的有关资料</w:t>
      </w:r>
      <w:r>
        <w:rPr>
          <w:rFonts w:hint="eastAsia" w:ascii="宋体" w:hAnsi="宋体" w:cs="宋体"/>
          <w:b w:val="0"/>
          <w:bCs w:val="0"/>
          <w:color w:val="auto"/>
          <w:sz w:val="24"/>
          <w:highlight w:val="none"/>
        </w:rPr>
        <w:t>…………………………………（页码）</w:t>
      </w:r>
    </w:p>
    <w:p w14:paraId="0D64B304">
      <w:pPr>
        <w:spacing w:line="360" w:lineRule="auto"/>
        <w:rPr>
          <w:rFonts w:hint="eastAsia" w:cs="仿宋_GB2312" w:asciiTheme="minorEastAsia" w:hAnsiTheme="minorEastAsia" w:eastAsiaTheme="minorEastAsia"/>
          <w:b/>
          <w:bCs/>
          <w:color w:val="auto"/>
          <w:sz w:val="24"/>
          <w:highlight w:val="none"/>
        </w:rPr>
      </w:pPr>
    </w:p>
    <w:p w14:paraId="70FCB2B7">
      <w:pPr>
        <w:spacing w:line="360" w:lineRule="auto"/>
        <w:rPr>
          <w:rFonts w:hint="eastAsia" w:cs="仿宋_GB2312" w:asciiTheme="minorEastAsia" w:hAnsiTheme="minorEastAsia" w:eastAsiaTheme="minorEastAsia"/>
          <w:b/>
          <w:bCs/>
          <w:color w:val="auto"/>
          <w:sz w:val="24"/>
          <w:highlight w:val="none"/>
        </w:rPr>
      </w:pPr>
    </w:p>
    <w:p w14:paraId="1FDDB8AA">
      <w:pPr>
        <w:spacing w:line="360" w:lineRule="auto"/>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b/>
          <w:bCs/>
          <w:color w:val="auto"/>
          <w:sz w:val="24"/>
          <w:highlight w:val="none"/>
        </w:rPr>
        <w:t>注</w:t>
      </w:r>
      <w:r>
        <w:rPr>
          <w:rFonts w:hint="eastAsia" w:cs="仿宋_GB2312" w:asciiTheme="minorEastAsia" w:hAnsiTheme="minorEastAsia" w:eastAsiaTheme="minorEastAsia"/>
          <w:b/>
          <w:bCs/>
          <w:color w:val="auto"/>
          <w:sz w:val="24"/>
          <w:highlight w:val="none"/>
          <w:lang w:eastAsia="zh-CN"/>
        </w:rPr>
        <w:t>：</w:t>
      </w:r>
      <w:r>
        <w:rPr>
          <w:rFonts w:hint="eastAsia" w:cs="仿宋_GB2312" w:asciiTheme="minorEastAsia" w:hAnsiTheme="minorEastAsia" w:eastAsiaTheme="minorEastAsia"/>
          <w:b/>
          <w:bCs/>
          <w:color w:val="auto"/>
          <w:sz w:val="24"/>
          <w:highlight w:val="none"/>
        </w:rPr>
        <w:t>以上目录是编制供应商响应文件的基本格式要求，各供应商可根据自身情况进一步细化。</w:t>
      </w:r>
    </w:p>
    <w:p w14:paraId="187217CD">
      <w:pPr>
        <w:snapToGrid w:val="0"/>
        <w:spacing w:line="360" w:lineRule="auto"/>
        <w:ind w:firstLine="480" w:firstLineChars="200"/>
        <w:rPr>
          <w:rFonts w:ascii="宋体" w:hAnsi="宋体" w:cs="宋体"/>
          <w:color w:val="auto"/>
          <w:sz w:val="24"/>
          <w:highlight w:val="none"/>
        </w:rPr>
      </w:pPr>
    </w:p>
    <w:p w14:paraId="23E53E89">
      <w:pPr>
        <w:spacing w:line="360" w:lineRule="auto"/>
        <w:ind w:firstLine="480" w:firstLineChars="200"/>
        <w:rPr>
          <w:rFonts w:ascii="宋体" w:hAnsi="宋体" w:cs="宋体"/>
          <w:color w:val="auto"/>
          <w:sz w:val="24"/>
          <w:highlight w:val="none"/>
        </w:rPr>
      </w:pPr>
    </w:p>
    <w:p w14:paraId="35E9CA4B">
      <w:pPr>
        <w:snapToGrid w:val="0"/>
        <w:spacing w:line="360" w:lineRule="auto"/>
        <w:ind w:right="480"/>
        <w:jc w:val="center"/>
        <w:rPr>
          <w:rFonts w:ascii="宋体" w:hAnsi="宋体" w:cs="宋体"/>
          <w:b/>
          <w:color w:val="auto"/>
          <w:kern w:val="0"/>
          <w:sz w:val="32"/>
          <w:szCs w:val="32"/>
          <w:highlight w:val="none"/>
        </w:rPr>
      </w:pPr>
      <w:r>
        <w:rPr>
          <w:rFonts w:hint="eastAsia" w:ascii="宋体" w:hAnsi="宋体" w:cs="宋体"/>
          <w:color w:val="auto"/>
          <w:kern w:val="0"/>
          <w:sz w:val="24"/>
          <w:highlight w:val="none"/>
        </w:rPr>
        <w:br w:type="page"/>
      </w:r>
      <w:r>
        <w:rPr>
          <w:rFonts w:hint="eastAsia" w:ascii="宋体" w:hAnsi="宋体" w:cs="宋体"/>
          <w:b/>
          <w:color w:val="auto"/>
          <w:kern w:val="0"/>
          <w:sz w:val="32"/>
          <w:szCs w:val="32"/>
          <w:highlight w:val="none"/>
        </w:rPr>
        <w:t>一、 符合参加政府采购活动应当具备的一般条件的承诺函</w:t>
      </w:r>
    </w:p>
    <w:p w14:paraId="395A5C04">
      <w:pPr>
        <w:snapToGrid w:val="0"/>
        <w:spacing w:line="360" w:lineRule="auto"/>
        <w:ind w:right="480"/>
        <w:jc w:val="center"/>
        <w:rPr>
          <w:rFonts w:ascii="宋体" w:hAnsi="宋体" w:cs="宋体"/>
          <w:color w:val="auto"/>
          <w:sz w:val="24"/>
          <w:highlight w:val="none"/>
        </w:rPr>
      </w:pPr>
    </w:p>
    <w:p w14:paraId="6F3CE37D">
      <w:pPr>
        <w:snapToGrid w:val="0"/>
        <w:spacing w:line="360" w:lineRule="auto"/>
        <w:ind w:right="480"/>
        <w:jc w:val="center"/>
        <w:rPr>
          <w:rFonts w:ascii="宋体" w:hAnsi="宋体" w:cs="宋体"/>
          <w:color w:val="auto"/>
          <w:sz w:val="24"/>
          <w:highlight w:val="none"/>
        </w:rPr>
      </w:pPr>
      <w:r>
        <w:rPr>
          <w:rFonts w:hint="eastAsia" w:ascii="宋体" w:hAnsi="宋体" w:cs="宋体"/>
          <w:color w:val="auto"/>
          <w:sz w:val="24"/>
          <w:highlight w:val="none"/>
        </w:rPr>
        <w:t>北海市政府采购供应商信用承诺函</w:t>
      </w:r>
    </w:p>
    <w:p w14:paraId="7457A923">
      <w:pPr>
        <w:snapToGrid w:val="0"/>
        <w:spacing w:line="360" w:lineRule="auto"/>
        <w:rPr>
          <w:rFonts w:ascii="宋体" w:hAnsi="宋体" w:cs="宋体"/>
          <w:color w:val="auto"/>
          <w:sz w:val="24"/>
          <w:highlight w:val="none"/>
        </w:rPr>
      </w:pPr>
    </w:p>
    <w:p w14:paraId="0259691D">
      <w:pPr>
        <w:snapToGrid w:val="0"/>
        <w:spacing w:line="360" w:lineRule="auto"/>
        <w:ind w:right="48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 xml:space="preserve">（采购人）、（采购代理机构） </w:t>
      </w:r>
      <w:r>
        <w:rPr>
          <w:rFonts w:hint="eastAsia" w:ascii="宋体" w:hAnsi="宋体" w:cs="宋体"/>
          <w:color w:val="auto"/>
          <w:sz w:val="21"/>
          <w:szCs w:val="21"/>
          <w:highlight w:val="none"/>
          <w:lang w:eastAsia="zh-CN"/>
        </w:rPr>
        <w:t>：</w:t>
      </w:r>
    </w:p>
    <w:p w14:paraId="0FEB288C">
      <w:pPr>
        <w:snapToGrid w:val="0"/>
        <w:spacing w:line="360" w:lineRule="auto"/>
        <w:ind w:right="48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供应商名称</w:t>
      </w:r>
      <w:r>
        <w:rPr>
          <w:rFonts w:hint="eastAsia" w:ascii="宋体" w:hAnsi="宋体" w:cs="宋体"/>
          <w:color w:val="auto"/>
          <w:sz w:val="21"/>
          <w:szCs w:val="21"/>
          <w:highlight w:val="none"/>
          <w:lang w:eastAsia="zh-CN"/>
        </w:rPr>
        <w:t>：</w:t>
      </w:r>
    </w:p>
    <w:p w14:paraId="090827F5">
      <w:pPr>
        <w:snapToGrid w:val="0"/>
        <w:spacing w:line="360" w:lineRule="auto"/>
        <w:ind w:right="48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统一社会信用代码</w:t>
      </w:r>
      <w:r>
        <w:rPr>
          <w:rFonts w:hint="eastAsia" w:ascii="宋体" w:hAnsi="宋体" w:cs="宋体"/>
          <w:color w:val="auto"/>
          <w:sz w:val="21"/>
          <w:szCs w:val="21"/>
          <w:highlight w:val="none"/>
          <w:lang w:eastAsia="zh-CN"/>
        </w:rPr>
        <w:t>：</w:t>
      </w:r>
    </w:p>
    <w:p w14:paraId="5E4D9301">
      <w:pPr>
        <w:snapToGrid w:val="0"/>
        <w:spacing w:line="360" w:lineRule="auto"/>
        <w:ind w:right="48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供应商地址</w:t>
      </w:r>
      <w:r>
        <w:rPr>
          <w:rFonts w:hint="eastAsia" w:ascii="宋体" w:hAnsi="宋体" w:cs="宋体"/>
          <w:color w:val="auto"/>
          <w:sz w:val="21"/>
          <w:szCs w:val="21"/>
          <w:highlight w:val="none"/>
          <w:lang w:eastAsia="zh-CN"/>
        </w:rPr>
        <w:t>：</w:t>
      </w:r>
    </w:p>
    <w:p w14:paraId="6719DCA7">
      <w:pPr>
        <w:snapToGrid w:val="0"/>
        <w:spacing w:line="360" w:lineRule="auto"/>
        <w:ind w:right="482" w:firstLine="420" w:firstLineChars="2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r>
        <w:rPr>
          <w:rFonts w:hint="eastAsia" w:ascii="宋体" w:hAnsi="宋体" w:cs="宋体"/>
          <w:color w:val="auto"/>
          <w:sz w:val="21"/>
          <w:szCs w:val="21"/>
          <w:highlight w:val="none"/>
          <w:lang w:eastAsia="zh-CN"/>
        </w:rPr>
        <w:t>：</w:t>
      </w:r>
    </w:p>
    <w:p w14:paraId="135E42C4">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1.我单位具有符合采购文件资格要求独立承担民事责任的能力。</w:t>
      </w:r>
    </w:p>
    <w:p w14:paraId="1E416CD4">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2.我单位具有符合采购文件资格要求的财务状况报告。</w:t>
      </w:r>
    </w:p>
    <w:p w14:paraId="0F7263DD">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3.我单位具有符合采购文件资格要求的依法缴纳税收和社会保障记录的良好记录。</w:t>
      </w:r>
    </w:p>
    <w:p w14:paraId="6EDE9E8F">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4.我单位具有符合采购文件资格要求履行合同所必需的设备和专业技术能力。</w:t>
      </w:r>
    </w:p>
    <w:p w14:paraId="0176EE6D">
      <w:pPr>
        <w:snapToGrid w:val="0"/>
        <w:spacing w:line="360" w:lineRule="auto"/>
        <w:ind w:right="482" w:firstLine="420" w:firstLineChars="200"/>
        <w:outlineLvl w:val="9"/>
        <w:rPr>
          <w:rFonts w:ascii="宋体" w:hAnsi="宋体" w:cs="宋体"/>
          <w:color w:val="auto"/>
          <w:sz w:val="21"/>
          <w:szCs w:val="21"/>
          <w:highlight w:val="none"/>
        </w:rPr>
      </w:pPr>
      <w:r>
        <w:rPr>
          <w:rFonts w:hint="eastAsia" w:ascii="宋体" w:hAnsi="宋体" w:cs="宋体"/>
          <w:color w:val="auto"/>
          <w:sz w:val="21"/>
          <w:szCs w:val="21"/>
          <w:highlight w:val="none"/>
        </w:rPr>
        <w:t>5.参加政府采购活动前三年内，在经营活动中没有重大违法记录。</w:t>
      </w:r>
    </w:p>
    <w:p w14:paraId="7B54FCCC">
      <w:pPr>
        <w:snapToGrid w:val="0"/>
        <w:spacing w:line="360" w:lineRule="auto"/>
        <w:ind w:right="482" w:firstLine="420" w:firstLineChars="200"/>
        <w:outlineLvl w:val="9"/>
        <w:rPr>
          <w:rFonts w:ascii="宋体" w:hAnsi="宋体" w:cs="宋体"/>
          <w:color w:val="auto"/>
          <w:sz w:val="21"/>
          <w:szCs w:val="21"/>
          <w:highlight w:val="none"/>
        </w:rPr>
      </w:pPr>
      <w:r>
        <w:rPr>
          <w:rFonts w:hint="eastAsia" w:ascii="宋体" w:hAnsi="宋体" w:cs="宋体"/>
          <w:color w:val="auto"/>
          <w:sz w:val="21"/>
          <w:szCs w:val="21"/>
          <w:highlight w:val="none"/>
        </w:rPr>
        <w:t>若我单位承诺不实，自愿承担提供虚假材料谋取中标、成交的法律责任。</w:t>
      </w:r>
    </w:p>
    <w:p w14:paraId="0FD1E06A">
      <w:pPr>
        <w:snapToGrid w:val="0"/>
        <w:spacing w:line="360" w:lineRule="auto"/>
        <w:ind w:right="480"/>
        <w:outlineLvl w:val="9"/>
        <w:rPr>
          <w:rFonts w:ascii="宋体" w:hAnsi="宋体" w:cs="宋体"/>
          <w:color w:val="auto"/>
          <w:sz w:val="21"/>
          <w:szCs w:val="21"/>
          <w:highlight w:val="none"/>
        </w:rPr>
      </w:pPr>
    </w:p>
    <w:p w14:paraId="3F01EBA8">
      <w:pPr>
        <w:spacing w:line="360" w:lineRule="auto"/>
        <w:ind w:firstLine="3150" w:firstLineChars="1500"/>
        <w:outlineLvl w:val="9"/>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磋商供应商</w:t>
      </w:r>
      <w:r>
        <w:rPr>
          <w:rFonts w:hint="eastAsia" w:ascii="宋体" w:hAnsi="宋体" w:cs="宋体"/>
          <w:color w:val="auto"/>
          <w:sz w:val="21"/>
          <w:szCs w:val="21"/>
          <w:highlight w:val="none"/>
        </w:rPr>
        <w:t>名称（</w:t>
      </w:r>
      <w:r>
        <w:rPr>
          <w:rFonts w:hint="eastAsia" w:ascii="宋体" w:hAnsi="宋体" w:cs="宋体"/>
          <w:color w:val="auto"/>
          <w:sz w:val="21"/>
          <w:szCs w:val="21"/>
          <w:highlight w:val="none"/>
          <w:lang w:val="en-US" w:eastAsia="zh-CN"/>
        </w:rPr>
        <w:t>电子</w:t>
      </w:r>
      <w:r>
        <w:rPr>
          <w:rFonts w:hint="eastAsia" w:ascii="宋体" w:hAnsi="宋体" w:cs="宋体"/>
          <w:color w:val="auto"/>
          <w:sz w:val="21"/>
          <w:szCs w:val="21"/>
          <w:highlight w:val="none"/>
        </w:rPr>
        <w:t>公章）</w:t>
      </w:r>
      <w:r>
        <w:rPr>
          <w:rFonts w:hint="eastAsia" w:ascii="宋体" w:hAnsi="宋体" w:cs="宋体"/>
          <w:color w:val="auto"/>
          <w:sz w:val="21"/>
          <w:szCs w:val="21"/>
          <w:highlight w:val="none"/>
          <w:lang w:eastAsia="zh-CN"/>
        </w:rPr>
        <w:t>：</w:t>
      </w:r>
    </w:p>
    <w:p w14:paraId="02C2D8D4">
      <w:pPr>
        <w:spacing w:line="360" w:lineRule="auto"/>
        <w:ind w:firstLine="3150" w:firstLineChars="1500"/>
        <w:outlineLvl w:val="9"/>
        <w:rPr>
          <w:rFonts w:ascii="宋体" w:hAnsi="宋体" w:cs="宋体"/>
          <w:color w:val="auto"/>
          <w:sz w:val="21"/>
          <w:szCs w:val="21"/>
          <w:highlight w:val="none"/>
        </w:rPr>
      </w:pPr>
      <w:r>
        <w:rPr>
          <w:rFonts w:hint="eastAsia" w:ascii="宋体" w:hAnsi="宋体" w:cs="宋体"/>
          <w:color w:val="auto"/>
          <w:sz w:val="21"/>
          <w:szCs w:val="21"/>
          <w:highlight w:val="none"/>
        </w:rPr>
        <w:t>法定代表人（负责人）或委托代理人(签名)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14:paraId="7125CCC0">
      <w:pPr>
        <w:spacing w:line="360" w:lineRule="auto"/>
        <w:jc w:val="center"/>
        <w:outlineLvl w:val="9"/>
        <w:rPr>
          <w:rFonts w:ascii="宋体" w:hAnsi="宋体" w:cs="宋体"/>
          <w:color w:val="auto"/>
          <w:sz w:val="24"/>
          <w:highlight w:val="none"/>
        </w:rPr>
      </w:pPr>
      <w:r>
        <w:rPr>
          <w:rFonts w:hint="eastAsia" w:ascii="宋体" w:hAnsi="宋体" w:cs="宋体"/>
          <w:color w:val="auto"/>
          <w:sz w:val="21"/>
          <w:szCs w:val="21"/>
          <w:highlight w:val="none"/>
        </w:rPr>
        <w:t xml:space="preserve">     日期</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年   月   日</w:t>
      </w:r>
    </w:p>
    <w:p w14:paraId="30311D2D">
      <w:pPr>
        <w:snapToGrid w:val="0"/>
        <w:spacing w:line="360" w:lineRule="auto"/>
        <w:ind w:right="480"/>
        <w:outlineLvl w:val="9"/>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 xml:space="preserve">   </w:t>
      </w:r>
    </w:p>
    <w:p w14:paraId="3715FBD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1.</w:t>
      </w:r>
      <w:r>
        <w:rPr>
          <w:rFonts w:hint="eastAsia" w:ascii="宋体" w:hAnsi="宋体" w:cs="宋体"/>
          <w:color w:val="auto"/>
          <w:szCs w:val="21"/>
          <w:highlight w:val="none"/>
          <w:lang w:val="en-US" w:eastAsia="zh-CN"/>
        </w:rPr>
        <w:t>供应商</w:t>
      </w:r>
      <w:r>
        <w:rPr>
          <w:rFonts w:hint="eastAsia" w:ascii="宋体" w:hAnsi="宋体" w:eastAsia="宋体" w:cs="宋体"/>
          <w:color w:val="auto"/>
          <w:szCs w:val="21"/>
          <w:highlight w:val="none"/>
        </w:rPr>
        <w:t>须在</w:t>
      </w:r>
      <w:r>
        <w:rPr>
          <w:rFonts w:hint="eastAsia" w:ascii="宋体" w:hAnsi="宋体" w:cs="宋体"/>
          <w:color w:val="auto"/>
          <w:szCs w:val="21"/>
          <w:highlight w:val="none"/>
          <w:lang w:val="en-US" w:eastAsia="zh-CN"/>
        </w:rPr>
        <w:t>投标（</w:t>
      </w:r>
      <w:r>
        <w:rPr>
          <w:rFonts w:hint="eastAsia" w:ascii="宋体" w:hAnsi="宋体" w:eastAsia="宋体" w:cs="宋体"/>
          <w:color w:val="auto"/>
          <w:szCs w:val="21"/>
          <w:highlight w:val="none"/>
        </w:rPr>
        <w:t>响应</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文件中按此模板提供承诺函，未提供视为未实质性响应招标（采购）</w:t>
      </w:r>
      <w:r>
        <w:rPr>
          <w:rFonts w:hint="eastAsia" w:ascii="宋体" w:hAnsi="宋体" w:cs="宋体"/>
          <w:color w:val="auto"/>
          <w:szCs w:val="21"/>
          <w:highlight w:val="none"/>
          <w:lang w:val="en-US" w:eastAsia="zh-CN"/>
        </w:rPr>
        <w:t>文</w:t>
      </w:r>
      <w:r>
        <w:rPr>
          <w:rFonts w:hint="eastAsia" w:ascii="宋体" w:hAnsi="宋体" w:eastAsia="宋体" w:cs="宋体"/>
          <w:color w:val="auto"/>
          <w:szCs w:val="21"/>
          <w:highlight w:val="none"/>
        </w:rPr>
        <w:t>件要求，按无效投标（响应）处理。</w:t>
      </w:r>
    </w:p>
    <w:p w14:paraId="5FC2CD95">
      <w:pPr>
        <w:spacing w:line="420" w:lineRule="exact"/>
        <w:ind w:firstLine="420" w:firstLineChars="200"/>
        <w:jc w:val="left"/>
        <w:outlineLvl w:val="9"/>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val="en-US" w:eastAsia="zh-CN"/>
        </w:rPr>
        <w:t>供应商</w:t>
      </w:r>
      <w:r>
        <w:rPr>
          <w:rFonts w:hint="eastAsia" w:ascii="宋体" w:hAnsi="宋体" w:eastAsia="宋体" w:cs="宋体"/>
          <w:color w:val="auto"/>
          <w:szCs w:val="21"/>
          <w:highlight w:val="none"/>
        </w:rPr>
        <w:t>的法定代表人（其他组织的为负责人）或者授权代表的签名或盖章应真实、有效，如授权代表签名或盖章的，应提供“法定代表人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负责人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授权书”</w:t>
      </w:r>
      <w:r>
        <w:rPr>
          <w:rFonts w:hint="eastAsia" w:ascii="宋体" w:hAnsi="宋体" w:eastAsia="宋体" w:cs="宋体"/>
          <w:color w:val="auto"/>
          <w:szCs w:val="21"/>
          <w:highlight w:val="none"/>
          <w:lang w:eastAsia="zh-CN"/>
        </w:rPr>
        <w:t>。</w:t>
      </w:r>
    </w:p>
    <w:p w14:paraId="36F8C4E6">
      <w:pPr>
        <w:snapToGrid w:val="0"/>
        <w:spacing w:line="360" w:lineRule="auto"/>
        <w:ind w:right="480"/>
        <w:jc w:val="center"/>
        <w:outlineLvl w:val="9"/>
        <w:rPr>
          <w:rFonts w:ascii="宋体" w:hAnsi="宋体" w:cs="宋体"/>
          <w:b/>
          <w:color w:val="auto"/>
          <w:kern w:val="0"/>
          <w:sz w:val="32"/>
          <w:szCs w:val="32"/>
          <w:highlight w:val="none"/>
        </w:rPr>
      </w:pPr>
    </w:p>
    <w:p w14:paraId="51DF53C8">
      <w:pPr>
        <w:bidi w:val="0"/>
        <w:outlineLvl w:val="9"/>
        <w:rPr>
          <w:color w:val="auto"/>
          <w:highlight w:val="none"/>
        </w:rPr>
      </w:pPr>
    </w:p>
    <w:p w14:paraId="2DD5635B">
      <w:pPr>
        <w:outlineLvl w:val="9"/>
        <w:rPr>
          <w:rFonts w:ascii="宋体" w:hAnsi="宋体" w:cs="宋体"/>
          <w:b/>
          <w:color w:val="auto"/>
          <w:kern w:val="0"/>
          <w:sz w:val="32"/>
          <w:szCs w:val="32"/>
          <w:highlight w:val="none"/>
        </w:rPr>
      </w:pPr>
    </w:p>
    <w:p w14:paraId="6ABB2374">
      <w:pPr>
        <w:bidi w:val="0"/>
        <w:outlineLvl w:val="9"/>
        <w:rPr>
          <w:color w:val="auto"/>
          <w:highlight w:val="none"/>
        </w:rPr>
      </w:pPr>
    </w:p>
    <w:p w14:paraId="212118E6">
      <w:pPr>
        <w:numPr>
          <w:ilvl w:val="0"/>
          <w:numId w:val="0"/>
        </w:numPr>
        <w:tabs>
          <w:tab w:val="left" w:pos="432"/>
        </w:tabs>
        <w:ind w:leftChars="0"/>
        <w:outlineLvl w:val="9"/>
        <w:rPr>
          <w:color w:val="auto"/>
          <w:highlight w:val="none"/>
        </w:rPr>
      </w:pPr>
    </w:p>
    <w:p w14:paraId="6153466E">
      <w:pPr>
        <w:rPr>
          <w:rFonts w:ascii="宋体" w:hAnsi="宋体" w:cs="宋体"/>
          <w:b/>
          <w:color w:val="auto"/>
          <w:kern w:val="0"/>
          <w:sz w:val="32"/>
          <w:szCs w:val="32"/>
          <w:highlight w:val="none"/>
        </w:rPr>
      </w:pPr>
    </w:p>
    <w:p w14:paraId="0A61CA17">
      <w:pPr>
        <w:bidi w:val="0"/>
        <w:rPr>
          <w:color w:val="auto"/>
          <w:highlight w:val="none"/>
        </w:rPr>
      </w:pPr>
    </w:p>
    <w:p w14:paraId="69399F78">
      <w:pPr>
        <w:bidi w:val="0"/>
        <w:rPr>
          <w:color w:val="auto"/>
          <w:highlight w:val="none"/>
        </w:rPr>
      </w:pPr>
    </w:p>
    <w:p w14:paraId="18C56A41">
      <w:pPr>
        <w:bidi w:val="0"/>
        <w:rPr>
          <w:color w:val="auto"/>
          <w:highlight w:val="none"/>
        </w:rPr>
      </w:pPr>
    </w:p>
    <w:p w14:paraId="7770A26B">
      <w:pPr>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br w:type="page"/>
      </w:r>
    </w:p>
    <w:p w14:paraId="0E46A078">
      <w:pPr>
        <w:adjustRightInd w:val="0"/>
        <w:snapToGrid w:val="0"/>
        <w:spacing w:line="360" w:lineRule="auto"/>
        <w:jc w:val="left"/>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法定代表人（负责人）授权委托书（信用承诺函由授权代表签名或盖章时，必须提供）</w:t>
      </w:r>
    </w:p>
    <w:p w14:paraId="1FEE3E94">
      <w:pPr>
        <w:pStyle w:val="16"/>
        <w:rPr>
          <w:rFonts w:hint="default"/>
          <w:color w:val="auto"/>
          <w:highlight w:val="none"/>
          <w:lang w:val="en-US" w:eastAsia="zh-CN"/>
        </w:rPr>
      </w:pPr>
    </w:p>
    <w:p w14:paraId="4B92DEA1">
      <w:pPr>
        <w:adjustRightInd w:val="0"/>
        <w:snapToGrid w:val="0"/>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法定代表人</w:t>
      </w:r>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lang w:val="en-US" w:eastAsia="zh-CN"/>
        </w:rPr>
        <w:t>负责人</w:t>
      </w:r>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rPr>
        <w:t>授权委托书</w:t>
      </w:r>
    </w:p>
    <w:p w14:paraId="4F7D168C">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u w:val="single"/>
          <w:lang w:eastAsia="zh-CN"/>
        </w:rPr>
        <w:t>广西邕政采购代理有限公司</w:t>
      </w:r>
      <w:r>
        <w:rPr>
          <w:rFonts w:hint="eastAsia" w:ascii="宋体" w:hAnsi="宋体" w:cs="宋体"/>
          <w:color w:val="auto"/>
          <w:szCs w:val="21"/>
          <w:highlight w:val="none"/>
          <w:lang w:eastAsia="zh-CN"/>
        </w:rPr>
        <w:t>：</w:t>
      </w:r>
    </w:p>
    <w:p w14:paraId="67CD41B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兹授权</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同志为我公司参加贵单位组织的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highlight w:val="none"/>
          <w:u w:val="single"/>
        </w:rPr>
        <w:t>项目名称/项目编号</w:t>
      </w:r>
      <w:r>
        <w:rPr>
          <w:rFonts w:hint="eastAsia" w:ascii="宋体" w:hAnsi="宋体" w:eastAsia="宋体" w:cs="宋体"/>
          <w:color w:val="auto"/>
          <w:szCs w:val="21"/>
          <w:highlight w:val="none"/>
        </w:rPr>
        <w:t>竞争性磋商采购活动的委托代理人，全权代表我公司处理在该项目活动中的一切事宜。代理期限从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日起至</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日止。 </w:t>
      </w:r>
    </w:p>
    <w:p w14:paraId="1C362867">
      <w:pPr>
        <w:spacing w:line="360" w:lineRule="auto"/>
        <w:rPr>
          <w:rFonts w:hint="eastAsia" w:ascii="宋体" w:hAnsi="宋体" w:eastAsia="宋体" w:cs="宋体"/>
          <w:color w:val="auto"/>
          <w:szCs w:val="21"/>
          <w:highlight w:val="none"/>
        </w:rPr>
      </w:pPr>
    </w:p>
    <w:p w14:paraId="23B40A41">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磋商供应商名称（</w:t>
      </w:r>
      <w:r>
        <w:rPr>
          <w:rFonts w:hint="eastAsia" w:ascii="宋体" w:hAnsi="宋体" w:eastAsia="宋体" w:cs="宋体"/>
          <w:color w:val="auto"/>
          <w:szCs w:val="21"/>
          <w:highlight w:val="none"/>
          <w:lang w:eastAsia="zh-CN"/>
        </w:rPr>
        <w:t>电子</w:t>
      </w:r>
      <w:r>
        <w:rPr>
          <w:rFonts w:hint="eastAsia" w:ascii="宋体" w:hAnsi="宋体" w:cs="宋体"/>
          <w:b w:val="0"/>
          <w:bCs/>
          <w:color w:val="auto"/>
          <w:szCs w:val="21"/>
          <w:highlight w:val="none"/>
          <w:lang w:val="en-US" w:eastAsia="zh-CN"/>
        </w:rPr>
        <w:t>公章</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45651F2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负责人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签字</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49A9947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签发日期</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44163FCC">
      <w:pPr>
        <w:spacing w:line="360" w:lineRule="auto"/>
        <w:rPr>
          <w:rFonts w:hint="eastAsia" w:ascii="宋体" w:hAnsi="宋体" w:eastAsia="宋体" w:cs="宋体"/>
          <w:color w:val="auto"/>
          <w:szCs w:val="21"/>
          <w:highlight w:val="none"/>
        </w:rPr>
      </w:pPr>
    </w:p>
    <w:p w14:paraId="0F363A39">
      <w:pPr>
        <w:pStyle w:val="24"/>
        <w:spacing w:after="159" w:afterLines="50" w:afterAutospacing="0"/>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附</w:t>
      </w:r>
      <w:r>
        <w:rPr>
          <w:rFonts w:hint="eastAsia" w:hAnsi="宋体" w:cs="宋体"/>
          <w:color w:val="auto"/>
          <w:szCs w:val="21"/>
          <w:highlight w:val="none"/>
          <w:lang w:eastAsia="zh-CN"/>
        </w:rPr>
        <w:t>：</w:t>
      </w:r>
      <w:r>
        <w:rPr>
          <w:rFonts w:hint="eastAsia" w:ascii="宋体" w:hAnsi="宋体" w:eastAsia="宋体" w:cs="宋体"/>
          <w:color w:val="auto"/>
          <w:kern w:val="2"/>
          <w:sz w:val="21"/>
          <w:szCs w:val="21"/>
          <w:highlight w:val="none"/>
          <w:lang w:val="en-US" w:eastAsia="zh-CN" w:bidi="ar-SA"/>
        </w:rPr>
        <w:t>1.委托代理人身份证复印件</w:t>
      </w:r>
    </w:p>
    <w:p w14:paraId="3634DCF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委托代理人工作单位</w:t>
      </w:r>
      <w:r>
        <w:rPr>
          <w:rFonts w:hint="eastAsia" w:ascii="宋体" w:hAnsi="宋体" w:eastAsia="宋体" w:cs="宋体"/>
          <w:color w:val="auto"/>
          <w:szCs w:val="21"/>
          <w:highlight w:val="none"/>
          <w:u w:val="single"/>
        </w:rPr>
        <w:t xml:space="preserve">               </w:t>
      </w:r>
    </w:p>
    <w:p w14:paraId="77ABEC6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职务</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性别</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2088CA2E">
      <w:pPr>
        <w:adjustRightInd w:val="0"/>
        <w:snapToGrid w:val="0"/>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身份证号码</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7946CB97">
      <w:pPr>
        <w:adjustRightInd w:val="0"/>
        <w:snapToGrid w:val="0"/>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kern w:val="2"/>
          <w:sz w:val="21"/>
          <w:szCs w:val="21"/>
          <w:highlight w:val="none"/>
          <w:lang w:val="en-US" w:eastAsia="zh-CN" w:bidi="ar-SA"/>
        </w:rPr>
        <w:t>2.营业执照或者事业单位法人证书或者执业许可证复印件</w:t>
      </w:r>
    </w:p>
    <w:tbl>
      <w:tblPr>
        <w:tblStyle w:val="62"/>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14:paraId="33ADB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69" w:hRule="atLeast"/>
        </w:trPr>
        <w:tc>
          <w:tcPr>
            <w:tcW w:w="8657" w:type="dxa"/>
            <w:vAlign w:val="top"/>
          </w:tcPr>
          <w:p w14:paraId="75F21A96">
            <w:pPr>
              <w:spacing w:beforeAutospacing="0" w:line="360" w:lineRule="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粘贴委托代理人的正面及反面身份证复印件</w:t>
            </w:r>
          </w:p>
          <w:p w14:paraId="246626E7">
            <w:pPr>
              <w:spacing w:line="360" w:lineRule="auto"/>
              <w:rPr>
                <w:rFonts w:hint="eastAsia" w:ascii="宋体" w:hAnsi="宋体" w:eastAsia="宋体" w:cs="宋体"/>
                <w:color w:val="auto"/>
                <w:szCs w:val="21"/>
                <w:highlight w:val="none"/>
                <w:shd w:val="clear" w:color="auto" w:fill="auto"/>
              </w:rPr>
            </w:pPr>
          </w:p>
          <w:p w14:paraId="2AD2FD73">
            <w:pPr>
              <w:spacing w:line="360" w:lineRule="auto"/>
              <w:rPr>
                <w:rFonts w:hint="eastAsia" w:ascii="宋体" w:hAnsi="宋体" w:eastAsia="宋体" w:cs="宋体"/>
                <w:color w:val="auto"/>
                <w:szCs w:val="21"/>
                <w:highlight w:val="none"/>
                <w:shd w:val="clear" w:color="auto" w:fill="auto"/>
              </w:rPr>
            </w:pPr>
          </w:p>
          <w:p w14:paraId="0B3B8371">
            <w:pPr>
              <w:spacing w:line="360" w:lineRule="auto"/>
              <w:rPr>
                <w:rFonts w:hint="eastAsia" w:ascii="宋体" w:hAnsi="宋体" w:eastAsia="宋体" w:cs="宋体"/>
                <w:color w:val="auto"/>
                <w:szCs w:val="21"/>
                <w:highlight w:val="none"/>
                <w:shd w:val="clear" w:color="auto" w:fill="auto"/>
              </w:rPr>
            </w:pPr>
          </w:p>
          <w:p w14:paraId="24509401">
            <w:pPr>
              <w:spacing w:line="360" w:lineRule="auto"/>
              <w:rPr>
                <w:rFonts w:hint="eastAsia" w:ascii="宋体" w:hAnsi="宋体" w:eastAsia="宋体" w:cs="宋体"/>
                <w:color w:val="auto"/>
                <w:szCs w:val="21"/>
                <w:highlight w:val="none"/>
                <w:shd w:val="clear" w:color="auto" w:fill="auto"/>
              </w:rPr>
            </w:pPr>
          </w:p>
          <w:p w14:paraId="776CF5A1">
            <w:pPr>
              <w:spacing w:line="360" w:lineRule="auto"/>
              <w:rPr>
                <w:rFonts w:hint="eastAsia" w:ascii="宋体" w:hAnsi="宋体" w:eastAsia="宋体" w:cs="宋体"/>
                <w:color w:val="auto"/>
                <w:szCs w:val="21"/>
                <w:highlight w:val="none"/>
                <w:shd w:val="clear" w:color="auto" w:fill="auto"/>
              </w:rPr>
            </w:pPr>
          </w:p>
        </w:tc>
      </w:tr>
    </w:tbl>
    <w:p w14:paraId="226304B9">
      <w:pPr>
        <w:spacing w:line="520" w:lineRule="exact"/>
        <w:rPr>
          <w:rFonts w:hint="eastAsia" w:ascii="宋体" w:hAnsi="宋体" w:eastAsia="宋体" w:cs="宋体"/>
          <w:b/>
          <w:bCs/>
          <w:color w:val="auto"/>
          <w:szCs w:val="21"/>
          <w:highlight w:val="none"/>
          <w:shd w:val="clear" w:color="auto" w:fill="auto"/>
        </w:rPr>
      </w:pPr>
    </w:p>
    <w:tbl>
      <w:tblPr>
        <w:tblStyle w:val="62"/>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14:paraId="78413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657" w:type="dxa"/>
            <w:vAlign w:val="top"/>
          </w:tcPr>
          <w:p w14:paraId="2E924001">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粘贴</w:t>
            </w:r>
            <w:r>
              <w:rPr>
                <w:rFonts w:hint="eastAsia" w:ascii="宋体" w:hAnsi="宋体" w:eastAsia="宋体" w:cs="宋体"/>
                <w:color w:val="auto"/>
                <w:szCs w:val="21"/>
                <w:highlight w:val="none"/>
                <w:lang w:val="en-US" w:eastAsia="zh-CN"/>
              </w:rPr>
              <w:t>法定代表人（负责人）</w:t>
            </w:r>
            <w:r>
              <w:rPr>
                <w:rFonts w:hint="eastAsia" w:ascii="宋体" w:hAnsi="宋体" w:eastAsia="宋体" w:cs="宋体"/>
                <w:color w:val="auto"/>
                <w:szCs w:val="21"/>
                <w:highlight w:val="none"/>
              </w:rPr>
              <w:t>的正面及反面身份证复印件</w:t>
            </w:r>
          </w:p>
          <w:p w14:paraId="714C179F">
            <w:pPr>
              <w:spacing w:line="360" w:lineRule="auto"/>
              <w:rPr>
                <w:rFonts w:hint="eastAsia" w:ascii="宋体" w:hAnsi="宋体" w:eastAsia="宋体" w:cs="宋体"/>
                <w:color w:val="auto"/>
                <w:szCs w:val="21"/>
                <w:highlight w:val="none"/>
              </w:rPr>
            </w:pPr>
          </w:p>
          <w:p w14:paraId="300B4FDA">
            <w:pPr>
              <w:spacing w:line="360" w:lineRule="auto"/>
              <w:rPr>
                <w:rFonts w:hint="eastAsia" w:ascii="宋体" w:hAnsi="宋体" w:eastAsia="宋体" w:cs="宋体"/>
                <w:color w:val="auto"/>
                <w:szCs w:val="21"/>
                <w:highlight w:val="none"/>
              </w:rPr>
            </w:pPr>
          </w:p>
          <w:p w14:paraId="0E9E93B1">
            <w:pPr>
              <w:spacing w:line="360" w:lineRule="auto"/>
              <w:rPr>
                <w:rFonts w:hint="eastAsia" w:ascii="宋体" w:hAnsi="宋体" w:eastAsia="宋体" w:cs="宋体"/>
                <w:color w:val="auto"/>
                <w:szCs w:val="21"/>
                <w:highlight w:val="none"/>
              </w:rPr>
            </w:pPr>
          </w:p>
          <w:p w14:paraId="58D827B0">
            <w:pPr>
              <w:spacing w:line="360" w:lineRule="auto"/>
              <w:rPr>
                <w:rFonts w:hint="eastAsia" w:ascii="宋体" w:hAnsi="宋体" w:eastAsia="宋体" w:cs="宋体"/>
                <w:color w:val="auto"/>
                <w:szCs w:val="21"/>
                <w:highlight w:val="none"/>
              </w:rPr>
            </w:pPr>
          </w:p>
          <w:p w14:paraId="1F6156A8">
            <w:pPr>
              <w:spacing w:line="360" w:lineRule="auto"/>
              <w:rPr>
                <w:rFonts w:hint="eastAsia" w:ascii="宋体" w:hAnsi="宋体" w:eastAsia="宋体" w:cs="宋体"/>
                <w:color w:val="auto"/>
                <w:szCs w:val="21"/>
                <w:highlight w:val="none"/>
              </w:rPr>
            </w:pPr>
          </w:p>
        </w:tc>
      </w:tr>
    </w:tbl>
    <w:p w14:paraId="71116492">
      <w:pPr>
        <w:rPr>
          <w:rFonts w:ascii="宋体" w:hAnsi="宋体" w:cs="宋体"/>
          <w:b/>
          <w:color w:val="auto"/>
          <w:kern w:val="0"/>
          <w:sz w:val="32"/>
          <w:szCs w:val="32"/>
          <w:highlight w:val="none"/>
        </w:rPr>
      </w:pPr>
    </w:p>
    <w:p w14:paraId="0060FC2C">
      <w:pPr>
        <w:widowControl/>
        <w:spacing w:line="360" w:lineRule="auto"/>
        <w:jc w:val="both"/>
        <w:rPr>
          <w:rFonts w:hint="eastAsia" w:ascii="宋体" w:hAnsi="宋体" w:eastAsia="宋体" w:cs="宋体"/>
          <w:b/>
          <w:color w:val="auto"/>
          <w:kern w:val="0"/>
          <w:sz w:val="32"/>
          <w:szCs w:val="32"/>
          <w:highlight w:val="none"/>
          <w:lang w:val="en-US" w:eastAsia="zh-CN"/>
        </w:rPr>
      </w:pPr>
    </w:p>
    <w:p w14:paraId="635E4A88">
      <w:pPr>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val="en-US" w:eastAsia="zh-CN"/>
        </w:rPr>
        <w:br w:type="page"/>
      </w:r>
    </w:p>
    <w:p w14:paraId="6B98686B">
      <w:pPr>
        <w:widowControl/>
        <w:spacing w:line="360" w:lineRule="auto"/>
        <w:jc w:val="center"/>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val="en-US" w:eastAsia="zh-CN"/>
        </w:rPr>
        <w:t>二、</w:t>
      </w:r>
      <w:r>
        <w:rPr>
          <w:rFonts w:hint="eastAsia" w:ascii="宋体" w:hAnsi="宋体" w:cs="宋体"/>
          <w:b/>
          <w:color w:val="auto"/>
          <w:kern w:val="0"/>
          <w:sz w:val="32"/>
          <w:szCs w:val="32"/>
          <w:highlight w:val="none"/>
          <w:lang w:val="en-US" w:eastAsia="zh-CN"/>
        </w:rPr>
        <w:t>供应商</w:t>
      </w:r>
      <w:r>
        <w:rPr>
          <w:rFonts w:hint="eastAsia" w:ascii="宋体" w:hAnsi="宋体" w:eastAsia="宋体" w:cs="宋体"/>
          <w:b/>
          <w:color w:val="auto"/>
          <w:kern w:val="0"/>
          <w:sz w:val="32"/>
          <w:szCs w:val="32"/>
          <w:highlight w:val="none"/>
          <w:lang w:val="en-US" w:eastAsia="zh-CN"/>
        </w:rPr>
        <w:t>直接控股股东及出资信息表</w:t>
      </w:r>
    </w:p>
    <w:p w14:paraId="1B3B020D">
      <w:pPr>
        <w:rPr>
          <w:color w:val="auto"/>
          <w:highlight w:val="none"/>
        </w:rPr>
      </w:pPr>
    </w:p>
    <w:p w14:paraId="046268FC">
      <w:pPr>
        <w:bidi w:val="0"/>
        <w:rPr>
          <w:color w:val="auto"/>
          <w:highlight w:val="none"/>
        </w:rPr>
      </w:pPr>
    </w:p>
    <w:p w14:paraId="64AB89CB">
      <w:pPr>
        <w:keepNext w:val="0"/>
        <w:keepLines w:val="0"/>
        <w:pageBreakBefore w:val="0"/>
        <w:kinsoku/>
        <w:wordWrap/>
        <w:overflowPunct/>
        <w:topLinePunct w:val="0"/>
        <w:autoSpaceDE/>
        <w:autoSpaceDN/>
        <w:bidi w:val="0"/>
        <w:adjustRightInd/>
        <w:spacing w:line="400" w:lineRule="exact"/>
        <w:jc w:val="center"/>
        <w:textAlignment w:val="auto"/>
        <w:outlineLvl w:val="9"/>
        <w:rPr>
          <w:rFonts w:hint="eastAsia" w:ascii="宋体" w:hAnsi="宋体" w:eastAsia="宋体" w:cs="宋体"/>
          <w:color w:val="auto"/>
          <w:highlight w:val="none"/>
        </w:rPr>
      </w:pPr>
      <w:r>
        <w:rPr>
          <w:rFonts w:hint="eastAsia" w:ascii="宋体" w:hAnsi="宋体" w:cs="宋体"/>
          <w:b/>
          <w:bCs/>
          <w:color w:val="auto"/>
          <w:sz w:val="30"/>
          <w:szCs w:val="30"/>
          <w:highlight w:val="none"/>
          <w:lang w:val="en-US" w:eastAsia="zh-CN"/>
        </w:rPr>
        <w:t>磋商供应商</w:t>
      </w:r>
      <w:r>
        <w:rPr>
          <w:rFonts w:hint="eastAsia" w:ascii="宋体" w:hAnsi="宋体" w:eastAsia="宋体" w:cs="宋体"/>
          <w:b/>
          <w:bCs/>
          <w:color w:val="auto"/>
          <w:sz w:val="30"/>
          <w:szCs w:val="30"/>
          <w:highlight w:val="none"/>
        </w:rPr>
        <w:t>直接</w:t>
      </w:r>
      <w:r>
        <w:rPr>
          <w:rFonts w:hint="eastAsia" w:ascii="宋体" w:hAnsi="宋体" w:eastAsia="宋体" w:cs="宋体"/>
          <w:b/>
          <w:bCs/>
          <w:color w:val="auto"/>
          <w:sz w:val="30"/>
          <w:szCs w:val="30"/>
          <w:highlight w:val="none"/>
          <w:lang w:val="en-US" w:eastAsia="zh-CN"/>
        </w:rPr>
        <w:t>控股</w:t>
      </w:r>
      <w:r>
        <w:rPr>
          <w:rFonts w:hint="eastAsia" w:ascii="宋体" w:hAnsi="宋体" w:eastAsia="宋体" w:cs="宋体"/>
          <w:b/>
          <w:bCs/>
          <w:color w:val="auto"/>
          <w:sz w:val="30"/>
          <w:szCs w:val="30"/>
          <w:highlight w:val="none"/>
        </w:rPr>
        <w:t>股东及出资信息表（格式）</w:t>
      </w:r>
    </w:p>
    <w:tbl>
      <w:tblPr>
        <w:tblStyle w:val="62"/>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4"/>
        <w:gridCol w:w="2256"/>
        <w:gridCol w:w="1257"/>
        <w:gridCol w:w="3712"/>
        <w:gridCol w:w="815"/>
      </w:tblGrid>
      <w:tr w14:paraId="392F6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4" w:type="dxa"/>
            <w:vAlign w:val="top"/>
          </w:tcPr>
          <w:p w14:paraId="0BE9B7DC">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
                <w:bCs/>
                <w:color w:val="auto"/>
                <w:spacing w:val="10"/>
                <w:kern w:val="0"/>
                <w:szCs w:val="21"/>
                <w:highlight w:val="none"/>
              </w:rPr>
            </w:pPr>
            <w:r>
              <w:rPr>
                <w:rFonts w:hint="eastAsia" w:ascii="宋体" w:hAnsi="宋体" w:eastAsia="宋体" w:cs="宋体"/>
                <w:b/>
                <w:bCs/>
                <w:color w:val="auto"/>
                <w:spacing w:val="10"/>
                <w:kern w:val="0"/>
                <w:szCs w:val="21"/>
                <w:highlight w:val="none"/>
              </w:rPr>
              <w:t>序号</w:t>
            </w:r>
          </w:p>
        </w:tc>
        <w:tc>
          <w:tcPr>
            <w:tcW w:w="2256" w:type="dxa"/>
            <w:vAlign w:val="top"/>
          </w:tcPr>
          <w:p w14:paraId="3C8E591B">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
                <w:bCs/>
                <w:color w:val="auto"/>
                <w:spacing w:val="10"/>
                <w:kern w:val="0"/>
                <w:szCs w:val="21"/>
                <w:highlight w:val="none"/>
              </w:rPr>
            </w:pPr>
            <w:r>
              <w:rPr>
                <w:rFonts w:hint="eastAsia" w:ascii="宋体" w:hAnsi="宋体" w:eastAsia="宋体" w:cs="宋体"/>
                <w:b/>
                <w:bCs/>
                <w:color w:val="auto"/>
                <w:spacing w:val="10"/>
                <w:kern w:val="0"/>
                <w:szCs w:val="21"/>
                <w:highlight w:val="none"/>
                <w:lang w:val="en-US" w:eastAsia="zh-CN"/>
              </w:rPr>
              <w:t>直接控股</w:t>
            </w:r>
            <w:r>
              <w:rPr>
                <w:rFonts w:hint="eastAsia" w:ascii="宋体" w:hAnsi="宋体" w:eastAsia="宋体" w:cs="宋体"/>
                <w:b/>
                <w:bCs/>
                <w:color w:val="auto"/>
                <w:spacing w:val="10"/>
                <w:kern w:val="0"/>
                <w:szCs w:val="21"/>
                <w:highlight w:val="none"/>
              </w:rPr>
              <w:t>股东名称</w:t>
            </w:r>
          </w:p>
        </w:tc>
        <w:tc>
          <w:tcPr>
            <w:tcW w:w="1257" w:type="dxa"/>
            <w:vAlign w:val="top"/>
          </w:tcPr>
          <w:p w14:paraId="1CC53C5C">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出资比例</w:t>
            </w:r>
          </w:p>
        </w:tc>
        <w:tc>
          <w:tcPr>
            <w:tcW w:w="3712" w:type="dxa"/>
            <w:vAlign w:val="top"/>
          </w:tcPr>
          <w:p w14:paraId="3028B7BF">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
                <w:bCs/>
                <w:color w:val="auto"/>
                <w:spacing w:val="10"/>
                <w:kern w:val="0"/>
                <w:szCs w:val="21"/>
                <w:highlight w:val="none"/>
              </w:rPr>
            </w:pPr>
            <w:r>
              <w:rPr>
                <w:rFonts w:hint="eastAsia" w:ascii="宋体" w:hAnsi="宋体" w:eastAsia="宋体" w:cs="宋体"/>
                <w:b/>
                <w:bCs/>
                <w:color w:val="auto"/>
                <w:spacing w:val="10"/>
                <w:kern w:val="0"/>
                <w:szCs w:val="21"/>
                <w:highlight w:val="none"/>
              </w:rPr>
              <w:t>身份证号码（或</w:t>
            </w:r>
            <w:r>
              <w:rPr>
                <w:rFonts w:hint="eastAsia" w:ascii="宋体" w:hAnsi="宋体" w:eastAsia="宋体" w:cs="宋体"/>
                <w:b/>
                <w:bCs/>
                <w:color w:val="auto"/>
                <w:spacing w:val="10"/>
                <w:kern w:val="0"/>
                <w:szCs w:val="21"/>
                <w:highlight w:val="none"/>
                <w:lang w:val="en-US" w:eastAsia="zh-CN"/>
              </w:rPr>
              <w:t>统一社会信用代码</w:t>
            </w:r>
            <w:r>
              <w:rPr>
                <w:rFonts w:hint="eastAsia" w:ascii="宋体" w:hAnsi="宋体" w:eastAsia="宋体" w:cs="宋体"/>
                <w:b/>
                <w:bCs/>
                <w:color w:val="auto"/>
                <w:spacing w:val="10"/>
                <w:kern w:val="0"/>
                <w:szCs w:val="21"/>
                <w:highlight w:val="none"/>
              </w:rPr>
              <w:t>）</w:t>
            </w:r>
          </w:p>
        </w:tc>
        <w:tc>
          <w:tcPr>
            <w:tcW w:w="815" w:type="dxa"/>
            <w:vAlign w:val="top"/>
          </w:tcPr>
          <w:p w14:paraId="59CEA9E4">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备注</w:t>
            </w:r>
          </w:p>
        </w:tc>
      </w:tr>
      <w:tr w14:paraId="17A2D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4" w:type="dxa"/>
            <w:vAlign w:val="top"/>
          </w:tcPr>
          <w:p w14:paraId="21261EFC">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Cs/>
                <w:color w:val="auto"/>
                <w:spacing w:val="10"/>
                <w:kern w:val="0"/>
                <w:szCs w:val="21"/>
                <w:highlight w:val="none"/>
              </w:rPr>
            </w:pPr>
            <w:r>
              <w:rPr>
                <w:rFonts w:hint="eastAsia" w:ascii="宋体" w:hAnsi="宋体" w:eastAsia="宋体" w:cs="宋体"/>
                <w:bCs/>
                <w:color w:val="auto"/>
                <w:spacing w:val="10"/>
                <w:kern w:val="0"/>
                <w:szCs w:val="21"/>
                <w:highlight w:val="none"/>
              </w:rPr>
              <w:t>1</w:t>
            </w:r>
          </w:p>
        </w:tc>
        <w:tc>
          <w:tcPr>
            <w:tcW w:w="2256" w:type="dxa"/>
            <w:vAlign w:val="top"/>
          </w:tcPr>
          <w:p w14:paraId="40C8A163">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1257" w:type="dxa"/>
            <w:vAlign w:val="top"/>
          </w:tcPr>
          <w:p w14:paraId="0CA310CD">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3712" w:type="dxa"/>
            <w:vAlign w:val="top"/>
          </w:tcPr>
          <w:p w14:paraId="3CB018F0">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815" w:type="dxa"/>
            <w:vAlign w:val="top"/>
          </w:tcPr>
          <w:p w14:paraId="135E3AFC">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r>
      <w:tr w14:paraId="79033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4" w:type="dxa"/>
            <w:vAlign w:val="top"/>
          </w:tcPr>
          <w:p w14:paraId="4617B9E0">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Cs/>
                <w:color w:val="auto"/>
                <w:spacing w:val="10"/>
                <w:kern w:val="0"/>
                <w:szCs w:val="21"/>
                <w:highlight w:val="none"/>
              </w:rPr>
            </w:pPr>
            <w:r>
              <w:rPr>
                <w:rFonts w:hint="eastAsia" w:ascii="宋体" w:hAnsi="宋体" w:eastAsia="宋体" w:cs="宋体"/>
                <w:bCs/>
                <w:color w:val="auto"/>
                <w:spacing w:val="10"/>
                <w:kern w:val="0"/>
                <w:szCs w:val="21"/>
                <w:highlight w:val="none"/>
              </w:rPr>
              <w:t>2</w:t>
            </w:r>
          </w:p>
        </w:tc>
        <w:tc>
          <w:tcPr>
            <w:tcW w:w="2256" w:type="dxa"/>
            <w:vAlign w:val="top"/>
          </w:tcPr>
          <w:p w14:paraId="35E3A31E">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1257" w:type="dxa"/>
            <w:vAlign w:val="top"/>
          </w:tcPr>
          <w:p w14:paraId="09D7651F">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3712" w:type="dxa"/>
            <w:vAlign w:val="top"/>
          </w:tcPr>
          <w:p w14:paraId="2D1C37F0">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815" w:type="dxa"/>
            <w:vAlign w:val="top"/>
          </w:tcPr>
          <w:p w14:paraId="6D426646">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r>
      <w:tr w14:paraId="6A186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4" w:type="dxa"/>
            <w:vAlign w:val="top"/>
          </w:tcPr>
          <w:p w14:paraId="7BB25A98">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Cs/>
                <w:color w:val="auto"/>
                <w:spacing w:val="10"/>
                <w:kern w:val="0"/>
                <w:szCs w:val="21"/>
                <w:highlight w:val="none"/>
                <w:lang w:val="en-US" w:eastAsia="zh-CN"/>
              </w:rPr>
            </w:pPr>
            <w:r>
              <w:rPr>
                <w:rFonts w:hint="eastAsia" w:ascii="宋体" w:hAnsi="宋体" w:eastAsia="宋体" w:cs="宋体"/>
                <w:bCs/>
                <w:color w:val="auto"/>
                <w:spacing w:val="10"/>
                <w:kern w:val="0"/>
                <w:szCs w:val="21"/>
                <w:highlight w:val="none"/>
                <w:lang w:val="en-US" w:eastAsia="zh-CN"/>
              </w:rPr>
              <w:t>3</w:t>
            </w:r>
          </w:p>
        </w:tc>
        <w:tc>
          <w:tcPr>
            <w:tcW w:w="2256" w:type="dxa"/>
            <w:vAlign w:val="top"/>
          </w:tcPr>
          <w:p w14:paraId="413694FF">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1257" w:type="dxa"/>
            <w:vAlign w:val="top"/>
          </w:tcPr>
          <w:p w14:paraId="0BBE87E8">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3712" w:type="dxa"/>
            <w:vAlign w:val="top"/>
          </w:tcPr>
          <w:p w14:paraId="28D23536">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815" w:type="dxa"/>
            <w:vAlign w:val="top"/>
          </w:tcPr>
          <w:p w14:paraId="4391335D">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r>
      <w:tr w14:paraId="47AE7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4" w:type="dxa"/>
            <w:vAlign w:val="top"/>
          </w:tcPr>
          <w:p w14:paraId="05777BF3">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Cs/>
                <w:color w:val="auto"/>
                <w:spacing w:val="10"/>
                <w:kern w:val="0"/>
                <w:szCs w:val="21"/>
                <w:highlight w:val="none"/>
                <w:lang w:val="en-US" w:eastAsia="zh-CN"/>
              </w:rPr>
            </w:pPr>
            <w:r>
              <w:rPr>
                <w:rFonts w:hint="eastAsia" w:ascii="宋体" w:hAnsi="宋体" w:eastAsia="宋体" w:cs="宋体"/>
                <w:bCs/>
                <w:color w:val="auto"/>
                <w:spacing w:val="10"/>
                <w:kern w:val="0"/>
                <w:szCs w:val="21"/>
                <w:highlight w:val="none"/>
                <w:lang w:val="en-US" w:eastAsia="zh-CN"/>
              </w:rPr>
              <w:t>.....</w:t>
            </w:r>
          </w:p>
        </w:tc>
        <w:tc>
          <w:tcPr>
            <w:tcW w:w="2256" w:type="dxa"/>
            <w:vAlign w:val="top"/>
          </w:tcPr>
          <w:p w14:paraId="4CCB7939">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1257" w:type="dxa"/>
            <w:vAlign w:val="top"/>
          </w:tcPr>
          <w:p w14:paraId="0C75E11E">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3712" w:type="dxa"/>
            <w:vAlign w:val="top"/>
          </w:tcPr>
          <w:p w14:paraId="4AE164AA">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815" w:type="dxa"/>
            <w:vAlign w:val="top"/>
          </w:tcPr>
          <w:p w14:paraId="6EA3886B">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r>
    </w:tbl>
    <w:p w14:paraId="037C7AA8">
      <w:pPr>
        <w:keepNext w:val="0"/>
        <w:keepLines w:val="0"/>
        <w:pageBreakBefore w:val="0"/>
        <w:widowControl w:val="0"/>
        <w:kinsoku/>
        <w:overflowPunct/>
        <w:topLinePunct w:val="0"/>
        <w:autoSpaceDE/>
        <w:autoSpaceDN/>
        <w:bidi w:val="0"/>
        <w:adjustRightInd/>
        <w:snapToGrid w:val="0"/>
        <w:spacing w:line="400" w:lineRule="exact"/>
        <w:textAlignment w:val="auto"/>
        <w:outlineLvl w:val="9"/>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说明</w:t>
      </w:r>
      <w:r>
        <w:rPr>
          <w:rFonts w:hint="eastAsia" w:ascii="宋体" w:hAnsi="宋体" w:cs="宋体"/>
          <w:b/>
          <w:bCs/>
          <w:color w:val="auto"/>
          <w:sz w:val="21"/>
          <w:szCs w:val="21"/>
          <w:highlight w:val="none"/>
          <w:lang w:val="en-US" w:eastAsia="zh-CN"/>
        </w:rPr>
        <w:t>：</w:t>
      </w:r>
    </w:p>
    <w:p w14:paraId="6132EB3A">
      <w:pPr>
        <w:keepNext w:val="0"/>
        <w:keepLines w:val="0"/>
        <w:pageBreakBefore w:val="0"/>
        <w:widowControl w:val="0"/>
        <w:kinsoku/>
        <w:overflowPunct/>
        <w:topLinePunct w:val="0"/>
        <w:autoSpaceDE/>
        <w:autoSpaceDN/>
        <w:bidi w:val="0"/>
        <w:adjustRightInd/>
        <w:snapToGrid w:val="0"/>
        <w:spacing w:line="400" w:lineRule="exact"/>
        <w:ind w:firstLine="420" w:firstLineChars="200"/>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1</w:t>
      </w:r>
      <w:r>
        <w:rPr>
          <w:rFonts w:hint="eastAsia" w:ascii="宋体" w:hAnsi="宋体" w:eastAsia="宋体" w:cs="宋体"/>
          <w:b w:val="0"/>
          <w:bCs w:val="0"/>
          <w:color w:val="auto"/>
          <w:sz w:val="21"/>
          <w:szCs w:val="21"/>
          <w:highlight w:val="none"/>
          <w:lang w:val="en-US" w:eastAsia="zh-CN"/>
        </w:rPr>
        <w:t>.直接控股股东</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是指其出资额占有限责任公司总资本百分之五十以上或者其持有的股份占股份有限公司股份总额百分之五十以上的股东；出资额或持有股份的比例虽然不足百分之五十，但依其出资额或者持有的股份所享有的表决权已足以对股东、股东大会的决议产生重大影响的股东。</w:t>
      </w:r>
    </w:p>
    <w:p w14:paraId="1A0ACB43">
      <w:pPr>
        <w:keepNext w:val="0"/>
        <w:keepLines w:val="0"/>
        <w:pageBreakBefore w:val="0"/>
        <w:widowControl w:val="0"/>
        <w:kinsoku/>
        <w:overflowPunct/>
        <w:topLinePunct w:val="0"/>
        <w:autoSpaceDE/>
        <w:autoSpaceDN/>
        <w:bidi w:val="0"/>
        <w:adjustRightInd/>
        <w:snapToGrid w:val="0"/>
        <w:spacing w:line="400" w:lineRule="exact"/>
        <w:ind w:firstLine="420" w:firstLineChars="200"/>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2.本表所指的控股关系仅限于直接控股关系，不包括间接的控股关系。公司实际控制人与公司之间的关系不属于本表所指的直接控股关系。</w:t>
      </w:r>
    </w:p>
    <w:p w14:paraId="2ED580BD">
      <w:pPr>
        <w:keepNext w:val="0"/>
        <w:keepLines w:val="0"/>
        <w:pageBreakBefore w:val="0"/>
        <w:widowControl w:val="0"/>
        <w:kinsoku/>
        <w:overflowPunct/>
        <w:topLinePunct w:val="0"/>
        <w:autoSpaceDE/>
        <w:autoSpaceDN/>
        <w:bidi w:val="0"/>
        <w:adjustRightInd/>
        <w:snapToGrid w:val="0"/>
        <w:spacing w:line="400" w:lineRule="exact"/>
        <w:ind w:firstLine="420" w:firstLineChars="200"/>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3.各股东名称必须与《国家企业信用信息公示系统》（网址</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http</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//www.gsxt.gov.cn/index.html）</w:t>
      </w:r>
      <w:r>
        <w:rPr>
          <w:rFonts w:hint="eastAsia" w:ascii="宋体" w:hAnsi="宋体" w:eastAsia="宋体" w:cs="宋体"/>
          <w:b w:val="0"/>
          <w:bCs w:val="0"/>
          <w:color w:val="auto"/>
          <w:sz w:val="21"/>
          <w:szCs w:val="21"/>
          <w:highlight w:val="none"/>
          <w:lang w:val="en-US" w:eastAsia="zh-CN"/>
        </w:rPr>
        <w:fldChar w:fldCharType="begin"/>
      </w:r>
      <w:r>
        <w:rPr>
          <w:rFonts w:hint="eastAsia" w:ascii="宋体" w:hAnsi="宋体" w:eastAsia="宋体" w:cs="宋体"/>
          <w:b w:val="0"/>
          <w:bCs w:val="0"/>
          <w:color w:val="auto"/>
          <w:sz w:val="21"/>
          <w:szCs w:val="21"/>
          <w:highlight w:val="none"/>
          <w:lang w:val="en-US" w:eastAsia="zh-CN"/>
        </w:rPr>
        <w:instrText xml:space="preserve"> HYPERLINK "http://www.gsxt.gov.cn/index.html）\“股东及出资信息\”的信息相符，否则竞标文件作无效处理。" </w:instrText>
      </w:r>
      <w:r>
        <w:rPr>
          <w:rFonts w:hint="eastAsia" w:ascii="宋体" w:hAnsi="宋体" w:eastAsia="宋体" w:cs="宋体"/>
          <w:b w:val="0"/>
          <w:bCs w:val="0"/>
          <w:color w:val="auto"/>
          <w:sz w:val="21"/>
          <w:szCs w:val="21"/>
          <w:highlight w:val="none"/>
          <w:lang w:val="en-US" w:eastAsia="zh-CN"/>
        </w:rPr>
        <w:fldChar w:fldCharType="separate"/>
      </w:r>
      <w:r>
        <w:rPr>
          <w:rFonts w:hint="eastAsia" w:ascii="宋体" w:hAnsi="宋体" w:eastAsia="宋体" w:cs="宋体"/>
          <w:b w:val="0"/>
          <w:bCs w:val="0"/>
          <w:color w:val="auto"/>
          <w:sz w:val="21"/>
          <w:szCs w:val="21"/>
          <w:highlight w:val="none"/>
          <w:lang w:val="en-US" w:eastAsia="zh-CN"/>
        </w:rPr>
        <w:t>“股东及出资信息”的信息相符，否则</w:t>
      </w:r>
      <w:r>
        <w:rPr>
          <w:rFonts w:hint="eastAsia" w:ascii="宋体" w:hAnsi="宋体" w:cs="宋体"/>
          <w:b w:val="0"/>
          <w:bCs w:val="0"/>
          <w:color w:val="auto"/>
          <w:sz w:val="21"/>
          <w:szCs w:val="21"/>
          <w:highlight w:val="none"/>
          <w:lang w:val="en-US" w:eastAsia="zh-CN"/>
        </w:rPr>
        <w:t>响应</w:t>
      </w:r>
      <w:r>
        <w:rPr>
          <w:rFonts w:hint="eastAsia" w:ascii="宋体" w:hAnsi="宋体" w:eastAsia="宋体" w:cs="宋体"/>
          <w:b w:val="0"/>
          <w:bCs w:val="0"/>
          <w:color w:val="auto"/>
          <w:sz w:val="21"/>
          <w:szCs w:val="21"/>
          <w:highlight w:val="none"/>
          <w:lang w:val="en-US" w:eastAsia="zh-CN"/>
        </w:rPr>
        <w:t>文件作无效处理。</w:t>
      </w:r>
      <w:r>
        <w:rPr>
          <w:rFonts w:hint="eastAsia" w:ascii="宋体" w:hAnsi="宋体" w:eastAsia="宋体" w:cs="宋体"/>
          <w:b w:val="0"/>
          <w:bCs w:val="0"/>
          <w:color w:val="auto"/>
          <w:sz w:val="21"/>
          <w:szCs w:val="21"/>
          <w:highlight w:val="none"/>
          <w:lang w:val="en-US" w:eastAsia="zh-CN"/>
        </w:rPr>
        <w:fldChar w:fldCharType="end"/>
      </w:r>
    </w:p>
    <w:p w14:paraId="5F7BDDED">
      <w:pPr>
        <w:keepNext w:val="0"/>
        <w:keepLines w:val="0"/>
        <w:pageBreakBefore w:val="0"/>
        <w:widowControl w:val="0"/>
        <w:kinsoku/>
        <w:overflowPunct/>
        <w:topLinePunct w:val="0"/>
        <w:autoSpaceDE/>
        <w:autoSpaceDN/>
        <w:bidi w:val="0"/>
        <w:adjustRightInd/>
        <w:snapToGrid w:val="0"/>
        <w:spacing w:line="400" w:lineRule="exact"/>
        <w:ind w:firstLine="420" w:firstLineChars="200"/>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4.</w:t>
      </w:r>
      <w:r>
        <w:rPr>
          <w:rFonts w:hint="eastAsia" w:ascii="宋体" w:hAnsi="Times New Roman" w:eastAsia="宋体" w:cs="Times New Roman"/>
          <w:color w:val="auto"/>
          <w:kern w:val="0"/>
          <w:szCs w:val="21"/>
          <w:highlight w:val="none"/>
        </w:rPr>
        <w:t>供应商</w:t>
      </w:r>
      <w:r>
        <w:rPr>
          <w:rFonts w:hint="eastAsia" w:ascii="宋体" w:hAnsi="宋体" w:eastAsia="宋体" w:cs="宋体"/>
          <w:b w:val="0"/>
          <w:bCs w:val="0"/>
          <w:color w:val="auto"/>
          <w:sz w:val="21"/>
          <w:szCs w:val="21"/>
          <w:highlight w:val="none"/>
        </w:rPr>
        <w:t>如为事业单位、其他团体组织、个人的，不需要提供本表。</w:t>
      </w:r>
    </w:p>
    <w:p w14:paraId="02454CE6">
      <w:pPr>
        <w:keepNext w:val="0"/>
        <w:keepLines w:val="0"/>
        <w:pageBreakBefore w:val="0"/>
        <w:widowControl w:val="0"/>
        <w:kinsoku/>
        <w:overflowPunct/>
        <w:topLinePunct w:val="0"/>
        <w:autoSpaceDE/>
        <w:autoSpaceDN/>
        <w:bidi w:val="0"/>
        <w:adjustRightInd/>
        <w:snapToGrid w:val="0"/>
        <w:spacing w:line="400" w:lineRule="exact"/>
        <w:ind w:firstLine="420" w:firstLineChars="200"/>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5.</w:t>
      </w:r>
      <w:r>
        <w:rPr>
          <w:rFonts w:hint="eastAsia" w:ascii="宋体" w:hAnsi="Times New Roman" w:eastAsia="宋体" w:cs="Times New Roman"/>
          <w:color w:val="auto"/>
          <w:kern w:val="0"/>
          <w:szCs w:val="21"/>
          <w:highlight w:val="none"/>
        </w:rPr>
        <w:t>供应商</w:t>
      </w:r>
      <w:r>
        <w:rPr>
          <w:rFonts w:hint="eastAsia" w:ascii="宋体" w:hAnsi="宋体" w:eastAsia="宋体" w:cs="宋体"/>
          <w:b w:val="0"/>
          <w:bCs w:val="0"/>
          <w:color w:val="auto"/>
          <w:sz w:val="21"/>
          <w:szCs w:val="21"/>
          <w:highlight w:val="none"/>
        </w:rPr>
        <w:t>不存在直接控股股东的，则填“无”。</w:t>
      </w:r>
    </w:p>
    <w:p w14:paraId="01491181">
      <w:pPr>
        <w:jc w:val="right"/>
        <w:outlineLvl w:val="9"/>
        <w:rPr>
          <w:rFonts w:hint="eastAsia" w:ascii="宋体" w:hAnsi="宋体" w:eastAsia="宋体" w:cs="宋体"/>
          <w:b/>
          <w:bCs/>
          <w:color w:val="auto"/>
          <w:sz w:val="21"/>
          <w:szCs w:val="21"/>
          <w:highlight w:val="none"/>
          <w:lang w:val="en-US" w:eastAsia="zh-CN"/>
        </w:rPr>
      </w:pPr>
    </w:p>
    <w:p w14:paraId="4BDAD81D">
      <w:pPr>
        <w:jc w:val="right"/>
        <w:outlineLvl w:val="9"/>
        <w:rPr>
          <w:rFonts w:hint="eastAsia" w:ascii="宋体" w:hAnsi="宋体" w:eastAsia="宋体" w:cs="宋体"/>
          <w:color w:val="auto"/>
          <w:sz w:val="21"/>
          <w:szCs w:val="21"/>
          <w:highlight w:val="none"/>
          <w:lang w:eastAsia="zh-CN"/>
        </w:rPr>
      </w:pPr>
      <w:r>
        <w:rPr>
          <w:rFonts w:hint="eastAsia" w:ascii="宋体" w:hAnsi="宋体" w:cs="宋体"/>
          <w:b/>
          <w:bCs/>
          <w:color w:val="auto"/>
          <w:sz w:val="21"/>
          <w:szCs w:val="21"/>
          <w:highlight w:val="none"/>
          <w:lang w:val="en-US" w:eastAsia="zh-CN"/>
        </w:rPr>
        <w:t>磋商供应商</w:t>
      </w:r>
      <w:r>
        <w:rPr>
          <w:rFonts w:hint="eastAsia" w:ascii="宋体" w:hAnsi="宋体" w:eastAsia="宋体" w:cs="宋体"/>
          <w:b/>
          <w:bCs/>
          <w:color w:val="auto"/>
          <w:sz w:val="21"/>
          <w:szCs w:val="21"/>
          <w:highlight w:val="none"/>
          <w:lang w:val="en-US" w:eastAsia="zh-CN"/>
        </w:rPr>
        <w:t>名称</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电子公章</w:t>
      </w:r>
      <w:r>
        <w:rPr>
          <w:rFonts w:hint="eastAsia" w:ascii="宋体" w:hAnsi="宋体" w:eastAsia="宋体" w:cs="宋体"/>
          <w:b/>
          <w:bCs/>
          <w:color w:val="auto"/>
          <w:sz w:val="21"/>
          <w:szCs w:val="21"/>
          <w:highlight w:val="none"/>
        </w:rPr>
        <w:t>）</w:t>
      </w:r>
      <w:r>
        <w:rPr>
          <w:rFonts w:hint="eastAsia" w:ascii="宋体" w:hAnsi="宋体" w:cs="宋体"/>
          <w:b/>
          <w:bCs/>
          <w:color w:val="auto"/>
          <w:sz w:val="21"/>
          <w:szCs w:val="21"/>
          <w:highlight w:val="none"/>
          <w:lang w:eastAsia="zh-CN"/>
        </w:rPr>
        <w:t>：</w:t>
      </w:r>
    </w:p>
    <w:p w14:paraId="78C34675">
      <w:pPr>
        <w:rPr>
          <w:color w:val="auto"/>
          <w:highlight w:val="none"/>
        </w:rPr>
      </w:pPr>
    </w:p>
    <w:p w14:paraId="54CB54AA">
      <w:pPr>
        <w:bidi w:val="0"/>
        <w:rPr>
          <w:color w:val="auto"/>
          <w:highlight w:val="none"/>
        </w:rPr>
      </w:pPr>
    </w:p>
    <w:p w14:paraId="40C5F049">
      <w:pPr>
        <w:rPr>
          <w:color w:val="auto"/>
          <w:highlight w:val="none"/>
        </w:rPr>
      </w:pPr>
    </w:p>
    <w:p w14:paraId="1A2AD107">
      <w:pPr>
        <w:bidi w:val="0"/>
        <w:rPr>
          <w:color w:val="auto"/>
          <w:highlight w:val="none"/>
        </w:rPr>
      </w:pPr>
    </w:p>
    <w:p w14:paraId="46603969">
      <w:pPr>
        <w:bidi w:val="0"/>
        <w:rPr>
          <w:color w:val="auto"/>
          <w:highlight w:val="none"/>
        </w:rPr>
      </w:pPr>
    </w:p>
    <w:p w14:paraId="51D53F07">
      <w:pPr>
        <w:bidi w:val="0"/>
        <w:rPr>
          <w:color w:val="auto"/>
          <w:highlight w:val="none"/>
        </w:rPr>
      </w:pPr>
    </w:p>
    <w:p w14:paraId="3EEE4AB4">
      <w:pPr>
        <w:rPr>
          <w:color w:val="auto"/>
          <w:highlight w:val="none"/>
        </w:rPr>
      </w:pPr>
    </w:p>
    <w:p w14:paraId="286ED03C">
      <w:pPr>
        <w:bidi w:val="0"/>
        <w:rPr>
          <w:color w:val="auto"/>
          <w:highlight w:val="none"/>
        </w:rPr>
      </w:pPr>
    </w:p>
    <w:p w14:paraId="06A848A0">
      <w:pPr>
        <w:bidi w:val="0"/>
        <w:rPr>
          <w:color w:val="auto"/>
          <w:highlight w:val="none"/>
        </w:rPr>
      </w:pPr>
    </w:p>
    <w:p w14:paraId="01136D9C">
      <w:pPr>
        <w:bidi w:val="0"/>
        <w:rPr>
          <w:color w:val="auto"/>
          <w:highlight w:val="none"/>
        </w:rPr>
      </w:pPr>
    </w:p>
    <w:p w14:paraId="37A0924E">
      <w:pPr>
        <w:rPr>
          <w:color w:val="auto"/>
          <w:highlight w:val="none"/>
        </w:rPr>
      </w:pPr>
    </w:p>
    <w:p w14:paraId="35E4ACC9">
      <w:pPr>
        <w:bidi w:val="0"/>
        <w:rPr>
          <w:color w:val="auto"/>
          <w:highlight w:val="none"/>
        </w:rPr>
      </w:pPr>
    </w:p>
    <w:p w14:paraId="527F3F0B">
      <w:pPr>
        <w:bidi w:val="0"/>
        <w:rPr>
          <w:color w:val="auto"/>
          <w:highlight w:val="none"/>
        </w:rPr>
      </w:pPr>
    </w:p>
    <w:p w14:paraId="0D1CF56A">
      <w:pPr>
        <w:bidi w:val="0"/>
        <w:rPr>
          <w:color w:val="auto"/>
          <w:highlight w:val="none"/>
        </w:rPr>
      </w:pPr>
    </w:p>
    <w:p w14:paraId="0BA5906B">
      <w:pPr>
        <w:bidi w:val="0"/>
        <w:rPr>
          <w:color w:val="auto"/>
          <w:highlight w:val="none"/>
        </w:rPr>
      </w:pPr>
    </w:p>
    <w:p w14:paraId="42DBA96B">
      <w:pPr>
        <w:bidi w:val="0"/>
        <w:rPr>
          <w:color w:val="auto"/>
          <w:highlight w:val="none"/>
        </w:rPr>
      </w:pPr>
    </w:p>
    <w:p w14:paraId="4B3859FE">
      <w:pPr>
        <w:bidi w:val="0"/>
        <w:rPr>
          <w:color w:val="auto"/>
          <w:highlight w:val="none"/>
        </w:rPr>
      </w:pPr>
    </w:p>
    <w:p w14:paraId="138AA1A1">
      <w:pPr>
        <w:bidi w:val="0"/>
        <w:rPr>
          <w:color w:val="auto"/>
          <w:highlight w:val="none"/>
        </w:rPr>
      </w:pPr>
    </w:p>
    <w:p w14:paraId="721F4779">
      <w:pPr>
        <w:bidi w:val="0"/>
        <w:rPr>
          <w:color w:val="auto"/>
          <w:highlight w:val="none"/>
        </w:rPr>
      </w:pPr>
    </w:p>
    <w:p w14:paraId="097F639F">
      <w:pPr>
        <w:bidi w:val="0"/>
        <w:rPr>
          <w:color w:val="auto"/>
          <w:highlight w:val="none"/>
        </w:rPr>
      </w:pPr>
    </w:p>
    <w:p w14:paraId="152568E1">
      <w:pPr>
        <w:bidi w:val="0"/>
        <w:rPr>
          <w:color w:val="auto"/>
          <w:highlight w:val="none"/>
        </w:rPr>
      </w:pPr>
    </w:p>
    <w:p w14:paraId="325114F2">
      <w:pPr>
        <w:bidi w:val="0"/>
        <w:rPr>
          <w:color w:val="auto"/>
          <w:highlight w:val="none"/>
        </w:rPr>
      </w:pPr>
    </w:p>
    <w:p w14:paraId="05FCE6AD">
      <w:pPr>
        <w:rPr>
          <w:color w:val="auto"/>
          <w:highlight w:val="none"/>
        </w:rPr>
      </w:pPr>
    </w:p>
    <w:p w14:paraId="601988A2">
      <w:pPr>
        <w:bidi w:val="0"/>
        <w:jc w:val="center"/>
        <w:rPr>
          <w:b/>
          <w:bCs/>
          <w:color w:val="auto"/>
          <w:sz w:val="32"/>
          <w:szCs w:val="32"/>
          <w:highlight w:val="none"/>
        </w:rPr>
      </w:pPr>
      <w:r>
        <w:rPr>
          <w:rFonts w:hint="eastAsia"/>
          <w:b/>
          <w:bCs/>
          <w:color w:val="auto"/>
          <w:sz w:val="32"/>
          <w:szCs w:val="32"/>
          <w:highlight w:val="none"/>
          <w:lang w:val="en-US" w:eastAsia="zh-CN"/>
        </w:rPr>
        <w:t>三、供应商直接管理关系信息表</w:t>
      </w:r>
    </w:p>
    <w:p w14:paraId="667CCCF8">
      <w:pPr>
        <w:keepNext w:val="0"/>
        <w:keepLines w:val="0"/>
        <w:pageBreakBefore w:val="0"/>
        <w:kinsoku/>
        <w:wordWrap/>
        <w:overflowPunct/>
        <w:topLinePunct w:val="0"/>
        <w:autoSpaceDE/>
        <w:autoSpaceDN/>
        <w:bidi w:val="0"/>
        <w:adjustRightInd/>
        <w:spacing w:before="159" w:beforeLines="50" w:beforeAutospacing="0" w:line="400" w:lineRule="exact"/>
        <w:jc w:val="center"/>
        <w:textAlignment w:val="auto"/>
        <w:outlineLvl w:val="9"/>
        <w:rPr>
          <w:rFonts w:hint="eastAsia" w:ascii="宋体" w:hAnsi="宋体" w:eastAsia="宋体" w:cs="宋体"/>
          <w:b/>
          <w:bCs/>
          <w:color w:val="auto"/>
          <w:sz w:val="30"/>
          <w:szCs w:val="30"/>
          <w:highlight w:val="none"/>
        </w:rPr>
      </w:pPr>
    </w:p>
    <w:p w14:paraId="3D36708E">
      <w:pPr>
        <w:keepNext w:val="0"/>
        <w:keepLines w:val="0"/>
        <w:pageBreakBefore w:val="0"/>
        <w:kinsoku/>
        <w:wordWrap/>
        <w:overflowPunct/>
        <w:topLinePunct w:val="0"/>
        <w:autoSpaceDE/>
        <w:autoSpaceDN/>
        <w:bidi w:val="0"/>
        <w:adjustRightInd/>
        <w:spacing w:before="159" w:beforeLines="50" w:beforeAutospacing="0" w:line="400" w:lineRule="exact"/>
        <w:jc w:val="center"/>
        <w:textAlignment w:val="auto"/>
        <w:outlineLvl w:val="9"/>
        <w:rPr>
          <w:rFonts w:hint="eastAsia" w:ascii="宋体" w:hAnsi="宋体" w:eastAsia="宋体" w:cs="宋体"/>
          <w:color w:val="auto"/>
          <w:highlight w:val="none"/>
        </w:rPr>
      </w:pPr>
      <w:r>
        <w:rPr>
          <w:rFonts w:hint="eastAsia" w:ascii="宋体" w:hAnsi="宋体" w:cs="宋体"/>
          <w:b/>
          <w:bCs/>
          <w:color w:val="auto"/>
          <w:sz w:val="30"/>
          <w:szCs w:val="30"/>
          <w:highlight w:val="none"/>
          <w:lang w:val="en-US" w:eastAsia="zh-CN"/>
        </w:rPr>
        <w:t>磋商供应商</w:t>
      </w:r>
      <w:r>
        <w:rPr>
          <w:rFonts w:hint="eastAsia" w:ascii="宋体" w:hAnsi="宋体" w:eastAsia="宋体" w:cs="宋体"/>
          <w:b/>
          <w:bCs/>
          <w:color w:val="auto"/>
          <w:sz w:val="30"/>
          <w:szCs w:val="30"/>
          <w:highlight w:val="none"/>
          <w:lang w:val="en-US" w:eastAsia="zh-CN"/>
        </w:rPr>
        <w:t>直接管理关系</w:t>
      </w:r>
      <w:r>
        <w:rPr>
          <w:rFonts w:hint="eastAsia" w:ascii="宋体" w:hAnsi="宋体" w:eastAsia="宋体" w:cs="宋体"/>
          <w:b/>
          <w:bCs/>
          <w:color w:val="auto"/>
          <w:sz w:val="30"/>
          <w:szCs w:val="30"/>
          <w:highlight w:val="none"/>
        </w:rPr>
        <w:t>信息表（格式）</w:t>
      </w:r>
    </w:p>
    <w:tbl>
      <w:tblPr>
        <w:tblStyle w:val="62"/>
        <w:tblW w:w="8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7"/>
        <w:gridCol w:w="3077"/>
        <w:gridCol w:w="2805"/>
        <w:gridCol w:w="1648"/>
      </w:tblGrid>
      <w:tr w14:paraId="35429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vAlign w:val="top"/>
          </w:tcPr>
          <w:p w14:paraId="018FD049">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
                <w:bCs/>
                <w:color w:val="auto"/>
                <w:spacing w:val="10"/>
                <w:kern w:val="0"/>
                <w:szCs w:val="21"/>
                <w:highlight w:val="none"/>
              </w:rPr>
            </w:pPr>
            <w:r>
              <w:rPr>
                <w:rFonts w:hint="eastAsia" w:ascii="宋体" w:hAnsi="宋体" w:eastAsia="宋体" w:cs="宋体"/>
                <w:b/>
                <w:bCs/>
                <w:color w:val="auto"/>
                <w:spacing w:val="10"/>
                <w:kern w:val="0"/>
                <w:szCs w:val="21"/>
                <w:highlight w:val="none"/>
              </w:rPr>
              <w:t>序号</w:t>
            </w:r>
          </w:p>
        </w:tc>
        <w:tc>
          <w:tcPr>
            <w:tcW w:w="3077" w:type="dxa"/>
            <w:vAlign w:val="top"/>
          </w:tcPr>
          <w:p w14:paraId="359BFA72">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
                <w:bCs/>
                <w:color w:val="auto"/>
                <w:spacing w:val="10"/>
                <w:kern w:val="0"/>
                <w:szCs w:val="21"/>
                <w:highlight w:val="none"/>
                <w:lang w:val="en-US" w:eastAsia="zh-CN"/>
              </w:rPr>
            </w:pPr>
            <w:r>
              <w:rPr>
                <w:rFonts w:hint="eastAsia" w:ascii="宋体" w:hAnsi="宋体" w:eastAsia="宋体" w:cs="宋体"/>
                <w:b/>
                <w:bCs/>
                <w:color w:val="auto"/>
                <w:spacing w:val="10"/>
                <w:kern w:val="0"/>
                <w:szCs w:val="21"/>
                <w:highlight w:val="none"/>
                <w:lang w:val="en-US" w:eastAsia="zh-CN"/>
              </w:rPr>
              <w:t>直接管理关系单位名称</w:t>
            </w:r>
          </w:p>
        </w:tc>
        <w:tc>
          <w:tcPr>
            <w:tcW w:w="2805" w:type="dxa"/>
            <w:vAlign w:val="top"/>
          </w:tcPr>
          <w:p w14:paraId="75166570">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
                <w:bCs/>
                <w:color w:val="auto"/>
                <w:spacing w:val="10"/>
                <w:kern w:val="0"/>
                <w:szCs w:val="21"/>
                <w:highlight w:val="none"/>
              </w:rPr>
            </w:pPr>
            <w:r>
              <w:rPr>
                <w:rFonts w:hint="eastAsia" w:ascii="宋体" w:hAnsi="宋体" w:eastAsia="宋体" w:cs="宋体"/>
                <w:b/>
                <w:bCs/>
                <w:color w:val="auto"/>
                <w:spacing w:val="10"/>
                <w:kern w:val="0"/>
                <w:szCs w:val="21"/>
                <w:highlight w:val="none"/>
                <w:lang w:val="en-US" w:eastAsia="zh-CN"/>
              </w:rPr>
              <w:t>统一社会信用代码</w:t>
            </w:r>
          </w:p>
        </w:tc>
        <w:tc>
          <w:tcPr>
            <w:tcW w:w="1648" w:type="dxa"/>
            <w:vAlign w:val="top"/>
          </w:tcPr>
          <w:p w14:paraId="34816B10">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备注</w:t>
            </w:r>
          </w:p>
        </w:tc>
      </w:tr>
      <w:tr w14:paraId="3C1C3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vAlign w:val="top"/>
          </w:tcPr>
          <w:p w14:paraId="06A325A6">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Cs/>
                <w:color w:val="auto"/>
                <w:spacing w:val="10"/>
                <w:kern w:val="0"/>
                <w:szCs w:val="21"/>
                <w:highlight w:val="none"/>
              </w:rPr>
            </w:pPr>
            <w:r>
              <w:rPr>
                <w:rFonts w:hint="eastAsia" w:ascii="宋体" w:hAnsi="宋体" w:eastAsia="宋体" w:cs="宋体"/>
                <w:bCs/>
                <w:color w:val="auto"/>
                <w:spacing w:val="10"/>
                <w:kern w:val="0"/>
                <w:szCs w:val="21"/>
                <w:highlight w:val="none"/>
              </w:rPr>
              <w:t>1</w:t>
            </w:r>
          </w:p>
        </w:tc>
        <w:tc>
          <w:tcPr>
            <w:tcW w:w="3077" w:type="dxa"/>
            <w:vAlign w:val="top"/>
          </w:tcPr>
          <w:p w14:paraId="36208A8E">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2805" w:type="dxa"/>
            <w:vAlign w:val="top"/>
          </w:tcPr>
          <w:p w14:paraId="14A2CB91">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1648" w:type="dxa"/>
            <w:vAlign w:val="top"/>
          </w:tcPr>
          <w:p w14:paraId="7D9445E6">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r>
      <w:tr w14:paraId="1555B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vAlign w:val="top"/>
          </w:tcPr>
          <w:p w14:paraId="130CE074">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Cs/>
                <w:color w:val="auto"/>
                <w:spacing w:val="10"/>
                <w:kern w:val="0"/>
                <w:szCs w:val="21"/>
                <w:highlight w:val="none"/>
              </w:rPr>
            </w:pPr>
            <w:r>
              <w:rPr>
                <w:rFonts w:hint="eastAsia" w:ascii="宋体" w:hAnsi="宋体" w:eastAsia="宋体" w:cs="宋体"/>
                <w:bCs/>
                <w:color w:val="auto"/>
                <w:spacing w:val="10"/>
                <w:kern w:val="0"/>
                <w:szCs w:val="21"/>
                <w:highlight w:val="none"/>
              </w:rPr>
              <w:t>2</w:t>
            </w:r>
          </w:p>
        </w:tc>
        <w:tc>
          <w:tcPr>
            <w:tcW w:w="3077" w:type="dxa"/>
            <w:vAlign w:val="top"/>
          </w:tcPr>
          <w:p w14:paraId="49FEC5F5">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2805" w:type="dxa"/>
            <w:vAlign w:val="top"/>
          </w:tcPr>
          <w:p w14:paraId="118D822C">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1648" w:type="dxa"/>
            <w:vAlign w:val="top"/>
          </w:tcPr>
          <w:p w14:paraId="3BB20531">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r>
      <w:tr w14:paraId="1F892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vAlign w:val="top"/>
          </w:tcPr>
          <w:p w14:paraId="243E8FD3">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Cs/>
                <w:color w:val="auto"/>
                <w:spacing w:val="10"/>
                <w:kern w:val="0"/>
                <w:szCs w:val="21"/>
                <w:highlight w:val="none"/>
                <w:lang w:val="en-US" w:eastAsia="zh-CN"/>
              </w:rPr>
            </w:pPr>
            <w:r>
              <w:rPr>
                <w:rFonts w:hint="eastAsia" w:ascii="宋体" w:hAnsi="宋体" w:eastAsia="宋体" w:cs="宋体"/>
                <w:bCs/>
                <w:color w:val="auto"/>
                <w:spacing w:val="10"/>
                <w:kern w:val="0"/>
                <w:szCs w:val="21"/>
                <w:highlight w:val="none"/>
                <w:lang w:val="en-US" w:eastAsia="zh-CN"/>
              </w:rPr>
              <w:t>.....</w:t>
            </w:r>
          </w:p>
        </w:tc>
        <w:tc>
          <w:tcPr>
            <w:tcW w:w="3077" w:type="dxa"/>
            <w:vAlign w:val="top"/>
          </w:tcPr>
          <w:p w14:paraId="37B3D209">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2805" w:type="dxa"/>
            <w:vAlign w:val="top"/>
          </w:tcPr>
          <w:p w14:paraId="4D0C9EE0">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1648" w:type="dxa"/>
            <w:vAlign w:val="top"/>
          </w:tcPr>
          <w:p w14:paraId="7466D433">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r>
    </w:tbl>
    <w:p w14:paraId="6A53BA16">
      <w:pPr>
        <w:keepNext w:val="0"/>
        <w:keepLines w:val="0"/>
        <w:pageBreakBefore w:val="0"/>
        <w:kinsoku/>
        <w:wordWrap/>
        <w:overflowPunct/>
        <w:topLinePunct w:val="0"/>
        <w:autoSpaceDE/>
        <w:autoSpaceDN/>
        <w:bidi w:val="0"/>
        <w:adjustRightInd/>
        <w:spacing w:line="40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说明</w:t>
      </w:r>
      <w:r>
        <w:rPr>
          <w:rFonts w:hint="eastAsia" w:ascii="宋体" w:hAnsi="宋体" w:cs="宋体"/>
          <w:color w:val="auto"/>
          <w:highlight w:val="none"/>
          <w:lang w:val="en-US" w:eastAsia="zh-CN"/>
        </w:rPr>
        <w:t>：</w:t>
      </w:r>
    </w:p>
    <w:p w14:paraId="4496B312">
      <w:pPr>
        <w:keepNext w:val="0"/>
        <w:keepLines w:val="0"/>
        <w:pageBreakBefore w:val="0"/>
        <w:numPr>
          <w:ilvl w:val="0"/>
          <w:numId w:val="0"/>
        </w:numPr>
        <w:kinsoku/>
        <w:wordWrap/>
        <w:overflowPunct/>
        <w:topLinePunct w:val="0"/>
        <w:autoSpaceDE/>
        <w:autoSpaceDN/>
        <w:bidi w:val="0"/>
        <w:adjustRightInd/>
        <w:spacing w:line="40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2"/>
          <w:sz w:val="21"/>
          <w:szCs w:val="24"/>
          <w:highlight w:val="none"/>
          <w:lang w:val="en-US" w:eastAsia="zh-CN" w:bidi="ar-SA"/>
        </w:rPr>
        <w:t>1.</w:t>
      </w:r>
      <w:r>
        <w:rPr>
          <w:rFonts w:hint="eastAsia" w:ascii="宋体" w:hAnsi="宋体" w:eastAsia="宋体" w:cs="宋体"/>
          <w:color w:val="auto"/>
          <w:highlight w:val="none"/>
          <w:lang w:val="en-US" w:eastAsia="zh-CN"/>
        </w:rPr>
        <w:t>管理关系</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是指不具有出资持股关系的其他单位之间的管理与被管理关系。</w:t>
      </w:r>
    </w:p>
    <w:p w14:paraId="68E3128E">
      <w:pPr>
        <w:keepNext w:val="0"/>
        <w:keepLines w:val="0"/>
        <w:pageBreakBefore w:val="0"/>
        <w:numPr>
          <w:ilvl w:val="0"/>
          <w:numId w:val="0"/>
        </w:numPr>
        <w:kinsoku/>
        <w:wordWrap/>
        <w:overflowPunct/>
        <w:topLinePunct w:val="0"/>
        <w:autoSpaceDE/>
        <w:autoSpaceDN/>
        <w:bidi w:val="0"/>
        <w:adjustRightInd/>
        <w:spacing w:line="40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2"/>
          <w:sz w:val="21"/>
          <w:szCs w:val="24"/>
          <w:highlight w:val="none"/>
          <w:lang w:val="en-US" w:eastAsia="zh-CN" w:bidi="ar-SA"/>
        </w:rPr>
        <w:t>2.</w:t>
      </w:r>
      <w:r>
        <w:rPr>
          <w:rFonts w:hint="eastAsia" w:ascii="宋体" w:hAnsi="宋体" w:eastAsia="宋体" w:cs="宋体"/>
          <w:color w:val="auto"/>
          <w:highlight w:val="none"/>
          <w:lang w:val="en-US" w:eastAsia="zh-CN"/>
        </w:rPr>
        <w:t>本表所指的管理关系仅限于直接管理关系，不包含间接的管理关系。</w:t>
      </w:r>
    </w:p>
    <w:p w14:paraId="042E54FC">
      <w:pPr>
        <w:pStyle w:val="57"/>
        <w:widowControl w:val="0"/>
        <w:adjustRightInd w:val="0"/>
        <w:snapToGrid w:val="0"/>
        <w:spacing w:before="0" w:beforeAutospacing="0" w:after="0" w:afterAutospacing="0"/>
        <w:jc w:val="right"/>
        <w:outlineLvl w:val="9"/>
        <w:rPr>
          <w:rFonts w:hint="eastAsia" w:ascii="宋体" w:hAnsi="宋体" w:eastAsia="宋体" w:cs="宋体"/>
          <w:b w:val="0"/>
          <w:bCs w:val="0"/>
          <w:color w:val="auto"/>
          <w:sz w:val="21"/>
          <w:szCs w:val="21"/>
          <w:highlight w:val="none"/>
        </w:rPr>
      </w:pPr>
    </w:p>
    <w:p w14:paraId="28E72DAD">
      <w:pPr>
        <w:bidi w:val="0"/>
        <w:jc w:val="right"/>
        <w:outlineLvl w:val="9"/>
        <w:rPr>
          <w:rFonts w:hint="eastAsia"/>
          <w:b/>
          <w:bCs/>
          <w:color w:val="auto"/>
          <w:highlight w:val="none"/>
          <w:lang w:eastAsia="zh-CN"/>
        </w:rPr>
      </w:pPr>
      <w:r>
        <w:rPr>
          <w:rFonts w:hint="eastAsia"/>
          <w:b/>
          <w:bCs/>
          <w:color w:val="auto"/>
          <w:highlight w:val="none"/>
          <w:lang w:val="en-US" w:eastAsia="zh-CN"/>
        </w:rPr>
        <w:t>磋商供应商名称</w:t>
      </w:r>
      <w:r>
        <w:rPr>
          <w:rFonts w:hint="eastAsia"/>
          <w:b/>
          <w:bCs/>
          <w:color w:val="auto"/>
          <w:highlight w:val="none"/>
        </w:rPr>
        <w:t>（</w:t>
      </w:r>
      <w:r>
        <w:rPr>
          <w:rFonts w:hint="eastAsia"/>
          <w:b/>
          <w:bCs/>
          <w:color w:val="auto"/>
          <w:highlight w:val="none"/>
          <w:lang w:val="en-US" w:eastAsia="zh-CN"/>
        </w:rPr>
        <w:t>电子公章</w:t>
      </w:r>
      <w:r>
        <w:rPr>
          <w:rFonts w:hint="eastAsia"/>
          <w:b/>
          <w:bCs/>
          <w:color w:val="auto"/>
          <w:highlight w:val="none"/>
        </w:rPr>
        <w:t>）</w:t>
      </w:r>
      <w:r>
        <w:rPr>
          <w:rFonts w:hint="eastAsia"/>
          <w:b/>
          <w:bCs/>
          <w:color w:val="auto"/>
          <w:highlight w:val="none"/>
          <w:lang w:eastAsia="zh-CN"/>
        </w:rPr>
        <w:t>：</w:t>
      </w:r>
    </w:p>
    <w:p w14:paraId="183A3AE6">
      <w:pPr>
        <w:bidi w:val="0"/>
        <w:jc w:val="right"/>
        <w:outlineLvl w:val="9"/>
        <w:rPr>
          <w:rFonts w:hint="eastAsia"/>
          <w:b/>
          <w:bCs/>
          <w:color w:val="auto"/>
          <w:highlight w:val="none"/>
          <w:lang w:eastAsia="zh-CN"/>
        </w:rPr>
      </w:pPr>
    </w:p>
    <w:p w14:paraId="20BFF359">
      <w:pPr>
        <w:outlineLvl w:val="9"/>
        <w:rPr>
          <w:color w:val="auto"/>
          <w:highlight w:val="none"/>
        </w:rPr>
      </w:pPr>
    </w:p>
    <w:p w14:paraId="126A4D42">
      <w:pPr>
        <w:widowControl/>
        <w:adjustRightInd/>
        <w:jc w:val="left"/>
        <w:outlineLvl w:val="9"/>
        <w:rPr>
          <w:rFonts w:cs="仿宋_GB2312" w:asciiTheme="minorEastAsia" w:hAnsiTheme="minorEastAsia" w:eastAsiaTheme="minorEastAsia"/>
          <w:b/>
          <w:color w:val="auto"/>
          <w:kern w:val="0"/>
          <w:sz w:val="32"/>
          <w:szCs w:val="32"/>
          <w:highlight w:val="none"/>
        </w:rPr>
      </w:pPr>
    </w:p>
    <w:p w14:paraId="34C7E75E">
      <w:pPr>
        <w:outlineLvl w:val="9"/>
        <w:rPr>
          <w:rFonts w:cs="仿宋_GB2312" w:asciiTheme="minorEastAsia" w:hAnsiTheme="minorEastAsia" w:eastAsiaTheme="minorEastAsia"/>
          <w:b/>
          <w:color w:val="auto"/>
          <w:kern w:val="0"/>
          <w:sz w:val="32"/>
          <w:szCs w:val="32"/>
          <w:highlight w:val="none"/>
        </w:rPr>
      </w:pPr>
    </w:p>
    <w:p w14:paraId="50C6C97C">
      <w:pPr>
        <w:numPr>
          <w:ilvl w:val="0"/>
          <w:numId w:val="0"/>
        </w:numPr>
        <w:tabs>
          <w:tab w:val="left" w:pos="432"/>
        </w:tabs>
        <w:ind w:leftChars="0"/>
        <w:outlineLvl w:val="9"/>
        <w:rPr>
          <w:rFonts w:cs="仿宋_GB2312" w:asciiTheme="minorEastAsia" w:hAnsiTheme="minorEastAsia" w:eastAsiaTheme="minorEastAsia"/>
          <w:b/>
          <w:color w:val="auto"/>
          <w:kern w:val="0"/>
          <w:sz w:val="32"/>
          <w:szCs w:val="32"/>
          <w:highlight w:val="none"/>
        </w:rPr>
      </w:pPr>
    </w:p>
    <w:p w14:paraId="155EF42C">
      <w:pPr>
        <w:outlineLvl w:val="9"/>
        <w:rPr>
          <w:rFonts w:cs="仿宋_GB2312" w:asciiTheme="minorEastAsia" w:hAnsiTheme="minorEastAsia" w:eastAsiaTheme="minorEastAsia"/>
          <w:b/>
          <w:color w:val="auto"/>
          <w:kern w:val="0"/>
          <w:sz w:val="32"/>
          <w:szCs w:val="32"/>
          <w:highlight w:val="none"/>
        </w:rPr>
      </w:pPr>
    </w:p>
    <w:p w14:paraId="27ACA29D">
      <w:pPr>
        <w:numPr>
          <w:ilvl w:val="0"/>
          <w:numId w:val="0"/>
        </w:numPr>
        <w:tabs>
          <w:tab w:val="left" w:pos="432"/>
        </w:tabs>
        <w:ind w:leftChars="0"/>
        <w:outlineLvl w:val="9"/>
        <w:rPr>
          <w:rFonts w:cs="仿宋_GB2312" w:asciiTheme="minorEastAsia" w:hAnsiTheme="minorEastAsia" w:eastAsiaTheme="minorEastAsia"/>
          <w:b/>
          <w:color w:val="auto"/>
          <w:kern w:val="0"/>
          <w:sz w:val="32"/>
          <w:szCs w:val="32"/>
          <w:highlight w:val="none"/>
        </w:rPr>
      </w:pPr>
    </w:p>
    <w:p w14:paraId="4CDA7E0D">
      <w:pPr>
        <w:outlineLvl w:val="9"/>
        <w:rPr>
          <w:rFonts w:cs="仿宋_GB2312" w:asciiTheme="minorEastAsia" w:hAnsiTheme="minorEastAsia" w:eastAsiaTheme="minorEastAsia"/>
          <w:b/>
          <w:color w:val="auto"/>
          <w:kern w:val="0"/>
          <w:sz w:val="32"/>
          <w:szCs w:val="32"/>
          <w:highlight w:val="none"/>
        </w:rPr>
      </w:pPr>
    </w:p>
    <w:p w14:paraId="7978E321">
      <w:pPr>
        <w:numPr>
          <w:ilvl w:val="0"/>
          <w:numId w:val="0"/>
        </w:numPr>
        <w:tabs>
          <w:tab w:val="left" w:pos="432"/>
        </w:tabs>
        <w:ind w:leftChars="0"/>
        <w:outlineLvl w:val="9"/>
        <w:rPr>
          <w:rFonts w:cs="仿宋_GB2312" w:asciiTheme="minorEastAsia" w:hAnsiTheme="minorEastAsia" w:eastAsiaTheme="minorEastAsia"/>
          <w:b/>
          <w:color w:val="auto"/>
          <w:kern w:val="0"/>
          <w:sz w:val="32"/>
          <w:szCs w:val="32"/>
          <w:highlight w:val="none"/>
        </w:rPr>
      </w:pPr>
    </w:p>
    <w:p w14:paraId="5FD0D0DF">
      <w:pPr>
        <w:outlineLvl w:val="9"/>
        <w:rPr>
          <w:rFonts w:cs="仿宋_GB2312" w:asciiTheme="minorEastAsia" w:hAnsiTheme="minorEastAsia" w:eastAsiaTheme="minorEastAsia"/>
          <w:b/>
          <w:color w:val="auto"/>
          <w:kern w:val="0"/>
          <w:sz w:val="32"/>
          <w:szCs w:val="32"/>
          <w:highlight w:val="none"/>
        </w:rPr>
      </w:pPr>
    </w:p>
    <w:p w14:paraId="22E6AA7D">
      <w:pPr>
        <w:pStyle w:val="16"/>
        <w:outlineLvl w:val="9"/>
        <w:rPr>
          <w:rFonts w:cs="仿宋_GB2312" w:asciiTheme="minorEastAsia" w:hAnsiTheme="minorEastAsia" w:eastAsiaTheme="minorEastAsia"/>
          <w:b/>
          <w:color w:val="auto"/>
          <w:kern w:val="0"/>
          <w:sz w:val="32"/>
          <w:szCs w:val="32"/>
          <w:highlight w:val="none"/>
        </w:rPr>
      </w:pPr>
    </w:p>
    <w:p w14:paraId="0702FB1D">
      <w:pPr>
        <w:outlineLvl w:val="9"/>
        <w:rPr>
          <w:rFonts w:cs="仿宋_GB2312" w:asciiTheme="minorEastAsia" w:hAnsiTheme="minorEastAsia" w:eastAsiaTheme="minorEastAsia"/>
          <w:b/>
          <w:color w:val="auto"/>
          <w:kern w:val="0"/>
          <w:sz w:val="32"/>
          <w:szCs w:val="32"/>
          <w:highlight w:val="none"/>
        </w:rPr>
      </w:pPr>
    </w:p>
    <w:p w14:paraId="71C93704">
      <w:pPr>
        <w:pStyle w:val="16"/>
        <w:outlineLvl w:val="9"/>
        <w:rPr>
          <w:rFonts w:cs="仿宋_GB2312" w:asciiTheme="minorEastAsia" w:hAnsiTheme="minorEastAsia" w:eastAsiaTheme="minorEastAsia"/>
          <w:b/>
          <w:color w:val="auto"/>
          <w:kern w:val="0"/>
          <w:sz w:val="32"/>
          <w:szCs w:val="32"/>
          <w:highlight w:val="none"/>
        </w:rPr>
      </w:pPr>
    </w:p>
    <w:p w14:paraId="6C8A2C98">
      <w:pPr>
        <w:outlineLvl w:val="9"/>
        <w:rPr>
          <w:rFonts w:cs="仿宋_GB2312" w:asciiTheme="minorEastAsia" w:hAnsiTheme="minorEastAsia" w:eastAsiaTheme="minorEastAsia"/>
          <w:b/>
          <w:color w:val="auto"/>
          <w:kern w:val="0"/>
          <w:sz w:val="32"/>
          <w:szCs w:val="32"/>
          <w:highlight w:val="none"/>
        </w:rPr>
      </w:pPr>
    </w:p>
    <w:p w14:paraId="2B7507C9">
      <w:pPr>
        <w:pStyle w:val="16"/>
        <w:outlineLvl w:val="9"/>
        <w:rPr>
          <w:rFonts w:cs="仿宋_GB2312" w:asciiTheme="minorEastAsia" w:hAnsiTheme="minorEastAsia" w:eastAsiaTheme="minorEastAsia"/>
          <w:b/>
          <w:color w:val="auto"/>
          <w:kern w:val="0"/>
          <w:sz w:val="32"/>
          <w:szCs w:val="32"/>
          <w:highlight w:val="none"/>
        </w:rPr>
      </w:pPr>
    </w:p>
    <w:p w14:paraId="1C94264B">
      <w:pPr>
        <w:outlineLvl w:val="9"/>
        <w:rPr>
          <w:rFonts w:cs="仿宋_GB2312" w:asciiTheme="minorEastAsia" w:hAnsiTheme="minorEastAsia" w:eastAsiaTheme="minorEastAsia"/>
          <w:b/>
          <w:color w:val="auto"/>
          <w:kern w:val="0"/>
          <w:sz w:val="32"/>
          <w:szCs w:val="32"/>
          <w:highlight w:val="none"/>
        </w:rPr>
      </w:pPr>
    </w:p>
    <w:p w14:paraId="470D854C">
      <w:pPr>
        <w:pStyle w:val="16"/>
        <w:outlineLvl w:val="9"/>
        <w:rPr>
          <w:rFonts w:cs="仿宋_GB2312" w:asciiTheme="minorEastAsia" w:hAnsiTheme="minorEastAsia" w:eastAsiaTheme="minorEastAsia"/>
          <w:b/>
          <w:color w:val="auto"/>
          <w:kern w:val="0"/>
          <w:sz w:val="32"/>
          <w:szCs w:val="32"/>
          <w:highlight w:val="none"/>
        </w:rPr>
      </w:pPr>
    </w:p>
    <w:p w14:paraId="7224766C">
      <w:pPr>
        <w:outlineLvl w:val="9"/>
        <w:rPr>
          <w:rFonts w:cs="仿宋_GB2312" w:asciiTheme="minorEastAsia" w:hAnsiTheme="minorEastAsia" w:eastAsiaTheme="minorEastAsia"/>
          <w:b/>
          <w:color w:val="auto"/>
          <w:kern w:val="0"/>
          <w:sz w:val="32"/>
          <w:szCs w:val="32"/>
          <w:highlight w:val="none"/>
        </w:rPr>
      </w:pPr>
    </w:p>
    <w:p w14:paraId="404EDD45">
      <w:pPr>
        <w:pStyle w:val="16"/>
        <w:outlineLvl w:val="9"/>
        <w:rPr>
          <w:rFonts w:cs="仿宋_GB2312" w:asciiTheme="minorEastAsia" w:hAnsiTheme="minorEastAsia" w:eastAsiaTheme="minorEastAsia"/>
          <w:b/>
          <w:color w:val="auto"/>
          <w:kern w:val="0"/>
          <w:sz w:val="32"/>
          <w:szCs w:val="32"/>
          <w:highlight w:val="none"/>
        </w:rPr>
      </w:pPr>
    </w:p>
    <w:p w14:paraId="4B4ADF2E">
      <w:pPr>
        <w:rPr>
          <w:rFonts w:cs="仿宋_GB2312" w:asciiTheme="minorEastAsia" w:hAnsiTheme="minorEastAsia" w:eastAsiaTheme="minorEastAsia"/>
          <w:b/>
          <w:color w:val="auto"/>
          <w:kern w:val="0"/>
          <w:sz w:val="32"/>
          <w:szCs w:val="32"/>
          <w:highlight w:val="none"/>
        </w:rPr>
      </w:pPr>
    </w:p>
    <w:p w14:paraId="6CB4C434">
      <w:pPr>
        <w:pStyle w:val="16"/>
        <w:rPr>
          <w:rFonts w:cs="仿宋_GB2312" w:asciiTheme="minorEastAsia" w:hAnsiTheme="minorEastAsia" w:eastAsiaTheme="minorEastAsia"/>
          <w:b/>
          <w:color w:val="auto"/>
          <w:kern w:val="0"/>
          <w:sz w:val="32"/>
          <w:szCs w:val="32"/>
          <w:highlight w:val="none"/>
        </w:rPr>
      </w:pPr>
    </w:p>
    <w:p w14:paraId="5F413A7C">
      <w:pPr>
        <w:rPr>
          <w:rFonts w:hint="eastAsia" w:cs="仿宋_GB2312" w:asciiTheme="minorEastAsia" w:hAnsiTheme="minorEastAsia" w:eastAsiaTheme="minorEastAsia"/>
          <w:b/>
          <w:color w:val="auto"/>
          <w:kern w:val="0"/>
          <w:sz w:val="32"/>
          <w:szCs w:val="32"/>
          <w:highlight w:val="none"/>
          <w:lang w:val="en-US" w:eastAsia="zh-CN"/>
        </w:rPr>
      </w:pPr>
      <w:r>
        <w:rPr>
          <w:rFonts w:hint="eastAsia" w:cs="仿宋_GB2312" w:asciiTheme="minorEastAsia" w:hAnsiTheme="minorEastAsia" w:eastAsiaTheme="minorEastAsia"/>
          <w:b/>
          <w:color w:val="auto"/>
          <w:kern w:val="0"/>
          <w:sz w:val="32"/>
          <w:szCs w:val="32"/>
          <w:highlight w:val="none"/>
          <w:lang w:val="en-US" w:eastAsia="zh-CN"/>
        </w:rPr>
        <w:br w:type="page"/>
      </w:r>
    </w:p>
    <w:p w14:paraId="203D046C">
      <w:pPr>
        <w:jc w:val="center"/>
        <w:rPr>
          <w:rFonts w:hint="eastAsia" w:cs="仿宋_GB2312" w:asciiTheme="minorEastAsia" w:hAnsiTheme="minorEastAsia" w:eastAsiaTheme="minorEastAsia"/>
          <w:b/>
          <w:color w:val="auto"/>
          <w:kern w:val="0"/>
          <w:sz w:val="32"/>
          <w:szCs w:val="32"/>
          <w:highlight w:val="none"/>
          <w:lang w:val="en-US" w:eastAsia="zh-CN"/>
        </w:rPr>
      </w:pPr>
      <w:r>
        <w:rPr>
          <w:rFonts w:hint="eastAsia" w:cs="仿宋_GB2312" w:asciiTheme="minorEastAsia" w:hAnsiTheme="minorEastAsia" w:eastAsiaTheme="minorEastAsia"/>
          <w:b/>
          <w:color w:val="auto"/>
          <w:kern w:val="0"/>
          <w:sz w:val="32"/>
          <w:szCs w:val="32"/>
          <w:highlight w:val="none"/>
          <w:lang w:val="en-US" w:eastAsia="zh-CN"/>
        </w:rPr>
        <w:t>四、中小企业声明函</w:t>
      </w:r>
    </w:p>
    <w:p w14:paraId="620B5BC7">
      <w:pPr>
        <w:rPr>
          <w:rFonts w:cs="仿宋_GB2312" w:asciiTheme="minorEastAsia" w:hAnsiTheme="minorEastAsia" w:eastAsiaTheme="minorEastAsia"/>
          <w:b/>
          <w:color w:val="auto"/>
          <w:kern w:val="0"/>
          <w:sz w:val="32"/>
          <w:szCs w:val="32"/>
          <w:highlight w:val="none"/>
        </w:rPr>
      </w:pPr>
    </w:p>
    <w:p w14:paraId="4F76251A">
      <w:pPr>
        <w:numPr>
          <w:ilvl w:val="0"/>
          <w:numId w:val="0"/>
        </w:numPr>
        <w:tabs>
          <w:tab w:val="left" w:pos="432"/>
        </w:tabs>
        <w:ind w:leftChars="0"/>
        <w:outlineLvl w:val="9"/>
        <w:rPr>
          <w:rFonts w:cs="仿宋_GB2312" w:asciiTheme="minorEastAsia" w:hAnsiTheme="minorEastAsia" w:eastAsiaTheme="minorEastAsia"/>
          <w:b/>
          <w:color w:val="auto"/>
          <w:kern w:val="0"/>
          <w:sz w:val="32"/>
          <w:szCs w:val="32"/>
          <w:highlight w:val="none"/>
        </w:rPr>
      </w:pPr>
    </w:p>
    <w:p w14:paraId="23E388F1">
      <w:pPr>
        <w:shd w:val="clear"/>
        <w:wordWrap w:val="0"/>
        <w:spacing w:line="336" w:lineRule="auto"/>
        <w:jc w:val="center"/>
        <w:rPr>
          <w:rFonts w:asciiTheme="minorEastAsia" w:hAnsiTheme="minorEastAsia" w:eastAsiaTheme="minorEastAsia" w:cstheme="minorEastAsia"/>
          <w:color w:val="auto"/>
          <w:sz w:val="30"/>
          <w:szCs w:val="30"/>
          <w:highlight w:val="none"/>
        </w:rPr>
      </w:pPr>
      <w:r>
        <w:rPr>
          <w:rFonts w:hint="eastAsia" w:asciiTheme="minorEastAsia" w:hAnsiTheme="minorEastAsia" w:eastAsiaTheme="minorEastAsia" w:cstheme="minorEastAsia"/>
          <w:color w:val="auto"/>
          <w:sz w:val="30"/>
          <w:szCs w:val="30"/>
          <w:highlight w:val="none"/>
        </w:rPr>
        <w:t>中小企业声明函</w:t>
      </w:r>
    </w:p>
    <w:p w14:paraId="232F8359">
      <w:pPr>
        <w:pStyle w:val="24"/>
        <w:keepNext w:val="0"/>
        <w:keepLines w:val="0"/>
        <w:pageBreakBefore w:val="0"/>
        <w:widowControl w:val="0"/>
        <w:shd w:val="clear"/>
        <w:kinsoku/>
        <w:wordWrap w:val="0"/>
        <w:overflowPunct/>
        <w:topLinePunct w:val="0"/>
        <w:bidi w:val="0"/>
        <w:adjustRightInd/>
        <w:snapToGrid/>
        <w:spacing w:after="0" w:line="500" w:lineRule="exact"/>
        <w:ind w:left="-426" w:right="142" w:firstLine="640"/>
        <w:contextualSpacing/>
        <w:textAlignment w:val="auto"/>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u w:val="single"/>
          <w:lang w:val="en-US" w:eastAsia="zh-CN"/>
        </w:rPr>
        <w:t xml:space="preserve">  （采购人单位名称） </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的</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u w:val="single"/>
          <w:lang w:eastAsia="zh-CN"/>
        </w:rPr>
        <w:t>（</w:t>
      </w:r>
      <w:r>
        <w:rPr>
          <w:rFonts w:hint="eastAsia" w:asciiTheme="minorEastAsia" w:hAnsiTheme="minorEastAsia" w:eastAsiaTheme="minorEastAsia" w:cstheme="minorEastAsia"/>
          <w:color w:val="auto"/>
          <w:sz w:val="24"/>
          <w:highlight w:val="none"/>
          <w:u w:val="single"/>
          <w:lang w:val="en-US" w:eastAsia="zh-CN"/>
        </w:rPr>
        <w:t>项目名称</w:t>
      </w:r>
      <w:r>
        <w:rPr>
          <w:rFonts w:hint="eastAsia" w:asciiTheme="minorEastAsia" w:hAnsiTheme="minorEastAsia" w:eastAsiaTheme="minorEastAsia" w:cstheme="minorEastAsia"/>
          <w:color w:val="auto"/>
          <w:sz w:val="24"/>
          <w:highlight w:val="none"/>
          <w:u w:val="single"/>
          <w:lang w:eastAsia="zh-CN"/>
        </w:rPr>
        <w:t>）</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采购活动，提供的服务全部由符合政策要求的中小企业</w:t>
      </w:r>
      <w:r>
        <w:rPr>
          <w:rFonts w:hint="eastAsia" w:asciiTheme="minorEastAsia" w:hAnsiTheme="minorEastAsia" w:eastAsiaTheme="minorEastAsia" w:cstheme="minorEastAsia"/>
          <w:color w:val="auto"/>
          <w:sz w:val="24"/>
          <w:highlight w:val="none"/>
          <w:lang w:val="en-US" w:eastAsia="zh-CN"/>
        </w:rPr>
        <w:t>提供</w:t>
      </w:r>
      <w:r>
        <w:rPr>
          <w:rFonts w:hint="eastAsia" w:asciiTheme="minorEastAsia" w:hAnsiTheme="minorEastAsia" w:eastAsiaTheme="minorEastAsia" w:cstheme="minorEastAsia"/>
          <w:color w:val="auto"/>
          <w:sz w:val="24"/>
          <w:highlight w:val="none"/>
        </w:rPr>
        <w:t>。相关企业（含联合体中的中小企业、签订分包意向协议的中小企业）的具体情况如下：</w:t>
      </w:r>
    </w:p>
    <w:p w14:paraId="6005259E">
      <w:pPr>
        <w:keepNext w:val="0"/>
        <w:keepLines w:val="0"/>
        <w:pageBreakBefore w:val="0"/>
        <w:widowControl w:val="0"/>
        <w:numPr>
          <w:ilvl w:val="0"/>
          <w:numId w:val="9"/>
        </w:numPr>
        <w:shd w:val="clear"/>
        <w:tabs>
          <w:tab w:val="left" w:pos="1384"/>
          <w:tab w:val="left" w:pos="4562"/>
          <w:tab w:val="left" w:pos="6803"/>
        </w:tabs>
        <w:kinsoku/>
        <w:wordWrap w:val="0"/>
        <w:overflowPunct/>
        <w:topLinePunct w:val="0"/>
        <w:bidi w:val="0"/>
        <w:adjustRightInd/>
        <w:snapToGrid/>
        <w:spacing w:line="500" w:lineRule="exact"/>
        <w:ind w:left="-426" w:right="-58" w:firstLine="655"/>
        <w:contextualSpacing/>
        <w:textAlignment w:val="auto"/>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u w:val="single"/>
        </w:rPr>
        <w:t xml:space="preserve"> （标的名称） </w:t>
      </w:r>
      <w:r>
        <w:rPr>
          <w:rFonts w:hint="eastAsia" w:asciiTheme="minorEastAsia" w:hAnsiTheme="minorEastAsia" w:eastAsiaTheme="minorEastAsia" w:cstheme="minorEastAsia"/>
          <w:color w:val="auto"/>
          <w:sz w:val="24"/>
          <w:highlight w:val="none"/>
        </w:rPr>
        <w:t>，属于</w:t>
      </w:r>
      <w:r>
        <w:rPr>
          <w:rFonts w:hint="eastAsia" w:asciiTheme="minorEastAsia" w:hAnsiTheme="minorEastAsia" w:eastAsiaTheme="minorEastAsia" w:cstheme="minorEastAsia"/>
          <w:color w:val="auto"/>
          <w:sz w:val="24"/>
          <w:highlight w:val="none"/>
          <w:u w:val="single"/>
        </w:rPr>
        <w:t>（采购文件中明确的所属行业）</w:t>
      </w:r>
      <w:r>
        <w:rPr>
          <w:rFonts w:hint="eastAsia" w:asciiTheme="minorEastAsia" w:hAnsiTheme="minorEastAsia" w:eastAsiaTheme="minorEastAsia" w:cstheme="minorEastAsia"/>
          <w:color w:val="auto"/>
          <w:sz w:val="24"/>
          <w:highlight w:val="none"/>
        </w:rPr>
        <w:t>行业；承建（承接）企业为</w:t>
      </w:r>
      <w:r>
        <w:rPr>
          <w:rFonts w:hint="eastAsia" w:asciiTheme="minorEastAsia" w:hAnsiTheme="minorEastAsia" w:eastAsiaTheme="minorEastAsia" w:cstheme="minorEastAsia"/>
          <w:color w:val="auto"/>
          <w:sz w:val="24"/>
          <w:highlight w:val="none"/>
          <w:u w:val="single"/>
        </w:rPr>
        <w:t>（企业名称）</w:t>
      </w:r>
      <w:r>
        <w:rPr>
          <w:rFonts w:hint="eastAsia" w:asciiTheme="minorEastAsia" w:hAnsiTheme="minorEastAsia" w:eastAsiaTheme="minorEastAsia" w:cstheme="minorEastAsia"/>
          <w:color w:val="auto"/>
          <w:sz w:val="24"/>
          <w:highlight w:val="none"/>
        </w:rPr>
        <w:t>，从业人员</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人，营业收入为</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万元，资产总额为</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万元，属于</w:t>
      </w:r>
      <w:r>
        <w:rPr>
          <w:rFonts w:hint="eastAsia" w:asciiTheme="minorEastAsia" w:hAnsiTheme="minorEastAsia" w:eastAsiaTheme="minorEastAsia" w:cstheme="minorEastAsia"/>
          <w:color w:val="auto"/>
          <w:sz w:val="24"/>
          <w:highlight w:val="none"/>
          <w:lang w:val="en-US" w:eastAsia="zh-CN"/>
        </w:rPr>
        <w:t xml:space="preserve"> </w:t>
      </w:r>
      <w:r>
        <w:rPr>
          <w:rFonts w:hint="eastAsia" w:asciiTheme="minorEastAsia" w:hAnsiTheme="minorEastAsia" w:eastAsiaTheme="minorEastAsia" w:cstheme="minorEastAsia"/>
          <w:color w:val="auto"/>
          <w:sz w:val="24"/>
          <w:highlight w:val="none"/>
          <w:u w:val="single"/>
          <w:lang w:val="en-US" w:eastAsia="zh-CN"/>
        </w:rPr>
        <w:t xml:space="preserve">       </w:t>
      </w:r>
      <w:r>
        <w:rPr>
          <w:rFonts w:hint="eastAsia" w:asciiTheme="minorEastAsia" w:hAnsiTheme="minorEastAsia" w:eastAsiaTheme="minorEastAsia" w:cstheme="minorEastAsia"/>
          <w:color w:val="auto"/>
          <w:sz w:val="24"/>
          <w:highlight w:val="none"/>
          <w:u w:val="single"/>
        </w:rPr>
        <w:t>（中型企业、小型企业、微型企业）</w:t>
      </w:r>
      <w:r>
        <w:rPr>
          <w:rFonts w:hint="eastAsia" w:asciiTheme="minorEastAsia" w:hAnsiTheme="minorEastAsia" w:eastAsiaTheme="minorEastAsia" w:cstheme="minorEastAsia"/>
          <w:color w:val="auto"/>
          <w:sz w:val="24"/>
          <w:highlight w:val="none"/>
        </w:rPr>
        <w:t>；</w:t>
      </w:r>
    </w:p>
    <w:p w14:paraId="50B6B3E1">
      <w:pPr>
        <w:keepNext w:val="0"/>
        <w:keepLines w:val="0"/>
        <w:pageBreakBefore w:val="0"/>
        <w:widowControl w:val="0"/>
        <w:shd w:val="clear"/>
        <w:kinsoku/>
        <w:overflowPunct/>
        <w:topLinePunct w:val="0"/>
        <w:bidi w:val="0"/>
        <w:adjustRightInd/>
        <w:snapToGrid/>
        <w:spacing w:line="500" w:lineRule="exact"/>
        <w:ind w:left="765" w:right="142" w:hanging="5"/>
        <w:textAlignment w:val="auto"/>
        <w:rPr>
          <w:rFonts w:ascii="宋体" w:hAnsi="宋体"/>
          <w:color w:val="auto"/>
          <w:szCs w:val="21"/>
          <w:highlight w:val="none"/>
        </w:rPr>
      </w:pPr>
    </w:p>
    <w:p w14:paraId="40B3DF7E">
      <w:pPr>
        <w:keepNext w:val="0"/>
        <w:keepLines w:val="0"/>
        <w:pageBreakBefore w:val="0"/>
        <w:widowControl w:val="0"/>
        <w:shd w:val="clear"/>
        <w:kinsoku/>
        <w:overflowPunct/>
        <w:topLinePunct w:val="0"/>
        <w:bidi w:val="0"/>
        <w:adjustRightInd/>
        <w:snapToGrid/>
        <w:spacing w:line="500" w:lineRule="exact"/>
        <w:ind w:left="765" w:right="142" w:hanging="5"/>
        <w:textAlignment w:val="auto"/>
        <w:rPr>
          <w:rFonts w:asciiTheme="minorEastAsia" w:hAnsiTheme="minorEastAsia" w:eastAsiaTheme="minorEastAsia" w:cstheme="minorEastAsia"/>
          <w:color w:val="auto"/>
          <w:sz w:val="24"/>
          <w:highlight w:val="none"/>
        </w:rPr>
      </w:pPr>
      <w:r>
        <w:rPr>
          <w:rFonts w:ascii="宋体" w:hAnsi="宋体"/>
          <w:color w:val="auto"/>
          <w:szCs w:val="21"/>
          <w:highlight w:val="none"/>
        </w:rPr>
        <w:t xml:space="preserve">…… </w:t>
      </w:r>
    </w:p>
    <w:p w14:paraId="7A64A2BF">
      <w:pPr>
        <w:pStyle w:val="24"/>
        <w:keepNext w:val="0"/>
        <w:keepLines w:val="0"/>
        <w:pageBreakBefore w:val="0"/>
        <w:widowControl w:val="0"/>
        <w:shd w:val="clear"/>
        <w:kinsoku/>
        <w:wordWrap w:val="0"/>
        <w:overflowPunct/>
        <w:topLinePunct w:val="0"/>
        <w:bidi w:val="0"/>
        <w:adjustRightInd/>
        <w:snapToGrid/>
        <w:spacing w:after="0" w:line="500" w:lineRule="exact"/>
        <w:ind w:left="-405" w:leftChars="-193" w:right="142" w:firstLine="453" w:firstLineChars="189"/>
        <w:contextualSpacing/>
        <w:textAlignment w:val="auto"/>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以上企业，不属于大企业的分支机构，不存在控股股东为大企业的情形，也不存在与大企业的负责人为同一人的情形。</w:t>
      </w:r>
    </w:p>
    <w:p w14:paraId="2035BD34">
      <w:pPr>
        <w:pStyle w:val="24"/>
        <w:keepNext w:val="0"/>
        <w:keepLines w:val="0"/>
        <w:pageBreakBefore w:val="0"/>
        <w:widowControl w:val="0"/>
        <w:shd w:val="clear"/>
        <w:kinsoku/>
        <w:wordWrap w:val="0"/>
        <w:overflowPunct/>
        <w:topLinePunct w:val="0"/>
        <w:bidi w:val="0"/>
        <w:adjustRightInd/>
        <w:snapToGrid/>
        <w:spacing w:after="0" w:line="500" w:lineRule="exact"/>
        <w:ind w:left="-426" w:right="142" w:firstLine="567"/>
        <w:contextualSpacing/>
        <w:textAlignment w:val="auto"/>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本企业对上述声明内容的真实性负责。如有虚假，将依法承担相应责任。</w:t>
      </w:r>
    </w:p>
    <w:p w14:paraId="323D72DB">
      <w:pPr>
        <w:pStyle w:val="24"/>
        <w:keepNext w:val="0"/>
        <w:keepLines w:val="0"/>
        <w:pageBreakBefore w:val="0"/>
        <w:widowControl w:val="0"/>
        <w:shd w:val="clear"/>
        <w:kinsoku/>
        <w:wordWrap w:val="0"/>
        <w:overflowPunct/>
        <w:topLinePunct w:val="0"/>
        <w:bidi w:val="0"/>
        <w:adjustRightInd/>
        <w:snapToGrid/>
        <w:spacing w:after="0" w:line="500" w:lineRule="exact"/>
        <w:ind w:left="3960" w:right="1808"/>
        <w:contextualSpacing/>
        <w:textAlignment w:val="auto"/>
        <w:rPr>
          <w:rFonts w:asciiTheme="minorEastAsia" w:hAnsiTheme="minorEastAsia" w:eastAsiaTheme="minorEastAsia" w:cstheme="minorEastAsia"/>
          <w:color w:val="auto"/>
          <w:sz w:val="24"/>
          <w:highlight w:val="none"/>
        </w:rPr>
      </w:pPr>
    </w:p>
    <w:p w14:paraId="4783C994">
      <w:pPr>
        <w:keepNext w:val="0"/>
        <w:keepLines w:val="0"/>
        <w:pageBreakBefore w:val="0"/>
        <w:widowControl w:val="0"/>
        <w:shd w:val="clear"/>
        <w:kinsoku/>
        <w:wordWrap w:val="0"/>
        <w:overflowPunct/>
        <w:topLinePunct w:val="0"/>
        <w:autoSpaceDE w:val="0"/>
        <w:autoSpaceDN w:val="0"/>
        <w:bidi w:val="0"/>
        <w:adjustRightInd/>
        <w:snapToGrid/>
        <w:spacing w:line="500" w:lineRule="exact"/>
        <w:ind w:left="4335" w:leftChars="1950" w:hanging="240" w:hangingChars="100"/>
        <w:textAlignment w:val="auto"/>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371C4F7A">
      <w:pPr>
        <w:keepNext w:val="0"/>
        <w:keepLines w:val="0"/>
        <w:pageBreakBefore w:val="0"/>
        <w:widowControl w:val="0"/>
        <w:shd w:val="clear"/>
        <w:kinsoku/>
        <w:wordWrap w:val="0"/>
        <w:overflowPunct/>
        <w:topLinePunct w:val="0"/>
        <w:autoSpaceDE w:val="0"/>
        <w:autoSpaceDN w:val="0"/>
        <w:bidi w:val="0"/>
        <w:adjustRightInd/>
        <w:snapToGrid/>
        <w:spacing w:line="500" w:lineRule="exact"/>
        <w:ind w:firstLine="6480" w:firstLineChars="2700"/>
        <w:textAlignment w:val="auto"/>
        <w:rPr>
          <w:rFonts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  年  月   日</w:t>
      </w:r>
    </w:p>
    <w:p w14:paraId="7A1F3A0E">
      <w:pPr>
        <w:pStyle w:val="24"/>
        <w:shd w:val="clear"/>
        <w:wordWrap w:val="0"/>
        <w:spacing w:after="0" w:line="336" w:lineRule="auto"/>
        <w:ind w:left="3960" w:right="1808"/>
        <w:contextualSpacing/>
        <w:rPr>
          <w:rFonts w:asciiTheme="minorEastAsia" w:hAnsiTheme="minorEastAsia" w:eastAsiaTheme="minorEastAsia" w:cstheme="minorEastAsia"/>
          <w:color w:val="auto"/>
          <w:highlight w:val="none"/>
        </w:rPr>
      </w:pPr>
    </w:p>
    <w:p w14:paraId="1AF2514B">
      <w:pPr>
        <w:pStyle w:val="16"/>
        <w:shd w:val="clear"/>
        <w:wordWrap w:val="0"/>
        <w:spacing w:line="336" w:lineRule="auto"/>
        <w:ind w:firstLine="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0FD73952">
      <w:pPr>
        <w:outlineLvl w:val="9"/>
        <w:rPr>
          <w:rFonts w:cs="仿宋_GB2312" w:asciiTheme="minorEastAsia" w:hAnsiTheme="minorEastAsia" w:eastAsiaTheme="minorEastAsia"/>
          <w:b/>
          <w:color w:val="auto"/>
          <w:kern w:val="0"/>
          <w:sz w:val="32"/>
          <w:szCs w:val="32"/>
          <w:highlight w:val="none"/>
        </w:rPr>
      </w:pPr>
    </w:p>
    <w:p w14:paraId="551DE086">
      <w:pPr>
        <w:numPr>
          <w:ilvl w:val="0"/>
          <w:numId w:val="0"/>
        </w:numPr>
        <w:tabs>
          <w:tab w:val="left" w:pos="432"/>
        </w:tabs>
        <w:ind w:leftChars="0"/>
        <w:outlineLvl w:val="9"/>
        <w:rPr>
          <w:rFonts w:cs="仿宋_GB2312" w:asciiTheme="minorEastAsia" w:hAnsiTheme="minorEastAsia" w:eastAsiaTheme="minorEastAsia"/>
          <w:b/>
          <w:color w:val="auto"/>
          <w:kern w:val="0"/>
          <w:sz w:val="32"/>
          <w:szCs w:val="32"/>
          <w:highlight w:val="none"/>
        </w:rPr>
      </w:pPr>
    </w:p>
    <w:p w14:paraId="250ADB7A">
      <w:pPr>
        <w:outlineLvl w:val="9"/>
        <w:rPr>
          <w:rFonts w:cs="仿宋_GB2312" w:asciiTheme="minorEastAsia" w:hAnsiTheme="minorEastAsia" w:eastAsiaTheme="minorEastAsia"/>
          <w:b/>
          <w:color w:val="auto"/>
          <w:kern w:val="0"/>
          <w:sz w:val="32"/>
          <w:szCs w:val="32"/>
          <w:highlight w:val="none"/>
        </w:rPr>
      </w:pPr>
    </w:p>
    <w:p w14:paraId="0F20EF26">
      <w:pPr>
        <w:numPr>
          <w:ilvl w:val="0"/>
          <w:numId w:val="0"/>
        </w:numPr>
        <w:tabs>
          <w:tab w:val="left" w:pos="432"/>
        </w:tabs>
        <w:ind w:leftChars="0"/>
        <w:outlineLvl w:val="9"/>
        <w:rPr>
          <w:rFonts w:cs="仿宋_GB2312" w:asciiTheme="minorEastAsia" w:hAnsiTheme="minorEastAsia" w:eastAsiaTheme="minorEastAsia"/>
          <w:b/>
          <w:color w:val="auto"/>
          <w:kern w:val="0"/>
          <w:sz w:val="32"/>
          <w:szCs w:val="32"/>
          <w:highlight w:val="none"/>
        </w:rPr>
      </w:pPr>
    </w:p>
    <w:p w14:paraId="33ED3EFF">
      <w:pPr>
        <w:outlineLvl w:val="9"/>
        <w:rPr>
          <w:rFonts w:cs="仿宋_GB2312" w:asciiTheme="minorEastAsia" w:hAnsiTheme="minorEastAsia" w:eastAsiaTheme="minorEastAsia"/>
          <w:b/>
          <w:color w:val="auto"/>
          <w:kern w:val="0"/>
          <w:sz w:val="32"/>
          <w:szCs w:val="32"/>
          <w:highlight w:val="none"/>
        </w:rPr>
      </w:pPr>
    </w:p>
    <w:p w14:paraId="15D28880">
      <w:pPr>
        <w:pStyle w:val="16"/>
        <w:outlineLvl w:val="9"/>
        <w:rPr>
          <w:rFonts w:cs="仿宋_GB2312" w:asciiTheme="minorEastAsia" w:hAnsiTheme="minorEastAsia" w:eastAsiaTheme="minorEastAsia"/>
          <w:b/>
          <w:color w:val="auto"/>
          <w:kern w:val="0"/>
          <w:sz w:val="32"/>
          <w:szCs w:val="32"/>
          <w:highlight w:val="none"/>
        </w:rPr>
      </w:pPr>
    </w:p>
    <w:p w14:paraId="428E7720">
      <w:pPr>
        <w:outlineLvl w:val="9"/>
        <w:rPr>
          <w:color w:val="auto"/>
          <w:highlight w:val="none"/>
        </w:rPr>
      </w:pPr>
    </w:p>
    <w:p w14:paraId="4768807A">
      <w:pPr>
        <w:outlineLvl w:val="9"/>
        <w:rPr>
          <w:color w:val="auto"/>
          <w:highlight w:val="none"/>
        </w:rPr>
      </w:pPr>
    </w:p>
    <w:p w14:paraId="62A1ECEC">
      <w:pPr>
        <w:pStyle w:val="32"/>
        <w:shd w:val="clear"/>
        <w:wordWrap w:val="0"/>
        <w:spacing w:line="336" w:lineRule="auto"/>
        <w:jc w:val="left"/>
        <w:rPr>
          <w:rFonts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附件</w:t>
      </w:r>
      <w:r>
        <w:rPr>
          <w:rFonts w:hint="eastAsia" w:asciiTheme="minorEastAsia" w:hAnsiTheme="minorEastAsia" w:eastAsiaTheme="minorEastAsia" w:cstheme="minorEastAsia"/>
          <w:color w:val="auto"/>
          <w:sz w:val="32"/>
          <w:szCs w:val="32"/>
          <w:highlight w:val="none"/>
          <w:lang w:val="en-US" w:eastAsia="zh-CN"/>
        </w:rPr>
        <w:t>:</w:t>
      </w:r>
    </w:p>
    <w:p w14:paraId="1DCAC246">
      <w:pPr>
        <w:shd w:val="clear"/>
        <w:wordWrap w:val="0"/>
        <w:spacing w:line="336" w:lineRule="auto"/>
        <w:ind w:left="1871"/>
        <w:rPr>
          <w:rFonts w:asciiTheme="minorEastAsia" w:hAnsiTheme="minorEastAsia" w:eastAsiaTheme="minorEastAsia" w:cstheme="minorEastAsia"/>
          <w:color w:val="auto"/>
          <w:sz w:val="40"/>
          <w:szCs w:val="40"/>
          <w:highlight w:val="none"/>
        </w:rPr>
      </w:pPr>
      <w:r>
        <w:rPr>
          <w:rFonts w:hint="eastAsia" w:asciiTheme="minorEastAsia" w:hAnsiTheme="minorEastAsia" w:eastAsiaTheme="minorEastAsia" w:cstheme="minorEastAsia"/>
          <w:color w:val="auto"/>
          <w:sz w:val="40"/>
          <w:szCs w:val="40"/>
          <w:highlight w:val="none"/>
        </w:rPr>
        <w:t>中小微企业划型标准</w:t>
      </w:r>
    </w:p>
    <w:tbl>
      <w:tblPr>
        <w:tblStyle w:val="62"/>
        <w:tblW w:w="9961" w:type="dxa"/>
        <w:tblInd w:w="0" w:type="dxa"/>
        <w:tblLayout w:type="fixed"/>
        <w:tblCellMar>
          <w:top w:w="0" w:type="dxa"/>
          <w:left w:w="108" w:type="dxa"/>
          <w:bottom w:w="0" w:type="dxa"/>
          <w:right w:w="108" w:type="dxa"/>
        </w:tblCellMar>
      </w:tblPr>
      <w:tblGrid>
        <w:gridCol w:w="2082"/>
        <w:gridCol w:w="2081"/>
        <w:gridCol w:w="892"/>
        <w:gridCol w:w="1932"/>
        <w:gridCol w:w="1785"/>
        <w:gridCol w:w="1189"/>
      </w:tblGrid>
      <w:tr w14:paraId="7A4D6497">
        <w:tblPrEx>
          <w:tblCellMar>
            <w:top w:w="0" w:type="dxa"/>
            <w:left w:w="108" w:type="dxa"/>
            <w:bottom w:w="0" w:type="dxa"/>
            <w:right w:w="108" w:type="dxa"/>
          </w:tblCellMar>
        </w:tblPrEx>
        <w:trPr>
          <w:trHeight w:val="285" w:hRule="atLeast"/>
        </w:trPr>
        <w:tc>
          <w:tcPr>
            <w:tcW w:w="2082" w:type="dxa"/>
            <w:tcBorders>
              <w:top w:val="single" w:color="auto" w:sz="4" w:space="0"/>
              <w:left w:val="single" w:color="auto" w:sz="4" w:space="0"/>
              <w:bottom w:val="single" w:color="auto" w:sz="4" w:space="0"/>
              <w:right w:val="single" w:color="auto" w:sz="4" w:space="0"/>
            </w:tcBorders>
            <w:vAlign w:val="center"/>
          </w:tcPr>
          <w:p w14:paraId="4EC48952">
            <w:pPr>
              <w:widowControl/>
              <w:shd w:val="clear"/>
              <w:wordWrap w:val="0"/>
              <w:spacing w:line="336" w:lineRule="auto"/>
              <w:jc w:val="left"/>
              <w:rPr>
                <w:rFonts w:asciiTheme="minorEastAsia" w:hAnsiTheme="minorEastAsia" w:eastAsiaTheme="minorEastAsia" w:cstheme="minorEastAsia"/>
                <w:b/>
                <w:color w:val="auto"/>
                <w:kern w:val="0"/>
                <w:sz w:val="24"/>
                <w:highlight w:val="none"/>
              </w:rPr>
            </w:pPr>
            <w:r>
              <w:rPr>
                <w:rFonts w:hint="eastAsia" w:asciiTheme="minorEastAsia" w:hAnsiTheme="minorEastAsia" w:eastAsiaTheme="minorEastAsia" w:cstheme="minorEastAsia"/>
                <w:b/>
                <w:color w:val="auto"/>
                <w:kern w:val="0"/>
                <w:sz w:val="24"/>
                <w:highlight w:val="none"/>
              </w:rPr>
              <w:t>行业名称</w:t>
            </w:r>
          </w:p>
        </w:tc>
        <w:tc>
          <w:tcPr>
            <w:tcW w:w="2081" w:type="dxa"/>
            <w:tcBorders>
              <w:top w:val="single" w:color="auto" w:sz="4" w:space="0"/>
              <w:left w:val="nil"/>
              <w:bottom w:val="single" w:color="auto" w:sz="4" w:space="0"/>
              <w:right w:val="single" w:color="auto" w:sz="4" w:space="0"/>
            </w:tcBorders>
            <w:vAlign w:val="center"/>
          </w:tcPr>
          <w:p w14:paraId="5ACC218B">
            <w:pPr>
              <w:widowControl/>
              <w:shd w:val="clear"/>
              <w:wordWrap w:val="0"/>
              <w:spacing w:line="336" w:lineRule="auto"/>
              <w:jc w:val="left"/>
              <w:rPr>
                <w:rFonts w:asciiTheme="minorEastAsia" w:hAnsiTheme="minorEastAsia" w:eastAsiaTheme="minorEastAsia" w:cstheme="minorEastAsia"/>
                <w:b/>
                <w:color w:val="auto"/>
                <w:kern w:val="0"/>
                <w:sz w:val="24"/>
                <w:highlight w:val="none"/>
              </w:rPr>
            </w:pPr>
            <w:r>
              <w:rPr>
                <w:rFonts w:hint="eastAsia" w:asciiTheme="minorEastAsia" w:hAnsiTheme="minorEastAsia" w:eastAsiaTheme="minorEastAsia" w:cstheme="minorEastAsia"/>
                <w:b/>
                <w:color w:val="auto"/>
                <w:kern w:val="0"/>
                <w:sz w:val="24"/>
                <w:highlight w:val="none"/>
              </w:rPr>
              <w:t>指标名称</w:t>
            </w:r>
          </w:p>
        </w:tc>
        <w:tc>
          <w:tcPr>
            <w:tcW w:w="892" w:type="dxa"/>
            <w:tcBorders>
              <w:top w:val="single" w:color="auto" w:sz="4" w:space="0"/>
              <w:left w:val="nil"/>
              <w:bottom w:val="single" w:color="auto" w:sz="4" w:space="0"/>
              <w:right w:val="single" w:color="auto" w:sz="4" w:space="0"/>
            </w:tcBorders>
            <w:vAlign w:val="center"/>
          </w:tcPr>
          <w:p w14:paraId="1C6DC9B9">
            <w:pPr>
              <w:widowControl/>
              <w:shd w:val="clear"/>
              <w:wordWrap w:val="0"/>
              <w:spacing w:line="336" w:lineRule="auto"/>
              <w:jc w:val="left"/>
              <w:rPr>
                <w:rFonts w:asciiTheme="minorEastAsia" w:hAnsiTheme="minorEastAsia" w:eastAsiaTheme="minorEastAsia" w:cstheme="minorEastAsia"/>
                <w:b/>
                <w:color w:val="auto"/>
                <w:kern w:val="0"/>
                <w:sz w:val="24"/>
                <w:highlight w:val="none"/>
              </w:rPr>
            </w:pPr>
            <w:r>
              <w:rPr>
                <w:rFonts w:hint="eastAsia" w:asciiTheme="minorEastAsia" w:hAnsiTheme="minorEastAsia" w:eastAsiaTheme="minorEastAsia" w:cstheme="minorEastAsia"/>
                <w:b/>
                <w:color w:val="auto"/>
                <w:kern w:val="0"/>
                <w:sz w:val="24"/>
                <w:highlight w:val="none"/>
              </w:rPr>
              <w:t>计量单位</w:t>
            </w:r>
          </w:p>
        </w:tc>
        <w:tc>
          <w:tcPr>
            <w:tcW w:w="1932" w:type="dxa"/>
            <w:tcBorders>
              <w:top w:val="single" w:color="auto" w:sz="4" w:space="0"/>
              <w:left w:val="nil"/>
              <w:bottom w:val="single" w:color="auto" w:sz="4" w:space="0"/>
              <w:right w:val="single" w:color="auto" w:sz="4" w:space="0"/>
            </w:tcBorders>
            <w:vAlign w:val="center"/>
          </w:tcPr>
          <w:p w14:paraId="6E0B200F">
            <w:pPr>
              <w:widowControl/>
              <w:shd w:val="clear"/>
              <w:wordWrap w:val="0"/>
              <w:spacing w:line="336" w:lineRule="auto"/>
              <w:jc w:val="left"/>
              <w:rPr>
                <w:rFonts w:asciiTheme="minorEastAsia" w:hAnsiTheme="minorEastAsia" w:eastAsiaTheme="minorEastAsia" w:cstheme="minorEastAsia"/>
                <w:b/>
                <w:color w:val="auto"/>
                <w:kern w:val="0"/>
                <w:sz w:val="24"/>
                <w:highlight w:val="none"/>
              </w:rPr>
            </w:pPr>
            <w:r>
              <w:rPr>
                <w:rFonts w:hint="eastAsia" w:asciiTheme="minorEastAsia" w:hAnsiTheme="minorEastAsia" w:eastAsiaTheme="minorEastAsia" w:cstheme="minorEastAsia"/>
                <w:b/>
                <w:color w:val="auto"/>
                <w:kern w:val="0"/>
                <w:sz w:val="24"/>
                <w:highlight w:val="none"/>
              </w:rPr>
              <w:t>中型</w:t>
            </w:r>
          </w:p>
        </w:tc>
        <w:tc>
          <w:tcPr>
            <w:tcW w:w="1785" w:type="dxa"/>
            <w:tcBorders>
              <w:top w:val="single" w:color="auto" w:sz="4" w:space="0"/>
              <w:left w:val="nil"/>
              <w:bottom w:val="single" w:color="auto" w:sz="4" w:space="0"/>
              <w:right w:val="single" w:color="auto" w:sz="4" w:space="0"/>
            </w:tcBorders>
            <w:vAlign w:val="center"/>
          </w:tcPr>
          <w:p w14:paraId="1E5E9524">
            <w:pPr>
              <w:widowControl/>
              <w:shd w:val="clear"/>
              <w:wordWrap w:val="0"/>
              <w:spacing w:line="336" w:lineRule="auto"/>
              <w:jc w:val="left"/>
              <w:rPr>
                <w:rFonts w:asciiTheme="minorEastAsia" w:hAnsiTheme="minorEastAsia" w:eastAsiaTheme="minorEastAsia" w:cstheme="minorEastAsia"/>
                <w:b/>
                <w:color w:val="auto"/>
                <w:kern w:val="0"/>
                <w:sz w:val="24"/>
                <w:highlight w:val="none"/>
              </w:rPr>
            </w:pPr>
            <w:r>
              <w:rPr>
                <w:rFonts w:hint="eastAsia" w:asciiTheme="minorEastAsia" w:hAnsiTheme="minorEastAsia" w:eastAsiaTheme="minorEastAsia" w:cstheme="minorEastAsia"/>
                <w:b/>
                <w:color w:val="auto"/>
                <w:kern w:val="0"/>
                <w:sz w:val="24"/>
                <w:highlight w:val="none"/>
              </w:rPr>
              <w:t>小型</w:t>
            </w:r>
          </w:p>
        </w:tc>
        <w:tc>
          <w:tcPr>
            <w:tcW w:w="1189" w:type="dxa"/>
            <w:tcBorders>
              <w:top w:val="single" w:color="auto" w:sz="4" w:space="0"/>
              <w:left w:val="nil"/>
              <w:bottom w:val="single" w:color="auto" w:sz="4" w:space="0"/>
              <w:right w:val="single" w:color="auto" w:sz="4" w:space="0"/>
            </w:tcBorders>
            <w:vAlign w:val="center"/>
          </w:tcPr>
          <w:p w14:paraId="0A1EBA7D">
            <w:pPr>
              <w:widowControl/>
              <w:shd w:val="clear"/>
              <w:wordWrap w:val="0"/>
              <w:spacing w:line="336" w:lineRule="auto"/>
              <w:jc w:val="left"/>
              <w:rPr>
                <w:rFonts w:asciiTheme="minorEastAsia" w:hAnsiTheme="minorEastAsia" w:eastAsiaTheme="minorEastAsia" w:cstheme="minorEastAsia"/>
                <w:b/>
                <w:color w:val="auto"/>
                <w:kern w:val="0"/>
                <w:sz w:val="24"/>
                <w:highlight w:val="none"/>
              </w:rPr>
            </w:pPr>
            <w:r>
              <w:rPr>
                <w:rFonts w:hint="eastAsia" w:asciiTheme="minorEastAsia" w:hAnsiTheme="minorEastAsia" w:eastAsiaTheme="minorEastAsia" w:cstheme="minorEastAsia"/>
                <w:b/>
                <w:color w:val="auto"/>
                <w:kern w:val="0"/>
                <w:sz w:val="24"/>
                <w:highlight w:val="none"/>
              </w:rPr>
              <w:t>微型</w:t>
            </w:r>
          </w:p>
        </w:tc>
      </w:tr>
      <w:tr w14:paraId="41C0D96F">
        <w:tblPrEx>
          <w:tblCellMar>
            <w:top w:w="0" w:type="dxa"/>
            <w:left w:w="108" w:type="dxa"/>
            <w:bottom w:w="0" w:type="dxa"/>
            <w:right w:w="108" w:type="dxa"/>
          </w:tblCellMar>
        </w:tblPrEx>
        <w:trPr>
          <w:trHeight w:val="225" w:hRule="atLeast"/>
        </w:trPr>
        <w:tc>
          <w:tcPr>
            <w:tcW w:w="2082" w:type="dxa"/>
            <w:tcBorders>
              <w:top w:val="nil"/>
              <w:left w:val="single" w:color="auto" w:sz="4" w:space="0"/>
              <w:bottom w:val="single" w:color="auto" w:sz="4" w:space="0"/>
              <w:right w:val="single" w:color="auto" w:sz="4" w:space="0"/>
            </w:tcBorders>
            <w:vAlign w:val="bottom"/>
          </w:tcPr>
          <w:p w14:paraId="1A90F6FB">
            <w:pPr>
              <w:widowControl/>
              <w:shd w:val="clear"/>
              <w:wordWrap w:val="0"/>
              <w:spacing w:line="336" w:lineRule="auto"/>
              <w:jc w:val="center"/>
              <w:rPr>
                <w:rFonts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农、林、牧、渔</w:t>
            </w:r>
          </w:p>
        </w:tc>
        <w:tc>
          <w:tcPr>
            <w:tcW w:w="2081" w:type="dxa"/>
            <w:tcBorders>
              <w:top w:val="nil"/>
              <w:left w:val="nil"/>
              <w:bottom w:val="single" w:color="auto" w:sz="4" w:space="0"/>
              <w:right w:val="single" w:color="auto" w:sz="4" w:space="0"/>
            </w:tcBorders>
            <w:vAlign w:val="center"/>
          </w:tcPr>
          <w:p w14:paraId="52F9B2A5">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892" w:type="dxa"/>
            <w:tcBorders>
              <w:top w:val="nil"/>
              <w:left w:val="nil"/>
              <w:bottom w:val="single" w:color="auto" w:sz="4" w:space="0"/>
              <w:right w:val="single" w:color="auto" w:sz="4" w:space="0"/>
            </w:tcBorders>
            <w:vAlign w:val="center"/>
          </w:tcPr>
          <w:p w14:paraId="5F2C32E9">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32" w:type="dxa"/>
            <w:tcBorders>
              <w:top w:val="nil"/>
              <w:left w:val="nil"/>
              <w:bottom w:val="single" w:color="auto" w:sz="4" w:space="0"/>
              <w:right w:val="single" w:color="auto" w:sz="4" w:space="0"/>
            </w:tcBorders>
            <w:vAlign w:val="center"/>
          </w:tcPr>
          <w:p w14:paraId="7C0101C1">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500≤Y＜20000</w:t>
            </w:r>
          </w:p>
        </w:tc>
        <w:tc>
          <w:tcPr>
            <w:tcW w:w="1785" w:type="dxa"/>
            <w:tcBorders>
              <w:top w:val="nil"/>
              <w:left w:val="nil"/>
              <w:bottom w:val="single" w:color="auto" w:sz="4" w:space="0"/>
              <w:right w:val="single" w:color="auto" w:sz="4" w:space="0"/>
            </w:tcBorders>
            <w:vAlign w:val="center"/>
          </w:tcPr>
          <w:p w14:paraId="4B9F6B00">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50≤Y＜500</w:t>
            </w:r>
          </w:p>
        </w:tc>
        <w:tc>
          <w:tcPr>
            <w:tcW w:w="1189" w:type="dxa"/>
            <w:tcBorders>
              <w:top w:val="nil"/>
              <w:left w:val="nil"/>
              <w:bottom w:val="single" w:color="auto" w:sz="4" w:space="0"/>
              <w:right w:val="single" w:color="auto" w:sz="4" w:space="0"/>
            </w:tcBorders>
            <w:vAlign w:val="center"/>
          </w:tcPr>
          <w:p w14:paraId="22FBCDA2">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Y＜50</w:t>
            </w:r>
          </w:p>
        </w:tc>
      </w:tr>
      <w:tr w14:paraId="22E52F32">
        <w:tblPrEx>
          <w:tblCellMar>
            <w:top w:w="0" w:type="dxa"/>
            <w:left w:w="108" w:type="dxa"/>
            <w:bottom w:w="0" w:type="dxa"/>
            <w:right w:w="108" w:type="dxa"/>
          </w:tblCellMar>
        </w:tblPrEx>
        <w:trPr>
          <w:trHeight w:val="225" w:hRule="atLeast"/>
        </w:trPr>
        <w:tc>
          <w:tcPr>
            <w:tcW w:w="2082" w:type="dxa"/>
            <w:vMerge w:val="restart"/>
            <w:tcBorders>
              <w:top w:val="nil"/>
              <w:left w:val="single" w:color="auto" w:sz="4" w:space="0"/>
              <w:bottom w:val="single" w:color="auto" w:sz="4" w:space="0"/>
              <w:right w:val="single" w:color="auto" w:sz="4" w:space="0"/>
            </w:tcBorders>
            <w:vAlign w:val="bottom"/>
          </w:tcPr>
          <w:p w14:paraId="0141C3FB">
            <w:pPr>
              <w:widowControl/>
              <w:shd w:val="clear"/>
              <w:wordWrap w:val="0"/>
              <w:spacing w:line="336" w:lineRule="auto"/>
              <w:jc w:val="center"/>
              <w:rPr>
                <w:rFonts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工业</w:t>
            </w:r>
          </w:p>
        </w:tc>
        <w:tc>
          <w:tcPr>
            <w:tcW w:w="2081" w:type="dxa"/>
            <w:tcBorders>
              <w:top w:val="nil"/>
              <w:left w:val="nil"/>
              <w:bottom w:val="single" w:color="auto" w:sz="4" w:space="0"/>
              <w:right w:val="single" w:color="auto" w:sz="4" w:space="0"/>
            </w:tcBorders>
            <w:vAlign w:val="center"/>
          </w:tcPr>
          <w:p w14:paraId="0CB2F99D">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892" w:type="dxa"/>
            <w:tcBorders>
              <w:top w:val="nil"/>
              <w:left w:val="nil"/>
              <w:bottom w:val="single" w:color="auto" w:sz="4" w:space="0"/>
              <w:right w:val="single" w:color="auto" w:sz="4" w:space="0"/>
            </w:tcBorders>
            <w:vAlign w:val="center"/>
          </w:tcPr>
          <w:p w14:paraId="1B08E190">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932" w:type="dxa"/>
            <w:tcBorders>
              <w:top w:val="nil"/>
              <w:left w:val="nil"/>
              <w:bottom w:val="single" w:color="auto" w:sz="4" w:space="0"/>
              <w:right w:val="single" w:color="auto" w:sz="4" w:space="0"/>
            </w:tcBorders>
            <w:vAlign w:val="center"/>
          </w:tcPr>
          <w:p w14:paraId="4B535A60">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300≤X＜1000</w:t>
            </w:r>
          </w:p>
        </w:tc>
        <w:tc>
          <w:tcPr>
            <w:tcW w:w="1785" w:type="dxa"/>
            <w:tcBorders>
              <w:top w:val="nil"/>
              <w:left w:val="nil"/>
              <w:bottom w:val="single" w:color="auto" w:sz="4" w:space="0"/>
              <w:right w:val="single" w:color="auto" w:sz="4" w:space="0"/>
            </w:tcBorders>
            <w:vAlign w:val="center"/>
          </w:tcPr>
          <w:p w14:paraId="679F191E">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20≤X＜300</w:t>
            </w:r>
          </w:p>
        </w:tc>
        <w:tc>
          <w:tcPr>
            <w:tcW w:w="1189" w:type="dxa"/>
            <w:tcBorders>
              <w:top w:val="nil"/>
              <w:left w:val="nil"/>
              <w:bottom w:val="single" w:color="auto" w:sz="4" w:space="0"/>
              <w:right w:val="single" w:color="auto" w:sz="4" w:space="0"/>
            </w:tcBorders>
            <w:vAlign w:val="center"/>
          </w:tcPr>
          <w:p w14:paraId="26AEBFCE">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w:t>
            </w:r>
          </w:p>
        </w:tc>
      </w:tr>
      <w:tr w14:paraId="03946D3F">
        <w:tblPrEx>
          <w:tblCellMar>
            <w:top w:w="0" w:type="dxa"/>
            <w:left w:w="108" w:type="dxa"/>
            <w:bottom w:w="0" w:type="dxa"/>
            <w:right w:w="108" w:type="dxa"/>
          </w:tblCellMar>
        </w:tblPrEx>
        <w:trPr>
          <w:trHeight w:val="225" w:hRule="atLeast"/>
        </w:trPr>
        <w:tc>
          <w:tcPr>
            <w:tcW w:w="2082" w:type="dxa"/>
            <w:vMerge w:val="continue"/>
            <w:tcBorders>
              <w:top w:val="nil"/>
              <w:left w:val="single" w:color="auto" w:sz="4" w:space="0"/>
              <w:bottom w:val="single" w:color="auto" w:sz="4" w:space="0"/>
              <w:right w:val="single" w:color="auto" w:sz="4" w:space="0"/>
            </w:tcBorders>
            <w:vAlign w:val="center"/>
          </w:tcPr>
          <w:p w14:paraId="5EB37033">
            <w:pPr>
              <w:widowControl/>
              <w:shd w:val="clear"/>
              <w:wordWrap w:val="0"/>
              <w:spacing w:line="336" w:lineRule="auto"/>
              <w:jc w:val="left"/>
              <w:rPr>
                <w:rFonts w:asciiTheme="minorEastAsia" w:hAnsiTheme="minorEastAsia" w:eastAsiaTheme="minorEastAsia" w:cstheme="minorEastAsia"/>
                <w:b/>
                <w:bCs/>
                <w:color w:val="auto"/>
                <w:kern w:val="0"/>
                <w:sz w:val="18"/>
                <w:szCs w:val="18"/>
                <w:highlight w:val="none"/>
              </w:rPr>
            </w:pPr>
          </w:p>
        </w:tc>
        <w:tc>
          <w:tcPr>
            <w:tcW w:w="2081" w:type="dxa"/>
            <w:tcBorders>
              <w:top w:val="nil"/>
              <w:left w:val="nil"/>
              <w:bottom w:val="single" w:color="auto" w:sz="4" w:space="0"/>
              <w:right w:val="single" w:color="auto" w:sz="4" w:space="0"/>
            </w:tcBorders>
            <w:vAlign w:val="center"/>
          </w:tcPr>
          <w:p w14:paraId="67B8F9D7">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892" w:type="dxa"/>
            <w:tcBorders>
              <w:top w:val="nil"/>
              <w:left w:val="nil"/>
              <w:bottom w:val="single" w:color="auto" w:sz="4" w:space="0"/>
              <w:right w:val="single" w:color="auto" w:sz="4" w:space="0"/>
            </w:tcBorders>
            <w:vAlign w:val="center"/>
          </w:tcPr>
          <w:p w14:paraId="7F1D4F8F">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32" w:type="dxa"/>
            <w:tcBorders>
              <w:top w:val="nil"/>
              <w:left w:val="nil"/>
              <w:bottom w:val="single" w:color="auto" w:sz="4" w:space="0"/>
              <w:right w:val="single" w:color="auto" w:sz="4" w:space="0"/>
            </w:tcBorders>
            <w:vAlign w:val="center"/>
          </w:tcPr>
          <w:p w14:paraId="4F6DD75A">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2000≤Y＜40000</w:t>
            </w:r>
          </w:p>
        </w:tc>
        <w:tc>
          <w:tcPr>
            <w:tcW w:w="1785" w:type="dxa"/>
            <w:tcBorders>
              <w:top w:val="nil"/>
              <w:left w:val="nil"/>
              <w:bottom w:val="single" w:color="auto" w:sz="4" w:space="0"/>
              <w:right w:val="single" w:color="auto" w:sz="4" w:space="0"/>
            </w:tcBorders>
            <w:vAlign w:val="center"/>
          </w:tcPr>
          <w:p w14:paraId="359D0F73">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300≤Y＜2000</w:t>
            </w:r>
          </w:p>
        </w:tc>
        <w:tc>
          <w:tcPr>
            <w:tcW w:w="1189" w:type="dxa"/>
            <w:tcBorders>
              <w:top w:val="nil"/>
              <w:left w:val="nil"/>
              <w:bottom w:val="single" w:color="auto" w:sz="4" w:space="0"/>
              <w:right w:val="single" w:color="auto" w:sz="4" w:space="0"/>
            </w:tcBorders>
            <w:vAlign w:val="center"/>
          </w:tcPr>
          <w:p w14:paraId="6F529E64">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Y＜300</w:t>
            </w:r>
          </w:p>
        </w:tc>
      </w:tr>
      <w:tr w14:paraId="483FC300">
        <w:tblPrEx>
          <w:tblCellMar>
            <w:top w:w="0" w:type="dxa"/>
            <w:left w:w="108" w:type="dxa"/>
            <w:bottom w:w="0" w:type="dxa"/>
            <w:right w:w="108" w:type="dxa"/>
          </w:tblCellMar>
        </w:tblPrEx>
        <w:trPr>
          <w:trHeight w:val="225" w:hRule="atLeast"/>
        </w:trPr>
        <w:tc>
          <w:tcPr>
            <w:tcW w:w="2082" w:type="dxa"/>
            <w:vMerge w:val="restart"/>
            <w:tcBorders>
              <w:top w:val="nil"/>
              <w:left w:val="single" w:color="auto" w:sz="4" w:space="0"/>
              <w:bottom w:val="single" w:color="auto" w:sz="4" w:space="0"/>
              <w:right w:val="single" w:color="auto" w:sz="4" w:space="0"/>
            </w:tcBorders>
            <w:vAlign w:val="bottom"/>
          </w:tcPr>
          <w:p w14:paraId="18CE44D5">
            <w:pPr>
              <w:widowControl/>
              <w:shd w:val="clear"/>
              <w:wordWrap w:val="0"/>
              <w:spacing w:line="336" w:lineRule="auto"/>
              <w:jc w:val="center"/>
              <w:rPr>
                <w:rFonts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建筑业</w:t>
            </w:r>
          </w:p>
        </w:tc>
        <w:tc>
          <w:tcPr>
            <w:tcW w:w="2081" w:type="dxa"/>
            <w:tcBorders>
              <w:top w:val="nil"/>
              <w:left w:val="nil"/>
              <w:bottom w:val="single" w:color="auto" w:sz="4" w:space="0"/>
              <w:right w:val="single" w:color="auto" w:sz="4" w:space="0"/>
            </w:tcBorders>
            <w:vAlign w:val="center"/>
          </w:tcPr>
          <w:p w14:paraId="01D40B39">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892" w:type="dxa"/>
            <w:tcBorders>
              <w:top w:val="nil"/>
              <w:left w:val="nil"/>
              <w:bottom w:val="single" w:color="auto" w:sz="4" w:space="0"/>
              <w:right w:val="single" w:color="auto" w:sz="4" w:space="0"/>
            </w:tcBorders>
            <w:vAlign w:val="center"/>
          </w:tcPr>
          <w:p w14:paraId="519B4A47">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32" w:type="dxa"/>
            <w:tcBorders>
              <w:top w:val="nil"/>
              <w:left w:val="nil"/>
              <w:bottom w:val="single" w:color="auto" w:sz="4" w:space="0"/>
              <w:right w:val="single" w:color="auto" w:sz="4" w:space="0"/>
            </w:tcBorders>
            <w:vAlign w:val="center"/>
          </w:tcPr>
          <w:p w14:paraId="66CD9757">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6000≤Y＜80000</w:t>
            </w:r>
          </w:p>
        </w:tc>
        <w:tc>
          <w:tcPr>
            <w:tcW w:w="1785" w:type="dxa"/>
            <w:tcBorders>
              <w:top w:val="nil"/>
              <w:left w:val="nil"/>
              <w:bottom w:val="single" w:color="auto" w:sz="4" w:space="0"/>
              <w:right w:val="single" w:color="auto" w:sz="4" w:space="0"/>
            </w:tcBorders>
            <w:vAlign w:val="center"/>
          </w:tcPr>
          <w:p w14:paraId="0EC1E3F8">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300≤Y＜6000</w:t>
            </w:r>
          </w:p>
        </w:tc>
        <w:tc>
          <w:tcPr>
            <w:tcW w:w="1189" w:type="dxa"/>
            <w:tcBorders>
              <w:top w:val="nil"/>
              <w:left w:val="nil"/>
              <w:bottom w:val="single" w:color="auto" w:sz="4" w:space="0"/>
              <w:right w:val="single" w:color="auto" w:sz="4" w:space="0"/>
            </w:tcBorders>
            <w:vAlign w:val="center"/>
          </w:tcPr>
          <w:p w14:paraId="15AD0254">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Y＜300</w:t>
            </w:r>
          </w:p>
        </w:tc>
      </w:tr>
      <w:tr w14:paraId="7720BE62">
        <w:tblPrEx>
          <w:tblCellMar>
            <w:top w:w="0" w:type="dxa"/>
            <w:left w:w="108" w:type="dxa"/>
            <w:bottom w:w="0" w:type="dxa"/>
            <w:right w:w="108" w:type="dxa"/>
          </w:tblCellMar>
        </w:tblPrEx>
        <w:trPr>
          <w:trHeight w:val="225" w:hRule="atLeast"/>
        </w:trPr>
        <w:tc>
          <w:tcPr>
            <w:tcW w:w="2082" w:type="dxa"/>
            <w:vMerge w:val="continue"/>
            <w:tcBorders>
              <w:top w:val="nil"/>
              <w:left w:val="single" w:color="auto" w:sz="4" w:space="0"/>
              <w:bottom w:val="single" w:color="auto" w:sz="4" w:space="0"/>
              <w:right w:val="single" w:color="auto" w:sz="4" w:space="0"/>
            </w:tcBorders>
            <w:vAlign w:val="center"/>
          </w:tcPr>
          <w:p w14:paraId="71037C3D">
            <w:pPr>
              <w:widowControl/>
              <w:shd w:val="clear"/>
              <w:wordWrap w:val="0"/>
              <w:spacing w:line="336" w:lineRule="auto"/>
              <w:jc w:val="left"/>
              <w:rPr>
                <w:rFonts w:asciiTheme="minorEastAsia" w:hAnsiTheme="minorEastAsia" w:eastAsiaTheme="minorEastAsia" w:cstheme="minorEastAsia"/>
                <w:b/>
                <w:bCs/>
                <w:color w:val="auto"/>
                <w:kern w:val="0"/>
                <w:sz w:val="18"/>
                <w:szCs w:val="18"/>
                <w:highlight w:val="none"/>
              </w:rPr>
            </w:pPr>
          </w:p>
        </w:tc>
        <w:tc>
          <w:tcPr>
            <w:tcW w:w="2081" w:type="dxa"/>
            <w:tcBorders>
              <w:top w:val="nil"/>
              <w:left w:val="nil"/>
              <w:bottom w:val="single" w:color="auto" w:sz="4" w:space="0"/>
              <w:right w:val="single" w:color="auto" w:sz="4" w:space="0"/>
            </w:tcBorders>
            <w:vAlign w:val="center"/>
          </w:tcPr>
          <w:p w14:paraId="705E481B">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资产总额（Z）</w:t>
            </w:r>
          </w:p>
        </w:tc>
        <w:tc>
          <w:tcPr>
            <w:tcW w:w="892" w:type="dxa"/>
            <w:tcBorders>
              <w:top w:val="nil"/>
              <w:left w:val="nil"/>
              <w:bottom w:val="single" w:color="auto" w:sz="4" w:space="0"/>
              <w:right w:val="single" w:color="auto" w:sz="4" w:space="0"/>
            </w:tcBorders>
            <w:vAlign w:val="center"/>
          </w:tcPr>
          <w:p w14:paraId="5262C563">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32" w:type="dxa"/>
            <w:tcBorders>
              <w:top w:val="nil"/>
              <w:left w:val="nil"/>
              <w:bottom w:val="single" w:color="auto" w:sz="4" w:space="0"/>
              <w:right w:val="single" w:color="auto" w:sz="4" w:space="0"/>
            </w:tcBorders>
            <w:vAlign w:val="center"/>
          </w:tcPr>
          <w:p w14:paraId="287E9A10">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5000≤Z＜80000</w:t>
            </w:r>
          </w:p>
        </w:tc>
        <w:tc>
          <w:tcPr>
            <w:tcW w:w="1785" w:type="dxa"/>
            <w:tcBorders>
              <w:top w:val="nil"/>
              <w:left w:val="nil"/>
              <w:bottom w:val="single" w:color="auto" w:sz="4" w:space="0"/>
              <w:right w:val="single" w:color="auto" w:sz="4" w:space="0"/>
            </w:tcBorders>
            <w:vAlign w:val="center"/>
          </w:tcPr>
          <w:p w14:paraId="55134BBB">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300≤Z＜5000</w:t>
            </w:r>
          </w:p>
        </w:tc>
        <w:tc>
          <w:tcPr>
            <w:tcW w:w="1189" w:type="dxa"/>
            <w:tcBorders>
              <w:top w:val="nil"/>
              <w:left w:val="nil"/>
              <w:bottom w:val="single" w:color="auto" w:sz="4" w:space="0"/>
              <w:right w:val="single" w:color="auto" w:sz="4" w:space="0"/>
            </w:tcBorders>
            <w:vAlign w:val="center"/>
          </w:tcPr>
          <w:p w14:paraId="627FBC90">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Z＜300</w:t>
            </w:r>
          </w:p>
        </w:tc>
      </w:tr>
      <w:tr w14:paraId="75BB29C3">
        <w:tblPrEx>
          <w:tblCellMar>
            <w:top w:w="0" w:type="dxa"/>
            <w:left w:w="108" w:type="dxa"/>
            <w:bottom w:w="0" w:type="dxa"/>
            <w:right w:w="108" w:type="dxa"/>
          </w:tblCellMar>
        </w:tblPrEx>
        <w:trPr>
          <w:trHeight w:val="225" w:hRule="atLeast"/>
        </w:trPr>
        <w:tc>
          <w:tcPr>
            <w:tcW w:w="2082" w:type="dxa"/>
            <w:vMerge w:val="restart"/>
            <w:tcBorders>
              <w:top w:val="nil"/>
              <w:left w:val="single" w:color="auto" w:sz="4" w:space="0"/>
              <w:bottom w:val="single" w:color="auto" w:sz="4" w:space="0"/>
              <w:right w:val="single" w:color="auto" w:sz="4" w:space="0"/>
            </w:tcBorders>
            <w:vAlign w:val="bottom"/>
          </w:tcPr>
          <w:p w14:paraId="4A29062F">
            <w:pPr>
              <w:widowControl/>
              <w:shd w:val="clear"/>
              <w:wordWrap w:val="0"/>
              <w:spacing w:line="336" w:lineRule="auto"/>
              <w:jc w:val="center"/>
              <w:rPr>
                <w:rFonts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批发业</w:t>
            </w:r>
          </w:p>
        </w:tc>
        <w:tc>
          <w:tcPr>
            <w:tcW w:w="2081" w:type="dxa"/>
            <w:tcBorders>
              <w:top w:val="nil"/>
              <w:left w:val="nil"/>
              <w:bottom w:val="single" w:color="auto" w:sz="4" w:space="0"/>
              <w:right w:val="single" w:color="auto" w:sz="4" w:space="0"/>
            </w:tcBorders>
            <w:vAlign w:val="center"/>
          </w:tcPr>
          <w:p w14:paraId="60AA91CC">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892" w:type="dxa"/>
            <w:tcBorders>
              <w:top w:val="nil"/>
              <w:left w:val="nil"/>
              <w:bottom w:val="single" w:color="auto" w:sz="4" w:space="0"/>
              <w:right w:val="single" w:color="auto" w:sz="4" w:space="0"/>
            </w:tcBorders>
            <w:vAlign w:val="center"/>
          </w:tcPr>
          <w:p w14:paraId="4CEB79D7">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932" w:type="dxa"/>
            <w:tcBorders>
              <w:top w:val="nil"/>
              <w:left w:val="nil"/>
              <w:bottom w:val="single" w:color="auto" w:sz="4" w:space="0"/>
              <w:right w:val="single" w:color="auto" w:sz="4" w:space="0"/>
            </w:tcBorders>
            <w:vAlign w:val="center"/>
          </w:tcPr>
          <w:p w14:paraId="32FC9DF2">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20≤X＜200</w:t>
            </w:r>
          </w:p>
        </w:tc>
        <w:tc>
          <w:tcPr>
            <w:tcW w:w="1785" w:type="dxa"/>
            <w:tcBorders>
              <w:top w:val="nil"/>
              <w:left w:val="nil"/>
              <w:bottom w:val="single" w:color="auto" w:sz="4" w:space="0"/>
              <w:right w:val="single" w:color="auto" w:sz="4" w:space="0"/>
            </w:tcBorders>
            <w:vAlign w:val="center"/>
          </w:tcPr>
          <w:p w14:paraId="20B1EA21">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5≤X＜20</w:t>
            </w:r>
          </w:p>
        </w:tc>
        <w:tc>
          <w:tcPr>
            <w:tcW w:w="1189" w:type="dxa"/>
            <w:tcBorders>
              <w:top w:val="nil"/>
              <w:left w:val="nil"/>
              <w:bottom w:val="single" w:color="auto" w:sz="4" w:space="0"/>
              <w:right w:val="single" w:color="auto" w:sz="4" w:space="0"/>
            </w:tcBorders>
            <w:vAlign w:val="center"/>
          </w:tcPr>
          <w:p w14:paraId="50675C2D">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X＜5</w:t>
            </w:r>
          </w:p>
        </w:tc>
      </w:tr>
      <w:tr w14:paraId="4BD87FB7">
        <w:tblPrEx>
          <w:tblCellMar>
            <w:top w:w="0" w:type="dxa"/>
            <w:left w:w="108" w:type="dxa"/>
            <w:bottom w:w="0" w:type="dxa"/>
            <w:right w:w="108" w:type="dxa"/>
          </w:tblCellMar>
        </w:tblPrEx>
        <w:trPr>
          <w:trHeight w:val="225" w:hRule="atLeast"/>
        </w:trPr>
        <w:tc>
          <w:tcPr>
            <w:tcW w:w="2082" w:type="dxa"/>
            <w:vMerge w:val="continue"/>
            <w:tcBorders>
              <w:top w:val="nil"/>
              <w:left w:val="single" w:color="auto" w:sz="4" w:space="0"/>
              <w:bottom w:val="single" w:color="auto" w:sz="4" w:space="0"/>
              <w:right w:val="single" w:color="auto" w:sz="4" w:space="0"/>
            </w:tcBorders>
            <w:vAlign w:val="center"/>
          </w:tcPr>
          <w:p w14:paraId="058EBDF6">
            <w:pPr>
              <w:widowControl/>
              <w:shd w:val="clear"/>
              <w:wordWrap w:val="0"/>
              <w:spacing w:line="336" w:lineRule="auto"/>
              <w:jc w:val="left"/>
              <w:rPr>
                <w:rFonts w:asciiTheme="minorEastAsia" w:hAnsiTheme="minorEastAsia" w:eastAsiaTheme="minorEastAsia" w:cstheme="minorEastAsia"/>
                <w:b/>
                <w:bCs/>
                <w:color w:val="auto"/>
                <w:kern w:val="0"/>
                <w:sz w:val="18"/>
                <w:szCs w:val="18"/>
                <w:highlight w:val="none"/>
              </w:rPr>
            </w:pPr>
          </w:p>
        </w:tc>
        <w:tc>
          <w:tcPr>
            <w:tcW w:w="2081" w:type="dxa"/>
            <w:tcBorders>
              <w:top w:val="nil"/>
              <w:left w:val="nil"/>
              <w:bottom w:val="single" w:color="auto" w:sz="4" w:space="0"/>
              <w:right w:val="single" w:color="auto" w:sz="4" w:space="0"/>
            </w:tcBorders>
            <w:vAlign w:val="center"/>
          </w:tcPr>
          <w:p w14:paraId="07BA8EAD">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892" w:type="dxa"/>
            <w:tcBorders>
              <w:top w:val="nil"/>
              <w:left w:val="nil"/>
              <w:bottom w:val="single" w:color="auto" w:sz="4" w:space="0"/>
              <w:right w:val="single" w:color="auto" w:sz="4" w:space="0"/>
            </w:tcBorders>
            <w:vAlign w:val="center"/>
          </w:tcPr>
          <w:p w14:paraId="6601C71D">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32" w:type="dxa"/>
            <w:tcBorders>
              <w:top w:val="nil"/>
              <w:left w:val="nil"/>
              <w:bottom w:val="single" w:color="auto" w:sz="4" w:space="0"/>
              <w:right w:val="single" w:color="auto" w:sz="4" w:space="0"/>
            </w:tcBorders>
            <w:vAlign w:val="center"/>
          </w:tcPr>
          <w:p w14:paraId="314B88BD">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5000≤Y＜40000</w:t>
            </w:r>
          </w:p>
        </w:tc>
        <w:tc>
          <w:tcPr>
            <w:tcW w:w="1785" w:type="dxa"/>
            <w:tcBorders>
              <w:top w:val="nil"/>
              <w:left w:val="nil"/>
              <w:bottom w:val="single" w:color="auto" w:sz="4" w:space="0"/>
              <w:right w:val="single" w:color="auto" w:sz="4" w:space="0"/>
            </w:tcBorders>
            <w:vAlign w:val="center"/>
          </w:tcPr>
          <w:p w14:paraId="14864ACC">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1000≤Y＜5000</w:t>
            </w:r>
          </w:p>
        </w:tc>
        <w:tc>
          <w:tcPr>
            <w:tcW w:w="1189" w:type="dxa"/>
            <w:tcBorders>
              <w:top w:val="nil"/>
              <w:left w:val="nil"/>
              <w:bottom w:val="single" w:color="auto" w:sz="4" w:space="0"/>
              <w:right w:val="single" w:color="auto" w:sz="4" w:space="0"/>
            </w:tcBorders>
            <w:vAlign w:val="center"/>
          </w:tcPr>
          <w:p w14:paraId="2014912E">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Y＜1000</w:t>
            </w:r>
          </w:p>
        </w:tc>
      </w:tr>
      <w:tr w14:paraId="3DC14CD3">
        <w:tblPrEx>
          <w:tblCellMar>
            <w:top w:w="0" w:type="dxa"/>
            <w:left w:w="108" w:type="dxa"/>
            <w:bottom w:w="0" w:type="dxa"/>
            <w:right w:w="108" w:type="dxa"/>
          </w:tblCellMar>
        </w:tblPrEx>
        <w:trPr>
          <w:trHeight w:val="225" w:hRule="atLeast"/>
        </w:trPr>
        <w:tc>
          <w:tcPr>
            <w:tcW w:w="2082" w:type="dxa"/>
            <w:vMerge w:val="restart"/>
            <w:tcBorders>
              <w:top w:val="nil"/>
              <w:left w:val="single" w:color="auto" w:sz="4" w:space="0"/>
              <w:bottom w:val="single" w:color="auto" w:sz="4" w:space="0"/>
              <w:right w:val="single" w:color="auto" w:sz="4" w:space="0"/>
            </w:tcBorders>
            <w:vAlign w:val="bottom"/>
          </w:tcPr>
          <w:p w14:paraId="13FDEC62">
            <w:pPr>
              <w:widowControl/>
              <w:shd w:val="clear"/>
              <w:wordWrap w:val="0"/>
              <w:spacing w:line="336" w:lineRule="auto"/>
              <w:jc w:val="center"/>
              <w:rPr>
                <w:rFonts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零售业</w:t>
            </w:r>
          </w:p>
        </w:tc>
        <w:tc>
          <w:tcPr>
            <w:tcW w:w="2081" w:type="dxa"/>
            <w:tcBorders>
              <w:top w:val="nil"/>
              <w:left w:val="nil"/>
              <w:bottom w:val="single" w:color="auto" w:sz="4" w:space="0"/>
              <w:right w:val="single" w:color="auto" w:sz="4" w:space="0"/>
            </w:tcBorders>
            <w:vAlign w:val="center"/>
          </w:tcPr>
          <w:p w14:paraId="65CA7E7E">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892" w:type="dxa"/>
            <w:tcBorders>
              <w:top w:val="nil"/>
              <w:left w:val="nil"/>
              <w:bottom w:val="single" w:color="auto" w:sz="4" w:space="0"/>
              <w:right w:val="single" w:color="auto" w:sz="4" w:space="0"/>
            </w:tcBorders>
            <w:vAlign w:val="center"/>
          </w:tcPr>
          <w:p w14:paraId="178FA700">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932" w:type="dxa"/>
            <w:tcBorders>
              <w:top w:val="nil"/>
              <w:left w:val="nil"/>
              <w:bottom w:val="single" w:color="auto" w:sz="4" w:space="0"/>
              <w:right w:val="single" w:color="auto" w:sz="4" w:space="0"/>
            </w:tcBorders>
            <w:vAlign w:val="center"/>
          </w:tcPr>
          <w:p w14:paraId="769FA155">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50≤X＜300</w:t>
            </w:r>
          </w:p>
        </w:tc>
        <w:tc>
          <w:tcPr>
            <w:tcW w:w="1785" w:type="dxa"/>
            <w:tcBorders>
              <w:top w:val="nil"/>
              <w:left w:val="nil"/>
              <w:bottom w:val="single" w:color="auto" w:sz="4" w:space="0"/>
              <w:right w:val="single" w:color="auto" w:sz="4" w:space="0"/>
            </w:tcBorders>
            <w:vAlign w:val="center"/>
          </w:tcPr>
          <w:p w14:paraId="1163B0D6">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10≤X＜50</w:t>
            </w:r>
          </w:p>
        </w:tc>
        <w:tc>
          <w:tcPr>
            <w:tcW w:w="1189" w:type="dxa"/>
            <w:tcBorders>
              <w:top w:val="nil"/>
              <w:left w:val="nil"/>
              <w:bottom w:val="single" w:color="auto" w:sz="4" w:space="0"/>
              <w:right w:val="single" w:color="auto" w:sz="4" w:space="0"/>
            </w:tcBorders>
            <w:vAlign w:val="center"/>
          </w:tcPr>
          <w:p w14:paraId="128D395F">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15871F4F">
        <w:tblPrEx>
          <w:tblCellMar>
            <w:top w:w="0" w:type="dxa"/>
            <w:left w:w="108" w:type="dxa"/>
            <w:bottom w:w="0" w:type="dxa"/>
            <w:right w:w="108" w:type="dxa"/>
          </w:tblCellMar>
        </w:tblPrEx>
        <w:trPr>
          <w:trHeight w:val="225" w:hRule="atLeast"/>
        </w:trPr>
        <w:tc>
          <w:tcPr>
            <w:tcW w:w="2082" w:type="dxa"/>
            <w:vMerge w:val="continue"/>
            <w:tcBorders>
              <w:top w:val="nil"/>
              <w:left w:val="single" w:color="auto" w:sz="4" w:space="0"/>
              <w:bottom w:val="single" w:color="auto" w:sz="4" w:space="0"/>
              <w:right w:val="single" w:color="auto" w:sz="4" w:space="0"/>
            </w:tcBorders>
            <w:vAlign w:val="center"/>
          </w:tcPr>
          <w:p w14:paraId="764CAF84">
            <w:pPr>
              <w:widowControl/>
              <w:shd w:val="clear"/>
              <w:wordWrap w:val="0"/>
              <w:spacing w:line="336" w:lineRule="auto"/>
              <w:jc w:val="left"/>
              <w:rPr>
                <w:rFonts w:asciiTheme="minorEastAsia" w:hAnsiTheme="minorEastAsia" w:eastAsiaTheme="minorEastAsia" w:cstheme="minorEastAsia"/>
                <w:b/>
                <w:bCs/>
                <w:color w:val="auto"/>
                <w:kern w:val="0"/>
                <w:sz w:val="18"/>
                <w:szCs w:val="18"/>
                <w:highlight w:val="none"/>
              </w:rPr>
            </w:pPr>
          </w:p>
        </w:tc>
        <w:tc>
          <w:tcPr>
            <w:tcW w:w="2081" w:type="dxa"/>
            <w:tcBorders>
              <w:top w:val="nil"/>
              <w:left w:val="nil"/>
              <w:bottom w:val="single" w:color="auto" w:sz="4" w:space="0"/>
              <w:right w:val="single" w:color="auto" w:sz="4" w:space="0"/>
            </w:tcBorders>
            <w:vAlign w:val="center"/>
          </w:tcPr>
          <w:p w14:paraId="6FE47984">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892" w:type="dxa"/>
            <w:tcBorders>
              <w:top w:val="nil"/>
              <w:left w:val="nil"/>
              <w:bottom w:val="single" w:color="auto" w:sz="4" w:space="0"/>
              <w:right w:val="single" w:color="auto" w:sz="4" w:space="0"/>
            </w:tcBorders>
            <w:vAlign w:val="center"/>
          </w:tcPr>
          <w:p w14:paraId="464556C7">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32" w:type="dxa"/>
            <w:tcBorders>
              <w:top w:val="nil"/>
              <w:left w:val="nil"/>
              <w:bottom w:val="single" w:color="auto" w:sz="4" w:space="0"/>
              <w:right w:val="single" w:color="auto" w:sz="4" w:space="0"/>
            </w:tcBorders>
            <w:vAlign w:val="center"/>
          </w:tcPr>
          <w:p w14:paraId="42AB9F7E">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500≤Y＜20000</w:t>
            </w:r>
          </w:p>
        </w:tc>
        <w:tc>
          <w:tcPr>
            <w:tcW w:w="1785" w:type="dxa"/>
            <w:tcBorders>
              <w:top w:val="nil"/>
              <w:left w:val="nil"/>
              <w:bottom w:val="single" w:color="auto" w:sz="4" w:space="0"/>
              <w:right w:val="single" w:color="auto" w:sz="4" w:space="0"/>
            </w:tcBorders>
            <w:vAlign w:val="center"/>
          </w:tcPr>
          <w:p w14:paraId="15DEA941">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100≤Y＜500</w:t>
            </w:r>
          </w:p>
        </w:tc>
        <w:tc>
          <w:tcPr>
            <w:tcW w:w="1189" w:type="dxa"/>
            <w:tcBorders>
              <w:top w:val="nil"/>
              <w:left w:val="nil"/>
              <w:bottom w:val="single" w:color="auto" w:sz="4" w:space="0"/>
              <w:right w:val="single" w:color="auto" w:sz="4" w:space="0"/>
            </w:tcBorders>
            <w:vAlign w:val="center"/>
          </w:tcPr>
          <w:p w14:paraId="68B88DDC">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361965BC">
        <w:tblPrEx>
          <w:tblCellMar>
            <w:top w:w="0" w:type="dxa"/>
            <w:left w:w="108" w:type="dxa"/>
            <w:bottom w:w="0" w:type="dxa"/>
            <w:right w:w="108" w:type="dxa"/>
          </w:tblCellMar>
        </w:tblPrEx>
        <w:trPr>
          <w:trHeight w:val="225" w:hRule="atLeast"/>
        </w:trPr>
        <w:tc>
          <w:tcPr>
            <w:tcW w:w="2082" w:type="dxa"/>
            <w:vMerge w:val="restart"/>
            <w:tcBorders>
              <w:top w:val="nil"/>
              <w:left w:val="single" w:color="auto" w:sz="4" w:space="0"/>
              <w:bottom w:val="single" w:color="auto" w:sz="4" w:space="0"/>
              <w:right w:val="single" w:color="auto" w:sz="4" w:space="0"/>
            </w:tcBorders>
            <w:vAlign w:val="bottom"/>
          </w:tcPr>
          <w:p w14:paraId="34CC6640">
            <w:pPr>
              <w:widowControl/>
              <w:shd w:val="clear"/>
              <w:wordWrap w:val="0"/>
              <w:spacing w:line="336" w:lineRule="auto"/>
              <w:jc w:val="center"/>
              <w:rPr>
                <w:rFonts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交通运输业</w:t>
            </w:r>
          </w:p>
        </w:tc>
        <w:tc>
          <w:tcPr>
            <w:tcW w:w="2081" w:type="dxa"/>
            <w:tcBorders>
              <w:top w:val="nil"/>
              <w:left w:val="nil"/>
              <w:bottom w:val="single" w:color="auto" w:sz="4" w:space="0"/>
              <w:right w:val="single" w:color="auto" w:sz="4" w:space="0"/>
            </w:tcBorders>
            <w:vAlign w:val="center"/>
          </w:tcPr>
          <w:p w14:paraId="08A778B3">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892" w:type="dxa"/>
            <w:tcBorders>
              <w:top w:val="nil"/>
              <w:left w:val="nil"/>
              <w:bottom w:val="single" w:color="auto" w:sz="4" w:space="0"/>
              <w:right w:val="single" w:color="auto" w:sz="4" w:space="0"/>
            </w:tcBorders>
            <w:vAlign w:val="center"/>
          </w:tcPr>
          <w:p w14:paraId="14A4B5A2">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932" w:type="dxa"/>
            <w:tcBorders>
              <w:top w:val="nil"/>
              <w:left w:val="nil"/>
              <w:bottom w:val="single" w:color="auto" w:sz="4" w:space="0"/>
              <w:right w:val="single" w:color="auto" w:sz="4" w:space="0"/>
            </w:tcBorders>
            <w:vAlign w:val="center"/>
          </w:tcPr>
          <w:p w14:paraId="0E5270CD">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300≤X＜1000</w:t>
            </w:r>
          </w:p>
        </w:tc>
        <w:tc>
          <w:tcPr>
            <w:tcW w:w="1785" w:type="dxa"/>
            <w:tcBorders>
              <w:top w:val="nil"/>
              <w:left w:val="nil"/>
              <w:bottom w:val="single" w:color="auto" w:sz="4" w:space="0"/>
              <w:right w:val="single" w:color="auto" w:sz="4" w:space="0"/>
            </w:tcBorders>
            <w:vAlign w:val="center"/>
          </w:tcPr>
          <w:p w14:paraId="5FE27584">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20≤X＜300</w:t>
            </w:r>
          </w:p>
        </w:tc>
        <w:tc>
          <w:tcPr>
            <w:tcW w:w="1189" w:type="dxa"/>
            <w:tcBorders>
              <w:top w:val="nil"/>
              <w:left w:val="nil"/>
              <w:bottom w:val="single" w:color="auto" w:sz="4" w:space="0"/>
              <w:right w:val="single" w:color="auto" w:sz="4" w:space="0"/>
            </w:tcBorders>
            <w:vAlign w:val="center"/>
          </w:tcPr>
          <w:p w14:paraId="0FF9675A">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w:t>
            </w:r>
          </w:p>
        </w:tc>
      </w:tr>
      <w:tr w14:paraId="2383AB1C">
        <w:tblPrEx>
          <w:tblCellMar>
            <w:top w:w="0" w:type="dxa"/>
            <w:left w:w="108" w:type="dxa"/>
            <w:bottom w:w="0" w:type="dxa"/>
            <w:right w:w="108" w:type="dxa"/>
          </w:tblCellMar>
        </w:tblPrEx>
        <w:trPr>
          <w:trHeight w:val="225" w:hRule="atLeast"/>
        </w:trPr>
        <w:tc>
          <w:tcPr>
            <w:tcW w:w="2082" w:type="dxa"/>
            <w:vMerge w:val="continue"/>
            <w:tcBorders>
              <w:top w:val="nil"/>
              <w:left w:val="single" w:color="auto" w:sz="4" w:space="0"/>
              <w:bottom w:val="single" w:color="auto" w:sz="4" w:space="0"/>
              <w:right w:val="single" w:color="auto" w:sz="4" w:space="0"/>
            </w:tcBorders>
            <w:vAlign w:val="center"/>
          </w:tcPr>
          <w:p w14:paraId="65BD2902">
            <w:pPr>
              <w:widowControl/>
              <w:shd w:val="clear"/>
              <w:wordWrap w:val="0"/>
              <w:spacing w:line="336" w:lineRule="auto"/>
              <w:jc w:val="left"/>
              <w:rPr>
                <w:rFonts w:asciiTheme="minorEastAsia" w:hAnsiTheme="minorEastAsia" w:eastAsiaTheme="minorEastAsia" w:cstheme="minorEastAsia"/>
                <w:b/>
                <w:bCs/>
                <w:color w:val="auto"/>
                <w:kern w:val="0"/>
                <w:sz w:val="18"/>
                <w:szCs w:val="18"/>
                <w:highlight w:val="none"/>
              </w:rPr>
            </w:pPr>
          </w:p>
        </w:tc>
        <w:tc>
          <w:tcPr>
            <w:tcW w:w="2081" w:type="dxa"/>
            <w:tcBorders>
              <w:top w:val="nil"/>
              <w:left w:val="nil"/>
              <w:bottom w:val="single" w:color="auto" w:sz="4" w:space="0"/>
              <w:right w:val="single" w:color="auto" w:sz="4" w:space="0"/>
            </w:tcBorders>
            <w:vAlign w:val="center"/>
          </w:tcPr>
          <w:p w14:paraId="2059E756">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892" w:type="dxa"/>
            <w:tcBorders>
              <w:top w:val="nil"/>
              <w:left w:val="nil"/>
              <w:bottom w:val="single" w:color="auto" w:sz="4" w:space="0"/>
              <w:right w:val="single" w:color="auto" w:sz="4" w:space="0"/>
            </w:tcBorders>
            <w:vAlign w:val="center"/>
          </w:tcPr>
          <w:p w14:paraId="28F85148">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32" w:type="dxa"/>
            <w:tcBorders>
              <w:top w:val="nil"/>
              <w:left w:val="nil"/>
              <w:bottom w:val="single" w:color="auto" w:sz="4" w:space="0"/>
              <w:right w:val="single" w:color="auto" w:sz="4" w:space="0"/>
            </w:tcBorders>
            <w:vAlign w:val="center"/>
          </w:tcPr>
          <w:p w14:paraId="21F7EBA5">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3000≤Y＜30000</w:t>
            </w:r>
          </w:p>
        </w:tc>
        <w:tc>
          <w:tcPr>
            <w:tcW w:w="1785" w:type="dxa"/>
            <w:tcBorders>
              <w:top w:val="nil"/>
              <w:left w:val="nil"/>
              <w:bottom w:val="single" w:color="auto" w:sz="4" w:space="0"/>
              <w:right w:val="single" w:color="auto" w:sz="4" w:space="0"/>
            </w:tcBorders>
            <w:vAlign w:val="center"/>
          </w:tcPr>
          <w:p w14:paraId="2703B8A2">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200≤Y＜3000</w:t>
            </w:r>
          </w:p>
        </w:tc>
        <w:tc>
          <w:tcPr>
            <w:tcW w:w="1189" w:type="dxa"/>
            <w:tcBorders>
              <w:top w:val="nil"/>
              <w:left w:val="nil"/>
              <w:bottom w:val="single" w:color="auto" w:sz="4" w:space="0"/>
              <w:right w:val="single" w:color="auto" w:sz="4" w:space="0"/>
            </w:tcBorders>
            <w:vAlign w:val="center"/>
          </w:tcPr>
          <w:p w14:paraId="1008F1B4">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Y＜200</w:t>
            </w:r>
          </w:p>
        </w:tc>
      </w:tr>
      <w:tr w14:paraId="329FEF92">
        <w:tblPrEx>
          <w:tblCellMar>
            <w:top w:w="0" w:type="dxa"/>
            <w:left w:w="108" w:type="dxa"/>
            <w:bottom w:w="0" w:type="dxa"/>
            <w:right w:w="108" w:type="dxa"/>
          </w:tblCellMar>
        </w:tblPrEx>
        <w:trPr>
          <w:trHeight w:val="225" w:hRule="atLeast"/>
        </w:trPr>
        <w:tc>
          <w:tcPr>
            <w:tcW w:w="2082" w:type="dxa"/>
            <w:vMerge w:val="restart"/>
            <w:tcBorders>
              <w:top w:val="nil"/>
              <w:left w:val="single" w:color="auto" w:sz="4" w:space="0"/>
              <w:bottom w:val="single" w:color="auto" w:sz="4" w:space="0"/>
              <w:right w:val="single" w:color="auto" w:sz="4" w:space="0"/>
            </w:tcBorders>
            <w:vAlign w:val="bottom"/>
          </w:tcPr>
          <w:p w14:paraId="4B8DF452">
            <w:pPr>
              <w:widowControl/>
              <w:shd w:val="clear"/>
              <w:wordWrap w:val="0"/>
              <w:spacing w:line="336" w:lineRule="auto"/>
              <w:jc w:val="center"/>
              <w:rPr>
                <w:rFonts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仓储业</w:t>
            </w:r>
          </w:p>
        </w:tc>
        <w:tc>
          <w:tcPr>
            <w:tcW w:w="2081" w:type="dxa"/>
            <w:tcBorders>
              <w:top w:val="nil"/>
              <w:left w:val="nil"/>
              <w:bottom w:val="single" w:color="auto" w:sz="4" w:space="0"/>
              <w:right w:val="single" w:color="auto" w:sz="4" w:space="0"/>
            </w:tcBorders>
            <w:vAlign w:val="center"/>
          </w:tcPr>
          <w:p w14:paraId="346A6E06">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892" w:type="dxa"/>
            <w:tcBorders>
              <w:top w:val="nil"/>
              <w:left w:val="nil"/>
              <w:bottom w:val="single" w:color="auto" w:sz="4" w:space="0"/>
              <w:right w:val="single" w:color="auto" w:sz="4" w:space="0"/>
            </w:tcBorders>
            <w:vAlign w:val="center"/>
          </w:tcPr>
          <w:p w14:paraId="4C730847">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932" w:type="dxa"/>
            <w:tcBorders>
              <w:top w:val="nil"/>
              <w:left w:val="nil"/>
              <w:bottom w:val="single" w:color="auto" w:sz="4" w:space="0"/>
              <w:right w:val="single" w:color="auto" w:sz="4" w:space="0"/>
            </w:tcBorders>
            <w:vAlign w:val="center"/>
          </w:tcPr>
          <w:p w14:paraId="62B87315">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100≤X＜200</w:t>
            </w:r>
          </w:p>
        </w:tc>
        <w:tc>
          <w:tcPr>
            <w:tcW w:w="1785" w:type="dxa"/>
            <w:tcBorders>
              <w:top w:val="nil"/>
              <w:left w:val="nil"/>
              <w:bottom w:val="single" w:color="auto" w:sz="4" w:space="0"/>
              <w:right w:val="single" w:color="auto" w:sz="4" w:space="0"/>
            </w:tcBorders>
            <w:vAlign w:val="center"/>
          </w:tcPr>
          <w:p w14:paraId="77639D27">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20≤X＜100</w:t>
            </w:r>
          </w:p>
        </w:tc>
        <w:tc>
          <w:tcPr>
            <w:tcW w:w="1189" w:type="dxa"/>
            <w:tcBorders>
              <w:top w:val="nil"/>
              <w:left w:val="nil"/>
              <w:bottom w:val="single" w:color="auto" w:sz="4" w:space="0"/>
              <w:right w:val="single" w:color="auto" w:sz="4" w:space="0"/>
            </w:tcBorders>
            <w:vAlign w:val="center"/>
          </w:tcPr>
          <w:p w14:paraId="5F5CAAEA">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w:t>
            </w:r>
          </w:p>
        </w:tc>
      </w:tr>
      <w:tr w14:paraId="225852B5">
        <w:tblPrEx>
          <w:tblCellMar>
            <w:top w:w="0" w:type="dxa"/>
            <w:left w:w="108" w:type="dxa"/>
            <w:bottom w:w="0" w:type="dxa"/>
            <w:right w:w="108" w:type="dxa"/>
          </w:tblCellMar>
        </w:tblPrEx>
        <w:trPr>
          <w:trHeight w:val="225" w:hRule="atLeast"/>
        </w:trPr>
        <w:tc>
          <w:tcPr>
            <w:tcW w:w="2082" w:type="dxa"/>
            <w:vMerge w:val="continue"/>
            <w:tcBorders>
              <w:top w:val="nil"/>
              <w:left w:val="single" w:color="auto" w:sz="4" w:space="0"/>
              <w:bottom w:val="single" w:color="auto" w:sz="4" w:space="0"/>
              <w:right w:val="single" w:color="auto" w:sz="4" w:space="0"/>
            </w:tcBorders>
            <w:vAlign w:val="center"/>
          </w:tcPr>
          <w:p w14:paraId="6A9330FC">
            <w:pPr>
              <w:widowControl/>
              <w:shd w:val="clear"/>
              <w:wordWrap w:val="0"/>
              <w:spacing w:line="336" w:lineRule="auto"/>
              <w:jc w:val="left"/>
              <w:rPr>
                <w:rFonts w:asciiTheme="minorEastAsia" w:hAnsiTheme="minorEastAsia" w:eastAsiaTheme="minorEastAsia" w:cstheme="minorEastAsia"/>
                <w:b/>
                <w:bCs/>
                <w:color w:val="auto"/>
                <w:kern w:val="0"/>
                <w:sz w:val="18"/>
                <w:szCs w:val="18"/>
                <w:highlight w:val="none"/>
              </w:rPr>
            </w:pPr>
          </w:p>
        </w:tc>
        <w:tc>
          <w:tcPr>
            <w:tcW w:w="2081" w:type="dxa"/>
            <w:tcBorders>
              <w:top w:val="nil"/>
              <w:left w:val="nil"/>
              <w:bottom w:val="single" w:color="auto" w:sz="4" w:space="0"/>
              <w:right w:val="single" w:color="auto" w:sz="4" w:space="0"/>
            </w:tcBorders>
            <w:vAlign w:val="center"/>
          </w:tcPr>
          <w:p w14:paraId="0083AF5A">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892" w:type="dxa"/>
            <w:tcBorders>
              <w:top w:val="nil"/>
              <w:left w:val="nil"/>
              <w:bottom w:val="single" w:color="auto" w:sz="4" w:space="0"/>
              <w:right w:val="single" w:color="auto" w:sz="4" w:space="0"/>
            </w:tcBorders>
            <w:vAlign w:val="center"/>
          </w:tcPr>
          <w:p w14:paraId="5728CF58">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32" w:type="dxa"/>
            <w:tcBorders>
              <w:top w:val="nil"/>
              <w:left w:val="nil"/>
              <w:bottom w:val="single" w:color="auto" w:sz="4" w:space="0"/>
              <w:right w:val="single" w:color="auto" w:sz="4" w:space="0"/>
            </w:tcBorders>
            <w:vAlign w:val="center"/>
          </w:tcPr>
          <w:p w14:paraId="47B05C90">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1000≤Y＜30000</w:t>
            </w:r>
          </w:p>
        </w:tc>
        <w:tc>
          <w:tcPr>
            <w:tcW w:w="1785" w:type="dxa"/>
            <w:tcBorders>
              <w:top w:val="nil"/>
              <w:left w:val="nil"/>
              <w:bottom w:val="single" w:color="auto" w:sz="4" w:space="0"/>
              <w:right w:val="single" w:color="auto" w:sz="4" w:space="0"/>
            </w:tcBorders>
            <w:vAlign w:val="center"/>
          </w:tcPr>
          <w:p w14:paraId="603311EF">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100≤Y＜1000</w:t>
            </w:r>
          </w:p>
        </w:tc>
        <w:tc>
          <w:tcPr>
            <w:tcW w:w="1189" w:type="dxa"/>
            <w:tcBorders>
              <w:top w:val="nil"/>
              <w:left w:val="nil"/>
              <w:bottom w:val="single" w:color="auto" w:sz="4" w:space="0"/>
              <w:right w:val="single" w:color="auto" w:sz="4" w:space="0"/>
            </w:tcBorders>
            <w:vAlign w:val="center"/>
          </w:tcPr>
          <w:p w14:paraId="6D5093A5">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22400F01">
        <w:tblPrEx>
          <w:tblCellMar>
            <w:top w:w="0" w:type="dxa"/>
            <w:left w:w="108" w:type="dxa"/>
            <w:bottom w:w="0" w:type="dxa"/>
            <w:right w:w="108" w:type="dxa"/>
          </w:tblCellMar>
        </w:tblPrEx>
        <w:trPr>
          <w:trHeight w:val="225" w:hRule="atLeast"/>
        </w:trPr>
        <w:tc>
          <w:tcPr>
            <w:tcW w:w="2082" w:type="dxa"/>
            <w:vMerge w:val="restart"/>
            <w:tcBorders>
              <w:top w:val="nil"/>
              <w:left w:val="single" w:color="auto" w:sz="4" w:space="0"/>
              <w:bottom w:val="single" w:color="auto" w:sz="4" w:space="0"/>
              <w:right w:val="single" w:color="auto" w:sz="4" w:space="0"/>
            </w:tcBorders>
            <w:vAlign w:val="bottom"/>
          </w:tcPr>
          <w:p w14:paraId="424EDC05">
            <w:pPr>
              <w:widowControl/>
              <w:shd w:val="clear"/>
              <w:wordWrap w:val="0"/>
              <w:spacing w:line="336" w:lineRule="auto"/>
              <w:jc w:val="center"/>
              <w:rPr>
                <w:rFonts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邮政业</w:t>
            </w:r>
          </w:p>
        </w:tc>
        <w:tc>
          <w:tcPr>
            <w:tcW w:w="2081" w:type="dxa"/>
            <w:tcBorders>
              <w:top w:val="nil"/>
              <w:left w:val="nil"/>
              <w:bottom w:val="single" w:color="auto" w:sz="4" w:space="0"/>
              <w:right w:val="single" w:color="auto" w:sz="4" w:space="0"/>
            </w:tcBorders>
            <w:vAlign w:val="center"/>
          </w:tcPr>
          <w:p w14:paraId="5DC78831">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892" w:type="dxa"/>
            <w:tcBorders>
              <w:top w:val="nil"/>
              <w:left w:val="nil"/>
              <w:bottom w:val="single" w:color="auto" w:sz="4" w:space="0"/>
              <w:right w:val="single" w:color="auto" w:sz="4" w:space="0"/>
            </w:tcBorders>
            <w:vAlign w:val="center"/>
          </w:tcPr>
          <w:p w14:paraId="6D11E992">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932" w:type="dxa"/>
            <w:tcBorders>
              <w:top w:val="nil"/>
              <w:left w:val="nil"/>
              <w:bottom w:val="single" w:color="auto" w:sz="4" w:space="0"/>
              <w:right w:val="single" w:color="auto" w:sz="4" w:space="0"/>
            </w:tcBorders>
            <w:vAlign w:val="center"/>
          </w:tcPr>
          <w:p w14:paraId="6A94A0B3">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300≤X＜1000</w:t>
            </w:r>
          </w:p>
        </w:tc>
        <w:tc>
          <w:tcPr>
            <w:tcW w:w="1785" w:type="dxa"/>
            <w:tcBorders>
              <w:top w:val="nil"/>
              <w:left w:val="nil"/>
              <w:bottom w:val="single" w:color="auto" w:sz="4" w:space="0"/>
              <w:right w:val="single" w:color="auto" w:sz="4" w:space="0"/>
            </w:tcBorders>
            <w:vAlign w:val="center"/>
          </w:tcPr>
          <w:p w14:paraId="3A58FACE">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20≤X＜300</w:t>
            </w:r>
          </w:p>
        </w:tc>
        <w:tc>
          <w:tcPr>
            <w:tcW w:w="1189" w:type="dxa"/>
            <w:tcBorders>
              <w:top w:val="nil"/>
              <w:left w:val="nil"/>
              <w:bottom w:val="single" w:color="auto" w:sz="4" w:space="0"/>
              <w:right w:val="single" w:color="auto" w:sz="4" w:space="0"/>
            </w:tcBorders>
            <w:vAlign w:val="center"/>
          </w:tcPr>
          <w:p w14:paraId="47F98CC7">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w:t>
            </w:r>
          </w:p>
        </w:tc>
      </w:tr>
      <w:tr w14:paraId="249AB130">
        <w:tblPrEx>
          <w:tblCellMar>
            <w:top w:w="0" w:type="dxa"/>
            <w:left w:w="108" w:type="dxa"/>
            <w:bottom w:w="0" w:type="dxa"/>
            <w:right w:w="108" w:type="dxa"/>
          </w:tblCellMar>
        </w:tblPrEx>
        <w:trPr>
          <w:trHeight w:val="225" w:hRule="atLeast"/>
        </w:trPr>
        <w:tc>
          <w:tcPr>
            <w:tcW w:w="2082" w:type="dxa"/>
            <w:vMerge w:val="continue"/>
            <w:tcBorders>
              <w:top w:val="nil"/>
              <w:left w:val="single" w:color="auto" w:sz="4" w:space="0"/>
              <w:bottom w:val="single" w:color="auto" w:sz="4" w:space="0"/>
              <w:right w:val="single" w:color="auto" w:sz="4" w:space="0"/>
            </w:tcBorders>
            <w:vAlign w:val="center"/>
          </w:tcPr>
          <w:p w14:paraId="01A004A6">
            <w:pPr>
              <w:widowControl/>
              <w:shd w:val="clear"/>
              <w:wordWrap w:val="0"/>
              <w:spacing w:line="336" w:lineRule="auto"/>
              <w:jc w:val="left"/>
              <w:rPr>
                <w:rFonts w:asciiTheme="minorEastAsia" w:hAnsiTheme="minorEastAsia" w:eastAsiaTheme="minorEastAsia" w:cstheme="minorEastAsia"/>
                <w:b/>
                <w:bCs/>
                <w:color w:val="auto"/>
                <w:kern w:val="0"/>
                <w:sz w:val="18"/>
                <w:szCs w:val="18"/>
                <w:highlight w:val="none"/>
              </w:rPr>
            </w:pPr>
          </w:p>
        </w:tc>
        <w:tc>
          <w:tcPr>
            <w:tcW w:w="2081" w:type="dxa"/>
            <w:tcBorders>
              <w:top w:val="nil"/>
              <w:left w:val="nil"/>
              <w:bottom w:val="single" w:color="auto" w:sz="4" w:space="0"/>
              <w:right w:val="single" w:color="auto" w:sz="4" w:space="0"/>
            </w:tcBorders>
            <w:vAlign w:val="center"/>
          </w:tcPr>
          <w:p w14:paraId="6B2B5A20">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892" w:type="dxa"/>
            <w:tcBorders>
              <w:top w:val="nil"/>
              <w:left w:val="nil"/>
              <w:bottom w:val="single" w:color="auto" w:sz="4" w:space="0"/>
              <w:right w:val="single" w:color="auto" w:sz="4" w:space="0"/>
            </w:tcBorders>
            <w:vAlign w:val="center"/>
          </w:tcPr>
          <w:p w14:paraId="04A80552">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32" w:type="dxa"/>
            <w:tcBorders>
              <w:top w:val="nil"/>
              <w:left w:val="nil"/>
              <w:bottom w:val="single" w:color="auto" w:sz="4" w:space="0"/>
              <w:right w:val="single" w:color="auto" w:sz="4" w:space="0"/>
            </w:tcBorders>
            <w:vAlign w:val="center"/>
          </w:tcPr>
          <w:p w14:paraId="3E611F97">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2000≤Y＜30000</w:t>
            </w:r>
          </w:p>
        </w:tc>
        <w:tc>
          <w:tcPr>
            <w:tcW w:w="1785" w:type="dxa"/>
            <w:tcBorders>
              <w:top w:val="nil"/>
              <w:left w:val="nil"/>
              <w:bottom w:val="single" w:color="auto" w:sz="4" w:space="0"/>
              <w:right w:val="single" w:color="auto" w:sz="4" w:space="0"/>
            </w:tcBorders>
            <w:vAlign w:val="center"/>
          </w:tcPr>
          <w:p w14:paraId="5E86956D">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100≤Y＜2000</w:t>
            </w:r>
          </w:p>
        </w:tc>
        <w:tc>
          <w:tcPr>
            <w:tcW w:w="1189" w:type="dxa"/>
            <w:tcBorders>
              <w:top w:val="nil"/>
              <w:left w:val="nil"/>
              <w:bottom w:val="single" w:color="auto" w:sz="4" w:space="0"/>
              <w:right w:val="single" w:color="auto" w:sz="4" w:space="0"/>
            </w:tcBorders>
            <w:vAlign w:val="center"/>
          </w:tcPr>
          <w:p w14:paraId="3B7C400B">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469276B6">
        <w:tblPrEx>
          <w:tblCellMar>
            <w:top w:w="0" w:type="dxa"/>
            <w:left w:w="108" w:type="dxa"/>
            <w:bottom w:w="0" w:type="dxa"/>
            <w:right w:w="108" w:type="dxa"/>
          </w:tblCellMar>
        </w:tblPrEx>
        <w:trPr>
          <w:trHeight w:val="225" w:hRule="atLeast"/>
        </w:trPr>
        <w:tc>
          <w:tcPr>
            <w:tcW w:w="2082" w:type="dxa"/>
            <w:vMerge w:val="restart"/>
            <w:tcBorders>
              <w:top w:val="nil"/>
              <w:left w:val="single" w:color="auto" w:sz="4" w:space="0"/>
              <w:bottom w:val="single" w:color="auto" w:sz="4" w:space="0"/>
              <w:right w:val="single" w:color="auto" w:sz="4" w:space="0"/>
            </w:tcBorders>
            <w:vAlign w:val="bottom"/>
          </w:tcPr>
          <w:p w14:paraId="72689E3E">
            <w:pPr>
              <w:widowControl/>
              <w:shd w:val="clear"/>
              <w:wordWrap w:val="0"/>
              <w:spacing w:line="336" w:lineRule="auto"/>
              <w:jc w:val="center"/>
              <w:rPr>
                <w:rFonts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住宿业</w:t>
            </w:r>
          </w:p>
        </w:tc>
        <w:tc>
          <w:tcPr>
            <w:tcW w:w="2081" w:type="dxa"/>
            <w:tcBorders>
              <w:top w:val="nil"/>
              <w:left w:val="nil"/>
              <w:bottom w:val="single" w:color="auto" w:sz="4" w:space="0"/>
              <w:right w:val="single" w:color="auto" w:sz="4" w:space="0"/>
            </w:tcBorders>
            <w:vAlign w:val="center"/>
          </w:tcPr>
          <w:p w14:paraId="62074519">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892" w:type="dxa"/>
            <w:tcBorders>
              <w:top w:val="nil"/>
              <w:left w:val="nil"/>
              <w:bottom w:val="single" w:color="auto" w:sz="4" w:space="0"/>
              <w:right w:val="single" w:color="auto" w:sz="4" w:space="0"/>
            </w:tcBorders>
            <w:vAlign w:val="center"/>
          </w:tcPr>
          <w:p w14:paraId="61629E44">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932" w:type="dxa"/>
            <w:tcBorders>
              <w:top w:val="nil"/>
              <w:left w:val="nil"/>
              <w:bottom w:val="single" w:color="auto" w:sz="4" w:space="0"/>
              <w:right w:val="single" w:color="auto" w:sz="4" w:space="0"/>
            </w:tcBorders>
            <w:vAlign w:val="center"/>
          </w:tcPr>
          <w:p w14:paraId="768AC8C5">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785" w:type="dxa"/>
            <w:tcBorders>
              <w:top w:val="nil"/>
              <w:left w:val="nil"/>
              <w:bottom w:val="single" w:color="auto" w:sz="4" w:space="0"/>
              <w:right w:val="single" w:color="auto" w:sz="4" w:space="0"/>
            </w:tcBorders>
            <w:vAlign w:val="center"/>
          </w:tcPr>
          <w:p w14:paraId="6374423F">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1189" w:type="dxa"/>
            <w:tcBorders>
              <w:top w:val="nil"/>
              <w:left w:val="nil"/>
              <w:bottom w:val="single" w:color="auto" w:sz="4" w:space="0"/>
              <w:right w:val="single" w:color="auto" w:sz="4" w:space="0"/>
            </w:tcBorders>
            <w:vAlign w:val="center"/>
          </w:tcPr>
          <w:p w14:paraId="1C1674E9">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03403DFA">
        <w:tblPrEx>
          <w:tblCellMar>
            <w:top w:w="0" w:type="dxa"/>
            <w:left w:w="108" w:type="dxa"/>
            <w:bottom w:w="0" w:type="dxa"/>
            <w:right w:w="108" w:type="dxa"/>
          </w:tblCellMar>
        </w:tblPrEx>
        <w:trPr>
          <w:trHeight w:val="225" w:hRule="atLeast"/>
        </w:trPr>
        <w:tc>
          <w:tcPr>
            <w:tcW w:w="2082" w:type="dxa"/>
            <w:vMerge w:val="continue"/>
            <w:tcBorders>
              <w:top w:val="nil"/>
              <w:left w:val="single" w:color="auto" w:sz="4" w:space="0"/>
              <w:bottom w:val="single" w:color="auto" w:sz="4" w:space="0"/>
              <w:right w:val="single" w:color="auto" w:sz="4" w:space="0"/>
            </w:tcBorders>
            <w:vAlign w:val="center"/>
          </w:tcPr>
          <w:p w14:paraId="3A563930">
            <w:pPr>
              <w:widowControl/>
              <w:shd w:val="clear"/>
              <w:wordWrap w:val="0"/>
              <w:spacing w:line="336" w:lineRule="auto"/>
              <w:jc w:val="left"/>
              <w:rPr>
                <w:rFonts w:asciiTheme="minorEastAsia" w:hAnsiTheme="minorEastAsia" w:eastAsiaTheme="minorEastAsia" w:cstheme="minorEastAsia"/>
                <w:b/>
                <w:bCs/>
                <w:color w:val="auto"/>
                <w:kern w:val="0"/>
                <w:sz w:val="18"/>
                <w:szCs w:val="18"/>
                <w:highlight w:val="none"/>
              </w:rPr>
            </w:pPr>
          </w:p>
        </w:tc>
        <w:tc>
          <w:tcPr>
            <w:tcW w:w="2081" w:type="dxa"/>
            <w:tcBorders>
              <w:top w:val="nil"/>
              <w:left w:val="nil"/>
              <w:bottom w:val="single" w:color="auto" w:sz="4" w:space="0"/>
              <w:right w:val="single" w:color="auto" w:sz="4" w:space="0"/>
            </w:tcBorders>
            <w:vAlign w:val="center"/>
          </w:tcPr>
          <w:p w14:paraId="4BDFD8D6">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892" w:type="dxa"/>
            <w:tcBorders>
              <w:top w:val="nil"/>
              <w:left w:val="nil"/>
              <w:bottom w:val="single" w:color="auto" w:sz="4" w:space="0"/>
              <w:right w:val="single" w:color="auto" w:sz="4" w:space="0"/>
            </w:tcBorders>
            <w:vAlign w:val="center"/>
          </w:tcPr>
          <w:p w14:paraId="1BE74CCF">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32" w:type="dxa"/>
            <w:tcBorders>
              <w:top w:val="nil"/>
              <w:left w:val="nil"/>
              <w:bottom w:val="single" w:color="auto" w:sz="4" w:space="0"/>
              <w:right w:val="single" w:color="auto" w:sz="4" w:space="0"/>
            </w:tcBorders>
            <w:vAlign w:val="center"/>
          </w:tcPr>
          <w:p w14:paraId="606F43D1">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2000≤Y＜10000</w:t>
            </w:r>
          </w:p>
        </w:tc>
        <w:tc>
          <w:tcPr>
            <w:tcW w:w="1785" w:type="dxa"/>
            <w:tcBorders>
              <w:top w:val="nil"/>
              <w:left w:val="nil"/>
              <w:bottom w:val="single" w:color="auto" w:sz="4" w:space="0"/>
              <w:right w:val="single" w:color="auto" w:sz="4" w:space="0"/>
            </w:tcBorders>
            <w:vAlign w:val="center"/>
          </w:tcPr>
          <w:p w14:paraId="19FA5833">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100≤Y＜2000</w:t>
            </w:r>
          </w:p>
        </w:tc>
        <w:tc>
          <w:tcPr>
            <w:tcW w:w="1189" w:type="dxa"/>
            <w:tcBorders>
              <w:top w:val="nil"/>
              <w:left w:val="nil"/>
              <w:bottom w:val="single" w:color="auto" w:sz="4" w:space="0"/>
              <w:right w:val="single" w:color="auto" w:sz="4" w:space="0"/>
            </w:tcBorders>
            <w:vAlign w:val="center"/>
          </w:tcPr>
          <w:p w14:paraId="339DF095">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2F6BFF4D">
        <w:tblPrEx>
          <w:tblCellMar>
            <w:top w:w="0" w:type="dxa"/>
            <w:left w:w="108" w:type="dxa"/>
            <w:bottom w:w="0" w:type="dxa"/>
            <w:right w:w="108" w:type="dxa"/>
          </w:tblCellMar>
        </w:tblPrEx>
        <w:trPr>
          <w:trHeight w:val="225" w:hRule="atLeast"/>
        </w:trPr>
        <w:tc>
          <w:tcPr>
            <w:tcW w:w="2082" w:type="dxa"/>
            <w:vMerge w:val="restart"/>
            <w:tcBorders>
              <w:top w:val="nil"/>
              <w:left w:val="single" w:color="auto" w:sz="4" w:space="0"/>
              <w:bottom w:val="single" w:color="auto" w:sz="4" w:space="0"/>
              <w:right w:val="single" w:color="auto" w:sz="4" w:space="0"/>
            </w:tcBorders>
            <w:vAlign w:val="bottom"/>
          </w:tcPr>
          <w:p w14:paraId="48C5A0CF">
            <w:pPr>
              <w:widowControl/>
              <w:shd w:val="clear"/>
              <w:wordWrap w:val="0"/>
              <w:spacing w:line="336" w:lineRule="auto"/>
              <w:jc w:val="center"/>
              <w:rPr>
                <w:rFonts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餐饮业</w:t>
            </w:r>
          </w:p>
        </w:tc>
        <w:tc>
          <w:tcPr>
            <w:tcW w:w="2081" w:type="dxa"/>
            <w:tcBorders>
              <w:top w:val="nil"/>
              <w:left w:val="nil"/>
              <w:bottom w:val="single" w:color="auto" w:sz="4" w:space="0"/>
              <w:right w:val="single" w:color="auto" w:sz="4" w:space="0"/>
            </w:tcBorders>
            <w:vAlign w:val="center"/>
          </w:tcPr>
          <w:p w14:paraId="0C7D9607">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892" w:type="dxa"/>
            <w:tcBorders>
              <w:top w:val="nil"/>
              <w:left w:val="nil"/>
              <w:bottom w:val="single" w:color="auto" w:sz="4" w:space="0"/>
              <w:right w:val="single" w:color="auto" w:sz="4" w:space="0"/>
            </w:tcBorders>
            <w:vAlign w:val="center"/>
          </w:tcPr>
          <w:p w14:paraId="48EB23BB">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932" w:type="dxa"/>
            <w:tcBorders>
              <w:top w:val="nil"/>
              <w:left w:val="nil"/>
              <w:bottom w:val="single" w:color="auto" w:sz="4" w:space="0"/>
              <w:right w:val="single" w:color="auto" w:sz="4" w:space="0"/>
            </w:tcBorders>
            <w:vAlign w:val="center"/>
          </w:tcPr>
          <w:p w14:paraId="46724998">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785" w:type="dxa"/>
            <w:tcBorders>
              <w:top w:val="nil"/>
              <w:left w:val="nil"/>
              <w:bottom w:val="single" w:color="auto" w:sz="4" w:space="0"/>
              <w:right w:val="single" w:color="auto" w:sz="4" w:space="0"/>
            </w:tcBorders>
            <w:vAlign w:val="center"/>
          </w:tcPr>
          <w:p w14:paraId="357CB2B3">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1189" w:type="dxa"/>
            <w:tcBorders>
              <w:top w:val="nil"/>
              <w:left w:val="nil"/>
              <w:bottom w:val="single" w:color="auto" w:sz="4" w:space="0"/>
              <w:right w:val="single" w:color="auto" w:sz="4" w:space="0"/>
            </w:tcBorders>
            <w:vAlign w:val="center"/>
          </w:tcPr>
          <w:p w14:paraId="740875D1">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2529CF3B">
        <w:tblPrEx>
          <w:tblCellMar>
            <w:top w:w="0" w:type="dxa"/>
            <w:left w:w="108" w:type="dxa"/>
            <w:bottom w:w="0" w:type="dxa"/>
            <w:right w:w="108" w:type="dxa"/>
          </w:tblCellMar>
        </w:tblPrEx>
        <w:trPr>
          <w:trHeight w:val="225" w:hRule="atLeast"/>
        </w:trPr>
        <w:tc>
          <w:tcPr>
            <w:tcW w:w="2082" w:type="dxa"/>
            <w:vMerge w:val="continue"/>
            <w:tcBorders>
              <w:top w:val="nil"/>
              <w:left w:val="single" w:color="auto" w:sz="4" w:space="0"/>
              <w:bottom w:val="single" w:color="auto" w:sz="4" w:space="0"/>
              <w:right w:val="single" w:color="auto" w:sz="4" w:space="0"/>
            </w:tcBorders>
            <w:vAlign w:val="center"/>
          </w:tcPr>
          <w:p w14:paraId="6CB44CC3">
            <w:pPr>
              <w:widowControl/>
              <w:shd w:val="clear"/>
              <w:wordWrap w:val="0"/>
              <w:spacing w:line="336" w:lineRule="auto"/>
              <w:jc w:val="left"/>
              <w:rPr>
                <w:rFonts w:asciiTheme="minorEastAsia" w:hAnsiTheme="minorEastAsia" w:eastAsiaTheme="minorEastAsia" w:cstheme="minorEastAsia"/>
                <w:b/>
                <w:bCs/>
                <w:color w:val="auto"/>
                <w:kern w:val="0"/>
                <w:sz w:val="18"/>
                <w:szCs w:val="18"/>
                <w:highlight w:val="none"/>
              </w:rPr>
            </w:pPr>
          </w:p>
        </w:tc>
        <w:tc>
          <w:tcPr>
            <w:tcW w:w="2081" w:type="dxa"/>
            <w:tcBorders>
              <w:top w:val="nil"/>
              <w:left w:val="nil"/>
              <w:bottom w:val="single" w:color="auto" w:sz="4" w:space="0"/>
              <w:right w:val="single" w:color="auto" w:sz="4" w:space="0"/>
            </w:tcBorders>
            <w:vAlign w:val="center"/>
          </w:tcPr>
          <w:p w14:paraId="272AC70B">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892" w:type="dxa"/>
            <w:tcBorders>
              <w:top w:val="nil"/>
              <w:left w:val="nil"/>
              <w:bottom w:val="single" w:color="auto" w:sz="4" w:space="0"/>
              <w:right w:val="single" w:color="auto" w:sz="4" w:space="0"/>
            </w:tcBorders>
            <w:vAlign w:val="center"/>
          </w:tcPr>
          <w:p w14:paraId="0D58E18F">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32" w:type="dxa"/>
            <w:tcBorders>
              <w:top w:val="nil"/>
              <w:left w:val="nil"/>
              <w:bottom w:val="single" w:color="auto" w:sz="4" w:space="0"/>
              <w:right w:val="single" w:color="auto" w:sz="4" w:space="0"/>
            </w:tcBorders>
            <w:vAlign w:val="center"/>
          </w:tcPr>
          <w:p w14:paraId="761F4A66">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2000≤Y＜10000</w:t>
            </w:r>
          </w:p>
        </w:tc>
        <w:tc>
          <w:tcPr>
            <w:tcW w:w="1785" w:type="dxa"/>
            <w:tcBorders>
              <w:top w:val="nil"/>
              <w:left w:val="nil"/>
              <w:bottom w:val="single" w:color="auto" w:sz="4" w:space="0"/>
              <w:right w:val="single" w:color="auto" w:sz="4" w:space="0"/>
            </w:tcBorders>
            <w:vAlign w:val="center"/>
          </w:tcPr>
          <w:p w14:paraId="4B432FD0">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100≤Y＜2000</w:t>
            </w:r>
          </w:p>
        </w:tc>
        <w:tc>
          <w:tcPr>
            <w:tcW w:w="1189" w:type="dxa"/>
            <w:tcBorders>
              <w:top w:val="nil"/>
              <w:left w:val="nil"/>
              <w:bottom w:val="single" w:color="auto" w:sz="4" w:space="0"/>
              <w:right w:val="single" w:color="auto" w:sz="4" w:space="0"/>
            </w:tcBorders>
            <w:vAlign w:val="center"/>
          </w:tcPr>
          <w:p w14:paraId="2870879E">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2765FF65">
        <w:tblPrEx>
          <w:tblCellMar>
            <w:top w:w="0" w:type="dxa"/>
            <w:left w:w="108" w:type="dxa"/>
            <w:bottom w:w="0" w:type="dxa"/>
            <w:right w:w="108" w:type="dxa"/>
          </w:tblCellMar>
        </w:tblPrEx>
        <w:trPr>
          <w:trHeight w:val="225" w:hRule="atLeast"/>
        </w:trPr>
        <w:tc>
          <w:tcPr>
            <w:tcW w:w="2082" w:type="dxa"/>
            <w:vMerge w:val="restart"/>
            <w:tcBorders>
              <w:top w:val="nil"/>
              <w:left w:val="single" w:color="auto" w:sz="4" w:space="0"/>
              <w:bottom w:val="single" w:color="auto" w:sz="4" w:space="0"/>
              <w:right w:val="single" w:color="auto" w:sz="4" w:space="0"/>
            </w:tcBorders>
            <w:vAlign w:val="bottom"/>
          </w:tcPr>
          <w:p w14:paraId="4A14BB0D">
            <w:pPr>
              <w:widowControl/>
              <w:shd w:val="clear"/>
              <w:wordWrap w:val="0"/>
              <w:spacing w:line="336" w:lineRule="auto"/>
              <w:jc w:val="center"/>
              <w:rPr>
                <w:rFonts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信息传输业</w:t>
            </w:r>
          </w:p>
        </w:tc>
        <w:tc>
          <w:tcPr>
            <w:tcW w:w="2081" w:type="dxa"/>
            <w:tcBorders>
              <w:top w:val="nil"/>
              <w:left w:val="nil"/>
              <w:bottom w:val="single" w:color="auto" w:sz="4" w:space="0"/>
              <w:right w:val="single" w:color="auto" w:sz="4" w:space="0"/>
            </w:tcBorders>
            <w:vAlign w:val="center"/>
          </w:tcPr>
          <w:p w14:paraId="6E1BB7AD">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892" w:type="dxa"/>
            <w:tcBorders>
              <w:top w:val="nil"/>
              <w:left w:val="nil"/>
              <w:bottom w:val="single" w:color="auto" w:sz="4" w:space="0"/>
              <w:right w:val="single" w:color="auto" w:sz="4" w:space="0"/>
            </w:tcBorders>
            <w:vAlign w:val="center"/>
          </w:tcPr>
          <w:p w14:paraId="631970CD">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932" w:type="dxa"/>
            <w:tcBorders>
              <w:top w:val="nil"/>
              <w:left w:val="nil"/>
              <w:bottom w:val="single" w:color="auto" w:sz="4" w:space="0"/>
              <w:right w:val="single" w:color="auto" w:sz="4" w:space="0"/>
            </w:tcBorders>
            <w:vAlign w:val="center"/>
          </w:tcPr>
          <w:p w14:paraId="0F8C316E">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100≤X＜2000</w:t>
            </w:r>
          </w:p>
        </w:tc>
        <w:tc>
          <w:tcPr>
            <w:tcW w:w="1785" w:type="dxa"/>
            <w:tcBorders>
              <w:top w:val="nil"/>
              <w:left w:val="nil"/>
              <w:bottom w:val="single" w:color="auto" w:sz="4" w:space="0"/>
              <w:right w:val="single" w:color="auto" w:sz="4" w:space="0"/>
            </w:tcBorders>
            <w:vAlign w:val="center"/>
          </w:tcPr>
          <w:p w14:paraId="5769C62A">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1189" w:type="dxa"/>
            <w:tcBorders>
              <w:top w:val="nil"/>
              <w:left w:val="nil"/>
              <w:bottom w:val="single" w:color="auto" w:sz="4" w:space="0"/>
              <w:right w:val="single" w:color="auto" w:sz="4" w:space="0"/>
            </w:tcBorders>
            <w:vAlign w:val="center"/>
          </w:tcPr>
          <w:p w14:paraId="0EE1F9CB">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3DBD80D2">
        <w:tblPrEx>
          <w:tblCellMar>
            <w:top w:w="0" w:type="dxa"/>
            <w:left w:w="108" w:type="dxa"/>
            <w:bottom w:w="0" w:type="dxa"/>
            <w:right w:w="108" w:type="dxa"/>
          </w:tblCellMar>
        </w:tblPrEx>
        <w:trPr>
          <w:trHeight w:val="225" w:hRule="atLeast"/>
        </w:trPr>
        <w:tc>
          <w:tcPr>
            <w:tcW w:w="2082" w:type="dxa"/>
            <w:vMerge w:val="continue"/>
            <w:tcBorders>
              <w:top w:val="nil"/>
              <w:left w:val="single" w:color="auto" w:sz="4" w:space="0"/>
              <w:bottom w:val="single" w:color="auto" w:sz="4" w:space="0"/>
              <w:right w:val="single" w:color="auto" w:sz="4" w:space="0"/>
            </w:tcBorders>
            <w:vAlign w:val="center"/>
          </w:tcPr>
          <w:p w14:paraId="18622C64">
            <w:pPr>
              <w:widowControl/>
              <w:shd w:val="clear"/>
              <w:wordWrap w:val="0"/>
              <w:spacing w:line="336" w:lineRule="auto"/>
              <w:jc w:val="left"/>
              <w:rPr>
                <w:rFonts w:asciiTheme="minorEastAsia" w:hAnsiTheme="minorEastAsia" w:eastAsiaTheme="minorEastAsia" w:cstheme="minorEastAsia"/>
                <w:b/>
                <w:bCs/>
                <w:color w:val="auto"/>
                <w:kern w:val="0"/>
                <w:sz w:val="18"/>
                <w:szCs w:val="18"/>
                <w:highlight w:val="none"/>
              </w:rPr>
            </w:pPr>
          </w:p>
        </w:tc>
        <w:tc>
          <w:tcPr>
            <w:tcW w:w="2081" w:type="dxa"/>
            <w:tcBorders>
              <w:top w:val="nil"/>
              <w:left w:val="nil"/>
              <w:bottom w:val="single" w:color="auto" w:sz="4" w:space="0"/>
              <w:right w:val="single" w:color="auto" w:sz="4" w:space="0"/>
            </w:tcBorders>
            <w:vAlign w:val="center"/>
          </w:tcPr>
          <w:p w14:paraId="4F474526">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892" w:type="dxa"/>
            <w:tcBorders>
              <w:top w:val="nil"/>
              <w:left w:val="nil"/>
              <w:bottom w:val="single" w:color="auto" w:sz="4" w:space="0"/>
              <w:right w:val="single" w:color="auto" w:sz="4" w:space="0"/>
            </w:tcBorders>
            <w:vAlign w:val="center"/>
          </w:tcPr>
          <w:p w14:paraId="125007BF">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32" w:type="dxa"/>
            <w:tcBorders>
              <w:top w:val="nil"/>
              <w:left w:val="nil"/>
              <w:bottom w:val="single" w:color="auto" w:sz="4" w:space="0"/>
              <w:right w:val="single" w:color="auto" w:sz="4" w:space="0"/>
            </w:tcBorders>
            <w:vAlign w:val="center"/>
          </w:tcPr>
          <w:p w14:paraId="4DF77255">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1000≤Y＜100000</w:t>
            </w:r>
          </w:p>
        </w:tc>
        <w:tc>
          <w:tcPr>
            <w:tcW w:w="1785" w:type="dxa"/>
            <w:tcBorders>
              <w:top w:val="nil"/>
              <w:left w:val="nil"/>
              <w:bottom w:val="single" w:color="auto" w:sz="4" w:space="0"/>
              <w:right w:val="single" w:color="auto" w:sz="4" w:space="0"/>
            </w:tcBorders>
            <w:vAlign w:val="center"/>
          </w:tcPr>
          <w:p w14:paraId="0DF82F40">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100≤Y＜1000</w:t>
            </w:r>
          </w:p>
        </w:tc>
        <w:tc>
          <w:tcPr>
            <w:tcW w:w="1189" w:type="dxa"/>
            <w:tcBorders>
              <w:top w:val="nil"/>
              <w:left w:val="nil"/>
              <w:bottom w:val="single" w:color="auto" w:sz="4" w:space="0"/>
              <w:right w:val="single" w:color="auto" w:sz="4" w:space="0"/>
            </w:tcBorders>
            <w:vAlign w:val="center"/>
          </w:tcPr>
          <w:p w14:paraId="758D194A">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074F20CA">
        <w:tblPrEx>
          <w:tblCellMar>
            <w:top w:w="0" w:type="dxa"/>
            <w:left w:w="108" w:type="dxa"/>
            <w:bottom w:w="0" w:type="dxa"/>
            <w:right w:w="108" w:type="dxa"/>
          </w:tblCellMar>
        </w:tblPrEx>
        <w:trPr>
          <w:trHeight w:val="225" w:hRule="atLeast"/>
        </w:trPr>
        <w:tc>
          <w:tcPr>
            <w:tcW w:w="2082" w:type="dxa"/>
            <w:vMerge w:val="restart"/>
            <w:tcBorders>
              <w:top w:val="nil"/>
              <w:left w:val="single" w:color="auto" w:sz="4" w:space="0"/>
              <w:bottom w:val="single" w:color="auto" w:sz="4" w:space="0"/>
              <w:right w:val="single" w:color="auto" w:sz="4" w:space="0"/>
            </w:tcBorders>
            <w:vAlign w:val="bottom"/>
          </w:tcPr>
          <w:p w14:paraId="41EB6210">
            <w:pPr>
              <w:widowControl/>
              <w:shd w:val="clear"/>
              <w:wordWrap w:val="0"/>
              <w:spacing w:line="336" w:lineRule="auto"/>
              <w:jc w:val="center"/>
              <w:rPr>
                <w:rFonts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软件和信息技术服务业</w:t>
            </w:r>
          </w:p>
        </w:tc>
        <w:tc>
          <w:tcPr>
            <w:tcW w:w="2081" w:type="dxa"/>
            <w:tcBorders>
              <w:top w:val="nil"/>
              <w:left w:val="nil"/>
              <w:bottom w:val="single" w:color="auto" w:sz="4" w:space="0"/>
              <w:right w:val="single" w:color="auto" w:sz="4" w:space="0"/>
            </w:tcBorders>
            <w:vAlign w:val="center"/>
          </w:tcPr>
          <w:p w14:paraId="643A190E">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892" w:type="dxa"/>
            <w:tcBorders>
              <w:top w:val="nil"/>
              <w:left w:val="nil"/>
              <w:bottom w:val="single" w:color="auto" w:sz="4" w:space="0"/>
              <w:right w:val="single" w:color="auto" w:sz="4" w:space="0"/>
            </w:tcBorders>
            <w:vAlign w:val="center"/>
          </w:tcPr>
          <w:p w14:paraId="0A962E81">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932" w:type="dxa"/>
            <w:tcBorders>
              <w:top w:val="nil"/>
              <w:left w:val="nil"/>
              <w:bottom w:val="single" w:color="auto" w:sz="4" w:space="0"/>
              <w:right w:val="single" w:color="auto" w:sz="4" w:space="0"/>
            </w:tcBorders>
            <w:vAlign w:val="center"/>
          </w:tcPr>
          <w:p w14:paraId="1318F37F">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785" w:type="dxa"/>
            <w:tcBorders>
              <w:top w:val="nil"/>
              <w:left w:val="nil"/>
              <w:bottom w:val="single" w:color="auto" w:sz="4" w:space="0"/>
              <w:right w:val="single" w:color="auto" w:sz="4" w:space="0"/>
            </w:tcBorders>
            <w:vAlign w:val="center"/>
          </w:tcPr>
          <w:p w14:paraId="10DACAC0">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1189" w:type="dxa"/>
            <w:tcBorders>
              <w:top w:val="nil"/>
              <w:left w:val="nil"/>
              <w:bottom w:val="single" w:color="auto" w:sz="4" w:space="0"/>
              <w:right w:val="single" w:color="auto" w:sz="4" w:space="0"/>
            </w:tcBorders>
            <w:vAlign w:val="center"/>
          </w:tcPr>
          <w:p w14:paraId="448D6CDA">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7900B0C0">
        <w:tblPrEx>
          <w:tblCellMar>
            <w:top w:w="0" w:type="dxa"/>
            <w:left w:w="108" w:type="dxa"/>
            <w:bottom w:w="0" w:type="dxa"/>
            <w:right w:w="108" w:type="dxa"/>
          </w:tblCellMar>
        </w:tblPrEx>
        <w:trPr>
          <w:trHeight w:val="225" w:hRule="atLeast"/>
        </w:trPr>
        <w:tc>
          <w:tcPr>
            <w:tcW w:w="2082" w:type="dxa"/>
            <w:vMerge w:val="continue"/>
            <w:tcBorders>
              <w:top w:val="nil"/>
              <w:left w:val="single" w:color="auto" w:sz="4" w:space="0"/>
              <w:bottom w:val="single" w:color="auto" w:sz="4" w:space="0"/>
              <w:right w:val="single" w:color="auto" w:sz="4" w:space="0"/>
            </w:tcBorders>
            <w:vAlign w:val="center"/>
          </w:tcPr>
          <w:p w14:paraId="7CA6ECC8">
            <w:pPr>
              <w:widowControl/>
              <w:shd w:val="clear"/>
              <w:wordWrap w:val="0"/>
              <w:spacing w:line="336" w:lineRule="auto"/>
              <w:jc w:val="left"/>
              <w:rPr>
                <w:rFonts w:asciiTheme="minorEastAsia" w:hAnsiTheme="minorEastAsia" w:eastAsiaTheme="minorEastAsia" w:cstheme="minorEastAsia"/>
                <w:b/>
                <w:bCs/>
                <w:color w:val="auto"/>
                <w:kern w:val="0"/>
                <w:sz w:val="18"/>
                <w:szCs w:val="18"/>
                <w:highlight w:val="none"/>
              </w:rPr>
            </w:pPr>
          </w:p>
        </w:tc>
        <w:tc>
          <w:tcPr>
            <w:tcW w:w="2081" w:type="dxa"/>
            <w:tcBorders>
              <w:top w:val="nil"/>
              <w:left w:val="nil"/>
              <w:bottom w:val="single" w:color="auto" w:sz="4" w:space="0"/>
              <w:right w:val="single" w:color="auto" w:sz="4" w:space="0"/>
            </w:tcBorders>
            <w:vAlign w:val="center"/>
          </w:tcPr>
          <w:p w14:paraId="79B6D366">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892" w:type="dxa"/>
            <w:tcBorders>
              <w:top w:val="nil"/>
              <w:left w:val="nil"/>
              <w:bottom w:val="single" w:color="auto" w:sz="4" w:space="0"/>
              <w:right w:val="single" w:color="auto" w:sz="4" w:space="0"/>
            </w:tcBorders>
            <w:vAlign w:val="center"/>
          </w:tcPr>
          <w:p w14:paraId="79C3A270">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32" w:type="dxa"/>
            <w:tcBorders>
              <w:top w:val="nil"/>
              <w:left w:val="nil"/>
              <w:bottom w:val="single" w:color="auto" w:sz="4" w:space="0"/>
              <w:right w:val="single" w:color="auto" w:sz="4" w:space="0"/>
            </w:tcBorders>
            <w:vAlign w:val="center"/>
          </w:tcPr>
          <w:p w14:paraId="31205155">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1000≤Y＜10000</w:t>
            </w:r>
          </w:p>
        </w:tc>
        <w:tc>
          <w:tcPr>
            <w:tcW w:w="1785" w:type="dxa"/>
            <w:tcBorders>
              <w:top w:val="nil"/>
              <w:left w:val="nil"/>
              <w:bottom w:val="single" w:color="auto" w:sz="4" w:space="0"/>
              <w:right w:val="single" w:color="auto" w:sz="4" w:space="0"/>
            </w:tcBorders>
            <w:vAlign w:val="center"/>
          </w:tcPr>
          <w:p w14:paraId="1F0E716A">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50≤Y＜1000</w:t>
            </w:r>
          </w:p>
        </w:tc>
        <w:tc>
          <w:tcPr>
            <w:tcW w:w="1189" w:type="dxa"/>
            <w:tcBorders>
              <w:top w:val="nil"/>
              <w:left w:val="nil"/>
              <w:bottom w:val="single" w:color="auto" w:sz="4" w:space="0"/>
              <w:right w:val="single" w:color="auto" w:sz="4" w:space="0"/>
            </w:tcBorders>
            <w:vAlign w:val="center"/>
          </w:tcPr>
          <w:p w14:paraId="7A592203">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Y＜50</w:t>
            </w:r>
          </w:p>
        </w:tc>
      </w:tr>
      <w:tr w14:paraId="3B9E2DF0">
        <w:tblPrEx>
          <w:tblCellMar>
            <w:top w:w="0" w:type="dxa"/>
            <w:left w:w="108" w:type="dxa"/>
            <w:bottom w:w="0" w:type="dxa"/>
            <w:right w:w="108" w:type="dxa"/>
          </w:tblCellMar>
        </w:tblPrEx>
        <w:trPr>
          <w:trHeight w:val="225" w:hRule="atLeast"/>
        </w:trPr>
        <w:tc>
          <w:tcPr>
            <w:tcW w:w="2082" w:type="dxa"/>
            <w:vMerge w:val="restart"/>
            <w:tcBorders>
              <w:top w:val="nil"/>
              <w:left w:val="single" w:color="auto" w:sz="4" w:space="0"/>
              <w:bottom w:val="single" w:color="auto" w:sz="4" w:space="0"/>
              <w:right w:val="single" w:color="auto" w:sz="4" w:space="0"/>
            </w:tcBorders>
            <w:vAlign w:val="bottom"/>
          </w:tcPr>
          <w:p w14:paraId="3DDCA86E">
            <w:pPr>
              <w:widowControl/>
              <w:shd w:val="clear"/>
              <w:wordWrap w:val="0"/>
              <w:spacing w:line="336" w:lineRule="auto"/>
              <w:jc w:val="center"/>
              <w:rPr>
                <w:rFonts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房地产开发经营</w:t>
            </w:r>
          </w:p>
        </w:tc>
        <w:tc>
          <w:tcPr>
            <w:tcW w:w="2081" w:type="dxa"/>
            <w:tcBorders>
              <w:top w:val="nil"/>
              <w:left w:val="nil"/>
              <w:bottom w:val="single" w:color="auto" w:sz="4" w:space="0"/>
              <w:right w:val="single" w:color="auto" w:sz="4" w:space="0"/>
            </w:tcBorders>
            <w:vAlign w:val="center"/>
          </w:tcPr>
          <w:p w14:paraId="6A9BF314">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892" w:type="dxa"/>
            <w:tcBorders>
              <w:top w:val="nil"/>
              <w:left w:val="nil"/>
              <w:bottom w:val="single" w:color="auto" w:sz="4" w:space="0"/>
              <w:right w:val="single" w:color="auto" w:sz="4" w:space="0"/>
            </w:tcBorders>
            <w:vAlign w:val="center"/>
          </w:tcPr>
          <w:p w14:paraId="5FF1C631">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32" w:type="dxa"/>
            <w:tcBorders>
              <w:top w:val="nil"/>
              <w:left w:val="nil"/>
              <w:bottom w:val="single" w:color="auto" w:sz="4" w:space="0"/>
              <w:right w:val="single" w:color="auto" w:sz="4" w:space="0"/>
            </w:tcBorders>
            <w:vAlign w:val="center"/>
          </w:tcPr>
          <w:p w14:paraId="6DD1F053">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1000≤Y＜200000</w:t>
            </w:r>
          </w:p>
        </w:tc>
        <w:tc>
          <w:tcPr>
            <w:tcW w:w="1785" w:type="dxa"/>
            <w:tcBorders>
              <w:top w:val="nil"/>
              <w:left w:val="nil"/>
              <w:bottom w:val="single" w:color="auto" w:sz="4" w:space="0"/>
              <w:right w:val="single" w:color="auto" w:sz="4" w:space="0"/>
            </w:tcBorders>
            <w:vAlign w:val="center"/>
          </w:tcPr>
          <w:p w14:paraId="0F26BCD7">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100≤X＜1000</w:t>
            </w:r>
          </w:p>
        </w:tc>
        <w:tc>
          <w:tcPr>
            <w:tcW w:w="1189" w:type="dxa"/>
            <w:tcBorders>
              <w:top w:val="nil"/>
              <w:left w:val="nil"/>
              <w:bottom w:val="single" w:color="auto" w:sz="4" w:space="0"/>
              <w:right w:val="single" w:color="auto" w:sz="4" w:space="0"/>
            </w:tcBorders>
            <w:vAlign w:val="center"/>
          </w:tcPr>
          <w:p w14:paraId="167F87B1">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X＜100</w:t>
            </w:r>
          </w:p>
        </w:tc>
      </w:tr>
      <w:tr w14:paraId="78E5A45D">
        <w:tblPrEx>
          <w:tblCellMar>
            <w:top w:w="0" w:type="dxa"/>
            <w:left w:w="108" w:type="dxa"/>
            <w:bottom w:w="0" w:type="dxa"/>
            <w:right w:w="108" w:type="dxa"/>
          </w:tblCellMar>
        </w:tblPrEx>
        <w:trPr>
          <w:trHeight w:val="225" w:hRule="atLeast"/>
        </w:trPr>
        <w:tc>
          <w:tcPr>
            <w:tcW w:w="2082" w:type="dxa"/>
            <w:vMerge w:val="continue"/>
            <w:tcBorders>
              <w:top w:val="nil"/>
              <w:left w:val="single" w:color="auto" w:sz="4" w:space="0"/>
              <w:bottom w:val="single" w:color="auto" w:sz="4" w:space="0"/>
              <w:right w:val="single" w:color="auto" w:sz="4" w:space="0"/>
            </w:tcBorders>
            <w:vAlign w:val="center"/>
          </w:tcPr>
          <w:p w14:paraId="57D98AFD">
            <w:pPr>
              <w:widowControl/>
              <w:shd w:val="clear"/>
              <w:wordWrap w:val="0"/>
              <w:spacing w:line="336" w:lineRule="auto"/>
              <w:jc w:val="left"/>
              <w:rPr>
                <w:rFonts w:asciiTheme="minorEastAsia" w:hAnsiTheme="minorEastAsia" w:eastAsiaTheme="minorEastAsia" w:cstheme="minorEastAsia"/>
                <w:b/>
                <w:bCs/>
                <w:color w:val="auto"/>
                <w:kern w:val="0"/>
                <w:sz w:val="18"/>
                <w:szCs w:val="18"/>
                <w:highlight w:val="none"/>
              </w:rPr>
            </w:pPr>
          </w:p>
        </w:tc>
        <w:tc>
          <w:tcPr>
            <w:tcW w:w="2081" w:type="dxa"/>
            <w:tcBorders>
              <w:top w:val="nil"/>
              <w:left w:val="nil"/>
              <w:bottom w:val="single" w:color="auto" w:sz="4" w:space="0"/>
              <w:right w:val="single" w:color="auto" w:sz="4" w:space="0"/>
            </w:tcBorders>
            <w:vAlign w:val="center"/>
          </w:tcPr>
          <w:p w14:paraId="70F1DC5F">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资产总额（Z）</w:t>
            </w:r>
          </w:p>
        </w:tc>
        <w:tc>
          <w:tcPr>
            <w:tcW w:w="892" w:type="dxa"/>
            <w:tcBorders>
              <w:top w:val="nil"/>
              <w:left w:val="nil"/>
              <w:bottom w:val="single" w:color="auto" w:sz="4" w:space="0"/>
              <w:right w:val="single" w:color="auto" w:sz="4" w:space="0"/>
            </w:tcBorders>
            <w:vAlign w:val="center"/>
          </w:tcPr>
          <w:p w14:paraId="5D85B964">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32" w:type="dxa"/>
            <w:tcBorders>
              <w:top w:val="nil"/>
              <w:left w:val="nil"/>
              <w:bottom w:val="single" w:color="auto" w:sz="4" w:space="0"/>
              <w:right w:val="single" w:color="auto" w:sz="4" w:space="0"/>
            </w:tcBorders>
            <w:vAlign w:val="center"/>
          </w:tcPr>
          <w:p w14:paraId="56A665AD">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5000≤Z＜10000</w:t>
            </w:r>
          </w:p>
        </w:tc>
        <w:tc>
          <w:tcPr>
            <w:tcW w:w="1785" w:type="dxa"/>
            <w:tcBorders>
              <w:top w:val="nil"/>
              <w:left w:val="nil"/>
              <w:bottom w:val="single" w:color="auto" w:sz="4" w:space="0"/>
              <w:right w:val="single" w:color="auto" w:sz="4" w:space="0"/>
            </w:tcBorders>
            <w:vAlign w:val="center"/>
          </w:tcPr>
          <w:p w14:paraId="6DD2E751">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2000≤Y＜5000</w:t>
            </w:r>
          </w:p>
        </w:tc>
        <w:tc>
          <w:tcPr>
            <w:tcW w:w="1189" w:type="dxa"/>
            <w:tcBorders>
              <w:top w:val="nil"/>
              <w:left w:val="nil"/>
              <w:bottom w:val="single" w:color="auto" w:sz="4" w:space="0"/>
              <w:right w:val="single" w:color="auto" w:sz="4" w:space="0"/>
            </w:tcBorders>
            <w:vAlign w:val="center"/>
          </w:tcPr>
          <w:p w14:paraId="24219D06">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Y＜2000</w:t>
            </w:r>
          </w:p>
        </w:tc>
      </w:tr>
      <w:tr w14:paraId="506B37CF">
        <w:tblPrEx>
          <w:tblCellMar>
            <w:top w:w="0" w:type="dxa"/>
            <w:left w:w="108" w:type="dxa"/>
            <w:bottom w:w="0" w:type="dxa"/>
            <w:right w:w="108" w:type="dxa"/>
          </w:tblCellMar>
        </w:tblPrEx>
        <w:trPr>
          <w:trHeight w:val="225" w:hRule="atLeast"/>
        </w:trPr>
        <w:tc>
          <w:tcPr>
            <w:tcW w:w="2082" w:type="dxa"/>
            <w:vMerge w:val="restart"/>
            <w:tcBorders>
              <w:top w:val="nil"/>
              <w:left w:val="single" w:color="auto" w:sz="4" w:space="0"/>
              <w:bottom w:val="single" w:color="auto" w:sz="4" w:space="0"/>
              <w:right w:val="single" w:color="auto" w:sz="4" w:space="0"/>
            </w:tcBorders>
            <w:vAlign w:val="bottom"/>
          </w:tcPr>
          <w:p w14:paraId="4F78CD36">
            <w:pPr>
              <w:widowControl/>
              <w:shd w:val="clear"/>
              <w:wordWrap w:val="0"/>
              <w:spacing w:line="336" w:lineRule="auto"/>
              <w:jc w:val="center"/>
              <w:rPr>
                <w:rFonts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物业管理</w:t>
            </w:r>
          </w:p>
        </w:tc>
        <w:tc>
          <w:tcPr>
            <w:tcW w:w="2081" w:type="dxa"/>
            <w:tcBorders>
              <w:top w:val="nil"/>
              <w:left w:val="nil"/>
              <w:bottom w:val="single" w:color="auto" w:sz="4" w:space="0"/>
              <w:right w:val="single" w:color="auto" w:sz="4" w:space="0"/>
            </w:tcBorders>
            <w:vAlign w:val="center"/>
          </w:tcPr>
          <w:p w14:paraId="54DB5614">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892" w:type="dxa"/>
            <w:tcBorders>
              <w:top w:val="nil"/>
              <w:left w:val="nil"/>
              <w:bottom w:val="single" w:color="auto" w:sz="4" w:space="0"/>
              <w:right w:val="single" w:color="auto" w:sz="4" w:space="0"/>
            </w:tcBorders>
            <w:vAlign w:val="center"/>
          </w:tcPr>
          <w:p w14:paraId="010BAB0F">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932" w:type="dxa"/>
            <w:tcBorders>
              <w:top w:val="nil"/>
              <w:left w:val="nil"/>
              <w:bottom w:val="single" w:color="auto" w:sz="4" w:space="0"/>
              <w:right w:val="single" w:color="auto" w:sz="4" w:space="0"/>
            </w:tcBorders>
            <w:vAlign w:val="center"/>
          </w:tcPr>
          <w:p w14:paraId="71A2B709">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300≤X＜1000</w:t>
            </w:r>
          </w:p>
        </w:tc>
        <w:tc>
          <w:tcPr>
            <w:tcW w:w="1785" w:type="dxa"/>
            <w:tcBorders>
              <w:top w:val="nil"/>
              <w:left w:val="nil"/>
              <w:bottom w:val="single" w:color="auto" w:sz="4" w:space="0"/>
              <w:right w:val="single" w:color="auto" w:sz="4" w:space="0"/>
            </w:tcBorders>
            <w:vAlign w:val="center"/>
          </w:tcPr>
          <w:p w14:paraId="59979101">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189" w:type="dxa"/>
            <w:tcBorders>
              <w:top w:val="nil"/>
              <w:left w:val="nil"/>
              <w:bottom w:val="single" w:color="auto" w:sz="4" w:space="0"/>
              <w:right w:val="single" w:color="auto" w:sz="4" w:space="0"/>
            </w:tcBorders>
            <w:vAlign w:val="center"/>
          </w:tcPr>
          <w:p w14:paraId="39ED2146">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X＜100</w:t>
            </w:r>
          </w:p>
        </w:tc>
      </w:tr>
      <w:tr w14:paraId="0E8A7B75">
        <w:tblPrEx>
          <w:tblCellMar>
            <w:top w:w="0" w:type="dxa"/>
            <w:left w:w="108" w:type="dxa"/>
            <w:bottom w:w="0" w:type="dxa"/>
            <w:right w:w="108" w:type="dxa"/>
          </w:tblCellMar>
        </w:tblPrEx>
        <w:trPr>
          <w:trHeight w:val="225" w:hRule="atLeast"/>
        </w:trPr>
        <w:tc>
          <w:tcPr>
            <w:tcW w:w="2082" w:type="dxa"/>
            <w:vMerge w:val="continue"/>
            <w:tcBorders>
              <w:top w:val="nil"/>
              <w:left w:val="single" w:color="auto" w:sz="4" w:space="0"/>
              <w:bottom w:val="single" w:color="auto" w:sz="4" w:space="0"/>
              <w:right w:val="single" w:color="auto" w:sz="4" w:space="0"/>
            </w:tcBorders>
            <w:vAlign w:val="center"/>
          </w:tcPr>
          <w:p w14:paraId="52DDFAB2">
            <w:pPr>
              <w:widowControl/>
              <w:shd w:val="clear"/>
              <w:wordWrap w:val="0"/>
              <w:spacing w:line="336" w:lineRule="auto"/>
              <w:jc w:val="left"/>
              <w:rPr>
                <w:rFonts w:asciiTheme="minorEastAsia" w:hAnsiTheme="minorEastAsia" w:eastAsiaTheme="minorEastAsia" w:cstheme="minorEastAsia"/>
                <w:b/>
                <w:bCs/>
                <w:color w:val="auto"/>
                <w:kern w:val="0"/>
                <w:sz w:val="18"/>
                <w:szCs w:val="18"/>
                <w:highlight w:val="none"/>
              </w:rPr>
            </w:pPr>
          </w:p>
        </w:tc>
        <w:tc>
          <w:tcPr>
            <w:tcW w:w="2081" w:type="dxa"/>
            <w:tcBorders>
              <w:top w:val="nil"/>
              <w:left w:val="nil"/>
              <w:bottom w:val="single" w:color="auto" w:sz="4" w:space="0"/>
              <w:right w:val="single" w:color="auto" w:sz="4" w:space="0"/>
            </w:tcBorders>
            <w:vAlign w:val="center"/>
          </w:tcPr>
          <w:p w14:paraId="294BAAF0">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892" w:type="dxa"/>
            <w:tcBorders>
              <w:top w:val="nil"/>
              <w:left w:val="nil"/>
              <w:bottom w:val="single" w:color="auto" w:sz="4" w:space="0"/>
              <w:right w:val="single" w:color="auto" w:sz="4" w:space="0"/>
            </w:tcBorders>
            <w:vAlign w:val="center"/>
          </w:tcPr>
          <w:p w14:paraId="219CA526">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32" w:type="dxa"/>
            <w:tcBorders>
              <w:top w:val="nil"/>
              <w:left w:val="nil"/>
              <w:bottom w:val="single" w:color="auto" w:sz="4" w:space="0"/>
              <w:right w:val="single" w:color="auto" w:sz="4" w:space="0"/>
            </w:tcBorders>
            <w:vAlign w:val="center"/>
          </w:tcPr>
          <w:p w14:paraId="1A4BE883">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1000≤Y＜5000</w:t>
            </w:r>
          </w:p>
        </w:tc>
        <w:tc>
          <w:tcPr>
            <w:tcW w:w="1785" w:type="dxa"/>
            <w:tcBorders>
              <w:top w:val="nil"/>
              <w:left w:val="nil"/>
              <w:bottom w:val="single" w:color="auto" w:sz="4" w:space="0"/>
              <w:right w:val="single" w:color="auto" w:sz="4" w:space="0"/>
            </w:tcBorders>
            <w:vAlign w:val="center"/>
          </w:tcPr>
          <w:p w14:paraId="3D0D04B8">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500≤Y＜1000</w:t>
            </w:r>
          </w:p>
        </w:tc>
        <w:tc>
          <w:tcPr>
            <w:tcW w:w="1189" w:type="dxa"/>
            <w:tcBorders>
              <w:top w:val="nil"/>
              <w:left w:val="nil"/>
              <w:bottom w:val="single" w:color="auto" w:sz="4" w:space="0"/>
              <w:right w:val="single" w:color="auto" w:sz="4" w:space="0"/>
            </w:tcBorders>
            <w:vAlign w:val="center"/>
          </w:tcPr>
          <w:p w14:paraId="2BAB463E">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Y＜500</w:t>
            </w:r>
          </w:p>
        </w:tc>
      </w:tr>
      <w:tr w14:paraId="2371F091">
        <w:tblPrEx>
          <w:tblCellMar>
            <w:top w:w="0" w:type="dxa"/>
            <w:left w:w="108" w:type="dxa"/>
            <w:bottom w:w="0" w:type="dxa"/>
            <w:right w:w="108" w:type="dxa"/>
          </w:tblCellMar>
        </w:tblPrEx>
        <w:trPr>
          <w:trHeight w:val="225" w:hRule="atLeast"/>
        </w:trPr>
        <w:tc>
          <w:tcPr>
            <w:tcW w:w="2082" w:type="dxa"/>
            <w:vMerge w:val="restart"/>
            <w:tcBorders>
              <w:top w:val="nil"/>
              <w:left w:val="single" w:color="auto" w:sz="4" w:space="0"/>
              <w:bottom w:val="single" w:color="auto" w:sz="4" w:space="0"/>
              <w:right w:val="single" w:color="auto" w:sz="4" w:space="0"/>
            </w:tcBorders>
            <w:vAlign w:val="bottom"/>
          </w:tcPr>
          <w:p w14:paraId="0B0854BA">
            <w:pPr>
              <w:widowControl/>
              <w:shd w:val="clear"/>
              <w:wordWrap w:val="0"/>
              <w:spacing w:line="336" w:lineRule="auto"/>
              <w:jc w:val="center"/>
              <w:rPr>
                <w:rFonts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租赁和商务服务业</w:t>
            </w:r>
          </w:p>
        </w:tc>
        <w:tc>
          <w:tcPr>
            <w:tcW w:w="2081" w:type="dxa"/>
            <w:tcBorders>
              <w:top w:val="nil"/>
              <w:left w:val="nil"/>
              <w:bottom w:val="single" w:color="auto" w:sz="4" w:space="0"/>
              <w:right w:val="single" w:color="auto" w:sz="4" w:space="0"/>
            </w:tcBorders>
            <w:vAlign w:val="center"/>
          </w:tcPr>
          <w:p w14:paraId="2369CD73">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892" w:type="dxa"/>
            <w:tcBorders>
              <w:top w:val="nil"/>
              <w:left w:val="nil"/>
              <w:bottom w:val="single" w:color="auto" w:sz="4" w:space="0"/>
              <w:right w:val="single" w:color="auto" w:sz="4" w:space="0"/>
            </w:tcBorders>
            <w:vAlign w:val="center"/>
          </w:tcPr>
          <w:p w14:paraId="3ACD9097">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932" w:type="dxa"/>
            <w:tcBorders>
              <w:top w:val="nil"/>
              <w:left w:val="nil"/>
              <w:bottom w:val="single" w:color="auto" w:sz="4" w:space="0"/>
              <w:right w:val="single" w:color="auto" w:sz="4" w:space="0"/>
            </w:tcBorders>
            <w:vAlign w:val="center"/>
          </w:tcPr>
          <w:p w14:paraId="3C56BF0E">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785" w:type="dxa"/>
            <w:tcBorders>
              <w:top w:val="nil"/>
              <w:left w:val="nil"/>
              <w:bottom w:val="single" w:color="auto" w:sz="4" w:space="0"/>
              <w:right w:val="single" w:color="auto" w:sz="4" w:space="0"/>
            </w:tcBorders>
            <w:vAlign w:val="center"/>
          </w:tcPr>
          <w:p w14:paraId="072E8DAA">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1189" w:type="dxa"/>
            <w:tcBorders>
              <w:top w:val="nil"/>
              <w:left w:val="nil"/>
              <w:bottom w:val="single" w:color="auto" w:sz="4" w:space="0"/>
              <w:right w:val="single" w:color="auto" w:sz="4" w:space="0"/>
            </w:tcBorders>
            <w:vAlign w:val="center"/>
          </w:tcPr>
          <w:p w14:paraId="3DA5A818">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46D0F9F8">
        <w:tblPrEx>
          <w:tblCellMar>
            <w:top w:w="0" w:type="dxa"/>
            <w:left w:w="108" w:type="dxa"/>
            <w:bottom w:w="0" w:type="dxa"/>
            <w:right w:w="108" w:type="dxa"/>
          </w:tblCellMar>
        </w:tblPrEx>
        <w:trPr>
          <w:trHeight w:val="225" w:hRule="atLeast"/>
        </w:trPr>
        <w:tc>
          <w:tcPr>
            <w:tcW w:w="2082" w:type="dxa"/>
            <w:vMerge w:val="continue"/>
            <w:tcBorders>
              <w:top w:val="nil"/>
              <w:left w:val="single" w:color="auto" w:sz="4" w:space="0"/>
              <w:bottom w:val="single" w:color="auto" w:sz="4" w:space="0"/>
              <w:right w:val="single" w:color="auto" w:sz="4" w:space="0"/>
            </w:tcBorders>
            <w:vAlign w:val="center"/>
          </w:tcPr>
          <w:p w14:paraId="3E541C75">
            <w:pPr>
              <w:widowControl/>
              <w:shd w:val="clear"/>
              <w:wordWrap w:val="0"/>
              <w:spacing w:line="336" w:lineRule="auto"/>
              <w:jc w:val="left"/>
              <w:rPr>
                <w:rFonts w:asciiTheme="minorEastAsia" w:hAnsiTheme="minorEastAsia" w:eastAsiaTheme="minorEastAsia" w:cstheme="minorEastAsia"/>
                <w:b/>
                <w:bCs/>
                <w:color w:val="auto"/>
                <w:kern w:val="0"/>
                <w:sz w:val="18"/>
                <w:szCs w:val="18"/>
                <w:highlight w:val="none"/>
              </w:rPr>
            </w:pPr>
          </w:p>
        </w:tc>
        <w:tc>
          <w:tcPr>
            <w:tcW w:w="2081" w:type="dxa"/>
            <w:tcBorders>
              <w:top w:val="nil"/>
              <w:left w:val="nil"/>
              <w:bottom w:val="single" w:color="auto" w:sz="4" w:space="0"/>
              <w:right w:val="single" w:color="auto" w:sz="4" w:space="0"/>
            </w:tcBorders>
            <w:vAlign w:val="center"/>
          </w:tcPr>
          <w:p w14:paraId="0FED4ED8">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资产总额（Z）</w:t>
            </w:r>
          </w:p>
        </w:tc>
        <w:tc>
          <w:tcPr>
            <w:tcW w:w="892" w:type="dxa"/>
            <w:tcBorders>
              <w:top w:val="nil"/>
              <w:left w:val="nil"/>
              <w:bottom w:val="single" w:color="auto" w:sz="4" w:space="0"/>
              <w:right w:val="single" w:color="auto" w:sz="4" w:space="0"/>
            </w:tcBorders>
            <w:vAlign w:val="center"/>
          </w:tcPr>
          <w:p w14:paraId="5B7F14A6">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32" w:type="dxa"/>
            <w:tcBorders>
              <w:top w:val="nil"/>
              <w:left w:val="nil"/>
              <w:bottom w:val="single" w:color="auto" w:sz="4" w:space="0"/>
              <w:right w:val="single" w:color="auto" w:sz="4" w:space="0"/>
            </w:tcBorders>
            <w:vAlign w:val="center"/>
          </w:tcPr>
          <w:p w14:paraId="49C034BF">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8000≤Z＜120000</w:t>
            </w:r>
          </w:p>
        </w:tc>
        <w:tc>
          <w:tcPr>
            <w:tcW w:w="1785" w:type="dxa"/>
            <w:tcBorders>
              <w:top w:val="nil"/>
              <w:left w:val="nil"/>
              <w:bottom w:val="single" w:color="auto" w:sz="4" w:space="0"/>
              <w:right w:val="single" w:color="auto" w:sz="4" w:space="0"/>
            </w:tcBorders>
            <w:vAlign w:val="center"/>
          </w:tcPr>
          <w:p w14:paraId="2B0E30B6">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100≤Z＜8000</w:t>
            </w:r>
          </w:p>
        </w:tc>
        <w:tc>
          <w:tcPr>
            <w:tcW w:w="1189" w:type="dxa"/>
            <w:tcBorders>
              <w:top w:val="nil"/>
              <w:left w:val="nil"/>
              <w:bottom w:val="single" w:color="auto" w:sz="4" w:space="0"/>
              <w:right w:val="single" w:color="auto" w:sz="4" w:space="0"/>
            </w:tcBorders>
            <w:vAlign w:val="center"/>
          </w:tcPr>
          <w:p w14:paraId="3F49D7E3">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2C5FC060">
        <w:tblPrEx>
          <w:tblCellMar>
            <w:top w:w="0" w:type="dxa"/>
            <w:left w:w="108" w:type="dxa"/>
            <w:bottom w:w="0" w:type="dxa"/>
            <w:right w:w="108" w:type="dxa"/>
          </w:tblCellMar>
        </w:tblPrEx>
        <w:trPr>
          <w:trHeight w:val="225" w:hRule="atLeast"/>
        </w:trPr>
        <w:tc>
          <w:tcPr>
            <w:tcW w:w="2082" w:type="dxa"/>
            <w:tcBorders>
              <w:top w:val="nil"/>
              <w:left w:val="single" w:color="auto" w:sz="4" w:space="0"/>
              <w:bottom w:val="single" w:color="auto" w:sz="4" w:space="0"/>
              <w:right w:val="single" w:color="auto" w:sz="4" w:space="0"/>
            </w:tcBorders>
            <w:vAlign w:val="bottom"/>
          </w:tcPr>
          <w:p w14:paraId="4E2DEB20">
            <w:pPr>
              <w:widowControl/>
              <w:shd w:val="clear"/>
              <w:wordWrap w:val="0"/>
              <w:spacing w:line="336" w:lineRule="auto"/>
              <w:jc w:val="center"/>
              <w:rPr>
                <w:rFonts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其他未列明行业</w:t>
            </w:r>
          </w:p>
        </w:tc>
        <w:tc>
          <w:tcPr>
            <w:tcW w:w="2081" w:type="dxa"/>
            <w:tcBorders>
              <w:top w:val="nil"/>
              <w:left w:val="nil"/>
              <w:bottom w:val="single" w:color="auto" w:sz="4" w:space="0"/>
              <w:right w:val="single" w:color="auto" w:sz="4" w:space="0"/>
            </w:tcBorders>
            <w:vAlign w:val="center"/>
          </w:tcPr>
          <w:p w14:paraId="565AF2CB">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892" w:type="dxa"/>
            <w:tcBorders>
              <w:top w:val="nil"/>
              <w:left w:val="nil"/>
              <w:bottom w:val="single" w:color="auto" w:sz="4" w:space="0"/>
              <w:right w:val="single" w:color="auto" w:sz="4" w:space="0"/>
            </w:tcBorders>
            <w:vAlign w:val="center"/>
          </w:tcPr>
          <w:p w14:paraId="2B3F7E54">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932" w:type="dxa"/>
            <w:tcBorders>
              <w:top w:val="nil"/>
              <w:left w:val="nil"/>
              <w:bottom w:val="single" w:color="auto" w:sz="4" w:space="0"/>
              <w:right w:val="single" w:color="auto" w:sz="4" w:space="0"/>
            </w:tcBorders>
            <w:vAlign w:val="center"/>
          </w:tcPr>
          <w:p w14:paraId="33ED8DC1">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785" w:type="dxa"/>
            <w:tcBorders>
              <w:top w:val="nil"/>
              <w:left w:val="nil"/>
              <w:bottom w:val="single" w:color="auto" w:sz="4" w:space="0"/>
              <w:right w:val="single" w:color="auto" w:sz="4" w:space="0"/>
            </w:tcBorders>
            <w:vAlign w:val="center"/>
          </w:tcPr>
          <w:p w14:paraId="7036D710">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1189" w:type="dxa"/>
            <w:tcBorders>
              <w:top w:val="nil"/>
              <w:left w:val="nil"/>
              <w:bottom w:val="single" w:color="auto" w:sz="4" w:space="0"/>
              <w:right w:val="single" w:color="auto" w:sz="4" w:space="0"/>
            </w:tcBorders>
            <w:vAlign w:val="center"/>
          </w:tcPr>
          <w:p w14:paraId="5E37C6AE">
            <w:pPr>
              <w:widowControl/>
              <w:shd w:val="clear"/>
              <w:wordWrap w:val="0"/>
              <w:spacing w:line="336" w:lineRule="auto"/>
              <w:jc w:val="left"/>
              <w:rPr>
                <w:rFonts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bl>
    <w:p w14:paraId="68C0E363">
      <w:pPr>
        <w:numPr>
          <w:ilvl w:val="0"/>
          <w:numId w:val="0"/>
        </w:numPr>
        <w:ind w:leftChars="0"/>
        <w:outlineLvl w:val="9"/>
        <w:rPr>
          <w:color w:val="auto"/>
          <w:highlight w:val="none"/>
        </w:rPr>
      </w:pPr>
      <w:r>
        <w:rPr>
          <w:rFonts w:hint="eastAsia" w:asciiTheme="minorEastAsia" w:hAnsiTheme="minorEastAsia" w:eastAsiaTheme="minorEastAsia" w:cstheme="minorEastAsia"/>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2831E9C6">
      <w:pPr>
        <w:jc w:val="center"/>
        <w:rPr>
          <w:rFonts w:hint="eastAsia" w:cs="仿宋_GB2312" w:asciiTheme="minorEastAsia" w:hAnsiTheme="minorEastAsia" w:eastAsiaTheme="minorEastAsia"/>
          <w:b/>
          <w:color w:val="auto"/>
          <w:kern w:val="0"/>
          <w:sz w:val="32"/>
          <w:szCs w:val="32"/>
          <w:highlight w:val="none"/>
          <w:lang w:val="en-US" w:eastAsia="zh-CN"/>
        </w:rPr>
      </w:pPr>
    </w:p>
    <w:p w14:paraId="0D9B203E">
      <w:pPr>
        <w:jc w:val="center"/>
        <w:rPr>
          <w:rFonts w:hint="eastAsia" w:cs="仿宋_GB2312" w:asciiTheme="minorEastAsia" w:hAnsiTheme="minorEastAsia" w:eastAsiaTheme="minorEastAsia"/>
          <w:b/>
          <w:color w:val="auto"/>
          <w:kern w:val="0"/>
          <w:sz w:val="32"/>
          <w:szCs w:val="32"/>
          <w:highlight w:val="none"/>
          <w:lang w:val="en-US" w:eastAsia="zh-CN"/>
        </w:rPr>
      </w:pPr>
    </w:p>
    <w:p w14:paraId="7A8292B2">
      <w:pPr>
        <w:jc w:val="center"/>
        <w:rPr>
          <w:rFonts w:hint="eastAsia" w:cs="仿宋_GB2312" w:asciiTheme="minorEastAsia" w:hAnsiTheme="minorEastAsia" w:eastAsiaTheme="minorEastAsia"/>
          <w:b/>
          <w:color w:val="auto"/>
          <w:kern w:val="0"/>
          <w:sz w:val="32"/>
          <w:szCs w:val="32"/>
          <w:highlight w:val="none"/>
          <w:lang w:val="en-US" w:eastAsia="zh-CN"/>
        </w:rPr>
      </w:pPr>
    </w:p>
    <w:p w14:paraId="0AE521EF">
      <w:pPr>
        <w:jc w:val="center"/>
        <w:rPr>
          <w:rFonts w:hint="eastAsia" w:cs="仿宋_GB2312" w:asciiTheme="minorEastAsia" w:hAnsiTheme="minorEastAsia" w:eastAsiaTheme="minorEastAsia"/>
          <w:b/>
          <w:color w:val="auto"/>
          <w:kern w:val="0"/>
          <w:sz w:val="32"/>
          <w:szCs w:val="32"/>
          <w:highlight w:val="none"/>
          <w:lang w:val="en-US" w:eastAsia="zh-CN"/>
        </w:rPr>
      </w:pPr>
    </w:p>
    <w:p w14:paraId="2639B899">
      <w:pPr>
        <w:jc w:val="center"/>
        <w:rPr>
          <w:rFonts w:hint="eastAsia" w:cs="仿宋_GB2312" w:asciiTheme="minorEastAsia" w:hAnsiTheme="minorEastAsia" w:eastAsiaTheme="minorEastAsia"/>
          <w:b/>
          <w:color w:val="auto"/>
          <w:kern w:val="0"/>
          <w:sz w:val="32"/>
          <w:szCs w:val="32"/>
          <w:highlight w:val="none"/>
          <w:lang w:val="en-US" w:eastAsia="zh-CN"/>
        </w:rPr>
      </w:pPr>
    </w:p>
    <w:p w14:paraId="77771516">
      <w:pPr>
        <w:jc w:val="center"/>
        <w:rPr>
          <w:rFonts w:hint="eastAsia" w:cs="仿宋_GB2312" w:asciiTheme="minorEastAsia" w:hAnsiTheme="minorEastAsia" w:eastAsiaTheme="minorEastAsia"/>
          <w:b/>
          <w:color w:val="auto"/>
          <w:kern w:val="0"/>
          <w:sz w:val="32"/>
          <w:szCs w:val="32"/>
          <w:highlight w:val="none"/>
          <w:lang w:val="en-US" w:eastAsia="zh-CN"/>
        </w:rPr>
      </w:pPr>
      <w:r>
        <w:rPr>
          <w:rFonts w:hint="eastAsia" w:cs="仿宋_GB2312" w:asciiTheme="minorEastAsia" w:hAnsiTheme="minorEastAsia" w:eastAsiaTheme="minorEastAsia"/>
          <w:b/>
          <w:color w:val="auto"/>
          <w:kern w:val="0"/>
          <w:sz w:val="32"/>
          <w:szCs w:val="32"/>
          <w:highlight w:val="none"/>
          <w:lang w:val="en-US" w:eastAsia="zh-CN"/>
        </w:rPr>
        <w:t>五、特定资质：具备有效的省级或省级以上行政主管部门颁发的检验检测机构资质认定证书和农产品质量安全检测机构考核合格证书</w:t>
      </w:r>
    </w:p>
    <w:p w14:paraId="7BAA067D">
      <w:pPr>
        <w:jc w:val="center"/>
        <w:rPr>
          <w:rFonts w:hint="eastAsia" w:cs="仿宋_GB2312" w:asciiTheme="minorEastAsia" w:hAnsiTheme="minorEastAsia" w:eastAsiaTheme="minorEastAsia"/>
          <w:b/>
          <w:color w:val="auto"/>
          <w:kern w:val="0"/>
          <w:sz w:val="32"/>
          <w:szCs w:val="32"/>
          <w:highlight w:val="none"/>
          <w:lang w:val="en-US" w:eastAsia="zh-CN"/>
        </w:rPr>
      </w:pPr>
    </w:p>
    <w:p w14:paraId="737EA085">
      <w:pPr>
        <w:jc w:val="center"/>
        <w:rPr>
          <w:rFonts w:hint="eastAsia" w:cs="仿宋_GB2312" w:asciiTheme="minorEastAsia" w:hAnsiTheme="minorEastAsia" w:eastAsiaTheme="minorEastAsia"/>
          <w:b/>
          <w:color w:val="auto"/>
          <w:kern w:val="0"/>
          <w:sz w:val="32"/>
          <w:szCs w:val="32"/>
          <w:highlight w:val="none"/>
          <w:lang w:val="en-US" w:eastAsia="zh-CN"/>
        </w:rPr>
      </w:pPr>
    </w:p>
    <w:p w14:paraId="6776641C">
      <w:pPr>
        <w:jc w:val="center"/>
        <w:rPr>
          <w:rFonts w:hint="eastAsia" w:cs="仿宋_GB2312" w:asciiTheme="minorEastAsia" w:hAnsiTheme="minorEastAsia" w:eastAsiaTheme="minorEastAsia"/>
          <w:b/>
          <w:color w:val="auto"/>
          <w:kern w:val="0"/>
          <w:sz w:val="32"/>
          <w:szCs w:val="32"/>
          <w:highlight w:val="none"/>
          <w:lang w:val="en-US" w:eastAsia="zh-CN"/>
        </w:rPr>
      </w:pPr>
    </w:p>
    <w:p w14:paraId="4C0F184D">
      <w:pPr>
        <w:jc w:val="center"/>
        <w:rPr>
          <w:rFonts w:hint="eastAsia" w:cs="仿宋_GB2312" w:asciiTheme="minorEastAsia" w:hAnsiTheme="minorEastAsia" w:eastAsiaTheme="minorEastAsia"/>
          <w:b/>
          <w:color w:val="auto"/>
          <w:kern w:val="0"/>
          <w:sz w:val="32"/>
          <w:szCs w:val="32"/>
          <w:highlight w:val="none"/>
          <w:lang w:val="en-US" w:eastAsia="zh-CN"/>
        </w:rPr>
      </w:pPr>
    </w:p>
    <w:p w14:paraId="4D47D0D7">
      <w:pPr>
        <w:jc w:val="center"/>
        <w:rPr>
          <w:rFonts w:hint="eastAsia" w:cs="仿宋_GB2312" w:asciiTheme="minorEastAsia" w:hAnsiTheme="minorEastAsia" w:eastAsiaTheme="minorEastAsia"/>
          <w:b/>
          <w:color w:val="auto"/>
          <w:kern w:val="0"/>
          <w:sz w:val="32"/>
          <w:szCs w:val="32"/>
          <w:highlight w:val="none"/>
          <w:lang w:val="en-US" w:eastAsia="zh-CN"/>
        </w:rPr>
      </w:pPr>
    </w:p>
    <w:p w14:paraId="0B698D6D">
      <w:pPr>
        <w:jc w:val="center"/>
        <w:rPr>
          <w:rFonts w:hint="eastAsia" w:cs="仿宋_GB2312" w:asciiTheme="minorEastAsia" w:hAnsiTheme="minorEastAsia" w:eastAsiaTheme="minorEastAsia"/>
          <w:b/>
          <w:color w:val="auto"/>
          <w:kern w:val="0"/>
          <w:sz w:val="32"/>
          <w:szCs w:val="32"/>
          <w:highlight w:val="none"/>
          <w:lang w:val="en-US" w:eastAsia="zh-CN"/>
        </w:rPr>
      </w:pPr>
    </w:p>
    <w:p w14:paraId="5E3F9A22">
      <w:pPr>
        <w:jc w:val="center"/>
        <w:rPr>
          <w:rFonts w:hint="eastAsia" w:cs="仿宋_GB2312" w:asciiTheme="minorEastAsia" w:hAnsiTheme="minorEastAsia" w:eastAsiaTheme="minorEastAsia"/>
          <w:b/>
          <w:color w:val="auto"/>
          <w:kern w:val="0"/>
          <w:sz w:val="32"/>
          <w:szCs w:val="32"/>
          <w:highlight w:val="none"/>
          <w:lang w:val="en-US" w:eastAsia="zh-CN"/>
        </w:rPr>
      </w:pPr>
      <w:r>
        <w:rPr>
          <w:rFonts w:hint="eastAsia" w:cs="仿宋_GB2312" w:asciiTheme="minorEastAsia" w:hAnsiTheme="minorEastAsia" w:eastAsiaTheme="minorEastAsia"/>
          <w:b/>
          <w:color w:val="auto"/>
          <w:kern w:val="0"/>
          <w:sz w:val="32"/>
          <w:szCs w:val="32"/>
          <w:highlight w:val="none"/>
          <w:lang w:val="en-US" w:eastAsia="zh-CN"/>
        </w:rPr>
        <w:t>六、</w:t>
      </w:r>
      <w:r>
        <w:rPr>
          <w:rFonts w:hint="eastAsia" w:cs="仿宋_GB2312" w:asciiTheme="minorEastAsia" w:hAnsiTheme="minorEastAsia" w:eastAsiaTheme="minorEastAsia"/>
          <w:b/>
          <w:color w:val="auto"/>
          <w:kern w:val="0"/>
          <w:sz w:val="32"/>
          <w:szCs w:val="32"/>
          <w:highlight w:val="none"/>
          <w:lang w:val="zh-CN" w:eastAsia="zh-CN"/>
        </w:rPr>
        <w:t>磋商供应商认为需要提供的有关资料</w:t>
      </w:r>
      <w:r>
        <w:rPr>
          <w:rFonts w:hint="eastAsia" w:cs="仿宋_GB2312" w:asciiTheme="minorEastAsia" w:hAnsiTheme="minorEastAsia" w:eastAsiaTheme="minorEastAsia"/>
          <w:b/>
          <w:color w:val="auto"/>
          <w:kern w:val="0"/>
          <w:sz w:val="32"/>
          <w:szCs w:val="32"/>
          <w:highlight w:val="none"/>
          <w:lang w:val="en-US" w:eastAsia="zh-CN"/>
        </w:rPr>
        <w:t>…</w:t>
      </w:r>
    </w:p>
    <w:p w14:paraId="3BB68A3B">
      <w:pPr>
        <w:rPr>
          <w:rFonts w:hint="eastAsia" w:cs="宋体"/>
          <w:b/>
          <w:color w:val="auto"/>
          <w:kern w:val="0"/>
          <w:sz w:val="36"/>
          <w:szCs w:val="36"/>
          <w:highlight w:val="none"/>
          <w:lang w:val="en-US" w:eastAsia="zh-CN"/>
        </w:rPr>
      </w:pPr>
      <w:r>
        <w:rPr>
          <w:rFonts w:hint="eastAsia" w:cs="宋体"/>
          <w:b/>
          <w:color w:val="auto"/>
          <w:kern w:val="0"/>
          <w:sz w:val="36"/>
          <w:szCs w:val="36"/>
          <w:highlight w:val="none"/>
          <w:lang w:val="en-US" w:eastAsia="zh-CN"/>
        </w:rPr>
        <w:br w:type="page"/>
      </w:r>
    </w:p>
    <w:p w14:paraId="59945334">
      <w:pPr>
        <w:pStyle w:val="4"/>
        <w:numPr>
          <w:ilvl w:val="0"/>
          <w:numId w:val="0"/>
        </w:numPr>
        <w:ind w:left="432" w:leftChars="0" w:hanging="432" w:firstLineChars="0"/>
        <w:jc w:val="center"/>
        <w:rPr>
          <w:rFonts w:hint="default" w:eastAsia="宋体"/>
          <w:color w:val="auto"/>
          <w:highlight w:val="none"/>
          <w:lang w:val="en-US" w:eastAsia="zh-CN"/>
        </w:rPr>
      </w:pPr>
      <w:r>
        <w:rPr>
          <w:rFonts w:hint="eastAsia" w:cs="宋体"/>
          <w:b/>
          <w:color w:val="auto"/>
          <w:kern w:val="0"/>
          <w:sz w:val="36"/>
          <w:szCs w:val="36"/>
          <w:highlight w:val="none"/>
          <w:lang w:val="en-US" w:eastAsia="zh-CN"/>
        </w:rPr>
        <w:t>商务及技术文件部分</w:t>
      </w:r>
    </w:p>
    <w:p w14:paraId="71FFF971">
      <w:pPr>
        <w:spacing w:line="360" w:lineRule="auto"/>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目录</w:t>
      </w:r>
    </w:p>
    <w:p w14:paraId="5943B428">
      <w:pPr>
        <w:snapToGrid w:val="0"/>
        <w:spacing w:line="360" w:lineRule="auto"/>
        <w:ind w:left="479" w:leftChars="228"/>
        <w:rPr>
          <w:rFonts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val="en-US" w:eastAsia="zh-CN"/>
        </w:rPr>
        <w:t>响应函</w:t>
      </w:r>
      <w:r>
        <w:rPr>
          <w:rFonts w:hint="eastAsia" w:ascii="宋体" w:hAnsi="宋体" w:cs="宋体"/>
          <w:color w:val="auto"/>
          <w:sz w:val="24"/>
          <w:szCs w:val="24"/>
          <w:highlight w:val="none"/>
        </w:rPr>
        <w:t>……………………………………………………………………（页码）（2）</w:t>
      </w:r>
      <w:r>
        <w:rPr>
          <w:rFonts w:hint="eastAsia" w:ascii="宋体" w:hAnsi="宋体" w:cs="宋体"/>
          <w:color w:val="auto"/>
          <w:sz w:val="24"/>
          <w:szCs w:val="24"/>
          <w:highlight w:val="none"/>
          <w:lang w:val="zh-CN"/>
        </w:rPr>
        <w:t>政府采购供应商廉洁自律承诺书</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（页码）</w:t>
      </w:r>
    </w:p>
    <w:p w14:paraId="75255532">
      <w:pPr>
        <w:snapToGrid w:val="0"/>
        <w:spacing w:line="360" w:lineRule="auto"/>
        <w:ind w:left="479" w:leftChars="228"/>
        <w:rPr>
          <w:rFonts w:hint="eastAsia"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承诺函</w:t>
      </w:r>
      <w:r>
        <w:rPr>
          <w:rFonts w:hint="eastAsia" w:ascii="宋体" w:hAnsi="宋体" w:cs="宋体"/>
          <w:color w:val="auto"/>
          <w:sz w:val="24"/>
          <w:szCs w:val="24"/>
          <w:highlight w:val="none"/>
        </w:rPr>
        <w:t>………………………………………………………………………（页码）</w:t>
      </w:r>
    </w:p>
    <w:p w14:paraId="25F30726">
      <w:pPr>
        <w:snapToGrid w:val="0"/>
        <w:spacing w:line="360" w:lineRule="auto"/>
        <w:ind w:left="479" w:leftChars="228"/>
        <w:rPr>
          <w:rFonts w:hint="eastAsia"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w:t>
      </w:r>
      <w:r>
        <w:rPr>
          <w:rFonts w:hint="eastAsia" w:cs="仿宋_GB2312" w:asciiTheme="minorEastAsia" w:hAnsiTheme="minorEastAsia" w:eastAsiaTheme="minorEastAsia"/>
          <w:color w:val="auto"/>
          <w:kern w:val="0"/>
          <w:sz w:val="24"/>
          <w:szCs w:val="24"/>
          <w:highlight w:val="none"/>
          <w:lang w:val="zh-CN"/>
        </w:rPr>
        <w:t>技术服务、商务偏离情况说明表</w:t>
      </w:r>
      <w:r>
        <w:rPr>
          <w:rFonts w:hint="eastAsia" w:ascii="宋体" w:hAnsi="宋体" w:cs="宋体"/>
          <w:color w:val="auto"/>
          <w:sz w:val="24"/>
          <w:szCs w:val="24"/>
          <w:highlight w:val="none"/>
        </w:rPr>
        <w:t>…………………………………………（页码）</w:t>
      </w:r>
    </w:p>
    <w:p w14:paraId="17901D36">
      <w:pPr>
        <w:snapToGrid w:val="0"/>
        <w:spacing w:line="360" w:lineRule="auto"/>
        <w:ind w:left="479" w:leftChars="228"/>
        <w:rPr>
          <w:rFonts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）法定代表人（负责人）身份证明书………………………………………（页码）</w:t>
      </w:r>
    </w:p>
    <w:p w14:paraId="3FDA9683">
      <w:pPr>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w:t>
      </w:r>
      <w:r>
        <w:rPr>
          <w:rFonts w:hint="eastAsia" w:ascii="宋体" w:hAnsi="宋体" w:eastAsia="宋体" w:cs="宋体"/>
          <w:color w:val="auto"/>
          <w:sz w:val="24"/>
          <w:szCs w:val="24"/>
          <w:highlight w:val="none"/>
        </w:rPr>
        <w:t>法定代表人(负责人)授权委托书…</w:t>
      </w:r>
      <w:r>
        <w:rPr>
          <w:rFonts w:hint="eastAsia" w:ascii="宋体" w:hAnsi="宋体" w:cs="宋体"/>
          <w:color w:val="auto"/>
          <w:sz w:val="24"/>
          <w:szCs w:val="24"/>
          <w:highlight w:val="none"/>
        </w:rPr>
        <w:t>………………………………………（页码）</w:t>
      </w:r>
    </w:p>
    <w:p w14:paraId="70945F37">
      <w:pPr>
        <w:snapToGrid w:val="0"/>
        <w:spacing w:line="360" w:lineRule="auto"/>
        <w:ind w:left="479" w:leftChars="228"/>
        <w:rPr>
          <w:rFonts w:ascii="宋体" w:hAnsi="宋体" w:cs="宋体"/>
          <w:color w:val="auto"/>
          <w:sz w:val="24"/>
          <w:szCs w:val="24"/>
          <w:highlight w:val="none"/>
        </w:rPr>
      </w:pPr>
      <w:r>
        <w:rPr>
          <w:rFonts w:hint="eastAsia" w:ascii="宋体" w:hAnsi="宋体" w:cs="宋体"/>
          <w:color w:val="auto"/>
          <w:sz w:val="24"/>
          <w:szCs w:val="24"/>
          <w:highlight w:val="none"/>
          <w:lang w:val="zh-CN"/>
        </w:rPr>
        <w:t>（</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lang w:val="zh-CN"/>
        </w:rPr>
        <w:t>）</w:t>
      </w:r>
      <w:r>
        <w:rPr>
          <w:rFonts w:hint="eastAsia" w:ascii="宋体" w:hAnsi="宋体" w:cs="宋体"/>
          <w:color w:val="auto"/>
          <w:sz w:val="24"/>
          <w:szCs w:val="24"/>
          <w:highlight w:val="none"/>
          <w:lang w:val="zh-CN" w:eastAsia="zh-CN"/>
        </w:rPr>
        <w:t>服务承诺</w:t>
      </w:r>
      <w:r>
        <w:rPr>
          <w:rFonts w:hint="eastAsia" w:ascii="宋体" w:hAnsi="宋体" w:cs="宋体"/>
          <w:color w:val="auto"/>
          <w:sz w:val="24"/>
          <w:szCs w:val="24"/>
          <w:highlight w:val="none"/>
        </w:rPr>
        <w:t>……………………………………………………………………（页码）</w:t>
      </w:r>
    </w:p>
    <w:p w14:paraId="427FCA64">
      <w:pPr>
        <w:snapToGrid w:val="0"/>
        <w:spacing w:line="360" w:lineRule="auto"/>
        <w:ind w:left="479" w:leftChars="228"/>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zh-CN"/>
        </w:rPr>
        <w:t>（</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zh-CN" w:eastAsia="zh-CN"/>
        </w:rPr>
        <w:t>）</w:t>
      </w:r>
      <w:r>
        <w:rPr>
          <w:rFonts w:hint="eastAsia" w:ascii="宋体" w:hAnsi="宋体" w:cs="宋体"/>
          <w:color w:val="auto"/>
          <w:sz w:val="24"/>
          <w:szCs w:val="24"/>
          <w:highlight w:val="none"/>
          <w:lang w:val="zh-CN" w:eastAsia="zh-CN"/>
        </w:rPr>
        <w:t>项目实施人员一览表（格式见第七部分）</w:t>
      </w:r>
      <w:r>
        <w:rPr>
          <w:rFonts w:hint="eastAsia" w:ascii="宋体" w:hAnsi="宋体" w:eastAsia="宋体" w:cs="宋体"/>
          <w:color w:val="auto"/>
          <w:sz w:val="24"/>
          <w:szCs w:val="24"/>
          <w:highlight w:val="none"/>
          <w:lang w:val="en-US" w:eastAsia="zh-CN"/>
        </w:rPr>
        <w:t>………………………（页码）</w:t>
      </w:r>
    </w:p>
    <w:p w14:paraId="31436C47">
      <w:pPr>
        <w:snapToGrid w:val="0"/>
        <w:spacing w:line="360" w:lineRule="auto"/>
        <w:ind w:left="479" w:leftChars="228"/>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r>
        <w:rPr>
          <w:rFonts w:hint="eastAsia" w:cs="仿宋_GB2312" w:asciiTheme="minorEastAsia" w:hAnsiTheme="minorEastAsia" w:eastAsiaTheme="minorEastAsia"/>
          <w:color w:val="auto"/>
          <w:kern w:val="0"/>
          <w:sz w:val="24"/>
          <w:highlight w:val="none"/>
          <w:lang w:val="en-US" w:eastAsia="zh-CN"/>
        </w:rPr>
        <w:t>项目实施方案等评审标准要求的有关材料</w:t>
      </w:r>
      <w:r>
        <w:rPr>
          <w:rFonts w:hint="eastAsia" w:ascii="宋体" w:hAnsi="宋体" w:eastAsia="宋体" w:cs="宋体"/>
          <w:color w:val="auto"/>
          <w:sz w:val="24"/>
          <w:szCs w:val="24"/>
          <w:highlight w:val="none"/>
          <w:lang w:val="en-US" w:eastAsia="zh-CN"/>
        </w:rPr>
        <w:t>………………………………（页码）</w:t>
      </w:r>
    </w:p>
    <w:p w14:paraId="4373B814">
      <w:pPr>
        <w:snapToGrid w:val="0"/>
        <w:spacing w:line="360" w:lineRule="auto"/>
        <w:ind w:left="479" w:leftChars="228"/>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（10）采购项目需求中要求必须提供的材料等…………………………………（页码）</w:t>
      </w:r>
    </w:p>
    <w:p w14:paraId="24CCE0A5">
      <w:pPr>
        <w:keepNext w:val="0"/>
        <w:keepLines w:val="0"/>
        <w:pageBreakBefore w:val="0"/>
        <w:widowControl w:val="0"/>
        <w:kinsoku/>
        <w:wordWrap/>
        <w:overflowPunct/>
        <w:topLinePunct w:val="0"/>
        <w:autoSpaceDE/>
        <w:autoSpaceDN/>
        <w:bidi w:val="0"/>
        <w:adjustRightInd/>
        <w:snapToGrid w:val="0"/>
        <w:spacing w:line="360" w:lineRule="auto"/>
        <w:ind w:left="479" w:leftChars="228"/>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（11）磋商供应商认为需要提供的有关资料…………………………………（页码）</w:t>
      </w:r>
    </w:p>
    <w:p w14:paraId="68BB4E08">
      <w:pPr>
        <w:numPr>
          <w:ilvl w:val="0"/>
          <w:numId w:val="0"/>
        </w:numPr>
        <w:tabs>
          <w:tab w:val="left" w:pos="432"/>
        </w:tabs>
        <w:ind w:leftChars="0"/>
        <w:outlineLvl w:val="9"/>
        <w:rPr>
          <w:color w:val="auto"/>
          <w:highlight w:val="none"/>
        </w:rPr>
      </w:pPr>
      <w:r>
        <w:rPr>
          <w:rFonts w:hint="eastAsia" w:cs="仿宋_GB2312" w:asciiTheme="minorEastAsia" w:hAnsiTheme="minorEastAsia" w:eastAsiaTheme="minorEastAsia"/>
          <w:b/>
          <w:bCs/>
          <w:color w:val="auto"/>
          <w:sz w:val="24"/>
          <w:highlight w:val="none"/>
        </w:rPr>
        <w:t>注</w:t>
      </w:r>
      <w:r>
        <w:rPr>
          <w:rFonts w:hint="eastAsia" w:cs="仿宋_GB2312" w:asciiTheme="minorEastAsia" w:hAnsiTheme="minorEastAsia" w:eastAsiaTheme="minorEastAsia"/>
          <w:b/>
          <w:bCs/>
          <w:color w:val="auto"/>
          <w:sz w:val="24"/>
          <w:highlight w:val="none"/>
          <w:lang w:eastAsia="zh-CN"/>
        </w:rPr>
        <w:t>：</w:t>
      </w:r>
      <w:r>
        <w:rPr>
          <w:rFonts w:hint="eastAsia" w:cs="仿宋_GB2312" w:asciiTheme="minorEastAsia" w:hAnsiTheme="minorEastAsia" w:eastAsiaTheme="minorEastAsia"/>
          <w:b/>
          <w:bCs/>
          <w:color w:val="auto"/>
          <w:sz w:val="24"/>
          <w:highlight w:val="none"/>
        </w:rPr>
        <w:t>以上目录是编制供应商响应文件的基本格式要求，各供应商可根据自身情况进一步细化。</w:t>
      </w:r>
    </w:p>
    <w:p w14:paraId="2854958B">
      <w:pPr>
        <w:snapToGrid w:val="0"/>
        <w:spacing w:line="360" w:lineRule="auto"/>
        <w:rPr>
          <w:rFonts w:cs="仿宋_GB2312" w:asciiTheme="minorEastAsia" w:hAnsiTheme="minorEastAsia" w:eastAsiaTheme="minorEastAsia"/>
          <w:color w:val="auto"/>
          <w:kern w:val="0"/>
          <w:sz w:val="24"/>
          <w:highlight w:val="none"/>
          <w:lang w:val="zh-CN"/>
        </w:rPr>
      </w:pPr>
    </w:p>
    <w:p w14:paraId="1DE02D52">
      <w:pPr>
        <w:snapToGrid w:val="0"/>
        <w:spacing w:line="360" w:lineRule="auto"/>
        <w:rPr>
          <w:rFonts w:cs="仿宋_GB2312" w:asciiTheme="minorEastAsia" w:hAnsiTheme="minorEastAsia" w:eastAsiaTheme="minorEastAsia"/>
          <w:color w:val="auto"/>
          <w:kern w:val="0"/>
          <w:sz w:val="24"/>
          <w:highlight w:val="none"/>
          <w:lang w:val="zh-CN"/>
        </w:rPr>
      </w:pPr>
    </w:p>
    <w:p w14:paraId="7554CF1E">
      <w:pPr>
        <w:snapToGrid w:val="0"/>
        <w:spacing w:line="360" w:lineRule="auto"/>
        <w:ind w:right="480"/>
        <w:jc w:val="center"/>
        <w:rPr>
          <w:rFonts w:cs="仿宋_GB2312" w:asciiTheme="minorEastAsia" w:hAnsiTheme="minorEastAsia" w:eastAsiaTheme="minorEastAsia"/>
          <w:b/>
          <w:color w:val="auto"/>
          <w:kern w:val="0"/>
          <w:sz w:val="32"/>
          <w:szCs w:val="32"/>
          <w:highlight w:val="none"/>
          <w:lang w:val="zh-CN"/>
        </w:rPr>
        <w:sectPr>
          <w:headerReference r:id="rId4" w:type="first"/>
          <w:footerReference r:id="rId7" w:type="first"/>
          <w:headerReference r:id="rId3" w:type="default"/>
          <w:footerReference r:id="rId5" w:type="default"/>
          <w:footerReference r:id="rId6" w:type="even"/>
          <w:pgSz w:w="11906" w:h="16838"/>
          <w:pgMar w:top="1247" w:right="1418" w:bottom="1276" w:left="1418" w:header="851" w:footer="850" w:gutter="0"/>
          <w:pgNumType w:fmt="decimal" w:start="1"/>
          <w:cols w:space="720" w:num="1"/>
          <w:titlePg/>
          <w:docGrid w:linePitch="312" w:charSpace="0"/>
        </w:sectPr>
      </w:pPr>
    </w:p>
    <w:p w14:paraId="34C65C38">
      <w:pPr>
        <w:spacing w:line="360" w:lineRule="auto"/>
        <w:jc w:val="center"/>
        <w:rPr>
          <w:rFonts w:cs="仿宋_GB2312" w:asciiTheme="minorEastAsia" w:hAnsiTheme="minorEastAsia" w:eastAsiaTheme="minorEastAsia"/>
          <w:b/>
          <w:bCs/>
          <w:color w:val="auto"/>
          <w:sz w:val="32"/>
          <w:szCs w:val="32"/>
          <w:highlight w:val="none"/>
        </w:rPr>
      </w:pPr>
      <w:r>
        <w:rPr>
          <w:rFonts w:hint="eastAsia" w:cs="仿宋_GB2312" w:asciiTheme="minorEastAsia" w:hAnsiTheme="minorEastAsia" w:eastAsiaTheme="minorEastAsia"/>
          <w:b/>
          <w:color w:val="auto"/>
          <w:kern w:val="0"/>
          <w:sz w:val="32"/>
          <w:szCs w:val="32"/>
          <w:highlight w:val="none"/>
        </w:rPr>
        <w:t>一、响应</w:t>
      </w:r>
      <w:r>
        <w:rPr>
          <w:rFonts w:hint="eastAsia" w:cs="仿宋_GB2312" w:asciiTheme="minorEastAsia" w:hAnsiTheme="minorEastAsia" w:eastAsiaTheme="minorEastAsia"/>
          <w:b/>
          <w:color w:val="auto"/>
          <w:sz w:val="32"/>
          <w:szCs w:val="32"/>
          <w:highlight w:val="none"/>
        </w:rPr>
        <w:t>函</w:t>
      </w:r>
    </w:p>
    <w:p w14:paraId="3BF66B2D">
      <w:pPr>
        <w:spacing w:line="360" w:lineRule="auto"/>
        <w:rPr>
          <w:rFonts w:hint="eastAsia" w:cs="仿宋_GB2312" w:asciiTheme="minorEastAsia" w:hAnsiTheme="minorEastAsia" w:eastAsiaTheme="minorEastAsia"/>
          <w:color w:val="auto"/>
          <w:sz w:val="24"/>
          <w:highlight w:val="none"/>
          <w:lang w:eastAsia="zh-CN"/>
        </w:rPr>
      </w:pPr>
      <w:r>
        <w:rPr>
          <w:rFonts w:hint="eastAsia" w:cs="仿宋_GB2312" w:asciiTheme="minorEastAsia" w:hAnsiTheme="minorEastAsia" w:eastAsiaTheme="minorEastAsia"/>
          <w:color w:val="auto"/>
          <w:sz w:val="24"/>
          <w:highlight w:val="none"/>
        </w:rPr>
        <w:t>（采购人）、（采购代理机构）</w:t>
      </w:r>
      <w:r>
        <w:rPr>
          <w:rFonts w:hint="eastAsia" w:cs="仿宋_GB2312" w:asciiTheme="minorEastAsia" w:hAnsiTheme="minorEastAsia" w:eastAsiaTheme="minorEastAsia"/>
          <w:color w:val="auto"/>
          <w:sz w:val="24"/>
          <w:highlight w:val="none"/>
          <w:lang w:eastAsia="zh-CN"/>
        </w:rPr>
        <w:t>：</w:t>
      </w:r>
    </w:p>
    <w:p w14:paraId="60937B87">
      <w:pPr>
        <w:spacing w:line="360" w:lineRule="auto"/>
        <w:rPr>
          <w:rFonts w:hint="eastAsia" w:cs="仿宋_GB2312" w:asciiTheme="minorEastAsia" w:hAnsiTheme="minorEastAsia" w:eastAsiaTheme="minorEastAsia"/>
          <w:color w:val="auto"/>
          <w:sz w:val="24"/>
          <w:highlight w:val="none"/>
          <w:lang w:eastAsia="zh-CN"/>
        </w:rPr>
      </w:pPr>
      <w:r>
        <w:rPr>
          <w:rFonts w:hint="eastAsia" w:cs="仿宋_GB2312" w:asciiTheme="minorEastAsia" w:hAnsiTheme="minorEastAsia" w:eastAsiaTheme="minorEastAsia"/>
          <w:color w:val="auto"/>
          <w:kern w:val="0"/>
          <w:sz w:val="24"/>
          <w:highlight w:val="none"/>
          <w:u w:val="single"/>
          <w:lang w:val="zh-CN"/>
        </w:rPr>
        <w:t xml:space="preserve">                          </w:t>
      </w:r>
      <w:r>
        <w:rPr>
          <w:rFonts w:hint="eastAsia" w:cs="仿宋_GB2312" w:asciiTheme="minorEastAsia" w:hAnsiTheme="minorEastAsia" w:eastAsiaTheme="minorEastAsia"/>
          <w:color w:val="auto"/>
          <w:sz w:val="24"/>
          <w:highlight w:val="none"/>
        </w:rPr>
        <w:t>(供应商全称)授权</w:t>
      </w:r>
      <w:r>
        <w:rPr>
          <w:rFonts w:hint="eastAsia" w:cs="仿宋_GB2312" w:asciiTheme="minorEastAsia" w:hAnsiTheme="minorEastAsia" w:eastAsiaTheme="minorEastAsia"/>
          <w:color w:val="auto"/>
          <w:kern w:val="0"/>
          <w:sz w:val="24"/>
          <w:highlight w:val="none"/>
          <w:u w:val="single"/>
          <w:lang w:val="zh-CN"/>
        </w:rPr>
        <w:t xml:space="preserve">                      </w:t>
      </w:r>
      <w:r>
        <w:rPr>
          <w:rFonts w:hint="eastAsia" w:cs="仿宋_GB2312" w:asciiTheme="minorEastAsia" w:hAnsiTheme="minorEastAsia" w:eastAsiaTheme="minorEastAsia"/>
          <w:color w:val="auto"/>
          <w:sz w:val="24"/>
          <w:highlight w:val="none"/>
        </w:rPr>
        <w:t>(全权代表姓名)</w:t>
      </w:r>
      <w:r>
        <w:rPr>
          <w:rFonts w:hint="eastAsia" w:cs="仿宋_GB2312" w:asciiTheme="minorEastAsia" w:hAnsiTheme="minorEastAsia" w:eastAsiaTheme="minorEastAsia"/>
          <w:color w:val="auto"/>
          <w:kern w:val="0"/>
          <w:sz w:val="24"/>
          <w:highlight w:val="none"/>
          <w:u w:val="single"/>
          <w:lang w:val="zh-CN"/>
        </w:rPr>
        <w:t xml:space="preserve">          </w:t>
      </w:r>
      <w:r>
        <w:rPr>
          <w:rFonts w:hint="eastAsia" w:cs="仿宋_GB2312" w:asciiTheme="minorEastAsia" w:hAnsiTheme="minorEastAsia" w:eastAsiaTheme="minorEastAsia"/>
          <w:color w:val="auto"/>
          <w:sz w:val="24"/>
          <w:highlight w:val="none"/>
        </w:rPr>
        <w:t>(职务、职称)为全权代表，参加贵方组织的（项目名称）【项目编号</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rPr>
        <w:t>（采购编号）】的有关活动，并对此项目进行响应。为此</w:t>
      </w:r>
      <w:r>
        <w:rPr>
          <w:rFonts w:hint="eastAsia" w:cs="仿宋_GB2312" w:asciiTheme="minorEastAsia" w:hAnsiTheme="minorEastAsia" w:eastAsiaTheme="minorEastAsia"/>
          <w:color w:val="auto"/>
          <w:sz w:val="24"/>
          <w:highlight w:val="none"/>
          <w:lang w:eastAsia="zh-CN"/>
        </w:rPr>
        <w:t>：</w:t>
      </w:r>
    </w:p>
    <w:p w14:paraId="7E049B8B">
      <w:pPr>
        <w:pStyle w:val="108"/>
        <w:numPr>
          <w:ilvl w:val="0"/>
          <w:numId w:val="0"/>
        </w:numPr>
        <w:snapToGrid w:val="0"/>
        <w:ind w:left="840" w:leftChars="0" w:hanging="360" w:firstLineChars="0"/>
        <w:rPr>
          <w:rFonts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kern w:val="2"/>
          <w:sz w:val="24"/>
          <w:szCs w:val="24"/>
          <w:highlight w:val="none"/>
          <w:lang w:val="en-US" w:eastAsia="zh-CN" w:bidi="ar-SA"/>
        </w:rPr>
        <w:t>1</w:t>
      </w:r>
      <w:r>
        <w:rPr>
          <w:rFonts w:hint="default" w:cs="仿宋_GB2312" w:asciiTheme="minorEastAsia" w:hAnsiTheme="minorEastAsia" w:eastAsiaTheme="minorEastAsia"/>
          <w:color w:val="auto"/>
          <w:kern w:val="2"/>
          <w:sz w:val="24"/>
          <w:szCs w:val="24"/>
          <w:highlight w:val="none"/>
          <w:lang w:val="en-US" w:eastAsia="zh-CN" w:bidi="ar-SA"/>
        </w:rPr>
        <w:t>、</w:t>
      </w:r>
      <w:r>
        <w:rPr>
          <w:rFonts w:hint="eastAsia" w:cs="仿宋_GB2312" w:asciiTheme="minorEastAsia" w:hAnsiTheme="minorEastAsia" w:eastAsiaTheme="minorEastAsia"/>
          <w:color w:val="auto"/>
          <w:highlight w:val="none"/>
        </w:rPr>
        <w:t>我方承诺响应有效期从提交响应文件的截止之日起</w:t>
      </w:r>
      <w:r>
        <w:rPr>
          <w:rFonts w:hint="eastAsia" w:cs="仿宋_GB2312" w:asciiTheme="minorEastAsia" w:hAnsiTheme="minorEastAsia" w:eastAsiaTheme="minorEastAsia"/>
          <w:color w:val="auto"/>
          <w:highlight w:val="none"/>
          <w:u w:val="single"/>
        </w:rPr>
        <w:t xml:space="preserve">     </w:t>
      </w:r>
      <w:r>
        <w:rPr>
          <w:rFonts w:hint="eastAsia" w:cs="仿宋_GB2312" w:asciiTheme="minorEastAsia" w:hAnsiTheme="minorEastAsia" w:eastAsiaTheme="minorEastAsia"/>
          <w:color w:val="auto"/>
          <w:highlight w:val="none"/>
        </w:rPr>
        <w:t>天</w:t>
      </w:r>
      <w:r>
        <w:rPr>
          <w:rFonts w:hint="eastAsia" w:cs="宋体" w:asciiTheme="minorEastAsia" w:hAnsiTheme="minorEastAsia" w:eastAsiaTheme="minorEastAsia"/>
          <w:color w:val="auto"/>
          <w:highlight w:val="none"/>
        </w:rPr>
        <w:t>（不少于60天），</w:t>
      </w:r>
      <w:r>
        <w:rPr>
          <w:rFonts w:hint="eastAsia" w:cs="仿宋_GB2312" w:asciiTheme="minorEastAsia" w:hAnsiTheme="minorEastAsia" w:eastAsiaTheme="minorEastAsia"/>
          <w:color w:val="auto"/>
          <w:highlight w:val="none"/>
        </w:rPr>
        <w:t>本响应文件在响应有效期满之前均具有约束力。</w:t>
      </w:r>
    </w:p>
    <w:p w14:paraId="4163F02F">
      <w:pPr>
        <w:numPr>
          <w:ilvl w:val="0"/>
          <w:numId w:val="0"/>
        </w:numPr>
        <w:adjustRightInd/>
        <w:spacing w:line="360" w:lineRule="auto"/>
        <w:ind w:left="840" w:leftChars="0" w:hanging="360" w:firstLineChars="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2"/>
          <w:sz w:val="24"/>
          <w:szCs w:val="24"/>
          <w:highlight w:val="none"/>
          <w:lang w:val="en-US" w:eastAsia="zh-CN" w:bidi="ar-SA"/>
        </w:rPr>
        <w:t>2</w:t>
      </w:r>
      <w:r>
        <w:rPr>
          <w:rFonts w:hint="default" w:cs="仿宋_GB2312" w:asciiTheme="minorEastAsia" w:hAnsiTheme="minorEastAsia" w:eastAsiaTheme="minorEastAsia"/>
          <w:color w:val="auto"/>
          <w:kern w:val="2"/>
          <w:sz w:val="24"/>
          <w:szCs w:val="24"/>
          <w:highlight w:val="none"/>
          <w:lang w:val="en-US" w:eastAsia="zh-CN" w:bidi="ar-SA"/>
        </w:rPr>
        <w:t>、</w:t>
      </w:r>
      <w:r>
        <w:rPr>
          <w:rFonts w:hint="eastAsia" w:cs="仿宋_GB2312" w:asciiTheme="minorEastAsia" w:hAnsiTheme="minorEastAsia" w:eastAsiaTheme="minorEastAsia"/>
          <w:color w:val="auto"/>
          <w:sz w:val="24"/>
          <w:highlight w:val="none"/>
        </w:rPr>
        <w:t>提供</w:t>
      </w:r>
      <w:r>
        <w:rPr>
          <w:rFonts w:hint="eastAsia" w:cs="仿宋_GB2312" w:asciiTheme="minorEastAsia" w:hAnsiTheme="minorEastAsia" w:eastAsiaTheme="minorEastAsia"/>
          <w:bCs/>
          <w:color w:val="auto"/>
          <w:kern w:val="44"/>
          <w:sz w:val="24"/>
          <w:highlight w:val="none"/>
        </w:rPr>
        <w:t>磋商文件中</w:t>
      </w:r>
      <w:r>
        <w:rPr>
          <w:rFonts w:hint="eastAsia" w:cs="仿宋_GB2312" w:asciiTheme="minorEastAsia" w:hAnsiTheme="minorEastAsia" w:eastAsiaTheme="minorEastAsia"/>
          <w:color w:val="auto"/>
          <w:sz w:val="24"/>
          <w:highlight w:val="none"/>
        </w:rPr>
        <w:t>规定的全部响应文件。</w:t>
      </w:r>
    </w:p>
    <w:p w14:paraId="50262C8C">
      <w:pPr>
        <w:numPr>
          <w:ilvl w:val="0"/>
          <w:numId w:val="0"/>
        </w:numPr>
        <w:adjustRightInd/>
        <w:spacing w:line="360" w:lineRule="auto"/>
        <w:ind w:left="840" w:leftChars="0" w:hanging="360" w:firstLineChars="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2"/>
          <w:sz w:val="24"/>
          <w:szCs w:val="24"/>
          <w:highlight w:val="none"/>
          <w:lang w:val="en-US" w:eastAsia="zh-CN" w:bidi="ar-SA"/>
        </w:rPr>
        <w:t>3</w:t>
      </w:r>
      <w:r>
        <w:rPr>
          <w:rFonts w:hint="default" w:cs="仿宋_GB2312" w:asciiTheme="minorEastAsia" w:hAnsiTheme="minorEastAsia" w:eastAsiaTheme="minorEastAsia"/>
          <w:color w:val="auto"/>
          <w:kern w:val="2"/>
          <w:sz w:val="24"/>
          <w:szCs w:val="24"/>
          <w:highlight w:val="none"/>
          <w:lang w:val="en-US" w:eastAsia="zh-CN" w:bidi="ar-SA"/>
        </w:rPr>
        <w:t>、</w:t>
      </w:r>
      <w:r>
        <w:rPr>
          <w:rFonts w:hint="eastAsia" w:cs="宋体" w:asciiTheme="minorEastAsia" w:hAnsiTheme="minorEastAsia" w:eastAsiaTheme="minorEastAsia"/>
          <w:color w:val="auto"/>
          <w:sz w:val="24"/>
          <w:highlight w:val="none"/>
        </w:rPr>
        <w:t>我方承诺除响应文件列出的偏离外，我方响应磋商文件的全部要求。</w:t>
      </w:r>
    </w:p>
    <w:p w14:paraId="75422C45">
      <w:pPr>
        <w:numPr>
          <w:ilvl w:val="0"/>
          <w:numId w:val="0"/>
        </w:numPr>
        <w:adjustRightInd/>
        <w:spacing w:line="360" w:lineRule="auto"/>
        <w:ind w:left="840" w:leftChars="0" w:hanging="360" w:firstLineChars="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2"/>
          <w:sz w:val="24"/>
          <w:szCs w:val="24"/>
          <w:highlight w:val="none"/>
          <w:lang w:val="en-US" w:eastAsia="zh-CN" w:bidi="ar-SA"/>
        </w:rPr>
        <w:t>4</w:t>
      </w:r>
      <w:r>
        <w:rPr>
          <w:rFonts w:hint="default" w:cs="仿宋_GB2312" w:asciiTheme="minorEastAsia" w:hAnsiTheme="minorEastAsia" w:eastAsiaTheme="minorEastAsia"/>
          <w:color w:val="auto"/>
          <w:kern w:val="2"/>
          <w:sz w:val="24"/>
          <w:szCs w:val="24"/>
          <w:highlight w:val="none"/>
          <w:lang w:val="en-US" w:eastAsia="zh-CN" w:bidi="ar-SA"/>
        </w:rPr>
        <w:t>、</w:t>
      </w:r>
      <w:r>
        <w:rPr>
          <w:rFonts w:hint="eastAsia" w:cs="仿宋_GB2312" w:asciiTheme="minorEastAsia" w:hAnsiTheme="minorEastAsia" w:eastAsiaTheme="minorEastAsia"/>
          <w:color w:val="auto"/>
          <w:sz w:val="24"/>
          <w:highlight w:val="none"/>
        </w:rPr>
        <w:t>保证遵守磋商文件中的其他有关规定。</w:t>
      </w:r>
    </w:p>
    <w:p w14:paraId="3144C2A4">
      <w:pPr>
        <w:numPr>
          <w:ilvl w:val="0"/>
          <w:numId w:val="0"/>
        </w:numPr>
        <w:adjustRightInd/>
        <w:spacing w:line="360" w:lineRule="auto"/>
        <w:ind w:left="840" w:leftChars="0" w:hanging="360" w:firstLineChars="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2"/>
          <w:sz w:val="24"/>
          <w:szCs w:val="24"/>
          <w:highlight w:val="none"/>
          <w:lang w:val="en-US" w:eastAsia="zh-CN" w:bidi="ar-SA"/>
        </w:rPr>
        <w:t>5</w:t>
      </w:r>
      <w:r>
        <w:rPr>
          <w:rFonts w:hint="default" w:cs="仿宋_GB2312" w:asciiTheme="minorEastAsia" w:hAnsiTheme="minorEastAsia" w:eastAsiaTheme="minorEastAsia"/>
          <w:color w:val="auto"/>
          <w:kern w:val="2"/>
          <w:sz w:val="24"/>
          <w:szCs w:val="24"/>
          <w:highlight w:val="none"/>
          <w:lang w:val="en-US" w:eastAsia="zh-CN" w:bidi="ar-SA"/>
        </w:rPr>
        <w:t>、</w:t>
      </w:r>
      <w:r>
        <w:rPr>
          <w:rFonts w:hint="eastAsia" w:cs="仿宋_GB2312" w:asciiTheme="minorEastAsia" w:hAnsiTheme="minorEastAsia" w:eastAsiaTheme="minorEastAsia"/>
          <w:color w:val="auto"/>
          <w:sz w:val="24"/>
          <w:highlight w:val="none"/>
        </w:rPr>
        <w:t>我方愿意向贵方提供任何与该项目响应有关的数据、情况和技术资料。若贵方需要，我方愿意提供我方作出的一切承诺的证明材料。</w:t>
      </w:r>
    </w:p>
    <w:p w14:paraId="1AC8BB53">
      <w:pPr>
        <w:numPr>
          <w:ilvl w:val="0"/>
          <w:numId w:val="0"/>
        </w:numPr>
        <w:adjustRightInd/>
        <w:spacing w:line="360" w:lineRule="auto"/>
        <w:ind w:left="840" w:leftChars="0" w:hanging="360" w:firstLineChars="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2"/>
          <w:sz w:val="24"/>
          <w:szCs w:val="24"/>
          <w:highlight w:val="none"/>
          <w:lang w:val="en-US" w:eastAsia="zh-CN" w:bidi="ar-SA"/>
        </w:rPr>
        <w:t>6</w:t>
      </w:r>
      <w:r>
        <w:rPr>
          <w:rFonts w:hint="default" w:cs="仿宋_GB2312" w:asciiTheme="minorEastAsia" w:hAnsiTheme="minorEastAsia" w:eastAsiaTheme="minorEastAsia"/>
          <w:color w:val="auto"/>
          <w:kern w:val="2"/>
          <w:sz w:val="24"/>
          <w:szCs w:val="24"/>
          <w:highlight w:val="none"/>
          <w:lang w:val="en-US" w:eastAsia="zh-CN" w:bidi="ar-SA"/>
        </w:rPr>
        <w:t>、</w:t>
      </w:r>
      <w:r>
        <w:rPr>
          <w:rFonts w:hint="eastAsia" w:cs="仿宋_GB2312" w:asciiTheme="minorEastAsia" w:hAnsiTheme="minorEastAsia" w:eastAsiaTheme="minorEastAsia"/>
          <w:color w:val="auto"/>
          <w:sz w:val="24"/>
          <w:highlight w:val="none"/>
        </w:rPr>
        <w:t>我方已详细阅读全部磋商文件，包括磋商文件“更正（延期）公告”（如果有）、参考资料及有关附件，确认无误。</w:t>
      </w:r>
    </w:p>
    <w:p w14:paraId="277D1517">
      <w:pPr>
        <w:numPr>
          <w:ilvl w:val="0"/>
          <w:numId w:val="0"/>
        </w:numPr>
        <w:adjustRightInd/>
        <w:spacing w:line="360" w:lineRule="auto"/>
        <w:ind w:left="840" w:leftChars="0" w:hanging="360" w:firstLineChars="0"/>
        <w:rPr>
          <w:rFonts w:hint="eastAsia" w:cs="仿宋_GB2312" w:asciiTheme="minorEastAsia" w:hAnsiTheme="minorEastAsia" w:eastAsiaTheme="minorEastAsia"/>
          <w:color w:val="auto"/>
          <w:sz w:val="24"/>
          <w:highlight w:val="none"/>
          <w:lang w:eastAsia="zh-CN"/>
        </w:rPr>
      </w:pPr>
      <w:r>
        <w:rPr>
          <w:rFonts w:hint="eastAsia" w:cs="仿宋_GB2312" w:asciiTheme="minorEastAsia" w:hAnsiTheme="minorEastAsia" w:eastAsiaTheme="minorEastAsia"/>
          <w:color w:val="auto"/>
          <w:kern w:val="2"/>
          <w:sz w:val="24"/>
          <w:szCs w:val="24"/>
          <w:highlight w:val="none"/>
          <w:lang w:val="en-US" w:eastAsia="zh-CN" w:bidi="ar-SA"/>
        </w:rPr>
        <w:t>7</w:t>
      </w:r>
      <w:r>
        <w:rPr>
          <w:rFonts w:hint="default" w:cs="仿宋_GB2312" w:asciiTheme="minorEastAsia" w:hAnsiTheme="minorEastAsia" w:eastAsiaTheme="minorEastAsia"/>
          <w:color w:val="auto"/>
          <w:kern w:val="2"/>
          <w:sz w:val="24"/>
          <w:szCs w:val="24"/>
          <w:highlight w:val="none"/>
          <w:lang w:val="en-US" w:eastAsia="zh-CN" w:bidi="ar-SA"/>
        </w:rPr>
        <w:t>、</w:t>
      </w:r>
      <w:r>
        <w:rPr>
          <w:rFonts w:hint="eastAsia" w:cs="宋体" w:asciiTheme="minorEastAsia" w:hAnsiTheme="minorEastAsia" w:eastAsiaTheme="minorEastAsia"/>
          <w:color w:val="auto"/>
          <w:sz w:val="24"/>
          <w:highlight w:val="none"/>
        </w:rPr>
        <w:t>如我方成交，我方承诺</w:t>
      </w:r>
      <w:r>
        <w:rPr>
          <w:rFonts w:hint="eastAsia" w:cs="宋体" w:asciiTheme="minorEastAsia" w:hAnsiTheme="minorEastAsia" w:eastAsiaTheme="minorEastAsia"/>
          <w:color w:val="auto"/>
          <w:sz w:val="24"/>
          <w:highlight w:val="none"/>
          <w:lang w:eastAsia="zh-CN"/>
        </w:rPr>
        <w:t>：</w:t>
      </w:r>
    </w:p>
    <w:p w14:paraId="130236F1">
      <w:pPr>
        <w:snapToGrid w:val="0"/>
        <w:spacing w:line="360" w:lineRule="auto"/>
        <w:ind w:left="210" w:leftChars="100"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 xml:space="preserve">7.1在收到成交通知书后，在成交通知书规定的期限内与你方签订合同； </w:t>
      </w:r>
    </w:p>
    <w:p w14:paraId="04E38506">
      <w:pPr>
        <w:snapToGrid w:val="0"/>
        <w:spacing w:line="360" w:lineRule="auto"/>
        <w:ind w:left="210" w:leftChars="100"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 xml:space="preserve">7.2在签订合同时不向你方提出附加条件； </w:t>
      </w:r>
    </w:p>
    <w:p w14:paraId="3797FF35">
      <w:pPr>
        <w:snapToGrid w:val="0"/>
        <w:spacing w:line="360" w:lineRule="auto"/>
        <w:ind w:left="210" w:leftChars="100"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 xml:space="preserve">7.3按照磋商文件要求提交履约保证金； </w:t>
      </w:r>
    </w:p>
    <w:p w14:paraId="5CACA9D7">
      <w:pPr>
        <w:snapToGrid w:val="0"/>
        <w:spacing w:line="360" w:lineRule="auto"/>
        <w:ind w:left="210" w:leftChars="100"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 xml:space="preserve">7.4在合同约定的期限内完成合同规定的全部义务。 </w:t>
      </w:r>
    </w:p>
    <w:p w14:paraId="1D6A2794">
      <w:pPr>
        <w:numPr>
          <w:ilvl w:val="0"/>
          <w:numId w:val="0"/>
        </w:numPr>
        <w:adjustRightInd/>
        <w:spacing w:line="360" w:lineRule="auto"/>
        <w:ind w:left="840" w:leftChars="0" w:hanging="360" w:firstLineChars="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kern w:val="2"/>
          <w:sz w:val="24"/>
          <w:szCs w:val="24"/>
          <w:highlight w:val="none"/>
          <w:lang w:val="en-US" w:eastAsia="zh-CN" w:bidi="ar-SA"/>
        </w:rPr>
        <w:t>8</w:t>
      </w:r>
      <w:r>
        <w:rPr>
          <w:rFonts w:hint="default" w:cs="宋体" w:asciiTheme="minorEastAsia" w:hAnsiTheme="minorEastAsia" w:eastAsiaTheme="minorEastAsia"/>
          <w:color w:val="auto"/>
          <w:kern w:val="2"/>
          <w:sz w:val="24"/>
          <w:szCs w:val="24"/>
          <w:highlight w:val="none"/>
          <w:lang w:val="en-US" w:eastAsia="zh-CN" w:bidi="ar-SA"/>
        </w:rPr>
        <w:t>、</w:t>
      </w:r>
      <w:r>
        <w:rPr>
          <w:rFonts w:hint="eastAsia" w:cs="宋体" w:asciiTheme="minorEastAsia" w:hAnsiTheme="minorEastAsia" w:eastAsiaTheme="minorEastAsia"/>
          <w:color w:val="auto"/>
          <w:sz w:val="24"/>
          <w:highlight w:val="none"/>
        </w:rPr>
        <w:t>其他补充说明</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rPr>
        <w:t xml:space="preserve">                                        。</w:t>
      </w:r>
    </w:p>
    <w:p w14:paraId="7FC71655">
      <w:pPr>
        <w:autoSpaceDE w:val="0"/>
        <w:autoSpaceDN w:val="0"/>
        <w:spacing w:line="360" w:lineRule="auto"/>
        <w:ind w:firstLine="3960" w:firstLineChars="1650"/>
        <w:rPr>
          <w:rFonts w:cs="仿宋_GB2312" w:asciiTheme="minorEastAsia" w:hAnsiTheme="minorEastAsia" w:eastAsiaTheme="minorEastAsia"/>
          <w:color w:val="auto"/>
          <w:kern w:val="0"/>
          <w:sz w:val="24"/>
          <w:highlight w:val="none"/>
          <w:lang w:val="zh-CN"/>
        </w:rPr>
      </w:pPr>
    </w:p>
    <w:p w14:paraId="0A8DC4E0">
      <w:pPr>
        <w:spacing w:line="360" w:lineRule="auto"/>
        <w:ind w:firstLine="3600" w:firstLineChars="1500"/>
        <w:rPr>
          <w:rFonts w:hint="eastAsia" w:ascii="宋体" w:hAnsi="宋体" w:eastAsia="宋体" w:cs="宋体"/>
          <w:color w:val="auto"/>
          <w:sz w:val="24"/>
          <w:highlight w:val="none"/>
          <w:lang w:eastAsia="zh-CN"/>
        </w:rPr>
      </w:pPr>
      <w:r>
        <w:rPr>
          <w:rFonts w:hint="eastAsia" w:ascii="宋体" w:hAnsi="宋体" w:cs="宋体"/>
          <w:color w:val="auto"/>
          <w:sz w:val="24"/>
          <w:highlight w:val="none"/>
        </w:rPr>
        <w:t>磋商供应商名称（</w:t>
      </w:r>
      <w:r>
        <w:rPr>
          <w:rFonts w:hint="eastAsia" w:ascii="宋体" w:hAnsi="宋体" w:cs="宋体"/>
          <w:color w:val="auto"/>
          <w:sz w:val="24"/>
          <w:highlight w:val="none"/>
          <w:lang w:val="en-US" w:eastAsia="zh-CN"/>
        </w:rPr>
        <w:t>电子</w:t>
      </w:r>
      <w:r>
        <w:rPr>
          <w:rFonts w:hint="eastAsia" w:ascii="宋体" w:hAnsi="宋体" w:cs="宋体"/>
          <w:color w:val="auto"/>
          <w:sz w:val="24"/>
          <w:highlight w:val="none"/>
        </w:rPr>
        <w:t>公章）</w:t>
      </w:r>
      <w:r>
        <w:rPr>
          <w:rFonts w:hint="eastAsia" w:ascii="宋体" w:hAnsi="宋体" w:cs="宋体"/>
          <w:color w:val="auto"/>
          <w:sz w:val="24"/>
          <w:highlight w:val="none"/>
          <w:lang w:eastAsia="zh-CN"/>
        </w:rPr>
        <w:t>：</w:t>
      </w:r>
    </w:p>
    <w:p w14:paraId="4CC68838">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法定代表人（负责人）或委托代理人(签名)</w:t>
      </w:r>
      <w:r>
        <w:rPr>
          <w:rFonts w:hint="eastAsia" w:ascii="宋体" w:hAnsi="宋体" w:cs="宋体"/>
          <w:color w:val="auto"/>
          <w:sz w:val="24"/>
          <w:highlight w:val="none"/>
          <w:lang w:eastAsia="zh-CN"/>
        </w:rPr>
        <w:t>：</w:t>
      </w:r>
      <w:r>
        <w:rPr>
          <w:rFonts w:hint="eastAsia" w:ascii="宋体" w:hAnsi="宋体" w:cs="宋体"/>
          <w:color w:val="auto"/>
          <w:sz w:val="24"/>
          <w:highlight w:val="none"/>
        </w:rPr>
        <w:t xml:space="preserve">                          </w:t>
      </w:r>
    </w:p>
    <w:p w14:paraId="695237A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 xml:space="preserve">     日期</w:t>
      </w:r>
      <w:r>
        <w:rPr>
          <w:rFonts w:hint="eastAsia" w:ascii="宋体" w:hAnsi="宋体" w:cs="宋体"/>
          <w:color w:val="auto"/>
          <w:sz w:val="24"/>
          <w:highlight w:val="none"/>
          <w:lang w:eastAsia="zh-CN"/>
        </w:rPr>
        <w:t>：</w:t>
      </w:r>
      <w:r>
        <w:rPr>
          <w:rFonts w:hint="eastAsia" w:ascii="宋体" w:hAnsi="宋体" w:cs="宋体"/>
          <w:color w:val="auto"/>
          <w:sz w:val="24"/>
          <w:highlight w:val="none"/>
        </w:rPr>
        <w:t xml:space="preserve">  年   月   日</w:t>
      </w:r>
    </w:p>
    <w:p w14:paraId="69125616">
      <w:pPr>
        <w:spacing w:line="360" w:lineRule="auto"/>
        <w:ind w:right="42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注</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rPr>
        <w:t>按本格式和要求提供。</w:t>
      </w:r>
    </w:p>
    <w:p w14:paraId="6C316893">
      <w:pPr>
        <w:widowControl/>
        <w:spacing w:line="360" w:lineRule="auto"/>
        <w:jc w:val="center"/>
        <w:rPr>
          <w:rFonts w:hint="eastAsia" w:cs="仿宋_GB2312" w:asciiTheme="minorEastAsia" w:hAnsiTheme="minorEastAsia" w:eastAsiaTheme="minorEastAsia"/>
          <w:b/>
          <w:color w:val="auto"/>
          <w:kern w:val="0"/>
          <w:sz w:val="32"/>
          <w:szCs w:val="32"/>
          <w:highlight w:val="none"/>
          <w:lang w:val="zh-CN"/>
        </w:rPr>
      </w:pPr>
    </w:p>
    <w:p w14:paraId="363F0F9E">
      <w:pPr>
        <w:widowControl/>
        <w:spacing w:line="360" w:lineRule="auto"/>
        <w:jc w:val="center"/>
        <w:rPr>
          <w:rFonts w:hint="eastAsia" w:cs="仿宋_GB2312" w:asciiTheme="minorEastAsia" w:hAnsiTheme="minorEastAsia" w:eastAsiaTheme="minorEastAsia"/>
          <w:b/>
          <w:color w:val="auto"/>
          <w:kern w:val="0"/>
          <w:sz w:val="32"/>
          <w:szCs w:val="32"/>
          <w:highlight w:val="none"/>
          <w:lang w:val="zh-CN"/>
        </w:rPr>
      </w:pPr>
    </w:p>
    <w:p w14:paraId="1073F4CB">
      <w:pPr>
        <w:widowControl/>
        <w:spacing w:line="360" w:lineRule="auto"/>
        <w:jc w:val="center"/>
        <w:rPr>
          <w:rFonts w:hint="eastAsia" w:cs="仿宋_GB2312" w:asciiTheme="minorEastAsia" w:hAnsiTheme="minorEastAsia" w:eastAsiaTheme="minorEastAsia"/>
          <w:b/>
          <w:color w:val="auto"/>
          <w:kern w:val="0"/>
          <w:sz w:val="32"/>
          <w:szCs w:val="32"/>
          <w:highlight w:val="none"/>
          <w:lang w:val="zh-CN"/>
        </w:rPr>
      </w:pPr>
    </w:p>
    <w:p w14:paraId="6C372308">
      <w:pPr>
        <w:widowControl/>
        <w:spacing w:line="360" w:lineRule="auto"/>
        <w:jc w:val="center"/>
        <w:rPr>
          <w:rFonts w:hint="eastAsia" w:cs="仿宋_GB2312" w:asciiTheme="minorEastAsia" w:hAnsiTheme="minorEastAsia" w:eastAsiaTheme="minorEastAsia"/>
          <w:b/>
          <w:color w:val="auto"/>
          <w:kern w:val="0"/>
          <w:sz w:val="32"/>
          <w:szCs w:val="32"/>
          <w:highlight w:val="none"/>
          <w:lang w:val="zh-CN"/>
        </w:rPr>
      </w:pPr>
    </w:p>
    <w:p w14:paraId="5C8DF1F6">
      <w:pPr>
        <w:tabs>
          <w:tab w:val="left" w:pos="0"/>
        </w:tabs>
        <w:autoSpaceDE w:val="0"/>
        <w:autoSpaceDN w:val="0"/>
        <w:spacing w:line="360" w:lineRule="auto"/>
        <w:jc w:val="center"/>
        <w:rPr>
          <w:rFonts w:cs="仿宋_GB2312" w:asciiTheme="minorEastAsia" w:hAnsiTheme="minorEastAsia" w:eastAsiaTheme="minorEastAsia"/>
          <w:b/>
          <w:bCs/>
          <w:color w:val="auto"/>
          <w:sz w:val="30"/>
          <w:szCs w:val="30"/>
          <w:highlight w:val="none"/>
        </w:rPr>
      </w:pPr>
      <w:r>
        <w:rPr>
          <w:rFonts w:hint="eastAsia" w:cs="仿宋_GB2312" w:asciiTheme="minorEastAsia" w:hAnsiTheme="minorEastAsia" w:eastAsiaTheme="minorEastAsia"/>
          <w:b/>
          <w:bCs/>
          <w:color w:val="auto"/>
          <w:sz w:val="30"/>
          <w:szCs w:val="30"/>
          <w:highlight w:val="none"/>
          <w:lang w:val="en-US" w:eastAsia="zh-CN"/>
        </w:rPr>
        <w:t>二</w:t>
      </w:r>
      <w:r>
        <w:rPr>
          <w:rFonts w:hint="eastAsia" w:cs="仿宋_GB2312" w:asciiTheme="minorEastAsia" w:hAnsiTheme="minorEastAsia" w:eastAsiaTheme="minorEastAsia"/>
          <w:b/>
          <w:bCs/>
          <w:color w:val="auto"/>
          <w:sz w:val="30"/>
          <w:szCs w:val="30"/>
          <w:highlight w:val="none"/>
        </w:rPr>
        <w:t>、</w:t>
      </w:r>
      <w:r>
        <w:rPr>
          <w:rFonts w:hint="eastAsia" w:cs="宋体" w:asciiTheme="minorEastAsia" w:hAnsiTheme="minorEastAsia" w:eastAsiaTheme="minorEastAsia"/>
          <w:b/>
          <w:color w:val="auto"/>
          <w:kern w:val="0"/>
          <w:sz w:val="32"/>
          <w:szCs w:val="32"/>
          <w:highlight w:val="none"/>
          <w:lang w:val="zh-CN"/>
        </w:rPr>
        <w:t>政府采购供应商廉洁自律承诺书</w:t>
      </w:r>
    </w:p>
    <w:p w14:paraId="22B8CC95">
      <w:pPr>
        <w:autoSpaceDE w:val="0"/>
        <w:autoSpaceDN w:val="0"/>
        <w:spacing w:line="360" w:lineRule="auto"/>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sz w:val="24"/>
          <w:highlight w:val="none"/>
        </w:rPr>
        <w:t>（采购人）</w:t>
      </w:r>
      <w:r>
        <w:rPr>
          <w:rFonts w:hint="eastAsia" w:cs="仿宋_GB2312" w:asciiTheme="minorEastAsia" w:hAnsiTheme="minorEastAsia" w:eastAsiaTheme="minorEastAsia"/>
          <w:color w:val="auto"/>
          <w:kern w:val="0"/>
          <w:sz w:val="24"/>
          <w:highlight w:val="none"/>
          <w:lang w:val="zh-CN"/>
        </w:rPr>
        <w:t xml:space="preserve">：    </w:t>
      </w:r>
    </w:p>
    <w:p w14:paraId="3142E047">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我单位响应你</w:t>
      </w:r>
      <w:r>
        <w:rPr>
          <w:rFonts w:hint="eastAsia" w:cs="仿宋_GB2312" w:asciiTheme="minorEastAsia" w:hAnsiTheme="minorEastAsia" w:eastAsiaTheme="minorEastAsia"/>
          <w:color w:val="auto"/>
          <w:sz w:val="24"/>
          <w:highlight w:val="none"/>
        </w:rPr>
        <w:t>单位</w:t>
      </w:r>
      <w:r>
        <w:rPr>
          <w:rFonts w:hint="eastAsia" w:cs="仿宋_GB2312" w:asciiTheme="minorEastAsia" w:hAnsiTheme="minorEastAsia" w:eastAsiaTheme="minorEastAsia"/>
          <w:color w:val="auto"/>
          <w:kern w:val="0"/>
          <w:sz w:val="24"/>
          <w:highlight w:val="none"/>
          <w:lang w:val="zh-CN"/>
        </w:rPr>
        <w:t>项目采购要求参加响应。在这次响应过程中和成交后，我们将严格遵守国家法律法规要求，并郑重承诺：</w:t>
      </w:r>
    </w:p>
    <w:p w14:paraId="156BAFD0">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 xml:space="preserve">一、不向项目有关人员及部门赠送礼金礼物、有价证券、回扣以及中介费、介绍费、咨询费等好处费； </w:t>
      </w:r>
    </w:p>
    <w:p w14:paraId="5A7E507B">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 xml:space="preserve">二、不为项目有关人员及部门报销应由你方单位或个人支付的费用； </w:t>
      </w:r>
    </w:p>
    <w:p w14:paraId="43A6EDB2">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 xml:space="preserve">三、不向项目有关人员及部门提供有可能影响公正的宴请和健身娱乐等活动； </w:t>
      </w:r>
    </w:p>
    <w:p w14:paraId="23F22AFF">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四、不为项目有关人员及部门出国（境）、旅游等提供方便；</w:t>
      </w:r>
    </w:p>
    <w:p w14:paraId="6AEB9C8E">
      <w:pPr>
        <w:autoSpaceDE w:val="0"/>
        <w:autoSpaceDN w:val="0"/>
        <w:spacing w:line="360" w:lineRule="auto"/>
        <w:ind w:left="481" w:leftChars="229"/>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五、不为项目有关人员个人装修住房、婚丧嫁娶、配偶子女工作安排等提供</w:t>
      </w:r>
    </w:p>
    <w:p w14:paraId="1A237E2C">
      <w:pPr>
        <w:autoSpaceDE w:val="0"/>
        <w:autoSpaceDN w:val="0"/>
        <w:spacing w:line="360" w:lineRule="auto"/>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好处；</w:t>
      </w:r>
    </w:p>
    <w:p w14:paraId="16C8379B">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 xml:space="preserve">六、严格遵守《中华人民共和国政府采购法》《中华人民共和国招标投标法》《中华人民共和国民法典》等法律法规，诚实守信，合法经营，坚决抵制各种违法违纪行为。 </w:t>
      </w:r>
    </w:p>
    <w:p w14:paraId="479AC50E">
      <w:pPr>
        <w:autoSpaceDE w:val="0"/>
        <w:autoSpaceDN w:val="0"/>
        <w:spacing w:line="360" w:lineRule="auto"/>
        <w:ind w:firstLine="480" w:firstLineChars="20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如违反上述承诺，你</w:t>
      </w:r>
      <w:r>
        <w:rPr>
          <w:rFonts w:hint="eastAsia" w:cs="仿宋_GB2312" w:asciiTheme="minorEastAsia" w:hAnsiTheme="minorEastAsia" w:eastAsiaTheme="minorEastAsia"/>
          <w:color w:val="auto"/>
          <w:sz w:val="24"/>
          <w:highlight w:val="none"/>
        </w:rPr>
        <w:t>单位</w:t>
      </w:r>
      <w:r>
        <w:rPr>
          <w:rFonts w:hint="eastAsia" w:cs="仿宋_GB2312" w:asciiTheme="minorEastAsia" w:hAnsiTheme="minorEastAsia" w:eastAsiaTheme="minorEastAsia"/>
          <w:color w:val="auto"/>
          <w:kern w:val="0"/>
          <w:sz w:val="24"/>
          <w:highlight w:val="none"/>
          <w:lang w:val="zh-CN"/>
        </w:rPr>
        <w:t>有权立即取消我单位响应、成交或在建项目的建设资格，有权拒绝我单位在一定时期内进入你</w:t>
      </w:r>
      <w:r>
        <w:rPr>
          <w:rFonts w:hint="eastAsia" w:cs="仿宋_GB2312" w:asciiTheme="minorEastAsia" w:hAnsiTheme="minorEastAsia" w:eastAsiaTheme="minorEastAsia"/>
          <w:color w:val="auto"/>
          <w:sz w:val="24"/>
          <w:highlight w:val="none"/>
        </w:rPr>
        <w:t>单位</w:t>
      </w:r>
      <w:r>
        <w:rPr>
          <w:rFonts w:hint="eastAsia" w:cs="仿宋_GB2312" w:asciiTheme="minorEastAsia" w:hAnsiTheme="minorEastAsia" w:eastAsiaTheme="minorEastAsia"/>
          <w:color w:val="auto"/>
          <w:kern w:val="0"/>
          <w:sz w:val="24"/>
          <w:highlight w:val="none"/>
          <w:lang w:val="zh-CN"/>
        </w:rPr>
        <w:t>进行项目建设或其他经营活动，并通报市财政局。由此引起的相应损失均由我单位承担。</w:t>
      </w:r>
    </w:p>
    <w:p w14:paraId="42E5B241">
      <w:pPr>
        <w:autoSpaceDE w:val="0"/>
        <w:autoSpaceDN w:val="0"/>
        <w:spacing w:line="360" w:lineRule="auto"/>
        <w:ind w:left="2"/>
        <w:jc w:val="left"/>
        <w:rPr>
          <w:rFonts w:cs="仿宋_GB2312" w:asciiTheme="minorEastAsia" w:hAnsiTheme="minorEastAsia" w:eastAsiaTheme="minorEastAsia"/>
          <w:color w:val="auto"/>
          <w:kern w:val="0"/>
          <w:sz w:val="24"/>
          <w:highlight w:val="none"/>
          <w:lang w:val="zh-CN"/>
        </w:rPr>
      </w:pPr>
    </w:p>
    <w:p w14:paraId="7EA9639F">
      <w:pPr>
        <w:autoSpaceDE w:val="0"/>
        <w:autoSpaceDN w:val="0"/>
        <w:spacing w:line="360" w:lineRule="auto"/>
        <w:ind w:left="2"/>
        <w:jc w:val="left"/>
        <w:rPr>
          <w:rFonts w:cs="仿宋_GB2312" w:asciiTheme="minorEastAsia" w:hAnsiTheme="minorEastAsia" w:eastAsiaTheme="minorEastAsia"/>
          <w:color w:val="auto"/>
          <w:kern w:val="0"/>
          <w:sz w:val="24"/>
          <w:highlight w:val="none"/>
          <w:lang w:val="zh-CN"/>
        </w:rPr>
      </w:pPr>
    </w:p>
    <w:p w14:paraId="72AA3E75">
      <w:pPr>
        <w:autoSpaceDE w:val="0"/>
        <w:autoSpaceDN w:val="0"/>
        <w:spacing w:line="360" w:lineRule="auto"/>
        <w:ind w:left="2"/>
        <w:jc w:val="left"/>
        <w:rPr>
          <w:rFonts w:cs="仿宋_GB2312" w:asciiTheme="minorEastAsia" w:hAnsiTheme="minorEastAsia" w:eastAsiaTheme="minorEastAsia"/>
          <w:color w:val="auto"/>
          <w:kern w:val="0"/>
          <w:sz w:val="24"/>
          <w:highlight w:val="none"/>
          <w:lang w:val="zh-CN"/>
        </w:rPr>
      </w:pPr>
    </w:p>
    <w:p w14:paraId="08B3A754">
      <w:pPr>
        <w:autoSpaceDE w:val="0"/>
        <w:autoSpaceDN w:val="0"/>
        <w:spacing w:line="360" w:lineRule="auto"/>
        <w:ind w:firstLine="4536" w:firstLineChars="189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磋商供应商名称(</w:t>
      </w:r>
      <w:r>
        <w:rPr>
          <w:rFonts w:hint="eastAsia" w:cs="仿宋_GB2312" w:asciiTheme="minorEastAsia" w:hAnsiTheme="minorEastAsia" w:eastAsiaTheme="minorEastAsia"/>
          <w:color w:val="auto"/>
          <w:kern w:val="0"/>
          <w:sz w:val="24"/>
          <w:highlight w:val="none"/>
          <w:lang w:val="en-US" w:eastAsia="zh-CN"/>
        </w:rPr>
        <w:t>电子</w:t>
      </w:r>
      <w:r>
        <w:rPr>
          <w:rFonts w:hint="eastAsia" w:cs="仿宋_GB2312" w:asciiTheme="minorEastAsia" w:hAnsiTheme="minorEastAsia" w:eastAsiaTheme="minorEastAsia"/>
          <w:color w:val="auto"/>
          <w:kern w:val="0"/>
          <w:sz w:val="24"/>
          <w:highlight w:val="none"/>
          <w:lang w:val="zh-CN"/>
        </w:rPr>
        <w:t xml:space="preserve">公章)： </w:t>
      </w:r>
    </w:p>
    <w:p w14:paraId="46B3C6AC">
      <w:pPr>
        <w:autoSpaceDE w:val="0"/>
        <w:autoSpaceDN w:val="0"/>
        <w:spacing w:line="360" w:lineRule="auto"/>
        <w:ind w:left="2" w:leftChars="1" w:firstLine="4536" w:firstLineChars="189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 xml:space="preserve">法定代表人（负责人）或委托代理人(签名)：              </w:t>
      </w:r>
    </w:p>
    <w:p w14:paraId="160D8B76">
      <w:pPr>
        <w:spacing w:line="360" w:lineRule="auto"/>
        <w:ind w:left="4620" w:leftChars="2200"/>
        <w:rPr>
          <w:rFonts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0"/>
          <w:sz w:val="24"/>
          <w:highlight w:val="none"/>
          <w:lang w:val="zh-CN"/>
        </w:rPr>
        <w:t>日期</w:t>
      </w:r>
      <w:r>
        <w:rPr>
          <w:rFonts w:hint="eastAsia" w:cs="仿宋_GB2312" w:asciiTheme="minorEastAsia" w:hAnsiTheme="minorEastAsia" w:eastAsiaTheme="minorEastAsia"/>
          <w:color w:val="auto"/>
          <w:kern w:val="0"/>
          <w:sz w:val="24"/>
          <w:highlight w:val="none"/>
          <w:lang w:eastAsia="zh-CN"/>
        </w:rPr>
        <w:t>：</w:t>
      </w:r>
      <w:r>
        <w:rPr>
          <w:rFonts w:hint="eastAsia" w:cs="仿宋_GB2312" w:asciiTheme="minorEastAsia" w:hAnsiTheme="minorEastAsia" w:eastAsiaTheme="minorEastAsia"/>
          <w:color w:val="auto"/>
          <w:kern w:val="0"/>
          <w:sz w:val="24"/>
          <w:highlight w:val="none"/>
          <w:lang w:val="zh-CN"/>
        </w:rPr>
        <w:t xml:space="preserve">   年   月   日</w:t>
      </w:r>
    </w:p>
    <w:p w14:paraId="296228CB">
      <w:pPr>
        <w:spacing w:line="360" w:lineRule="auto"/>
        <w:jc w:val="center"/>
        <w:rPr>
          <w:rFonts w:cs="仿宋_GB2312" w:asciiTheme="minorEastAsia" w:hAnsiTheme="minorEastAsia" w:eastAsiaTheme="minorEastAsia"/>
          <w:b/>
          <w:color w:val="auto"/>
          <w:sz w:val="36"/>
          <w:szCs w:val="36"/>
          <w:highlight w:val="none"/>
        </w:rPr>
      </w:pPr>
    </w:p>
    <w:p w14:paraId="0953394C">
      <w:pPr>
        <w:widowControl/>
        <w:adjustRightInd/>
        <w:jc w:val="left"/>
        <w:rPr>
          <w:rFonts w:cs="仿宋_GB2312" w:asciiTheme="minorEastAsia" w:hAnsiTheme="minorEastAsia" w:eastAsiaTheme="minorEastAsia"/>
          <w:b/>
          <w:color w:val="auto"/>
          <w:sz w:val="36"/>
          <w:szCs w:val="36"/>
          <w:highlight w:val="none"/>
        </w:rPr>
      </w:pPr>
      <w:r>
        <w:rPr>
          <w:rFonts w:cs="仿宋_GB2312" w:asciiTheme="minorEastAsia" w:hAnsiTheme="minorEastAsia" w:eastAsiaTheme="minorEastAsia"/>
          <w:b/>
          <w:color w:val="auto"/>
          <w:sz w:val="36"/>
          <w:szCs w:val="36"/>
          <w:highlight w:val="none"/>
        </w:rPr>
        <w:br w:type="page"/>
      </w:r>
    </w:p>
    <w:p w14:paraId="518A6873">
      <w:pPr>
        <w:jc w:val="center"/>
        <w:rPr>
          <w:rFonts w:ascii="宋体" w:hAnsi="宋体" w:cs="宋体"/>
          <w:b/>
          <w:color w:val="auto"/>
          <w:kern w:val="0"/>
          <w:sz w:val="32"/>
          <w:szCs w:val="21"/>
          <w:highlight w:val="none"/>
        </w:rPr>
      </w:pPr>
      <w:r>
        <w:rPr>
          <w:rFonts w:hint="eastAsia" w:cs="仿宋_GB2312" w:asciiTheme="minorEastAsia" w:hAnsiTheme="minorEastAsia" w:eastAsiaTheme="minorEastAsia"/>
          <w:b/>
          <w:bCs/>
          <w:color w:val="auto"/>
          <w:sz w:val="30"/>
          <w:szCs w:val="30"/>
          <w:highlight w:val="none"/>
          <w:lang w:val="en-US" w:eastAsia="zh-CN"/>
        </w:rPr>
        <w:t>三</w:t>
      </w:r>
      <w:r>
        <w:rPr>
          <w:rFonts w:hint="eastAsia" w:ascii="宋体" w:hAnsi="宋体" w:cs="宋体"/>
          <w:b/>
          <w:color w:val="auto"/>
          <w:kern w:val="0"/>
          <w:sz w:val="32"/>
          <w:szCs w:val="32"/>
          <w:highlight w:val="none"/>
        </w:rPr>
        <w:t>、</w:t>
      </w:r>
      <w:r>
        <w:rPr>
          <w:rFonts w:hint="eastAsia" w:ascii="宋体" w:hAnsi="宋体" w:cs="宋体"/>
          <w:b/>
          <w:color w:val="auto"/>
          <w:kern w:val="0"/>
          <w:sz w:val="32"/>
          <w:szCs w:val="21"/>
          <w:highlight w:val="none"/>
        </w:rPr>
        <w:t>承诺函</w:t>
      </w:r>
    </w:p>
    <w:p w14:paraId="4FEA53AC">
      <w:pPr>
        <w:widowControl/>
        <w:adjustRightInd/>
        <w:ind w:firstLine="640" w:firstLineChars="200"/>
        <w:jc w:val="left"/>
        <w:rPr>
          <w:rFonts w:ascii="宋体" w:hAnsi="宋体" w:cs="宋体"/>
          <w:color w:val="auto"/>
          <w:kern w:val="0"/>
          <w:sz w:val="32"/>
          <w:szCs w:val="21"/>
          <w:highlight w:val="none"/>
        </w:rPr>
      </w:pPr>
    </w:p>
    <w:p w14:paraId="158F3710">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14:paraId="4E2194E8">
      <w:pPr>
        <w:widowControl/>
        <w:adjustRightInd/>
        <w:spacing w:line="360" w:lineRule="auto"/>
        <w:ind w:firstLine="480" w:firstLineChars="200"/>
        <w:jc w:val="left"/>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rPr>
        <w:t>我方作为本次采购项目的磋商供应商，根据磋商文件要求，现郑重承诺如下</w:t>
      </w:r>
      <w:r>
        <w:rPr>
          <w:rFonts w:hint="eastAsia" w:ascii="宋体" w:hAnsi="宋体" w:cs="宋体"/>
          <w:color w:val="auto"/>
          <w:kern w:val="0"/>
          <w:sz w:val="24"/>
          <w:highlight w:val="none"/>
          <w:lang w:eastAsia="zh-CN"/>
        </w:rPr>
        <w:t>：</w:t>
      </w:r>
    </w:p>
    <w:p w14:paraId="3698BA73">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一、我方已认真阅读并接受本项目磋商文件第三部分的全部实质性要求，如对磋商文件有异议，已依法进行维权救济，不存在对磋商文件有异议的同时又参加磋商以求侥幸成交或者为实现其他非法目的的行为。</w:t>
      </w:r>
    </w:p>
    <w:p w14:paraId="709F3C27">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二、参加本次磋商采购活动，不存在与单位负责人为同一人或者存在直接控股、管理关系的其他供应商参与同一合同项下的政府采购活动的行为。</w:t>
      </w:r>
    </w:p>
    <w:p w14:paraId="265AE496">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三、为采购项目提供整体设计、规范编制或者项目管理、监理、检测等服务的供应商，不得再参加该采购项目的其他采购活动，我方承诺不属于此类禁止参加本项目的供应商。</w:t>
      </w:r>
    </w:p>
    <w:p w14:paraId="695B2085">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四、参加本次磋商采购活动，不存在和其他供应商在同一合同项下的采购项目中，同时委托同一个自然人、同一家庭的人员、同一单位的人员作为代理人的行为。</w:t>
      </w:r>
    </w:p>
    <w:p w14:paraId="3FD35C9D">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五、响应文件中提供的能够给予我方带来优惠、好处的任何材料资料和技术、服务、商务、响应产品等响应承诺情况都是真实的、有效的、合法的。</w:t>
      </w:r>
    </w:p>
    <w:p w14:paraId="5790A637">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六、如本项目磋商过程中需要提供样品，则我方提供的样品即为成交后将要提供的成交产品，我方对提供样品的性能和质量负责，因样品存在缺陷或者不符合磋商文件要求导致未能成交的，我方愿意承担相应不利后果。</w:t>
      </w:r>
    </w:p>
    <w:p w14:paraId="7D067E3B">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七、国家或行业主管部门对采购产品的技术标准、质量标准和资格资质条件等有强制性规定的，我方承诺符合其要求。</w:t>
      </w:r>
    </w:p>
    <w:p w14:paraId="0E7C244A">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八、参加本次磋商采购活动，我方完全同意磋商文件第三部分关于“磋商费用”、“合同分包”、“合同转包”、“履约保证金”的实质性要求，并承诺严格按照磋商文件要求履行。</w:t>
      </w:r>
    </w:p>
    <w:p w14:paraId="28FF198A">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磋商报价中已包括合法获取该知识产权的相关费用。</w:t>
      </w:r>
    </w:p>
    <w:p w14:paraId="07058594">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我方对上述承诺的内容</w:t>
      </w:r>
      <w:r>
        <w:rPr>
          <w:rFonts w:hint="eastAsia" w:ascii="宋体" w:hAnsi="宋体" w:cs="宋体"/>
          <w:color w:val="auto"/>
          <w:kern w:val="0"/>
          <w:sz w:val="24"/>
          <w:highlight w:val="none"/>
          <w:lang w:val="en-US" w:eastAsia="zh-CN"/>
        </w:rPr>
        <w:t>和</w:t>
      </w:r>
      <w:r>
        <w:rPr>
          <w:rFonts w:hint="eastAsia" w:ascii="宋体" w:hAnsi="宋体" w:cs="宋体"/>
          <w:color w:val="auto"/>
          <w:kern w:val="0"/>
          <w:sz w:val="24"/>
          <w:highlight w:val="none"/>
        </w:rPr>
        <w:t>事项真实性负责。如经查实上述承诺的内容事项存在虚假，我方愿意接受以提供虚假材料谋取成交追究法律责任。</w:t>
      </w:r>
    </w:p>
    <w:p w14:paraId="66210742">
      <w:pPr>
        <w:widowControl/>
        <w:adjustRightInd/>
        <w:spacing w:line="360" w:lineRule="auto"/>
        <w:ind w:firstLine="480" w:firstLineChars="200"/>
        <w:jc w:val="left"/>
        <w:rPr>
          <w:rFonts w:ascii="宋体" w:hAnsi="宋体" w:cs="宋体"/>
          <w:color w:val="auto"/>
          <w:kern w:val="0"/>
          <w:sz w:val="24"/>
          <w:highlight w:val="none"/>
        </w:rPr>
      </w:pPr>
    </w:p>
    <w:p w14:paraId="47AFF173">
      <w:pPr>
        <w:autoSpaceDE w:val="0"/>
        <w:autoSpaceDN w:val="0"/>
        <w:spacing w:line="360" w:lineRule="auto"/>
        <w:ind w:firstLine="4536" w:firstLineChars="189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磋商供应商名称(</w:t>
      </w:r>
      <w:r>
        <w:rPr>
          <w:rFonts w:hint="eastAsia" w:cs="仿宋_GB2312" w:asciiTheme="minorEastAsia" w:hAnsiTheme="minorEastAsia" w:eastAsiaTheme="minorEastAsia"/>
          <w:color w:val="auto"/>
          <w:kern w:val="0"/>
          <w:sz w:val="24"/>
          <w:highlight w:val="none"/>
          <w:lang w:val="en-US" w:eastAsia="zh-CN"/>
        </w:rPr>
        <w:t>电子</w:t>
      </w:r>
      <w:r>
        <w:rPr>
          <w:rFonts w:hint="eastAsia" w:cs="仿宋_GB2312" w:asciiTheme="minorEastAsia" w:hAnsiTheme="minorEastAsia" w:eastAsiaTheme="minorEastAsia"/>
          <w:color w:val="auto"/>
          <w:kern w:val="0"/>
          <w:sz w:val="24"/>
          <w:highlight w:val="none"/>
          <w:lang w:val="zh-CN"/>
        </w:rPr>
        <w:t xml:space="preserve">公章)： </w:t>
      </w:r>
    </w:p>
    <w:p w14:paraId="336C8500">
      <w:pPr>
        <w:autoSpaceDE w:val="0"/>
        <w:autoSpaceDN w:val="0"/>
        <w:spacing w:line="360" w:lineRule="auto"/>
        <w:ind w:left="2" w:leftChars="1" w:firstLine="4536" w:firstLineChars="189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 xml:space="preserve">法定代表人（负责人）或委托代理人(签名)：              </w:t>
      </w:r>
    </w:p>
    <w:p w14:paraId="74C7E0F7">
      <w:pPr>
        <w:spacing w:line="360" w:lineRule="auto"/>
        <w:ind w:left="4620" w:leftChars="2200"/>
        <w:rPr>
          <w:rFonts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0"/>
          <w:sz w:val="24"/>
          <w:highlight w:val="none"/>
          <w:lang w:val="zh-CN"/>
        </w:rPr>
        <w:t>日期</w:t>
      </w:r>
      <w:r>
        <w:rPr>
          <w:rFonts w:hint="eastAsia" w:cs="仿宋_GB2312" w:asciiTheme="minorEastAsia" w:hAnsiTheme="minorEastAsia" w:eastAsiaTheme="minorEastAsia"/>
          <w:color w:val="auto"/>
          <w:kern w:val="0"/>
          <w:sz w:val="24"/>
          <w:highlight w:val="none"/>
          <w:lang w:eastAsia="zh-CN"/>
        </w:rPr>
        <w:t>：</w:t>
      </w:r>
      <w:r>
        <w:rPr>
          <w:rFonts w:hint="eastAsia" w:cs="仿宋_GB2312" w:asciiTheme="minorEastAsia" w:hAnsiTheme="minorEastAsia" w:eastAsiaTheme="minorEastAsia"/>
          <w:color w:val="auto"/>
          <w:kern w:val="0"/>
          <w:sz w:val="24"/>
          <w:highlight w:val="none"/>
          <w:lang w:val="zh-CN"/>
        </w:rPr>
        <w:t xml:space="preserve">   年   月   日</w:t>
      </w:r>
    </w:p>
    <w:p w14:paraId="418B8464">
      <w:pPr>
        <w:spacing w:line="360" w:lineRule="auto"/>
        <w:jc w:val="center"/>
        <w:rPr>
          <w:rFonts w:ascii="宋体" w:hAnsi="宋体" w:cs="宋体"/>
          <w:b/>
          <w:bCs/>
          <w:color w:val="auto"/>
          <w:sz w:val="24"/>
          <w:highlight w:val="none"/>
        </w:rPr>
      </w:pPr>
    </w:p>
    <w:p w14:paraId="419E7FDB">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w:t>
      </w:r>
      <w:r>
        <w:rPr>
          <w:rFonts w:hint="eastAsia" w:ascii="宋体" w:hAnsi="宋体" w:cs="宋体"/>
          <w:color w:val="auto"/>
          <w:sz w:val="24"/>
          <w:highlight w:val="none"/>
          <w:lang w:eastAsia="zh-CN"/>
        </w:rPr>
        <w:t>：</w:t>
      </w:r>
      <w:r>
        <w:rPr>
          <w:rFonts w:hint="eastAsia" w:ascii="宋体" w:hAnsi="宋体" w:cs="宋体"/>
          <w:color w:val="auto"/>
          <w:sz w:val="24"/>
          <w:highlight w:val="none"/>
        </w:rPr>
        <w:t>按本格式和要求提供。</w:t>
      </w:r>
    </w:p>
    <w:p w14:paraId="39F74E18">
      <w:pPr>
        <w:pStyle w:val="118"/>
        <w:keepNext w:val="0"/>
        <w:pageBreakBefore w:val="0"/>
        <w:tabs>
          <w:tab w:val="clear" w:pos="720"/>
        </w:tabs>
        <w:ind w:firstLine="640"/>
        <w:outlineLvl w:val="9"/>
        <w:rPr>
          <w:rFonts w:cs="仿宋_GB2312" w:asciiTheme="minorEastAsia" w:hAnsiTheme="minorEastAsia" w:eastAsiaTheme="minorEastAsia"/>
          <w:color w:val="auto"/>
          <w:kern w:val="2"/>
          <w:sz w:val="32"/>
          <w:szCs w:val="32"/>
          <w:highlight w:val="none"/>
        </w:rPr>
        <w:sectPr>
          <w:headerReference r:id="rId9" w:type="first"/>
          <w:footerReference r:id="rId12" w:type="first"/>
          <w:headerReference r:id="rId8" w:type="default"/>
          <w:footerReference r:id="rId10" w:type="default"/>
          <w:footerReference r:id="rId11" w:type="even"/>
          <w:pgSz w:w="11906" w:h="16838"/>
          <w:pgMar w:top="779" w:right="1418" w:bottom="468" w:left="1418" w:header="851" w:footer="992" w:gutter="0"/>
          <w:pgNumType w:fmt="decimal"/>
          <w:cols w:space="720" w:num="1"/>
          <w:titlePg/>
          <w:docGrid w:linePitch="312" w:charSpace="0"/>
        </w:sectPr>
      </w:pPr>
    </w:p>
    <w:p w14:paraId="5DC707BC">
      <w:pPr>
        <w:widowControl/>
        <w:spacing w:line="360" w:lineRule="auto"/>
        <w:jc w:val="center"/>
        <w:rPr>
          <w:rFonts w:hint="eastAsia" w:cs="仿宋_GB2312" w:asciiTheme="minorEastAsia" w:hAnsiTheme="minorEastAsia" w:eastAsiaTheme="minorEastAsia"/>
          <w:b/>
          <w:color w:val="auto"/>
          <w:kern w:val="0"/>
          <w:sz w:val="32"/>
          <w:szCs w:val="32"/>
          <w:highlight w:val="none"/>
          <w:lang w:val="en-US" w:eastAsia="zh-CN"/>
        </w:rPr>
      </w:pPr>
      <w:r>
        <w:rPr>
          <w:rFonts w:hint="eastAsia" w:cs="仿宋_GB2312" w:asciiTheme="minorEastAsia" w:hAnsiTheme="minorEastAsia" w:eastAsiaTheme="minorEastAsia"/>
          <w:b/>
          <w:color w:val="auto"/>
          <w:kern w:val="0"/>
          <w:sz w:val="32"/>
          <w:szCs w:val="32"/>
          <w:highlight w:val="none"/>
          <w:lang w:val="en-US" w:eastAsia="zh-CN"/>
        </w:rPr>
        <w:t>四、技术服务、商务偏离情况说明表</w:t>
      </w:r>
    </w:p>
    <w:p w14:paraId="73B27FB3">
      <w:pPr>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项目名称</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44E9081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项目编号</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67A9FA74">
      <w:pPr>
        <w:spacing w:line="360" w:lineRule="auto"/>
        <w:rPr>
          <w:rFonts w:hint="eastAsia" w:ascii="宋体" w:hAnsi="宋体" w:eastAsia="宋体" w:cs="宋体"/>
          <w:color w:val="auto"/>
          <w:szCs w:val="21"/>
          <w:highlight w:val="none"/>
        </w:rPr>
      </w:pP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4"/>
        <w:gridCol w:w="2809"/>
        <w:gridCol w:w="3146"/>
        <w:gridCol w:w="1263"/>
        <w:gridCol w:w="1361"/>
      </w:tblGrid>
      <w:tr w14:paraId="50F386F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84" w:type="dxa"/>
            <w:tcBorders>
              <w:top w:val="single" w:color="auto" w:sz="4" w:space="0"/>
              <w:left w:val="single" w:color="auto" w:sz="4" w:space="0"/>
              <w:bottom w:val="single" w:color="auto" w:sz="6" w:space="0"/>
              <w:right w:val="single" w:color="auto" w:sz="6" w:space="0"/>
            </w:tcBorders>
            <w:vAlign w:val="center"/>
          </w:tcPr>
          <w:p w14:paraId="2718717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2809" w:type="dxa"/>
            <w:tcBorders>
              <w:top w:val="single" w:color="auto" w:sz="4" w:space="0"/>
              <w:left w:val="single" w:color="auto" w:sz="6" w:space="0"/>
              <w:bottom w:val="single" w:color="auto" w:sz="6" w:space="0"/>
              <w:right w:val="single" w:color="auto" w:sz="6" w:space="0"/>
            </w:tcBorders>
            <w:vAlign w:val="center"/>
          </w:tcPr>
          <w:p w14:paraId="326A4A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w:t>
            </w:r>
            <w:r>
              <w:rPr>
                <w:rFonts w:hint="eastAsia" w:ascii="宋体" w:hAnsi="宋体" w:eastAsia="宋体" w:cs="宋体"/>
                <w:color w:val="auto"/>
                <w:szCs w:val="21"/>
                <w:highlight w:val="none"/>
                <w:lang w:eastAsia="zh-CN"/>
              </w:rPr>
              <w:t>磋商采购</w:t>
            </w:r>
            <w:r>
              <w:rPr>
                <w:rFonts w:hint="eastAsia" w:ascii="宋体" w:hAnsi="宋体" w:eastAsia="宋体" w:cs="宋体"/>
                <w:color w:val="auto"/>
                <w:szCs w:val="21"/>
                <w:highlight w:val="none"/>
              </w:rPr>
              <w:t>文件要求</w:t>
            </w:r>
          </w:p>
        </w:tc>
        <w:tc>
          <w:tcPr>
            <w:tcW w:w="3146" w:type="dxa"/>
            <w:tcBorders>
              <w:top w:val="single" w:color="auto" w:sz="4" w:space="0"/>
              <w:left w:val="single" w:color="auto" w:sz="6" w:space="0"/>
              <w:bottom w:val="single" w:color="auto" w:sz="6" w:space="0"/>
              <w:right w:val="single" w:color="auto" w:sz="6" w:space="0"/>
            </w:tcBorders>
            <w:vAlign w:val="center"/>
          </w:tcPr>
          <w:p w14:paraId="50BCFAB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竞争性磋商响应文件具体响应</w:t>
            </w:r>
          </w:p>
        </w:tc>
        <w:tc>
          <w:tcPr>
            <w:tcW w:w="1263" w:type="dxa"/>
            <w:tcBorders>
              <w:top w:val="single" w:color="auto" w:sz="4" w:space="0"/>
              <w:left w:val="single" w:color="auto" w:sz="6" w:space="0"/>
              <w:bottom w:val="single" w:color="auto" w:sz="6" w:space="0"/>
              <w:right w:val="single" w:color="auto" w:sz="6" w:space="0"/>
            </w:tcBorders>
            <w:vAlign w:val="center"/>
          </w:tcPr>
          <w:p w14:paraId="3C84A11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响应/偏离</w:t>
            </w:r>
          </w:p>
        </w:tc>
        <w:tc>
          <w:tcPr>
            <w:tcW w:w="1361" w:type="dxa"/>
            <w:tcBorders>
              <w:top w:val="single" w:color="auto" w:sz="4" w:space="0"/>
              <w:left w:val="single" w:color="auto" w:sz="6" w:space="0"/>
              <w:bottom w:val="single" w:color="auto" w:sz="6" w:space="0"/>
              <w:right w:val="single" w:color="auto" w:sz="4" w:space="0"/>
            </w:tcBorders>
            <w:vAlign w:val="center"/>
          </w:tcPr>
          <w:p w14:paraId="720910E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tc>
      </w:tr>
      <w:tr w14:paraId="103CA9F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363" w:type="dxa"/>
            <w:gridSpan w:val="5"/>
            <w:tcBorders>
              <w:top w:val="single" w:color="auto" w:sz="4" w:space="0"/>
              <w:left w:val="single" w:color="auto" w:sz="4" w:space="0"/>
              <w:bottom w:val="single" w:color="auto" w:sz="6" w:space="0"/>
              <w:right w:val="single" w:color="auto" w:sz="4" w:space="0"/>
            </w:tcBorders>
            <w:vAlign w:val="center"/>
          </w:tcPr>
          <w:p w14:paraId="788CEF07">
            <w:pPr>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b/>
                <w:bCs/>
                <w:color w:val="auto"/>
                <w:szCs w:val="21"/>
                <w:highlight w:val="none"/>
                <w:lang w:val="en-US" w:eastAsia="zh-CN"/>
              </w:rPr>
              <w:t>商务部分</w:t>
            </w:r>
          </w:p>
        </w:tc>
      </w:tr>
      <w:tr w14:paraId="7A520B0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0" w:hRule="atLeast"/>
          <w:jc w:val="center"/>
        </w:trPr>
        <w:tc>
          <w:tcPr>
            <w:tcW w:w="784" w:type="dxa"/>
            <w:tcBorders>
              <w:top w:val="single" w:color="auto" w:sz="6" w:space="0"/>
              <w:left w:val="single" w:color="auto" w:sz="4" w:space="0"/>
              <w:bottom w:val="single" w:color="auto" w:sz="6" w:space="0"/>
              <w:right w:val="single" w:color="auto" w:sz="6" w:space="0"/>
            </w:tcBorders>
            <w:vAlign w:val="center"/>
          </w:tcPr>
          <w:p w14:paraId="37B78F9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2809" w:type="dxa"/>
            <w:tcBorders>
              <w:top w:val="single" w:color="auto" w:sz="6" w:space="0"/>
              <w:left w:val="single" w:color="auto" w:sz="6" w:space="0"/>
              <w:bottom w:val="single" w:color="auto" w:sz="6" w:space="0"/>
              <w:right w:val="single" w:color="auto" w:sz="6" w:space="0"/>
            </w:tcBorders>
            <w:vAlign w:val="center"/>
          </w:tcPr>
          <w:p w14:paraId="7DF4DC0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p>
        </w:tc>
        <w:tc>
          <w:tcPr>
            <w:tcW w:w="3146" w:type="dxa"/>
            <w:tcBorders>
              <w:top w:val="single" w:color="auto" w:sz="6" w:space="0"/>
              <w:left w:val="single" w:color="auto" w:sz="6" w:space="0"/>
              <w:bottom w:val="single" w:color="auto" w:sz="6" w:space="0"/>
              <w:right w:val="single" w:color="auto" w:sz="6" w:space="0"/>
            </w:tcBorders>
            <w:vAlign w:val="center"/>
          </w:tcPr>
          <w:p w14:paraId="0F4F930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p>
        </w:tc>
        <w:tc>
          <w:tcPr>
            <w:tcW w:w="1263" w:type="dxa"/>
            <w:tcBorders>
              <w:top w:val="single" w:color="auto" w:sz="6" w:space="0"/>
              <w:left w:val="single" w:color="auto" w:sz="6" w:space="0"/>
              <w:bottom w:val="single" w:color="auto" w:sz="6" w:space="0"/>
              <w:right w:val="single" w:color="auto" w:sz="6" w:space="0"/>
            </w:tcBorders>
            <w:vAlign w:val="center"/>
          </w:tcPr>
          <w:p w14:paraId="471A0F7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182BEC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p>
        </w:tc>
      </w:tr>
      <w:tr w14:paraId="3B4079C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84" w:type="dxa"/>
            <w:tcBorders>
              <w:top w:val="single" w:color="auto" w:sz="6" w:space="0"/>
              <w:left w:val="single" w:color="auto" w:sz="4" w:space="0"/>
              <w:bottom w:val="single" w:color="auto" w:sz="6" w:space="0"/>
              <w:right w:val="single" w:color="auto" w:sz="6" w:space="0"/>
            </w:tcBorders>
            <w:vAlign w:val="center"/>
          </w:tcPr>
          <w:p w14:paraId="23504A3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2809" w:type="dxa"/>
            <w:tcBorders>
              <w:top w:val="single" w:color="auto" w:sz="6" w:space="0"/>
              <w:left w:val="single" w:color="auto" w:sz="6" w:space="0"/>
              <w:bottom w:val="single" w:color="auto" w:sz="6" w:space="0"/>
              <w:right w:val="single" w:color="auto" w:sz="6" w:space="0"/>
            </w:tcBorders>
            <w:vAlign w:val="center"/>
          </w:tcPr>
          <w:p w14:paraId="734693F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Cs w:val="21"/>
                <w:highlight w:val="none"/>
              </w:rPr>
            </w:pPr>
          </w:p>
        </w:tc>
        <w:tc>
          <w:tcPr>
            <w:tcW w:w="3146" w:type="dxa"/>
            <w:tcBorders>
              <w:top w:val="single" w:color="auto" w:sz="6" w:space="0"/>
              <w:left w:val="single" w:color="auto" w:sz="6" w:space="0"/>
              <w:bottom w:val="single" w:color="auto" w:sz="6" w:space="0"/>
              <w:right w:val="single" w:color="auto" w:sz="6" w:space="0"/>
            </w:tcBorders>
            <w:vAlign w:val="center"/>
          </w:tcPr>
          <w:p w14:paraId="5611A4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p>
        </w:tc>
        <w:tc>
          <w:tcPr>
            <w:tcW w:w="1263" w:type="dxa"/>
            <w:tcBorders>
              <w:top w:val="single" w:color="auto" w:sz="6" w:space="0"/>
              <w:left w:val="single" w:color="auto" w:sz="6" w:space="0"/>
              <w:bottom w:val="single" w:color="auto" w:sz="6" w:space="0"/>
              <w:right w:val="single" w:color="auto" w:sz="6" w:space="0"/>
            </w:tcBorders>
            <w:vAlign w:val="center"/>
          </w:tcPr>
          <w:p w14:paraId="55E1465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318542D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p>
        </w:tc>
      </w:tr>
      <w:tr w14:paraId="7C4765B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84" w:type="dxa"/>
            <w:tcBorders>
              <w:top w:val="single" w:color="auto" w:sz="6" w:space="0"/>
              <w:left w:val="single" w:color="auto" w:sz="4" w:space="0"/>
              <w:bottom w:val="single" w:color="auto" w:sz="6" w:space="0"/>
              <w:right w:val="single" w:color="auto" w:sz="6" w:space="0"/>
            </w:tcBorders>
            <w:vAlign w:val="center"/>
          </w:tcPr>
          <w:p w14:paraId="35A7358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2809" w:type="dxa"/>
            <w:tcBorders>
              <w:top w:val="single" w:color="auto" w:sz="6" w:space="0"/>
              <w:left w:val="single" w:color="auto" w:sz="6" w:space="0"/>
              <w:bottom w:val="single" w:color="auto" w:sz="6" w:space="0"/>
              <w:right w:val="single" w:color="auto" w:sz="6" w:space="0"/>
            </w:tcBorders>
            <w:vAlign w:val="center"/>
          </w:tcPr>
          <w:p w14:paraId="3F4603E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p>
        </w:tc>
        <w:tc>
          <w:tcPr>
            <w:tcW w:w="3146" w:type="dxa"/>
            <w:tcBorders>
              <w:top w:val="single" w:color="auto" w:sz="6" w:space="0"/>
              <w:left w:val="single" w:color="auto" w:sz="6" w:space="0"/>
              <w:bottom w:val="single" w:color="auto" w:sz="6" w:space="0"/>
              <w:right w:val="single" w:color="auto" w:sz="6" w:space="0"/>
            </w:tcBorders>
            <w:vAlign w:val="center"/>
          </w:tcPr>
          <w:p w14:paraId="055F8F3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p>
        </w:tc>
        <w:tc>
          <w:tcPr>
            <w:tcW w:w="1263" w:type="dxa"/>
            <w:tcBorders>
              <w:top w:val="single" w:color="auto" w:sz="6" w:space="0"/>
              <w:left w:val="single" w:color="auto" w:sz="6" w:space="0"/>
              <w:bottom w:val="single" w:color="auto" w:sz="6" w:space="0"/>
              <w:right w:val="single" w:color="auto" w:sz="6" w:space="0"/>
            </w:tcBorders>
            <w:vAlign w:val="center"/>
          </w:tcPr>
          <w:p w14:paraId="284EF97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76F0912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p>
        </w:tc>
      </w:tr>
      <w:tr w14:paraId="7711F15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84" w:type="dxa"/>
            <w:tcBorders>
              <w:top w:val="single" w:color="auto" w:sz="6" w:space="0"/>
              <w:left w:val="single" w:color="auto" w:sz="4" w:space="0"/>
              <w:bottom w:val="single" w:color="auto" w:sz="6" w:space="0"/>
              <w:right w:val="single" w:color="auto" w:sz="6" w:space="0"/>
            </w:tcBorders>
            <w:vAlign w:val="center"/>
          </w:tcPr>
          <w:p w14:paraId="1124C35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w:t>
            </w:r>
          </w:p>
        </w:tc>
        <w:tc>
          <w:tcPr>
            <w:tcW w:w="2809" w:type="dxa"/>
            <w:tcBorders>
              <w:top w:val="single" w:color="auto" w:sz="6" w:space="0"/>
              <w:left w:val="single" w:color="auto" w:sz="6" w:space="0"/>
              <w:bottom w:val="single" w:color="auto" w:sz="6" w:space="0"/>
              <w:right w:val="single" w:color="auto" w:sz="6" w:space="0"/>
            </w:tcBorders>
            <w:vAlign w:val="center"/>
          </w:tcPr>
          <w:p w14:paraId="11A314B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p>
        </w:tc>
        <w:tc>
          <w:tcPr>
            <w:tcW w:w="3146" w:type="dxa"/>
            <w:tcBorders>
              <w:top w:val="single" w:color="auto" w:sz="6" w:space="0"/>
              <w:left w:val="single" w:color="auto" w:sz="6" w:space="0"/>
              <w:bottom w:val="single" w:color="auto" w:sz="6" w:space="0"/>
              <w:right w:val="single" w:color="auto" w:sz="6" w:space="0"/>
            </w:tcBorders>
            <w:vAlign w:val="center"/>
          </w:tcPr>
          <w:p w14:paraId="6F07605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p>
        </w:tc>
        <w:tc>
          <w:tcPr>
            <w:tcW w:w="1263" w:type="dxa"/>
            <w:tcBorders>
              <w:top w:val="single" w:color="auto" w:sz="6" w:space="0"/>
              <w:left w:val="single" w:color="auto" w:sz="6" w:space="0"/>
              <w:bottom w:val="single" w:color="auto" w:sz="6" w:space="0"/>
              <w:right w:val="single" w:color="auto" w:sz="6" w:space="0"/>
            </w:tcBorders>
            <w:vAlign w:val="center"/>
          </w:tcPr>
          <w:p w14:paraId="45917D7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p>
        </w:tc>
        <w:tc>
          <w:tcPr>
            <w:tcW w:w="1361" w:type="dxa"/>
            <w:tcBorders>
              <w:top w:val="single" w:color="auto" w:sz="6" w:space="0"/>
              <w:left w:val="single" w:color="auto" w:sz="6" w:space="0"/>
              <w:bottom w:val="single" w:color="auto" w:sz="6" w:space="0"/>
              <w:right w:val="single" w:color="auto" w:sz="4" w:space="0"/>
            </w:tcBorders>
            <w:vAlign w:val="center"/>
          </w:tcPr>
          <w:p w14:paraId="61733BC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p>
        </w:tc>
      </w:tr>
      <w:tr w14:paraId="38D7096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363" w:type="dxa"/>
            <w:gridSpan w:val="5"/>
            <w:tcBorders>
              <w:top w:val="single" w:color="auto" w:sz="6" w:space="0"/>
              <w:left w:val="single" w:color="auto" w:sz="4" w:space="0"/>
              <w:bottom w:val="single" w:color="auto" w:sz="6" w:space="0"/>
              <w:right w:val="single" w:color="auto" w:sz="4" w:space="0"/>
            </w:tcBorders>
            <w:vAlign w:val="center"/>
          </w:tcPr>
          <w:p w14:paraId="73C418AD">
            <w:pPr>
              <w:keepNext w:val="0"/>
              <w:keepLines w:val="0"/>
              <w:pageBreakBefore w:val="0"/>
              <w:widowControl w:val="0"/>
              <w:kinsoku/>
              <w:wordWrap/>
              <w:overflowPunct/>
              <w:topLinePunct w:val="0"/>
              <w:autoSpaceDE/>
              <w:autoSpaceDN/>
              <w:bidi w:val="0"/>
              <w:adjustRightInd/>
              <w:snapToGrid/>
              <w:spacing w:before="63" w:beforeLines="20" w:line="360" w:lineRule="auto"/>
              <w:jc w:val="center"/>
              <w:textAlignment w:val="auto"/>
              <w:rPr>
                <w:rFonts w:hint="eastAsia" w:ascii="宋体" w:hAnsi="宋体" w:eastAsia="宋体" w:cs="宋体"/>
                <w:color w:val="auto"/>
                <w:szCs w:val="21"/>
                <w:highlight w:val="none"/>
                <w:lang w:val="en-US" w:eastAsia="zh-CN"/>
              </w:rPr>
            </w:pPr>
            <w:r>
              <w:rPr>
                <w:rFonts w:hint="eastAsia" w:ascii="宋体" w:hAnsi="宋体" w:eastAsia="宋体" w:cs="宋体"/>
                <w:b/>
                <w:bCs/>
                <w:color w:val="auto"/>
                <w:szCs w:val="21"/>
                <w:highlight w:val="none"/>
                <w:lang w:val="en-US" w:eastAsia="zh-CN"/>
              </w:rPr>
              <w:t>技术部分</w:t>
            </w:r>
          </w:p>
        </w:tc>
      </w:tr>
      <w:tr w14:paraId="5FC3FA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84" w:type="dxa"/>
            <w:tcBorders>
              <w:top w:val="single" w:color="auto" w:sz="6" w:space="0"/>
              <w:left w:val="single" w:color="auto" w:sz="4" w:space="0"/>
              <w:bottom w:val="single" w:color="auto" w:sz="6" w:space="0"/>
              <w:right w:val="single" w:color="auto" w:sz="6" w:space="0"/>
            </w:tcBorders>
            <w:vAlign w:val="center"/>
          </w:tcPr>
          <w:p w14:paraId="01469C9D">
            <w:pPr>
              <w:keepNext w:val="0"/>
              <w:keepLines w:val="0"/>
              <w:pageBreakBefore w:val="0"/>
              <w:widowControl w:val="0"/>
              <w:kinsoku/>
              <w:wordWrap/>
              <w:overflowPunct/>
              <w:topLinePunct w:val="0"/>
              <w:autoSpaceDE/>
              <w:autoSpaceDN/>
              <w:bidi w:val="0"/>
              <w:adjustRightInd/>
              <w:snapToGrid/>
              <w:spacing w:before="63" w:beforeLines="20"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1</w:t>
            </w:r>
          </w:p>
        </w:tc>
        <w:tc>
          <w:tcPr>
            <w:tcW w:w="2809" w:type="dxa"/>
            <w:tcBorders>
              <w:top w:val="single" w:color="auto" w:sz="6" w:space="0"/>
              <w:left w:val="single" w:color="auto" w:sz="6" w:space="0"/>
              <w:bottom w:val="single" w:color="auto" w:sz="6" w:space="0"/>
              <w:right w:val="single" w:color="auto" w:sz="6" w:space="0"/>
            </w:tcBorders>
            <w:vAlign w:val="center"/>
          </w:tcPr>
          <w:p w14:paraId="1082BAED">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c>
          <w:tcPr>
            <w:tcW w:w="3146" w:type="dxa"/>
            <w:tcBorders>
              <w:top w:val="single" w:color="auto" w:sz="6" w:space="0"/>
              <w:left w:val="single" w:color="auto" w:sz="6" w:space="0"/>
              <w:bottom w:val="single" w:color="auto" w:sz="6" w:space="0"/>
              <w:right w:val="single" w:color="auto" w:sz="6" w:space="0"/>
            </w:tcBorders>
            <w:vAlign w:val="center"/>
          </w:tcPr>
          <w:p w14:paraId="72597D85">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c>
          <w:tcPr>
            <w:tcW w:w="1263" w:type="dxa"/>
            <w:tcBorders>
              <w:top w:val="single" w:color="auto" w:sz="6" w:space="0"/>
              <w:left w:val="single" w:color="auto" w:sz="6" w:space="0"/>
              <w:bottom w:val="single" w:color="auto" w:sz="6" w:space="0"/>
              <w:right w:val="single" w:color="auto" w:sz="6" w:space="0"/>
            </w:tcBorders>
            <w:vAlign w:val="center"/>
          </w:tcPr>
          <w:p w14:paraId="4A65DE49">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78BA5ADB">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r>
      <w:tr w14:paraId="438BB21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84" w:type="dxa"/>
            <w:tcBorders>
              <w:top w:val="single" w:color="auto" w:sz="6" w:space="0"/>
              <w:left w:val="single" w:color="auto" w:sz="4" w:space="0"/>
              <w:bottom w:val="single" w:color="auto" w:sz="6" w:space="0"/>
              <w:right w:val="single" w:color="auto" w:sz="6" w:space="0"/>
            </w:tcBorders>
            <w:vAlign w:val="center"/>
          </w:tcPr>
          <w:p w14:paraId="5CB410F8">
            <w:pPr>
              <w:keepNext w:val="0"/>
              <w:keepLines w:val="0"/>
              <w:pageBreakBefore w:val="0"/>
              <w:widowControl w:val="0"/>
              <w:kinsoku/>
              <w:wordWrap/>
              <w:overflowPunct/>
              <w:topLinePunct w:val="0"/>
              <w:autoSpaceDE/>
              <w:autoSpaceDN/>
              <w:bidi w:val="0"/>
              <w:adjustRightInd/>
              <w:snapToGrid/>
              <w:spacing w:before="63" w:beforeLines="20"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2</w:t>
            </w:r>
          </w:p>
        </w:tc>
        <w:tc>
          <w:tcPr>
            <w:tcW w:w="2809" w:type="dxa"/>
            <w:tcBorders>
              <w:top w:val="single" w:color="auto" w:sz="6" w:space="0"/>
              <w:left w:val="single" w:color="auto" w:sz="6" w:space="0"/>
              <w:bottom w:val="single" w:color="auto" w:sz="6" w:space="0"/>
              <w:right w:val="single" w:color="auto" w:sz="6" w:space="0"/>
            </w:tcBorders>
            <w:vAlign w:val="center"/>
          </w:tcPr>
          <w:p w14:paraId="0F5B6324">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c>
          <w:tcPr>
            <w:tcW w:w="3146" w:type="dxa"/>
            <w:tcBorders>
              <w:top w:val="single" w:color="auto" w:sz="6" w:space="0"/>
              <w:left w:val="single" w:color="auto" w:sz="6" w:space="0"/>
              <w:bottom w:val="single" w:color="auto" w:sz="6" w:space="0"/>
              <w:right w:val="single" w:color="auto" w:sz="6" w:space="0"/>
            </w:tcBorders>
            <w:vAlign w:val="center"/>
          </w:tcPr>
          <w:p w14:paraId="4CC31828">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c>
          <w:tcPr>
            <w:tcW w:w="1263" w:type="dxa"/>
            <w:tcBorders>
              <w:top w:val="single" w:color="auto" w:sz="6" w:space="0"/>
              <w:left w:val="single" w:color="auto" w:sz="6" w:space="0"/>
              <w:bottom w:val="single" w:color="auto" w:sz="6" w:space="0"/>
              <w:right w:val="single" w:color="auto" w:sz="6" w:space="0"/>
            </w:tcBorders>
            <w:vAlign w:val="center"/>
          </w:tcPr>
          <w:p w14:paraId="5A788A1E">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61221B08">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r>
      <w:tr w14:paraId="4C2E370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84" w:type="dxa"/>
            <w:tcBorders>
              <w:top w:val="single" w:color="auto" w:sz="6" w:space="0"/>
              <w:left w:val="single" w:color="auto" w:sz="4" w:space="0"/>
              <w:bottom w:val="single" w:color="auto" w:sz="6" w:space="0"/>
              <w:right w:val="single" w:color="auto" w:sz="6" w:space="0"/>
            </w:tcBorders>
            <w:vAlign w:val="center"/>
          </w:tcPr>
          <w:p w14:paraId="2A17460F">
            <w:pPr>
              <w:keepNext w:val="0"/>
              <w:keepLines w:val="0"/>
              <w:pageBreakBefore w:val="0"/>
              <w:widowControl w:val="0"/>
              <w:kinsoku/>
              <w:wordWrap/>
              <w:overflowPunct/>
              <w:topLinePunct w:val="0"/>
              <w:autoSpaceDE/>
              <w:autoSpaceDN/>
              <w:bidi w:val="0"/>
              <w:adjustRightInd/>
              <w:snapToGrid/>
              <w:spacing w:before="63" w:beforeLines="20"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3</w:t>
            </w:r>
          </w:p>
        </w:tc>
        <w:tc>
          <w:tcPr>
            <w:tcW w:w="2809" w:type="dxa"/>
            <w:tcBorders>
              <w:top w:val="single" w:color="auto" w:sz="6" w:space="0"/>
              <w:left w:val="single" w:color="auto" w:sz="6" w:space="0"/>
              <w:bottom w:val="single" w:color="auto" w:sz="6" w:space="0"/>
              <w:right w:val="single" w:color="auto" w:sz="6" w:space="0"/>
            </w:tcBorders>
            <w:vAlign w:val="center"/>
          </w:tcPr>
          <w:p w14:paraId="790A8000">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c>
          <w:tcPr>
            <w:tcW w:w="3146" w:type="dxa"/>
            <w:tcBorders>
              <w:top w:val="single" w:color="auto" w:sz="6" w:space="0"/>
              <w:left w:val="single" w:color="auto" w:sz="6" w:space="0"/>
              <w:bottom w:val="single" w:color="auto" w:sz="6" w:space="0"/>
              <w:right w:val="single" w:color="auto" w:sz="6" w:space="0"/>
            </w:tcBorders>
            <w:vAlign w:val="center"/>
          </w:tcPr>
          <w:p w14:paraId="2979B0C2">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c>
          <w:tcPr>
            <w:tcW w:w="1263" w:type="dxa"/>
            <w:tcBorders>
              <w:top w:val="single" w:color="auto" w:sz="6" w:space="0"/>
              <w:left w:val="single" w:color="auto" w:sz="6" w:space="0"/>
              <w:bottom w:val="single" w:color="auto" w:sz="6" w:space="0"/>
              <w:right w:val="single" w:color="auto" w:sz="6" w:space="0"/>
            </w:tcBorders>
            <w:vAlign w:val="center"/>
          </w:tcPr>
          <w:p w14:paraId="70B301AA">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3B3F12DD">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r>
      <w:tr w14:paraId="7C6F2D4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84" w:type="dxa"/>
            <w:tcBorders>
              <w:top w:val="single" w:color="auto" w:sz="6" w:space="0"/>
              <w:left w:val="single" w:color="auto" w:sz="4" w:space="0"/>
              <w:bottom w:val="single" w:color="auto" w:sz="6" w:space="0"/>
              <w:right w:val="single" w:color="auto" w:sz="6" w:space="0"/>
            </w:tcBorders>
            <w:vAlign w:val="center"/>
          </w:tcPr>
          <w:p w14:paraId="13C6AB49">
            <w:pPr>
              <w:keepNext w:val="0"/>
              <w:keepLines w:val="0"/>
              <w:pageBreakBefore w:val="0"/>
              <w:widowControl w:val="0"/>
              <w:kinsoku/>
              <w:wordWrap/>
              <w:overflowPunct/>
              <w:topLinePunct w:val="0"/>
              <w:autoSpaceDE/>
              <w:autoSpaceDN/>
              <w:bidi w:val="0"/>
              <w:adjustRightInd/>
              <w:snapToGrid/>
              <w:spacing w:before="63" w:beforeLines="20"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809" w:type="dxa"/>
            <w:tcBorders>
              <w:top w:val="single" w:color="auto" w:sz="6" w:space="0"/>
              <w:left w:val="single" w:color="auto" w:sz="6" w:space="0"/>
              <w:bottom w:val="single" w:color="auto" w:sz="6" w:space="0"/>
              <w:right w:val="single" w:color="auto" w:sz="6" w:space="0"/>
            </w:tcBorders>
            <w:vAlign w:val="center"/>
          </w:tcPr>
          <w:p w14:paraId="6A3DF87A">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c>
          <w:tcPr>
            <w:tcW w:w="3146" w:type="dxa"/>
            <w:tcBorders>
              <w:top w:val="single" w:color="auto" w:sz="6" w:space="0"/>
              <w:left w:val="single" w:color="auto" w:sz="6" w:space="0"/>
              <w:bottom w:val="single" w:color="auto" w:sz="6" w:space="0"/>
              <w:right w:val="single" w:color="auto" w:sz="6" w:space="0"/>
            </w:tcBorders>
            <w:vAlign w:val="center"/>
          </w:tcPr>
          <w:p w14:paraId="1827CF7A">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c>
          <w:tcPr>
            <w:tcW w:w="1263" w:type="dxa"/>
            <w:tcBorders>
              <w:top w:val="single" w:color="auto" w:sz="6" w:space="0"/>
              <w:left w:val="single" w:color="auto" w:sz="6" w:space="0"/>
              <w:bottom w:val="single" w:color="auto" w:sz="6" w:space="0"/>
              <w:right w:val="single" w:color="auto" w:sz="6" w:space="0"/>
            </w:tcBorders>
            <w:vAlign w:val="center"/>
          </w:tcPr>
          <w:p w14:paraId="6016307B">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5DC881A1">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r>
    </w:tbl>
    <w:p w14:paraId="543F67F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Cs w:val="21"/>
          <w:highlight w:val="none"/>
        </w:rPr>
      </w:pPr>
    </w:p>
    <w:p w14:paraId="7F37C3F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r>
        <w:rPr>
          <w:rFonts w:hint="eastAsia" w:ascii="宋体" w:hAnsi="宋体" w:cs="宋体"/>
          <w:color w:val="auto"/>
          <w:szCs w:val="21"/>
          <w:highlight w:val="none"/>
          <w:lang w:eastAsia="zh-CN"/>
        </w:rPr>
        <w:t>：</w:t>
      </w: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应写明竞争性磋商</w:t>
      </w:r>
      <w:r>
        <w:rPr>
          <w:rFonts w:hint="eastAsia" w:ascii="宋体" w:hAnsi="宋体" w:eastAsia="宋体" w:cs="宋体"/>
          <w:color w:val="auto"/>
          <w:szCs w:val="21"/>
          <w:highlight w:val="none"/>
        </w:rPr>
        <w:t>响应文件对</w:t>
      </w:r>
      <w:r>
        <w:rPr>
          <w:rFonts w:hint="eastAsia" w:ascii="宋体" w:hAnsi="宋体" w:eastAsia="宋体" w:cs="宋体"/>
          <w:color w:val="auto"/>
          <w:highlight w:val="none"/>
        </w:rPr>
        <w:t>商务与服务技术要求的</w:t>
      </w:r>
      <w:r>
        <w:rPr>
          <w:rFonts w:hint="eastAsia" w:ascii="宋体" w:hAnsi="宋体" w:eastAsia="宋体" w:cs="宋体"/>
          <w:color w:val="auto"/>
          <w:szCs w:val="21"/>
          <w:highlight w:val="none"/>
        </w:rPr>
        <w:t>响应和偏离情况</w:t>
      </w:r>
      <w:r>
        <w:rPr>
          <w:rFonts w:hint="eastAsia" w:ascii="宋体" w:hAnsi="宋体" w:eastAsia="宋体" w:cs="宋体"/>
          <w:bCs/>
          <w:color w:val="auto"/>
          <w:szCs w:val="21"/>
          <w:highlight w:val="none"/>
        </w:rPr>
        <w:t>；</w:t>
      </w:r>
    </w:p>
    <w:p w14:paraId="56114560">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应对照竞争性</w:t>
      </w:r>
      <w:r>
        <w:rPr>
          <w:rFonts w:hint="eastAsia" w:ascii="宋体" w:hAnsi="宋体" w:eastAsia="宋体" w:cs="宋体"/>
          <w:color w:val="auto"/>
          <w:highlight w:val="none"/>
          <w:lang w:eastAsia="zh-CN"/>
        </w:rPr>
        <w:t>磋商采购</w:t>
      </w:r>
      <w:r>
        <w:rPr>
          <w:rFonts w:hint="eastAsia" w:ascii="宋体" w:hAnsi="宋体" w:eastAsia="宋体" w:cs="宋体"/>
          <w:color w:val="auto"/>
          <w:highlight w:val="none"/>
        </w:rPr>
        <w:t>文件“第</w:t>
      </w:r>
      <w:r>
        <w:rPr>
          <w:rFonts w:hint="eastAsia" w:ascii="宋体" w:hAnsi="宋体" w:eastAsia="宋体" w:cs="宋体"/>
          <w:color w:val="auto"/>
          <w:highlight w:val="none"/>
          <w:lang w:val="en-US" w:eastAsia="zh-CN"/>
        </w:rPr>
        <w:t>四部分</w:t>
      </w:r>
      <w:r>
        <w:rPr>
          <w:rFonts w:hint="eastAsia" w:ascii="宋体" w:hAnsi="宋体" w:eastAsia="宋体" w:cs="宋体"/>
          <w:color w:val="auto"/>
          <w:highlight w:val="none"/>
        </w:rPr>
        <w:t xml:space="preserve">  采购需求”</w:t>
      </w:r>
      <w:r>
        <w:rPr>
          <w:rFonts w:hint="eastAsia" w:ascii="宋体" w:hAnsi="宋体" w:cs="宋体"/>
          <w:color w:val="auto"/>
          <w:highlight w:val="none"/>
          <w:lang w:eastAsia="zh-CN"/>
        </w:rPr>
        <w:t>的技术服务需求</w:t>
      </w:r>
      <w:r>
        <w:rPr>
          <w:rFonts w:hint="eastAsia" w:ascii="宋体" w:hAnsi="宋体" w:cs="宋体"/>
          <w:color w:val="auto"/>
          <w:highlight w:val="none"/>
          <w:lang w:val="en-US" w:eastAsia="zh-CN"/>
        </w:rPr>
        <w:t>及商务要求</w:t>
      </w:r>
      <w:r>
        <w:rPr>
          <w:rFonts w:hint="eastAsia" w:ascii="宋体" w:hAnsi="宋体" w:eastAsia="宋体" w:cs="宋体"/>
          <w:color w:val="auto"/>
          <w:highlight w:val="none"/>
        </w:rPr>
        <w:t>，逐条说明所提供技术服务做出实质性的响应，并申明与采购项目要求的响应和偏离。特别对有具体服务、技术要求的，磋商供应商必须提供对应的详细应答，如果仅注明“符合”、“满足”或简单复制竞争性磋商采购文件要求，将导致磋商被拒绝。漏项或者空白，视为不实质性响应</w:t>
      </w:r>
      <w:r>
        <w:rPr>
          <w:rFonts w:hint="eastAsia" w:ascii="宋体" w:hAnsi="宋体" w:eastAsia="宋体" w:cs="宋体"/>
          <w:color w:val="auto"/>
          <w:highlight w:val="none"/>
          <w:lang w:val="en-US" w:eastAsia="zh-CN"/>
        </w:rPr>
        <w:t>竞争性磋商</w:t>
      </w:r>
      <w:r>
        <w:rPr>
          <w:rFonts w:hint="eastAsia" w:ascii="宋体" w:hAnsi="宋体" w:eastAsia="宋体" w:cs="宋体"/>
          <w:color w:val="auto"/>
          <w:highlight w:val="none"/>
        </w:rPr>
        <w:t>采购文件。</w:t>
      </w:r>
    </w:p>
    <w:p w14:paraId="19A8B400">
      <w:pPr>
        <w:spacing w:line="360" w:lineRule="auto"/>
        <w:ind w:firstLine="420" w:firstLineChars="200"/>
        <w:rPr>
          <w:rFonts w:hint="eastAsia" w:ascii="宋体" w:hAnsi="宋体" w:eastAsia="宋体" w:cs="宋体"/>
          <w:color w:val="auto"/>
          <w:szCs w:val="21"/>
          <w:highlight w:val="none"/>
        </w:rPr>
      </w:pPr>
    </w:p>
    <w:p w14:paraId="0A5ADEE9">
      <w:pPr>
        <w:spacing w:line="360" w:lineRule="auto"/>
        <w:ind w:firstLine="420" w:firstLineChars="200"/>
        <w:rPr>
          <w:rFonts w:hint="eastAsia" w:ascii="宋体" w:hAnsi="宋体" w:eastAsia="宋体" w:cs="宋体"/>
          <w:color w:val="auto"/>
          <w:szCs w:val="21"/>
          <w:highlight w:val="none"/>
        </w:rPr>
      </w:pPr>
    </w:p>
    <w:p w14:paraId="6F0A8551">
      <w:pPr>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负责人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或委托代理人（</w:t>
      </w:r>
      <w:r>
        <w:rPr>
          <w:rFonts w:hint="eastAsia" w:ascii="宋体" w:hAnsi="宋体" w:eastAsia="宋体" w:cs="宋体"/>
          <w:color w:val="auto"/>
          <w:szCs w:val="21"/>
          <w:highlight w:val="none"/>
          <w:lang w:val="en-US" w:eastAsia="zh-CN"/>
        </w:rPr>
        <w:t>签</w:t>
      </w:r>
      <w:r>
        <w:rPr>
          <w:rFonts w:hint="eastAsia" w:ascii="宋体" w:hAnsi="宋体" w:cs="宋体"/>
          <w:color w:val="auto"/>
          <w:szCs w:val="21"/>
          <w:highlight w:val="none"/>
          <w:lang w:val="en-US" w:eastAsia="zh-CN"/>
        </w:rPr>
        <w:t>名</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1D9E4F60">
      <w:pPr>
        <w:spacing w:line="360" w:lineRule="auto"/>
        <w:ind w:firstLine="420" w:firstLineChars="200"/>
        <w:rPr>
          <w:rFonts w:hint="default"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rPr>
        <w:t>磋商供应商名称（</w:t>
      </w:r>
      <w:r>
        <w:rPr>
          <w:rFonts w:hint="eastAsia" w:ascii="宋体" w:hAnsi="宋体" w:eastAsia="宋体" w:cs="宋体"/>
          <w:color w:val="auto"/>
          <w:szCs w:val="21"/>
          <w:highlight w:val="none"/>
          <w:lang w:eastAsia="zh-CN"/>
        </w:rPr>
        <w:t>电子</w:t>
      </w:r>
      <w:r>
        <w:rPr>
          <w:rFonts w:hint="eastAsia" w:ascii="宋体" w:hAnsi="宋体" w:cs="宋体"/>
          <w:b w:val="0"/>
          <w:bCs/>
          <w:color w:val="auto"/>
          <w:szCs w:val="21"/>
          <w:highlight w:val="none"/>
          <w:lang w:val="en-US" w:eastAsia="zh-CN"/>
        </w:rPr>
        <w:t>公章</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p>
    <w:p w14:paraId="10FBA28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1106AE28">
      <w:pPr>
        <w:widowControl/>
        <w:spacing w:line="360" w:lineRule="auto"/>
        <w:jc w:val="center"/>
        <w:rPr>
          <w:rFonts w:hint="eastAsia" w:cs="仿宋_GB2312" w:asciiTheme="minorEastAsia" w:hAnsiTheme="minorEastAsia" w:eastAsiaTheme="minorEastAsia"/>
          <w:b/>
          <w:color w:val="auto"/>
          <w:kern w:val="0"/>
          <w:sz w:val="32"/>
          <w:szCs w:val="32"/>
          <w:highlight w:val="none"/>
          <w:lang w:val="zh-CN"/>
        </w:rPr>
      </w:pPr>
    </w:p>
    <w:p w14:paraId="2EDD94D7">
      <w:pPr>
        <w:widowControl/>
        <w:spacing w:line="360" w:lineRule="auto"/>
        <w:jc w:val="center"/>
        <w:rPr>
          <w:rFonts w:hint="eastAsia" w:cs="仿宋_GB2312" w:asciiTheme="minorEastAsia" w:hAnsiTheme="minorEastAsia" w:eastAsiaTheme="minorEastAsia"/>
          <w:b/>
          <w:color w:val="auto"/>
          <w:kern w:val="0"/>
          <w:sz w:val="32"/>
          <w:szCs w:val="32"/>
          <w:highlight w:val="none"/>
          <w:lang w:val="zh-CN"/>
        </w:rPr>
      </w:pPr>
    </w:p>
    <w:p w14:paraId="3FE0C91C">
      <w:pPr>
        <w:widowControl/>
        <w:spacing w:line="360" w:lineRule="auto"/>
        <w:jc w:val="center"/>
        <w:rPr>
          <w:rFonts w:hint="eastAsia" w:cs="仿宋_GB2312" w:asciiTheme="minorEastAsia" w:hAnsiTheme="minorEastAsia" w:eastAsiaTheme="minorEastAsia"/>
          <w:b/>
          <w:color w:val="auto"/>
          <w:kern w:val="0"/>
          <w:sz w:val="32"/>
          <w:szCs w:val="32"/>
          <w:highlight w:val="none"/>
          <w:lang w:val="zh-CN"/>
        </w:rPr>
      </w:pPr>
    </w:p>
    <w:p w14:paraId="1EFBDCD1">
      <w:pPr>
        <w:widowControl/>
        <w:spacing w:line="360" w:lineRule="auto"/>
        <w:jc w:val="both"/>
        <w:rPr>
          <w:rFonts w:hint="eastAsia" w:cs="仿宋_GB2312" w:asciiTheme="minorEastAsia" w:hAnsiTheme="minorEastAsia" w:eastAsiaTheme="minorEastAsia"/>
          <w:b/>
          <w:color w:val="auto"/>
          <w:kern w:val="0"/>
          <w:sz w:val="32"/>
          <w:szCs w:val="32"/>
          <w:highlight w:val="none"/>
          <w:lang w:val="zh-CN"/>
        </w:rPr>
      </w:pPr>
    </w:p>
    <w:p w14:paraId="7D1210DB">
      <w:pPr>
        <w:adjustRightInd w:val="0"/>
        <w:snapToGrid w:val="0"/>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lang w:val="en-US" w:eastAsia="zh-CN"/>
        </w:rPr>
        <w:t>五、</w:t>
      </w:r>
      <w:r>
        <w:rPr>
          <w:rFonts w:hint="eastAsia" w:ascii="宋体" w:hAnsi="宋体" w:eastAsia="宋体" w:cs="宋体"/>
          <w:b/>
          <w:color w:val="auto"/>
          <w:sz w:val="32"/>
          <w:szCs w:val="32"/>
          <w:highlight w:val="none"/>
        </w:rPr>
        <w:t>法定代表人</w:t>
      </w:r>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lang w:val="en-US" w:eastAsia="zh-CN"/>
        </w:rPr>
        <w:t>负责人</w:t>
      </w:r>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rPr>
        <w:t>身份证明书</w:t>
      </w:r>
    </w:p>
    <w:p w14:paraId="15979DC6">
      <w:pPr>
        <w:adjustRightInd w:val="0"/>
        <w:snapToGrid w:val="0"/>
        <w:spacing w:line="360" w:lineRule="auto"/>
        <w:ind w:firstLine="960" w:firstLineChars="400"/>
        <w:rPr>
          <w:rFonts w:hint="eastAsia" w:ascii="宋体" w:hAnsi="宋体" w:eastAsia="宋体" w:cs="宋体"/>
          <w:color w:val="auto"/>
          <w:sz w:val="24"/>
          <w:highlight w:val="none"/>
          <w:u w:val="single"/>
        </w:rPr>
      </w:pPr>
    </w:p>
    <w:p w14:paraId="17AF6055">
      <w:pPr>
        <w:keepNext w:val="0"/>
        <w:keepLines w:val="0"/>
        <w:pageBreakBefore w:val="0"/>
        <w:widowControl w:val="0"/>
        <w:kinsoku/>
        <w:wordWrap/>
        <w:overflowPunct/>
        <w:topLinePunct w:val="0"/>
        <w:autoSpaceDE/>
        <w:autoSpaceDN/>
        <w:bidi w:val="0"/>
        <w:adjustRightInd w:val="0"/>
        <w:snapToGrid w:val="0"/>
        <w:spacing w:line="48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在我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w:t>
      </w:r>
      <w:r>
        <w:rPr>
          <w:rFonts w:hint="eastAsia" w:ascii="宋体" w:hAnsi="宋体"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lang w:val="en-US" w:eastAsia="zh-CN"/>
        </w:rPr>
        <w:t>名称</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职务，是我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w:t>
      </w:r>
      <w:r>
        <w:rPr>
          <w:rFonts w:hint="eastAsia" w:ascii="宋体" w:hAnsi="宋体"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lang w:val="en-US" w:eastAsia="zh-CN"/>
        </w:rPr>
        <w:t>名称</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rPr>
        <w:t>的法定代表人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负责人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28AB69B3">
      <w:pPr>
        <w:adjustRightInd w:val="0"/>
        <w:snapToGrid w:val="0"/>
        <w:spacing w:line="360" w:lineRule="auto"/>
        <w:ind w:firstLine="840" w:firstLineChars="3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特此证明。</w:t>
      </w:r>
    </w:p>
    <w:p w14:paraId="0E981FE0">
      <w:pPr>
        <w:adjustRightInd w:val="0"/>
        <w:snapToGrid w:val="0"/>
        <w:spacing w:line="360" w:lineRule="auto"/>
        <w:rPr>
          <w:rFonts w:hint="eastAsia" w:ascii="宋体" w:hAnsi="宋体" w:eastAsia="宋体" w:cs="宋体"/>
          <w:color w:val="auto"/>
          <w:sz w:val="24"/>
          <w:szCs w:val="24"/>
          <w:highlight w:val="none"/>
        </w:rPr>
      </w:pPr>
    </w:p>
    <w:p w14:paraId="49D987AC">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1CC6B203">
      <w:pPr>
        <w:adjustRightInd w:val="0"/>
        <w:snapToGrid w:val="0"/>
        <w:spacing w:line="360" w:lineRule="auto"/>
        <w:rPr>
          <w:rFonts w:hint="eastAsia" w:ascii="宋体" w:hAnsi="宋体" w:eastAsia="宋体" w:cs="宋体"/>
          <w:color w:val="auto"/>
          <w:sz w:val="24"/>
          <w:szCs w:val="24"/>
          <w:highlight w:val="none"/>
        </w:rPr>
      </w:pPr>
    </w:p>
    <w:p w14:paraId="7ED97227">
      <w:pPr>
        <w:adjustRightInd w:val="0"/>
        <w:snapToGrid w:val="0"/>
        <w:spacing w:line="360" w:lineRule="auto"/>
        <w:ind w:firstLine="3360" w:firstLineChars="14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单位名称</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p>
    <w:p w14:paraId="0B6B7B69">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eastAsia="zh-CN"/>
        </w:rPr>
        <w:t>电子</w:t>
      </w:r>
      <w:r>
        <w:rPr>
          <w:rFonts w:hint="eastAsia" w:ascii="宋体" w:hAnsi="宋体" w:eastAsia="宋体" w:cs="宋体"/>
          <w:color w:val="auto"/>
          <w:sz w:val="24"/>
          <w:szCs w:val="24"/>
          <w:highlight w:val="none"/>
          <w:lang w:val="en-US" w:eastAsia="zh-CN"/>
        </w:rPr>
        <w:t>公章</w:t>
      </w:r>
      <w:r>
        <w:rPr>
          <w:rFonts w:hint="eastAsia" w:ascii="宋体" w:hAnsi="宋体" w:eastAsia="宋体" w:cs="宋体"/>
          <w:color w:val="auto"/>
          <w:sz w:val="24"/>
          <w:szCs w:val="24"/>
          <w:highlight w:val="none"/>
        </w:rPr>
        <w:t>）</w:t>
      </w:r>
    </w:p>
    <w:p w14:paraId="2CCCC2F4">
      <w:pPr>
        <w:adjustRightInd w:val="0"/>
        <w:snapToGrid w:val="0"/>
        <w:spacing w:line="360" w:lineRule="auto"/>
        <w:rPr>
          <w:rFonts w:hint="eastAsia" w:ascii="宋体" w:hAnsi="宋体" w:eastAsia="宋体" w:cs="宋体"/>
          <w:color w:val="auto"/>
          <w:sz w:val="24"/>
          <w:szCs w:val="24"/>
          <w:highlight w:val="none"/>
        </w:rPr>
      </w:pPr>
    </w:p>
    <w:p w14:paraId="131D0BE1">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年     月    日</w:t>
      </w:r>
    </w:p>
    <w:p w14:paraId="6CB578F1">
      <w:pPr>
        <w:adjustRightInd w:val="0"/>
        <w:snapToGrid w:val="0"/>
        <w:spacing w:line="360" w:lineRule="auto"/>
        <w:ind w:firstLine="360" w:firstLineChars="150"/>
        <w:rPr>
          <w:rFonts w:hint="eastAsia" w:ascii="宋体" w:hAnsi="宋体" w:eastAsia="宋体" w:cs="宋体"/>
          <w:color w:val="auto"/>
          <w:sz w:val="24"/>
          <w:szCs w:val="24"/>
          <w:highlight w:val="none"/>
        </w:rPr>
      </w:pPr>
    </w:p>
    <w:p w14:paraId="00078F9C">
      <w:pPr>
        <w:adjustRightInd w:val="0"/>
        <w:snapToGrid w:val="0"/>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住    址</w:t>
      </w:r>
      <w:r>
        <w:rPr>
          <w:rFonts w:hint="eastAsia" w:ascii="宋体" w:hAnsi="宋体" w:cs="宋体"/>
          <w:color w:val="auto"/>
          <w:sz w:val="24"/>
          <w:szCs w:val="24"/>
          <w:highlight w:val="none"/>
          <w:lang w:eastAsia="zh-CN"/>
        </w:rPr>
        <w:t>：</w:t>
      </w:r>
    </w:p>
    <w:p w14:paraId="6870758A">
      <w:pPr>
        <w:adjustRightInd w:val="0"/>
        <w:snapToGrid w:val="0"/>
        <w:spacing w:line="360" w:lineRule="auto"/>
        <w:ind w:firstLine="360" w:firstLineChars="150"/>
        <w:rPr>
          <w:rFonts w:hint="eastAsia" w:ascii="宋体" w:hAnsi="宋体" w:eastAsia="宋体" w:cs="宋体"/>
          <w:color w:val="auto"/>
          <w:sz w:val="24"/>
          <w:szCs w:val="24"/>
          <w:highlight w:val="none"/>
        </w:rPr>
      </w:pPr>
    </w:p>
    <w:p w14:paraId="5D686CEE">
      <w:pPr>
        <w:pStyle w:val="32"/>
        <w:adjustRightInd w:val="0"/>
        <w:snapToGrid w:val="0"/>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联系电话</w:t>
      </w:r>
      <w:r>
        <w:rPr>
          <w:rFonts w:hint="eastAsia" w:hAnsi="宋体" w:cs="宋体"/>
          <w:color w:val="auto"/>
          <w:sz w:val="24"/>
          <w:szCs w:val="24"/>
          <w:highlight w:val="none"/>
          <w:lang w:eastAsia="zh-CN"/>
        </w:rPr>
        <w:t>：</w:t>
      </w:r>
    </w:p>
    <w:p w14:paraId="72B4A220">
      <w:pPr>
        <w:pStyle w:val="32"/>
        <w:adjustRightInd w:val="0"/>
        <w:snapToGrid w:val="0"/>
        <w:spacing w:line="360" w:lineRule="auto"/>
        <w:ind w:firstLine="360" w:firstLineChars="15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附</w:t>
      </w:r>
      <w:r>
        <w:rPr>
          <w:rFonts w:hint="eastAsia" w:hAnsi="宋体" w:cs="宋体"/>
          <w:color w:val="auto"/>
          <w:sz w:val="24"/>
          <w:szCs w:val="24"/>
          <w:highlight w:val="none"/>
          <w:lang w:eastAsia="zh-CN"/>
        </w:rPr>
        <w:t>：</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营业执照或者事业单位法人证书或者执业许可证</w:t>
      </w:r>
      <w:r>
        <w:rPr>
          <w:rFonts w:hint="eastAsia" w:ascii="宋体" w:hAnsi="宋体" w:eastAsia="宋体" w:cs="宋体"/>
          <w:color w:val="auto"/>
          <w:sz w:val="24"/>
          <w:szCs w:val="24"/>
          <w:highlight w:val="none"/>
          <w:lang w:val="en-US" w:eastAsia="zh-CN"/>
        </w:rPr>
        <w:t>复印件</w:t>
      </w:r>
    </w:p>
    <w:p w14:paraId="0522D458">
      <w:pPr>
        <w:pStyle w:val="32"/>
        <w:adjustRightInd w:val="0"/>
        <w:snapToGrid w:val="0"/>
        <w:spacing w:line="360" w:lineRule="auto"/>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负责人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身份证复印件</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4"/>
      </w:tblGrid>
      <w:tr w14:paraId="4844B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jc w:val="center"/>
        </w:trPr>
        <w:tc>
          <w:tcPr>
            <w:tcW w:w="9124" w:type="dxa"/>
            <w:vAlign w:val="top"/>
          </w:tcPr>
          <w:p w14:paraId="26F6DE7F">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粘贴法定代表人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负责人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身份证的正面及反面身份证复印件</w:t>
            </w:r>
          </w:p>
        </w:tc>
      </w:tr>
    </w:tbl>
    <w:p w14:paraId="1BB3D88C">
      <w:pPr>
        <w:widowControl/>
        <w:spacing w:line="360" w:lineRule="auto"/>
        <w:jc w:val="center"/>
        <w:rPr>
          <w:rFonts w:hint="eastAsia" w:cs="仿宋_GB2312" w:asciiTheme="minorEastAsia" w:hAnsiTheme="minorEastAsia" w:eastAsiaTheme="minorEastAsia"/>
          <w:b/>
          <w:color w:val="auto"/>
          <w:kern w:val="0"/>
          <w:sz w:val="32"/>
          <w:szCs w:val="32"/>
          <w:highlight w:val="none"/>
          <w:lang w:val="zh-CN"/>
        </w:rPr>
      </w:pPr>
    </w:p>
    <w:p w14:paraId="13ED674E">
      <w:pPr>
        <w:widowControl/>
        <w:spacing w:line="360" w:lineRule="auto"/>
        <w:jc w:val="center"/>
        <w:rPr>
          <w:rFonts w:hint="eastAsia" w:cs="仿宋_GB2312" w:asciiTheme="minorEastAsia" w:hAnsiTheme="minorEastAsia" w:eastAsiaTheme="minorEastAsia"/>
          <w:b/>
          <w:color w:val="auto"/>
          <w:kern w:val="0"/>
          <w:sz w:val="32"/>
          <w:szCs w:val="32"/>
          <w:highlight w:val="none"/>
          <w:lang w:val="zh-CN"/>
        </w:rPr>
      </w:pPr>
    </w:p>
    <w:p w14:paraId="1678DBA6">
      <w:pPr>
        <w:widowControl/>
        <w:spacing w:line="360" w:lineRule="auto"/>
        <w:jc w:val="center"/>
        <w:rPr>
          <w:rFonts w:hint="eastAsia" w:cs="仿宋_GB2312" w:asciiTheme="minorEastAsia" w:hAnsiTheme="minorEastAsia" w:eastAsiaTheme="minorEastAsia"/>
          <w:b/>
          <w:color w:val="auto"/>
          <w:kern w:val="0"/>
          <w:sz w:val="32"/>
          <w:szCs w:val="32"/>
          <w:highlight w:val="none"/>
          <w:lang w:val="zh-CN"/>
        </w:rPr>
      </w:pPr>
    </w:p>
    <w:p w14:paraId="3E76EE1E">
      <w:pPr>
        <w:adjustRightInd w:val="0"/>
        <w:snapToGrid w:val="0"/>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lang w:val="en-US" w:eastAsia="zh-CN"/>
        </w:rPr>
        <w:t>六、</w:t>
      </w:r>
      <w:r>
        <w:rPr>
          <w:rFonts w:hint="eastAsia" w:ascii="宋体" w:hAnsi="宋体" w:eastAsia="宋体" w:cs="宋体"/>
          <w:b/>
          <w:color w:val="auto"/>
          <w:sz w:val="32"/>
          <w:szCs w:val="32"/>
          <w:highlight w:val="none"/>
        </w:rPr>
        <w:t>法定代表人</w:t>
      </w:r>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lang w:val="en-US" w:eastAsia="zh-CN"/>
        </w:rPr>
        <w:t>负责人</w:t>
      </w:r>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rPr>
        <w:t>授权委托书</w:t>
      </w:r>
    </w:p>
    <w:p w14:paraId="01AABBD6">
      <w:pPr>
        <w:adjustRightInd w:val="0"/>
        <w:snapToGrid w:val="0"/>
        <w:spacing w:line="360" w:lineRule="auto"/>
        <w:rPr>
          <w:rFonts w:hint="eastAsia" w:ascii="宋体" w:hAnsi="宋体" w:eastAsia="宋体" w:cs="宋体"/>
          <w:color w:val="auto"/>
          <w:szCs w:val="21"/>
          <w:highlight w:val="none"/>
        </w:rPr>
      </w:pPr>
    </w:p>
    <w:p w14:paraId="0257358F">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u w:val="single"/>
          <w:lang w:eastAsia="zh-CN"/>
        </w:rPr>
        <w:t>广西邕政采购代理有限公司</w:t>
      </w:r>
      <w:r>
        <w:rPr>
          <w:rFonts w:hint="eastAsia" w:ascii="宋体" w:hAnsi="宋体" w:cs="宋体"/>
          <w:color w:val="auto"/>
          <w:szCs w:val="21"/>
          <w:highlight w:val="none"/>
          <w:lang w:eastAsia="zh-CN"/>
        </w:rPr>
        <w:t>：</w:t>
      </w:r>
    </w:p>
    <w:p w14:paraId="0B3F272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兹授权</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同志为我公司参加贵单位组织的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highlight w:val="none"/>
          <w:u w:val="single"/>
        </w:rPr>
        <w:t>项目名称/项目编号</w:t>
      </w:r>
      <w:r>
        <w:rPr>
          <w:rFonts w:hint="eastAsia" w:ascii="宋体" w:hAnsi="宋体" w:eastAsia="宋体" w:cs="宋体"/>
          <w:color w:val="auto"/>
          <w:szCs w:val="21"/>
          <w:highlight w:val="none"/>
        </w:rPr>
        <w:t>竞争性磋商采购活动的委托代理人，全权代表我公司处理在该项目活动中的一切事宜。代理期限从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日起至</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日止。 </w:t>
      </w:r>
    </w:p>
    <w:p w14:paraId="72B320FD">
      <w:pPr>
        <w:spacing w:line="360" w:lineRule="auto"/>
        <w:rPr>
          <w:rFonts w:hint="eastAsia" w:ascii="宋体" w:hAnsi="宋体" w:eastAsia="宋体" w:cs="宋体"/>
          <w:color w:val="auto"/>
          <w:szCs w:val="21"/>
          <w:highlight w:val="none"/>
        </w:rPr>
      </w:pPr>
    </w:p>
    <w:p w14:paraId="468BD9D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磋商供应商名称（</w:t>
      </w:r>
      <w:r>
        <w:rPr>
          <w:rFonts w:hint="eastAsia" w:ascii="宋体" w:hAnsi="宋体" w:eastAsia="宋体" w:cs="宋体"/>
          <w:color w:val="auto"/>
          <w:szCs w:val="21"/>
          <w:highlight w:val="none"/>
          <w:lang w:eastAsia="zh-CN"/>
        </w:rPr>
        <w:t>电子</w:t>
      </w:r>
      <w:r>
        <w:rPr>
          <w:rFonts w:hint="eastAsia" w:ascii="宋体" w:hAnsi="宋体" w:cs="宋体"/>
          <w:b w:val="0"/>
          <w:bCs/>
          <w:color w:val="auto"/>
          <w:szCs w:val="21"/>
          <w:highlight w:val="none"/>
          <w:lang w:val="en-US" w:eastAsia="zh-CN"/>
        </w:rPr>
        <w:t>公章</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3AB0014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负责人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签</w:t>
      </w:r>
      <w:r>
        <w:rPr>
          <w:rFonts w:hint="eastAsia" w:ascii="宋体" w:hAnsi="宋体" w:cs="宋体"/>
          <w:color w:val="auto"/>
          <w:szCs w:val="21"/>
          <w:highlight w:val="none"/>
          <w:lang w:val="en-US" w:eastAsia="zh-CN"/>
        </w:rPr>
        <w:t>名</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732B134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签发日期</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6F56C891">
      <w:pPr>
        <w:spacing w:line="360" w:lineRule="auto"/>
        <w:rPr>
          <w:rFonts w:hint="eastAsia" w:ascii="宋体" w:hAnsi="宋体" w:eastAsia="宋体" w:cs="宋体"/>
          <w:color w:val="auto"/>
          <w:szCs w:val="21"/>
          <w:highlight w:val="none"/>
        </w:rPr>
      </w:pPr>
    </w:p>
    <w:p w14:paraId="27448C0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委托代理人工作单位</w:t>
      </w:r>
      <w:r>
        <w:rPr>
          <w:rFonts w:hint="eastAsia" w:ascii="宋体" w:hAnsi="宋体" w:eastAsia="宋体" w:cs="宋体"/>
          <w:color w:val="auto"/>
          <w:szCs w:val="21"/>
          <w:highlight w:val="none"/>
          <w:u w:val="single"/>
        </w:rPr>
        <w:t xml:space="preserve">               </w:t>
      </w:r>
    </w:p>
    <w:p w14:paraId="04B6633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职务</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性别</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30C33126">
      <w:pPr>
        <w:adjustRightInd w:val="0"/>
        <w:snapToGrid w:val="0"/>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身份证号码</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p>
    <w:tbl>
      <w:tblPr>
        <w:tblStyle w:val="62"/>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14:paraId="5C7BE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657" w:type="dxa"/>
            <w:vAlign w:val="top"/>
          </w:tcPr>
          <w:p w14:paraId="432C302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粘贴委托代理人的正面及反面身份证复印件</w:t>
            </w:r>
          </w:p>
          <w:p w14:paraId="72E26A8A">
            <w:pPr>
              <w:spacing w:line="360" w:lineRule="auto"/>
              <w:rPr>
                <w:rFonts w:hint="eastAsia" w:ascii="宋体" w:hAnsi="宋体" w:eastAsia="宋体" w:cs="宋体"/>
                <w:color w:val="auto"/>
                <w:szCs w:val="21"/>
                <w:highlight w:val="none"/>
              </w:rPr>
            </w:pPr>
          </w:p>
          <w:p w14:paraId="54EBD413">
            <w:pPr>
              <w:spacing w:line="360" w:lineRule="auto"/>
              <w:rPr>
                <w:rFonts w:hint="eastAsia" w:ascii="宋体" w:hAnsi="宋体" w:eastAsia="宋体" w:cs="宋体"/>
                <w:color w:val="auto"/>
                <w:szCs w:val="21"/>
                <w:highlight w:val="none"/>
              </w:rPr>
            </w:pPr>
          </w:p>
          <w:p w14:paraId="2DD80749">
            <w:pPr>
              <w:spacing w:line="360" w:lineRule="auto"/>
              <w:rPr>
                <w:rFonts w:hint="eastAsia" w:ascii="宋体" w:hAnsi="宋体" w:eastAsia="宋体" w:cs="宋体"/>
                <w:color w:val="auto"/>
                <w:szCs w:val="21"/>
                <w:highlight w:val="none"/>
              </w:rPr>
            </w:pPr>
          </w:p>
          <w:p w14:paraId="36049640">
            <w:pPr>
              <w:spacing w:line="360" w:lineRule="auto"/>
              <w:rPr>
                <w:rFonts w:hint="eastAsia" w:ascii="宋体" w:hAnsi="宋体" w:eastAsia="宋体" w:cs="宋体"/>
                <w:color w:val="auto"/>
                <w:szCs w:val="21"/>
                <w:highlight w:val="none"/>
              </w:rPr>
            </w:pPr>
          </w:p>
          <w:p w14:paraId="599070ED">
            <w:pPr>
              <w:spacing w:line="360" w:lineRule="auto"/>
              <w:rPr>
                <w:rFonts w:hint="eastAsia" w:ascii="宋体" w:hAnsi="宋体" w:eastAsia="宋体" w:cs="宋体"/>
                <w:color w:val="auto"/>
                <w:szCs w:val="21"/>
                <w:highlight w:val="none"/>
              </w:rPr>
            </w:pPr>
          </w:p>
          <w:p w14:paraId="2F3EC3AC">
            <w:pPr>
              <w:spacing w:line="360" w:lineRule="auto"/>
              <w:rPr>
                <w:rFonts w:hint="eastAsia" w:ascii="宋体" w:hAnsi="宋体" w:eastAsia="宋体" w:cs="宋体"/>
                <w:color w:val="auto"/>
                <w:szCs w:val="21"/>
                <w:highlight w:val="none"/>
              </w:rPr>
            </w:pPr>
          </w:p>
        </w:tc>
      </w:tr>
    </w:tbl>
    <w:p w14:paraId="0E9C200D">
      <w:pPr>
        <w:autoSpaceDE w:val="0"/>
        <w:autoSpaceDN w:val="0"/>
        <w:spacing w:line="360" w:lineRule="auto"/>
        <w:ind w:left="480" w:hanging="480"/>
        <w:rPr>
          <w:rFonts w:hint="eastAsia" w:ascii="宋体" w:hAnsi="宋体" w:eastAsia="宋体" w:cs="宋体"/>
          <w:color w:val="auto"/>
          <w:szCs w:val="21"/>
          <w:highlight w:val="none"/>
        </w:rPr>
      </w:pPr>
    </w:p>
    <w:p w14:paraId="3FD2E921">
      <w:pPr>
        <w:snapToGrid w:val="0"/>
        <w:spacing w:beforeLines="50" w:after="50" w:line="360" w:lineRule="auto"/>
        <w:outlineLvl w:val="9"/>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注</w:t>
      </w:r>
      <w:r>
        <w:rPr>
          <w:rFonts w:hint="eastAsia" w:ascii="宋体" w:hAnsi="宋体" w:cs="宋体"/>
          <w:color w:val="auto"/>
          <w:szCs w:val="21"/>
          <w:highlight w:val="none"/>
          <w:lang w:eastAsia="zh-CN"/>
        </w:rPr>
        <w:t>：</w:t>
      </w:r>
    </w:p>
    <w:p w14:paraId="0ECBCE9B">
      <w:pPr>
        <w:snapToGrid w:val="0"/>
        <w:spacing w:beforeLines="50" w:after="50" w:line="360" w:lineRule="auto"/>
        <w:outlineLvl w:val="9"/>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1.法定代表人必须在授权委托书上签名，并加盖</w:t>
      </w:r>
      <w:r>
        <w:rPr>
          <w:rFonts w:hint="eastAsia" w:ascii="宋体" w:hAnsi="宋体" w:eastAsia="宋体" w:cs="宋体"/>
          <w:color w:val="auto"/>
          <w:szCs w:val="21"/>
          <w:highlight w:val="none"/>
          <w:lang w:eastAsia="zh-CN"/>
        </w:rPr>
        <w:t>电子</w:t>
      </w:r>
      <w:r>
        <w:rPr>
          <w:rFonts w:hint="eastAsia" w:ascii="宋体" w:hAnsi="宋体" w:cs="宋体"/>
          <w:b w:val="0"/>
          <w:bCs/>
          <w:color w:val="auto"/>
          <w:szCs w:val="21"/>
          <w:highlight w:val="none"/>
          <w:lang w:val="en-US" w:eastAsia="zh-CN"/>
        </w:rPr>
        <w:t>公章</w:t>
      </w:r>
      <w:r>
        <w:rPr>
          <w:rFonts w:hint="eastAsia" w:ascii="宋体" w:hAnsi="宋体" w:cs="宋体"/>
          <w:color w:val="auto"/>
          <w:szCs w:val="21"/>
          <w:highlight w:val="none"/>
        </w:rPr>
        <w:t>，否则作无效磋商处理</w:t>
      </w:r>
      <w:r>
        <w:rPr>
          <w:rFonts w:hint="eastAsia" w:ascii="宋体" w:hAnsi="宋体" w:cs="宋体"/>
          <w:b w:val="0"/>
          <w:bCs w:val="0"/>
          <w:color w:val="auto"/>
          <w:szCs w:val="21"/>
          <w:highlight w:val="none"/>
          <w:lang w:eastAsia="zh-CN"/>
        </w:rPr>
        <w:t>；</w:t>
      </w:r>
    </w:p>
    <w:p w14:paraId="446B9C4E">
      <w:pPr>
        <w:widowControl/>
        <w:spacing w:line="360" w:lineRule="auto"/>
        <w:jc w:val="center"/>
        <w:rPr>
          <w:rFonts w:hint="eastAsia" w:eastAsia="宋体" w:cs="仿宋_GB2312" w:asciiTheme="minorEastAsia" w:hAnsiTheme="minorEastAsia"/>
          <w:b/>
          <w:color w:val="auto"/>
          <w:kern w:val="0"/>
          <w:sz w:val="32"/>
          <w:szCs w:val="32"/>
          <w:highlight w:val="none"/>
          <w:lang w:val="zh-CN" w:eastAsia="zh-CN"/>
        </w:rPr>
      </w:pPr>
      <w:r>
        <w:rPr>
          <w:rFonts w:hint="eastAsia" w:ascii="宋体" w:hAnsi="宋体" w:eastAsia="宋体" w:cs="宋体"/>
          <w:color w:val="auto"/>
          <w:szCs w:val="21"/>
          <w:highlight w:val="none"/>
        </w:rPr>
        <w:t>2.供应商为其他组织或者自然人时，本文件规定的法定代表人指负责人或者自然人。本文件所称负责人是指参加</w:t>
      </w:r>
      <w:r>
        <w:rPr>
          <w:rFonts w:hint="eastAsia" w:ascii="宋体" w:hAnsi="宋体" w:eastAsia="宋体" w:cs="宋体"/>
          <w:color w:val="auto"/>
          <w:szCs w:val="21"/>
          <w:highlight w:val="none"/>
          <w:lang w:val="en-US" w:eastAsia="zh-CN"/>
        </w:rPr>
        <w:t>磋商</w:t>
      </w:r>
      <w:r>
        <w:rPr>
          <w:rFonts w:hint="eastAsia" w:ascii="宋体" w:hAnsi="宋体" w:eastAsia="宋体" w:cs="宋体"/>
          <w:color w:val="auto"/>
          <w:szCs w:val="21"/>
          <w:highlight w:val="none"/>
        </w:rPr>
        <w:t>的其他组织营业执照上的负责人，本文件所称自然人指参与</w:t>
      </w:r>
      <w:r>
        <w:rPr>
          <w:rFonts w:hint="eastAsia" w:ascii="宋体" w:hAnsi="宋体" w:eastAsia="宋体" w:cs="宋体"/>
          <w:color w:val="auto"/>
          <w:szCs w:val="21"/>
          <w:highlight w:val="none"/>
          <w:lang w:val="en-US" w:eastAsia="zh-CN"/>
        </w:rPr>
        <w:t>磋商</w:t>
      </w:r>
      <w:r>
        <w:rPr>
          <w:rFonts w:hint="eastAsia" w:ascii="宋体" w:hAnsi="宋体" w:eastAsia="宋体" w:cs="宋体"/>
          <w:color w:val="auto"/>
          <w:szCs w:val="21"/>
          <w:highlight w:val="none"/>
        </w:rPr>
        <w:t>的自然人本人</w:t>
      </w:r>
      <w:r>
        <w:rPr>
          <w:rFonts w:hint="eastAsia" w:ascii="宋体" w:hAnsi="宋体" w:cs="宋体"/>
          <w:color w:val="auto"/>
          <w:szCs w:val="21"/>
          <w:highlight w:val="none"/>
          <w:lang w:eastAsia="zh-CN"/>
        </w:rPr>
        <w:t>。</w:t>
      </w:r>
    </w:p>
    <w:p w14:paraId="616F4391">
      <w:pPr>
        <w:widowControl/>
        <w:spacing w:line="360" w:lineRule="auto"/>
        <w:jc w:val="center"/>
        <w:rPr>
          <w:rFonts w:hint="eastAsia" w:cs="仿宋_GB2312" w:asciiTheme="minorEastAsia" w:hAnsiTheme="minorEastAsia" w:eastAsiaTheme="minorEastAsia"/>
          <w:b/>
          <w:color w:val="auto"/>
          <w:kern w:val="0"/>
          <w:sz w:val="32"/>
          <w:szCs w:val="32"/>
          <w:highlight w:val="none"/>
          <w:lang w:val="zh-CN"/>
        </w:rPr>
      </w:pPr>
    </w:p>
    <w:p w14:paraId="435F1792">
      <w:pPr>
        <w:snapToGrid w:val="0"/>
        <w:spacing w:line="360" w:lineRule="auto"/>
        <w:rPr>
          <w:rFonts w:cs="仿宋_GB2312" w:asciiTheme="minorEastAsia" w:hAnsiTheme="minorEastAsia" w:eastAsiaTheme="minorEastAsia"/>
          <w:color w:val="auto"/>
          <w:kern w:val="0"/>
          <w:sz w:val="24"/>
          <w:highlight w:val="none"/>
          <w:lang w:val="zh-CN"/>
        </w:rPr>
      </w:pPr>
    </w:p>
    <w:p w14:paraId="0A380FC8">
      <w:pPr>
        <w:widowControl/>
        <w:adjustRightInd/>
        <w:jc w:val="left"/>
        <w:rPr>
          <w:rFonts w:cs="仿宋_GB2312" w:asciiTheme="minorEastAsia" w:hAnsiTheme="minorEastAsia" w:eastAsiaTheme="minorEastAsia"/>
          <w:b/>
          <w:color w:val="auto"/>
          <w:kern w:val="0"/>
          <w:sz w:val="32"/>
          <w:szCs w:val="32"/>
          <w:highlight w:val="none"/>
          <w:lang w:val="zh-CN"/>
        </w:rPr>
      </w:pPr>
      <w:r>
        <w:rPr>
          <w:rFonts w:cs="仿宋_GB2312" w:asciiTheme="minorEastAsia" w:hAnsiTheme="minorEastAsia" w:eastAsiaTheme="minorEastAsia"/>
          <w:b/>
          <w:color w:val="auto"/>
          <w:kern w:val="0"/>
          <w:sz w:val="32"/>
          <w:szCs w:val="32"/>
          <w:highlight w:val="none"/>
          <w:lang w:val="zh-CN"/>
        </w:rPr>
        <w:br w:type="page"/>
      </w:r>
    </w:p>
    <w:p w14:paraId="560D4667">
      <w:pPr>
        <w:snapToGrid w:val="0"/>
        <w:spacing w:line="360" w:lineRule="auto"/>
        <w:ind w:firstLine="576"/>
        <w:jc w:val="center"/>
        <w:rPr>
          <w:rFonts w:hint="eastAsia" w:cs="仿宋_GB2312" w:asciiTheme="minorEastAsia" w:hAnsiTheme="minorEastAsia" w:eastAsiaTheme="minorEastAsia"/>
          <w:b/>
          <w:bCs/>
          <w:color w:val="auto"/>
          <w:sz w:val="32"/>
          <w:szCs w:val="32"/>
          <w:highlight w:val="none"/>
          <w:lang w:val="en-US" w:eastAsia="zh-CN"/>
        </w:rPr>
      </w:pPr>
      <w:r>
        <w:rPr>
          <w:rFonts w:hint="eastAsia" w:cs="仿宋_GB2312" w:asciiTheme="minorEastAsia" w:hAnsiTheme="minorEastAsia" w:eastAsiaTheme="minorEastAsia"/>
          <w:b/>
          <w:bCs/>
          <w:color w:val="auto"/>
          <w:sz w:val="32"/>
          <w:szCs w:val="32"/>
          <w:highlight w:val="none"/>
          <w:lang w:val="en-US" w:eastAsia="zh-CN"/>
        </w:rPr>
        <w:t>七、</w:t>
      </w:r>
      <w:r>
        <w:rPr>
          <w:rFonts w:hint="eastAsia" w:ascii="宋体" w:hAnsi="宋体" w:eastAsia="宋体" w:cs="宋体"/>
          <w:b/>
          <w:bCs/>
          <w:color w:val="auto"/>
          <w:sz w:val="32"/>
          <w:szCs w:val="32"/>
          <w:highlight w:val="none"/>
        </w:rPr>
        <w:t>服务承诺</w:t>
      </w:r>
    </w:p>
    <w:p w14:paraId="364B5B5A">
      <w:pPr>
        <w:spacing w:line="360" w:lineRule="auto"/>
        <w:jc w:val="center"/>
        <w:rPr>
          <w:rFonts w:hint="eastAsia" w:cs="仿宋_GB2312" w:asciiTheme="minorEastAsia" w:hAnsiTheme="minorEastAsia" w:eastAsiaTheme="minorEastAsia"/>
          <w:b/>
          <w:color w:val="auto"/>
          <w:kern w:val="0"/>
          <w:sz w:val="32"/>
          <w:szCs w:val="32"/>
          <w:highlight w:val="none"/>
          <w:lang w:val="en-US" w:eastAsia="zh-CN"/>
        </w:rPr>
      </w:pPr>
      <w:r>
        <w:rPr>
          <w:rFonts w:hint="eastAsia" w:cs="仿宋_GB2312" w:asciiTheme="minorEastAsia" w:hAnsiTheme="minorEastAsia" w:eastAsiaTheme="minorEastAsia"/>
          <w:b/>
          <w:color w:val="auto"/>
          <w:kern w:val="0"/>
          <w:sz w:val="32"/>
          <w:szCs w:val="32"/>
          <w:highlight w:val="none"/>
          <w:lang w:val="en-US" w:eastAsia="zh-CN"/>
        </w:rPr>
        <w:t>格式自拟</w:t>
      </w:r>
    </w:p>
    <w:p w14:paraId="0A5BE7B6">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【供应商</w:t>
      </w:r>
      <w:r>
        <w:rPr>
          <w:rFonts w:hint="eastAsia" w:ascii="宋体" w:hAnsi="宋体" w:eastAsia="宋体" w:cs="宋体"/>
          <w:color w:val="auto"/>
          <w:highlight w:val="none"/>
          <w:lang w:val="en-US" w:eastAsia="zh-CN"/>
        </w:rPr>
        <w:t>可根据</w:t>
      </w:r>
      <w:r>
        <w:rPr>
          <w:rFonts w:hint="eastAsia" w:ascii="宋体" w:hAnsi="宋体" w:eastAsia="宋体" w:cs="宋体"/>
          <w:color w:val="auto"/>
          <w:highlight w:val="none"/>
        </w:rPr>
        <w:t>《</w:t>
      </w:r>
      <w:r>
        <w:rPr>
          <w:rFonts w:hint="eastAsia" w:ascii="宋体" w:hAnsi="宋体" w:eastAsia="宋体" w:cs="宋体"/>
          <w:color w:val="auto"/>
          <w:szCs w:val="21"/>
          <w:highlight w:val="none"/>
        </w:rPr>
        <w:t>采购</w:t>
      </w:r>
      <w:r>
        <w:rPr>
          <w:rFonts w:hint="eastAsia" w:ascii="宋体" w:hAnsi="宋体" w:eastAsia="宋体" w:cs="宋体"/>
          <w:color w:val="auto"/>
          <w:szCs w:val="21"/>
          <w:highlight w:val="none"/>
          <w:lang w:val="en-US" w:eastAsia="zh-CN"/>
        </w:rPr>
        <w:t>项目</w:t>
      </w:r>
      <w:r>
        <w:rPr>
          <w:rFonts w:hint="eastAsia" w:ascii="宋体" w:hAnsi="宋体" w:eastAsia="宋体" w:cs="宋体"/>
          <w:color w:val="auto"/>
          <w:szCs w:val="21"/>
          <w:highlight w:val="none"/>
        </w:rPr>
        <w:t>需求</w:t>
      </w:r>
      <w:r>
        <w:rPr>
          <w:rFonts w:hint="eastAsia" w:ascii="宋体" w:hAnsi="宋体" w:eastAsia="宋体" w:cs="宋体"/>
          <w:color w:val="auto"/>
          <w:highlight w:val="none"/>
        </w:rPr>
        <w:t>》中的要求自行填写】</w:t>
      </w:r>
    </w:p>
    <w:p w14:paraId="09B1EDF0">
      <w:pPr>
        <w:widowControl/>
        <w:adjustRightInd/>
        <w:ind w:firstLine="4176" w:firstLineChars="1300"/>
        <w:jc w:val="left"/>
        <w:rPr>
          <w:rFonts w:hint="default" w:cs="仿宋_GB2312" w:asciiTheme="minorEastAsia" w:hAnsiTheme="minorEastAsia" w:eastAsiaTheme="minorEastAsia"/>
          <w:b/>
          <w:color w:val="auto"/>
          <w:kern w:val="0"/>
          <w:sz w:val="32"/>
          <w:szCs w:val="32"/>
          <w:highlight w:val="none"/>
          <w:lang w:val="en-US" w:eastAsia="zh-CN"/>
        </w:rPr>
      </w:pPr>
    </w:p>
    <w:p w14:paraId="10B88C99">
      <w:pPr>
        <w:bidi w:val="0"/>
        <w:rPr>
          <w:rFonts w:hint="default"/>
          <w:color w:val="auto"/>
          <w:lang w:val="en-US" w:eastAsia="zh-CN"/>
        </w:rPr>
      </w:pPr>
    </w:p>
    <w:p w14:paraId="23144112">
      <w:pPr>
        <w:rPr>
          <w:rFonts w:hint="default"/>
          <w:color w:val="auto"/>
          <w:lang w:val="en-US" w:eastAsia="zh-CN"/>
        </w:rPr>
      </w:pPr>
    </w:p>
    <w:p w14:paraId="604AD78B">
      <w:pPr>
        <w:bidi w:val="0"/>
        <w:rPr>
          <w:rFonts w:hint="default"/>
          <w:color w:val="auto"/>
          <w:lang w:val="en-US" w:eastAsia="zh-CN"/>
        </w:rPr>
      </w:pPr>
    </w:p>
    <w:p w14:paraId="6C6865A8">
      <w:pPr>
        <w:widowControl/>
        <w:adjustRightInd/>
        <w:jc w:val="left"/>
        <w:rPr>
          <w:rFonts w:hint="eastAsia" w:ascii="宋体" w:hAnsi="宋体"/>
          <w:b/>
          <w:color w:val="auto"/>
          <w:sz w:val="32"/>
          <w:szCs w:val="32"/>
          <w:highlight w:val="none"/>
          <w:lang w:val="en-US" w:eastAsia="zh-CN"/>
        </w:rPr>
      </w:pPr>
    </w:p>
    <w:p w14:paraId="0E428152">
      <w:pPr>
        <w:widowControl/>
        <w:adjustRightInd/>
        <w:jc w:val="left"/>
        <w:rPr>
          <w:rFonts w:hint="eastAsia" w:ascii="宋体" w:hAnsi="宋体"/>
          <w:b/>
          <w:color w:val="auto"/>
          <w:sz w:val="32"/>
          <w:szCs w:val="32"/>
          <w:highlight w:val="none"/>
          <w:lang w:val="en-US" w:eastAsia="zh-CN"/>
        </w:rPr>
      </w:pPr>
    </w:p>
    <w:p w14:paraId="2708F6DE">
      <w:pPr>
        <w:snapToGrid w:val="0"/>
        <w:spacing w:before="156" w:beforeLines="50" w:after="50"/>
        <w:jc w:val="center"/>
        <w:rPr>
          <w:rFonts w:hint="eastAsia" w:ascii="宋体" w:hAnsi="宋体"/>
          <w:b/>
          <w:color w:val="auto"/>
          <w:sz w:val="21"/>
          <w:szCs w:val="21"/>
          <w:highlight w:val="none"/>
        </w:rPr>
      </w:pPr>
      <w:r>
        <w:rPr>
          <w:rFonts w:hint="eastAsia" w:ascii="宋体" w:hAnsi="宋体"/>
          <w:b/>
          <w:color w:val="auto"/>
          <w:sz w:val="32"/>
          <w:szCs w:val="32"/>
          <w:highlight w:val="none"/>
          <w:lang w:val="en-US" w:eastAsia="zh-CN"/>
        </w:rPr>
        <w:t>八、</w:t>
      </w:r>
      <w:r>
        <w:rPr>
          <w:rFonts w:hint="eastAsia" w:ascii="宋体" w:hAnsi="宋体"/>
          <w:b/>
          <w:color w:val="auto"/>
          <w:sz w:val="32"/>
          <w:szCs w:val="32"/>
          <w:highlight w:val="none"/>
        </w:rPr>
        <w:t>项目实施人员一览表</w:t>
      </w:r>
    </w:p>
    <w:p w14:paraId="744ED07E">
      <w:pPr>
        <w:pStyle w:val="32"/>
        <w:rPr>
          <w:rFonts w:hint="eastAsia"/>
          <w:color w:val="auto"/>
          <w:sz w:val="24"/>
          <w:szCs w:val="24"/>
          <w:highlight w:val="none"/>
        </w:rPr>
      </w:pPr>
      <w:r>
        <w:rPr>
          <w:rFonts w:hint="eastAsia"/>
          <w:color w:val="auto"/>
          <w:sz w:val="24"/>
          <w:szCs w:val="24"/>
          <w:highlight w:val="none"/>
          <w:lang w:val="en-US" w:eastAsia="zh-CN"/>
        </w:rPr>
        <w:t>项目名称</w:t>
      </w:r>
      <w:r>
        <w:rPr>
          <w:rFonts w:hint="eastAsia"/>
          <w:color w:val="auto"/>
          <w:sz w:val="24"/>
          <w:szCs w:val="24"/>
          <w:highlight w:val="none"/>
          <w:lang w:eastAsia="zh-CN"/>
        </w:rPr>
        <w:t>：</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p>
    <w:p w14:paraId="4A4C43DC">
      <w:pPr>
        <w:keepNext/>
        <w:keepLines/>
        <w:pageBreakBefore w:val="0"/>
        <w:widowControl w:val="0"/>
        <w:numPr>
          <w:ilvl w:val="0"/>
          <w:numId w:val="0"/>
        </w:numPr>
        <w:kinsoku/>
        <w:wordWrap/>
        <w:overflowPunct/>
        <w:topLinePunct w:val="0"/>
        <w:autoSpaceDE/>
        <w:autoSpaceDN/>
        <w:bidi w:val="0"/>
        <w:adjustRightInd/>
        <w:snapToGrid/>
        <w:spacing w:before="0" w:after="0" w:line="240" w:lineRule="auto"/>
        <w:ind w:leftChars="0"/>
        <w:textAlignment w:val="auto"/>
        <w:outlineLvl w:val="9"/>
        <w:rPr>
          <w:rFonts w:hint="eastAsia"/>
          <w:color w:val="auto"/>
          <w:sz w:val="24"/>
          <w:szCs w:val="24"/>
          <w:highlight w:val="none"/>
          <w:u w:val="single"/>
        </w:rPr>
      </w:pPr>
      <w:r>
        <w:rPr>
          <w:rFonts w:hint="eastAsia" w:ascii="宋体" w:hAnsi="Courier New" w:eastAsia="宋体" w:cs="Courier New"/>
          <w:b w:val="0"/>
          <w:bCs w:val="0"/>
          <w:color w:val="auto"/>
          <w:kern w:val="2"/>
          <w:sz w:val="24"/>
          <w:szCs w:val="24"/>
          <w:highlight w:val="none"/>
          <w:lang w:val="en-US" w:eastAsia="zh-CN" w:bidi="ar-SA"/>
        </w:rPr>
        <w:t>项目编号</w:t>
      </w:r>
      <w:r>
        <w:rPr>
          <w:rFonts w:hint="eastAsia" w:ascii="宋体" w:hAnsi="Courier New" w:cs="Courier New"/>
          <w:b w:val="0"/>
          <w:bCs w:val="0"/>
          <w:color w:val="auto"/>
          <w:kern w:val="2"/>
          <w:sz w:val="24"/>
          <w:szCs w:val="24"/>
          <w:highlight w:val="none"/>
          <w:lang w:val="en-US" w:eastAsia="zh-CN" w:bidi="ar-SA"/>
        </w:rPr>
        <w:t>：</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p>
    <w:p w14:paraId="53D4ED7B">
      <w:pPr>
        <w:keepNext/>
        <w:keepLines/>
        <w:pageBreakBefore w:val="0"/>
        <w:widowControl w:val="0"/>
        <w:numPr>
          <w:ilvl w:val="0"/>
          <w:numId w:val="0"/>
        </w:numPr>
        <w:kinsoku/>
        <w:wordWrap/>
        <w:overflowPunct/>
        <w:topLinePunct w:val="0"/>
        <w:autoSpaceDE/>
        <w:autoSpaceDN/>
        <w:bidi w:val="0"/>
        <w:adjustRightInd/>
        <w:snapToGrid/>
        <w:spacing w:before="0" w:after="0" w:line="240" w:lineRule="auto"/>
        <w:ind w:leftChars="0"/>
        <w:textAlignment w:val="auto"/>
        <w:outlineLvl w:val="9"/>
        <w:rPr>
          <w:rFonts w:hint="default" w:eastAsia="宋体"/>
          <w:color w:val="auto"/>
          <w:sz w:val="24"/>
          <w:szCs w:val="24"/>
          <w:highlight w:val="none"/>
          <w:lang w:val="en-US" w:eastAsia="zh-CN"/>
        </w:rPr>
      </w:pPr>
      <w:r>
        <w:rPr>
          <w:rFonts w:hint="eastAsia" w:ascii="宋体" w:hAnsi="Courier New" w:cs="Courier New"/>
          <w:b w:val="0"/>
          <w:bCs w:val="0"/>
          <w:color w:val="auto"/>
          <w:kern w:val="2"/>
          <w:sz w:val="24"/>
          <w:szCs w:val="24"/>
          <w:highlight w:val="none"/>
          <w:lang w:val="en-US" w:eastAsia="zh-CN" w:bidi="ar-SA"/>
        </w:rPr>
        <w:t>标项号：</w:t>
      </w:r>
      <w:r>
        <w:rPr>
          <w:rFonts w:hint="eastAsia" w:ascii="宋体" w:hAnsi="Courier New" w:eastAsia="宋体" w:cs="Courier New"/>
          <w:b w:val="0"/>
          <w:bCs w:val="0"/>
          <w:color w:val="auto"/>
          <w:kern w:val="2"/>
          <w:sz w:val="24"/>
          <w:szCs w:val="24"/>
          <w:highlight w:val="none"/>
          <w:lang w:val="en-US" w:eastAsia="zh-CN" w:bidi="ar-SA"/>
        </w:rPr>
        <w:t xml:space="preserve">          </w:t>
      </w:r>
    </w:p>
    <w:tbl>
      <w:tblPr>
        <w:tblStyle w:val="6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87"/>
        <w:gridCol w:w="1889"/>
        <w:gridCol w:w="1578"/>
        <w:gridCol w:w="1886"/>
        <w:gridCol w:w="2047"/>
      </w:tblGrid>
      <w:tr w14:paraId="18620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4" w:hRule="atLeast"/>
        </w:trPr>
        <w:tc>
          <w:tcPr>
            <w:tcW w:w="908" w:type="dxa"/>
            <w:vAlign w:val="center"/>
          </w:tcPr>
          <w:p w14:paraId="625988A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olor w:val="auto"/>
                <w:sz w:val="24"/>
                <w:szCs w:val="24"/>
                <w:highlight w:val="none"/>
              </w:rPr>
            </w:pPr>
            <w:r>
              <w:rPr>
                <w:rFonts w:hint="eastAsia" w:ascii="宋体" w:hAnsi="宋体"/>
                <w:color w:val="auto"/>
                <w:sz w:val="24"/>
                <w:szCs w:val="24"/>
                <w:highlight w:val="none"/>
              </w:rPr>
              <w:t>姓名</w:t>
            </w:r>
          </w:p>
        </w:tc>
        <w:tc>
          <w:tcPr>
            <w:tcW w:w="787" w:type="dxa"/>
            <w:vAlign w:val="center"/>
          </w:tcPr>
          <w:p w14:paraId="6837A58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olor w:val="auto"/>
                <w:sz w:val="24"/>
                <w:szCs w:val="24"/>
                <w:highlight w:val="none"/>
              </w:rPr>
            </w:pPr>
            <w:r>
              <w:rPr>
                <w:rFonts w:hint="eastAsia" w:ascii="宋体" w:hAnsi="宋体"/>
                <w:color w:val="auto"/>
                <w:sz w:val="24"/>
                <w:szCs w:val="24"/>
                <w:highlight w:val="none"/>
              </w:rPr>
              <w:t>职务</w:t>
            </w:r>
          </w:p>
        </w:tc>
        <w:tc>
          <w:tcPr>
            <w:tcW w:w="1889" w:type="dxa"/>
            <w:vAlign w:val="center"/>
          </w:tcPr>
          <w:p w14:paraId="1883FAA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olor w:val="auto"/>
                <w:sz w:val="24"/>
                <w:szCs w:val="24"/>
                <w:highlight w:val="none"/>
              </w:rPr>
            </w:pPr>
            <w:r>
              <w:rPr>
                <w:rFonts w:hint="eastAsia" w:ascii="宋体" w:hAnsi="宋体"/>
                <w:color w:val="auto"/>
                <w:sz w:val="24"/>
                <w:szCs w:val="24"/>
                <w:highlight w:val="none"/>
              </w:rPr>
              <w:t>专业技术资格（职称）或者职业资格或者执业资格证或者</w:t>
            </w:r>
            <w:r>
              <w:rPr>
                <w:rFonts w:hint="eastAsia" w:ascii="宋体" w:hAnsi="宋体"/>
                <w:color w:val="auto"/>
                <w:sz w:val="24"/>
                <w:szCs w:val="24"/>
                <w:highlight w:val="none"/>
                <w:lang w:eastAsia="zh-CN"/>
              </w:rPr>
              <w:t>其他</w:t>
            </w:r>
            <w:r>
              <w:rPr>
                <w:rFonts w:hint="eastAsia" w:ascii="宋体" w:hAnsi="宋体"/>
                <w:color w:val="auto"/>
                <w:sz w:val="24"/>
                <w:szCs w:val="24"/>
                <w:highlight w:val="none"/>
              </w:rPr>
              <w:t>证书</w:t>
            </w:r>
          </w:p>
        </w:tc>
        <w:tc>
          <w:tcPr>
            <w:tcW w:w="1578" w:type="dxa"/>
            <w:vAlign w:val="center"/>
          </w:tcPr>
          <w:p w14:paraId="3E1D8DD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olor w:val="auto"/>
                <w:sz w:val="24"/>
                <w:szCs w:val="24"/>
                <w:highlight w:val="none"/>
              </w:rPr>
            </w:pPr>
            <w:r>
              <w:rPr>
                <w:rFonts w:hint="eastAsia" w:ascii="宋体" w:hAnsi="宋体"/>
                <w:color w:val="auto"/>
                <w:sz w:val="24"/>
                <w:szCs w:val="24"/>
                <w:highlight w:val="none"/>
              </w:rPr>
              <w:t>证书编号</w:t>
            </w:r>
          </w:p>
        </w:tc>
        <w:tc>
          <w:tcPr>
            <w:tcW w:w="1886" w:type="dxa"/>
            <w:vAlign w:val="center"/>
          </w:tcPr>
          <w:p w14:paraId="092C7F5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olor w:val="auto"/>
                <w:sz w:val="24"/>
                <w:szCs w:val="24"/>
                <w:highlight w:val="none"/>
              </w:rPr>
            </w:pPr>
            <w:r>
              <w:rPr>
                <w:rFonts w:hint="eastAsia" w:ascii="宋体" w:hAnsi="宋体"/>
                <w:color w:val="auto"/>
                <w:sz w:val="24"/>
                <w:szCs w:val="24"/>
                <w:highlight w:val="none"/>
              </w:rPr>
              <w:t>参加本单位</w:t>
            </w:r>
          </w:p>
          <w:p w14:paraId="3903774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olor w:val="auto"/>
                <w:sz w:val="24"/>
                <w:szCs w:val="24"/>
                <w:highlight w:val="none"/>
              </w:rPr>
            </w:pPr>
            <w:r>
              <w:rPr>
                <w:rFonts w:hint="eastAsia" w:ascii="宋体" w:hAnsi="宋体"/>
                <w:color w:val="auto"/>
                <w:sz w:val="24"/>
                <w:szCs w:val="24"/>
                <w:highlight w:val="none"/>
              </w:rPr>
              <w:t>工作时间</w:t>
            </w:r>
          </w:p>
        </w:tc>
        <w:tc>
          <w:tcPr>
            <w:tcW w:w="2047" w:type="dxa"/>
            <w:vAlign w:val="center"/>
          </w:tcPr>
          <w:p w14:paraId="1EE383C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olor w:val="auto"/>
                <w:sz w:val="24"/>
                <w:szCs w:val="24"/>
                <w:highlight w:val="none"/>
              </w:rPr>
            </w:pPr>
            <w:r>
              <w:rPr>
                <w:rFonts w:hint="eastAsia" w:ascii="宋体" w:hAnsi="宋体"/>
                <w:color w:val="auto"/>
                <w:sz w:val="24"/>
                <w:szCs w:val="24"/>
                <w:highlight w:val="none"/>
              </w:rPr>
              <w:t>劳动合同编号</w:t>
            </w:r>
          </w:p>
        </w:tc>
      </w:tr>
      <w:tr w14:paraId="16656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vAlign w:val="center"/>
          </w:tcPr>
          <w:p w14:paraId="255BADAA">
            <w:pPr>
              <w:snapToGrid w:val="0"/>
              <w:spacing w:before="50" w:after="156" w:afterLines="50"/>
              <w:jc w:val="center"/>
              <w:rPr>
                <w:rFonts w:hint="eastAsia" w:ascii="宋体" w:hAnsi="宋体"/>
                <w:color w:val="auto"/>
                <w:sz w:val="24"/>
                <w:szCs w:val="24"/>
                <w:highlight w:val="none"/>
              </w:rPr>
            </w:pPr>
          </w:p>
        </w:tc>
        <w:tc>
          <w:tcPr>
            <w:tcW w:w="787" w:type="dxa"/>
            <w:vAlign w:val="center"/>
          </w:tcPr>
          <w:p w14:paraId="6F972CB4">
            <w:pPr>
              <w:snapToGrid w:val="0"/>
              <w:spacing w:before="50" w:after="156" w:afterLines="50"/>
              <w:jc w:val="center"/>
              <w:rPr>
                <w:rFonts w:hint="eastAsia" w:ascii="宋体" w:hAnsi="宋体"/>
                <w:color w:val="auto"/>
                <w:sz w:val="24"/>
                <w:szCs w:val="24"/>
                <w:highlight w:val="none"/>
              </w:rPr>
            </w:pPr>
          </w:p>
        </w:tc>
        <w:tc>
          <w:tcPr>
            <w:tcW w:w="1889" w:type="dxa"/>
            <w:vAlign w:val="center"/>
          </w:tcPr>
          <w:p w14:paraId="710A1584">
            <w:pPr>
              <w:snapToGrid w:val="0"/>
              <w:spacing w:before="50" w:after="156" w:afterLines="50"/>
              <w:jc w:val="center"/>
              <w:rPr>
                <w:rFonts w:hint="eastAsia" w:ascii="宋体" w:hAnsi="宋体"/>
                <w:color w:val="auto"/>
                <w:sz w:val="24"/>
                <w:szCs w:val="24"/>
                <w:highlight w:val="none"/>
              </w:rPr>
            </w:pPr>
          </w:p>
        </w:tc>
        <w:tc>
          <w:tcPr>
            <w:tcW w:w="1578" w:type="dxa"/>
            <w:vAlign w:val="center"/>
          </w:tcPr>
          <w:p w14:paraId="02AA8F59">
            <w:pPr>
              <w:snapToGrid w:val="0"/>
              <w:spacing w:before="50" w:after="156" w:afterLines="50"/>
              <w:jc w:val="center"/>
              <w:rPr>
                <w:rFonts w:hint="eastAsia" w:ascii="宋体" w:hAnsi="宋体"/>
                <w:color w:val="auto"/>
                <w:sz w:val="24"/>
                <w:szCs w:val="24"/>
                <w:highlight w:val="none"/>
              </w:rPr>
            </w:pPr>
          </w:p>
        </w:tc>
        <w:tc>
          <w:tcPr>
            <w:tcW w:w="1886" w:type="dxa"/>
            <w:vAlign w:val="center"/>
          </w:tcPr>
          <w:p w14:paraId="4D942BAE">
            <w:pPr>
              <w:snapToGrid w:val="0"/>
              <w:spacing w:before="50" w:after="156" w:afterLines="50"/>
              <w:jc w:val="center"/>
              <w:rPr>
                <w:rFonts w:hint="eastAsia" w:ascii="宋体" w:hAnsi="宋体"/>
                <w:color w:val="auto"/>
                <w:sz w:val="24"/>
                <w:szCs w:val="24"/>
                <w:highlight w:val="none"/>
              </w:rPr>
            </w:pPr>
          </w:p>
        </w:tc>
        <w:tc>
          <w:tcPr>
            <w:tcW w:w="2047" w:type="dxa"/>
            <w:vAlign w:val="center"/>
          </w:tcPr>
          <w:p w14:paraId="10B27D55">
            <w:pPr>
              <w:snapToGrid w:val="0"/>
              <w:spacing w:before="50" w:after="156" w:afterLines="50"/>
              <w:jc w:val="center"/>
              <w:rPr>
                <w:rFonts w:hint="eastAsia" w:ascii="宋体" w:hAnsi="宋体"/>
                <w:color w:val="auto"/>
                <w:sz w:val="24"/>
                <w:szCs w:val="24"/>
                <w:highlight w:val="none"/>
              </w:rPr>
            </w:pPr>
          </w:p>
        </w:tc>
      </w:tr>
      <w:tr w14:paraId="3DA98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vAlign w:val="center"/>
          </w:tcPr>
          <w:p w14:paraId="29A5872F">
            <w:pPr>
              <w:snapToGrid w:val="0"/>
              <w:spacing w:before="50" w:after="156" w:afterLines="50"/>
              <w:jc w:val="center"/>
              <w:rPr>
                <w:rFonts w:hint="eastAsia" w:ascii="宋体" w:hAnsi="宋体"/>
                <w:color w:val="auto"/>
                <w:sz w:val="24"/>
                <w:szCs w:val="24"/>
                <w:highlight w:val="none"/>
              </w:rPr>
            </w:pPr>
          </w:p>
        </w:tc>
        <w:tc>
          <w:tcPr>
            <w:tcW w:w="787" w:type="dxa"/>
            <w:vAlign w:val="center"/>
          </w:tcPr>
          <w:p w14:paraId="7E3EB558">
            <w:pPr>
              <w:snapToGrid w:val="0"/>
              <w:spacing w:before="50" w:after="156" w:afterLines="50"/>
              <w:jc w:val="center"/>
              <w:rPr>
                <w:rFonts w:hint="eastAsia" w:ascii="宋体" w:hAnsi="宋体"/>
                <w:color w:val="auto"/>
                <w:sz w:val="24"/>
                <w:szCs w:val="24"/>
                <w:highlight w:val="none"/>
              </w:rPr>
            </w:pPr>
          </w:p>
        </w:tc>
        <w:tc>
          <w:tcPr>
            <w:tcW w:w="1889" w:type="dxa"/>
            <w:vAlign w:val="center"/>
          </w:tcPr>
          <w:p w14:paraId="1BE24E8A">
            <w:pPr>
              <w:snapToGrid w:val="0"/>
              <w:spacing w:before="50" w:after="156" w:afterLines="50"/>
              <w:jc w:val="center"/>
              <w:rPr>
                <w:rFonts w:hint="eastAsia" w:ascii="宋体" w:hAnsi="宋体"/>
                <w:color w:val="auto"/>
                <w:sz w:val="24"/>
                <w:szCs w:val="24"/>
                <w:highlight w:val="none"/>
              </w:rPr>
            </w:pPr>
          </w:p>
        </w:tc>
        <w:tc>
          <w:tcPr>
            <w:tcW w:w="1578" w:type="dxa"/>
            <w:vAlign w:val="center"/>
          </w:tcPr>
          <w:p w14:paraId="2AAB378D">
            <w:pPr>
              <w:snapToGrid w:val="0"/>
              <w:spacing w:before="50" w:after="156" w:afterLines="50"/>
              <w:jc w:val="center"/>
              <w:rPr>
                <w:rFonts w:hint="eastAsia" w:ascii="宋体" w:hAnsi="宋体"/>
                <w:color w:val="auto"/>
                <w:sz w:val="24"/>
                <w:szCs w:val="24"/>
                <w:highlight w:val="none"/>
              </w:rPr>
            </w:pPr>
          </w:p>
        </w:tc>
        <w:tc>
          <w:tcPr>
            <w:tcW w:w="1886" w:type="dxa"/>
            <w:vAlign w:val="center"/>
          </w:tcPr>
          <w:p w14:paraId="4D6117DC">
            <w:pPr>
              <w:snapToGrid w:val="0"/>
              <w:spacing w:before="50" w:after="156" w:afterLines="50"/>
              <w:jc w:val="center"/>
              <w:rPr>
                <w:rFonts w:hint="eastAsia" w:ascii="宋体" w:hAnsi="宋体"/>
                <w:color w:val="auto"/>
                <w:sz w:val="24"/>
                <w:szCs w:val="24"/>
                <w:highlight w:val="none"/>
              </w:rPr>
            </w:pPr>
          </w:p>
        </w:tc>
        <w:tc>
          <w:tcPr>
            <w:tcW w:w="2047" w:type="dxa"/>
            <w:vAlign w:val="center"/>
          </w:tcPr>
          <w:p w14:paraId="3DD9EFA6">
            <w:pPr>
              <w:snapToGrid w:val="0"/>
              <w:spacing w:before="50" w:after="156" w:afterLines="50"/>
              <w:jc w:val="center"/>
              <w:rPr>
                <w:rFonts w:hint="eastAsia" w:ascii="宋体" w:hAnsi="宋体"/>
                <w:color w:val="auto"/>
                <w:sz w:val="24"/>
                <w:szCs w:val="24"/>
                <w:highlight w:val="none"/>
              </w:rPr>
            </w:pPr>
          </w:p>
        </w:tc>
      </w:tr>
      <w:tr w14:paraId="355D4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vAlign w:val="center"/>
          </w:tcPr>
          <w:p w14:paraId="1DA24E05">
            <w:pPr>
              <w:snapToGrid w:val="0"/>
              <w:spacing w:before="50" w:after="156" w:afterLines="50"/>
              <w:jc w:val="center"/>
              <w:rPr>
                <w:rFonts w:hint="eastAsia" w:ascii="宋体" w:hAnsi="宋体"/>
                <w:color w:val="auto"/>
                <w:sz w:val="24"/>
                <w:szCs w:val="24"/>
                <w:highlight w:val="none"/>
              </w:rPr>
            </w:pPr>
          </w:p>
        </w:tc>
        <w:tc>
          <w:tcPr>
            <w:tcW w:w="787" w:type="dxa"/>
            <w:vAlign w:val="center"/>
          </w:tcPr>
          <w:p w14:paraId="4E9D81DF">
            <w:pPr>
              <w:snapToGrid w:val="0"/>
              <w:spacing w:before="50" w:after="156" w:afterLines="50"/>
              <w:jc w:val="center"/>
              <w:rPr>
                <w:rFonts w:hint="eastAsia" w:ascii="宋体" w:hAnsi="宋体"/>
                <w:color w:val="auto"/>
                <w:sz w:val="24"/>
                <w:szCs w:val="24"/>
                <w:highlight w:val="none"/>
              </w:rPr>
            </w:pPr>
          </w:p>
        </w:tc>
        <w:tc>
          <w:tcPr>
            <w:tcW w:w="1889" w:type="dxa"/>
            <w:vAlign w:val="center"/>
          </w:tcPr>
          <w:p w14:paraId="6E109A42">
            <w:pPr>
              <w:snapToGrid w:val="0"/>
              <w:spacing w:before="50" w:after="156" w:afterLines="50"/>
              <w:jc w:val="center"/>
              <w:rPr>
                <w:rFonts w:hint="eastAsia" w:ascii="宋体" w:hAnsi="宋体"/>
                <w:color w:val="auto"/>
                <w:sz w:val="24"/>
                <w:szCs w:val="24"/>
                <w:highlight w:val="none"/>
              </w:rPr>
            </w:pPr>
          </w:p>
        </w:tc>
        <w:tc>
          <w:tcPr>
            <w:tcW w:w="1578" w:type="dxa"/>
            <w:vAlign w:val="center"/>
          </w:tcPr>
          <w:p w14:paraId="3F36F159">
            <w:pPr>
              <w:snapToGrid w:val="0"/>
              <w:spacing w:before="50" w:after="156" w:afterLines="50"/>
              <w:jc w:val="center"/>
              <w:rPr>
                <w:rFonts w:hint="eastAsia" w:ascii="宋体" w:hAnsi="宋体"/>
                <w:color w:val="auto"/>
                <w:sz w:val="24"/>
                <w:szCs w:val="24"/>
                <w:highlight w:val="none"/>
              </w:rPr>
            </w:pPr>
          </w:p>
        </w:tc>
        <w:tc>
          <w:tcPr>
            <w:tcW w:w="1886" w:type="dxa"/>
            <w:vAlign w:val="center"/>
          </w:tcPr>
          <w:p w14:paraId="5B3D6660">
            <w:pPr>
              <w:snapToGrid w:val="0"/>
              <w:spacing w:before="50" w:after="156" w:afterLines="50"/>
              <w:jc w:val="center"/>
              <w:rPr>
                <w:rFonts w:hint="eastAsia" w:ascii="宋体" w:hAnsi="宋体"/>
                <w:color w:val="auto"/>
                <w:sz w:val="24"/>
                <w:szCs w:val="24"/>
                <w:highlight w:val="none"/>
              </w:rPr>
            </w:pPr>
          </w:p>
        </w:tc>
        <w:tc>
          <w:tcPr>
            <w:tcW w:w="2047" w:type="dxa"/>
            <w:vAlign w:val="center"/>
          </w:tcPr>
          <w:p w14:paraId="0C4E6BEB">
            <w:pPr>
              <w:snapToGrid w:val="0"/>
              <w:spacing w:before="50" w:after="156" w:afterLines="50"/>
              <w:jc w:val="center"/>
              <w:rPr>
                <w:rFonts w:hint="eastAsia" w:ascii="宋体" w:hAnsi="宋体"/>
                <w:color w:val="auto"/>
                <w:sz w:val="24"/>
                <w:szCs w:val="24"/>
                <w:highlight w:val="none"/>
              </w:rPr>
            </w:pPr>
          </w:p>
        </w:tc>
      </w:tr>
    </w:tbl>
    <w:p w14:paraId="3E5B7A9A">
      <w:pPr>
        <w:snapToGrid w:val="0"/>
        <w:spacing w:before="50" w:after="156" w:afterLines="50"/>
        <w:jc w:val="left"/>
        <w:rPr>
          <w:rFonts w:hint="eastAsia" w:ascii="宋体" w:hAnsi="宋体"/>
          <w:color w:val="auto"/>
          <w:sz w:val="24"/>
          <w:szCs w:val="24"/>
          <w:highlight w:val="none"/>
        </w:rPr>
      </w:pPr>
      <w:r>
        <w:rPr>
          <w:rFonts w:hint="eastAsia" w:ascii="宋体" w:hAnsi="宋体"/>
          <w:color w:val="auto"/>
          <w:sz w:val="24"/>
          <w:szCs w:val="24"/>
          <w:highlight w:val="none"/>
        </w:rPr>
        <w:t>注</w:t>
      </w:r>
      <w:r>
        <w:rPr>
          <w:rFonts w:hint="eastAsia" w:ascii="宋体" w:hAnsi="宋体"/>
          <w:color w:val="auto"/>
          <w:sz w:val="24"/>
          <w:szCs w:val="24"/>
          <w:highlight w:val="none"/>
          <w:lang w:eastAsia="zh-CN"/>
        </w:rPr>
        <w:t>：</w:t>
      </w:r>
      <w:r>
        <w:rPr>
          <w:rFonts w:hint="eastAsia" w:ascii="宋体" w:hAnsi="宋体"/>
          <w:color w:val="auto"/>
          <w:sz w:val="24"/>
          <w:szCs w:val="24"/>
          <w:highlight w:val="none"/>
        </w:rPr>
        <w:t>在填写时，如本表格不适合供应商的实际情况，可</w:t>
      </w:r>
      <w:r>
        <w:rPr>
          <w:rFonts w:hint="eastAsia" w:ascii="宋体" w:hAnsi="宋体"/>
          <w:color w:val="auto"/>
          <w:sz w:val="24"/>
          <w:szCs w:val="24"/>
          <w:highlight w:val="none"/>
          <w:lang w:eastAsia="zh-CN"/>
        </w:rPr>
        <w:t>参照</w:t>
      </w:r>
      <w:r>
        <w:rPr>
          <w:rFonts w:hint="eastAsia" w:ascii="宋体" w:hAnsi="宋体"/>
          <w:color w:val="auto"/>
          <w:sz w:val="24"/>
          <w:szCs w:val="24"/>
          <w:highlight w:val="none"/>
        </w:rPr>
        <w:t>本表格式自行制表填写。</w:t>
      </w:r>
    </w:p>
    <w:p w14:paraId="7AFBC2AC">
      <w:pPr>
        <w:snapToGrid w:val="0"/>
        <w:spacing w:before="50" w:after="50"/>
        <w:rPr>
          <w:rFonts w:hint="eastAsia" w:ascii="宋体" w:hAnsi="宋体"/>
          <w:color w:val="auto"/>
          <w:sz w:val="24"/>
          <w:szCs w:val="24"/>
          <w:highlight w:val="none"/>
        </w:rPr>
      </w:pPr>
    </w:p>
    <w:p w14:paraId="3D5A0F9E">
      <w:pPr>
        <w:snapToGrid w:val="0"/>
        <w:spacing w:before="50" w:after="50"/>
        <w:rPr>
          <w:rFonts w:hint="eastAsia" w:ascii="宋体" w:hAnsi="宋体"/>
          <w:color w:val="auto"/>
          <w:sz w:val="24"/>
          <w:szCs w:val="24"/>
          <w:highlight w:val="none"/>
        </w:rPr>
      </w:pPr>
    </w:p>
    <w:p w14:paraId="529DAAF4">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负责人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或委托代理人（</w:t>
      </w:r>
      <w:r>
        <w:rPr>
          <w:rFonts w:hint="eastAsia" w:ascii="宋体" w:hAnsi="宋体" w:eastAsia="宋体" w:cs="宋体"/>
          <w:color w:val="auto"/>
          <w:sz w:val="24"/>
          <w:szCs w:val="24"/>
          <w:highlight w:val="none"/>
          <w:lang w:val="en-US" w:eastAsia="zh-CN"/>
        </w:rPr>
        <w:t>签</w:t>
      </w:r>
      <w:r>
        <w:rPr>
          <w:rFonts w:hint="eastAsia" w:ascii="宋体" w:hAnsi="宋体" w:cs="宋体"/>
          <w:color w:val="auto"/>
          <w:sz w:val="24"/>
          <w:szCs w:val="24"/>
          <w:highlight w:val="none"/>
          <w:lang w:val="en-US" w:eastAsia="zh-CN"/>
        </w:rPr>
        <w:t>名</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p>
    <w:p w14:paraId="32B69359">
      <w:pPr>
        <w:spacing w:line="360" w:lineRule="auto"/>
        <w:ind w:firstLine="480" w:firstLineChars="200"/>
        <w:rPr>
          <w:rFonts w:hint="default"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磋商供应商名称（</w:t>
      </w:r>
      <w:r>
        <w:rPr>
          <w:rFonts w:hint="eastAsia" w:ascii="宋体" w:hAnsi="宋体" w:eastAsia="宋体" w:cs="宋体"/>
          <w:color w:val="auto"/>
          <w:sz w:val="24"/>
          <w:szCs w:val="24"/>
          <w:highlight w:val="none"/>
          <w:lang w:eastAsia="zh-CN"/>
        </w:rPr>
        <w:t>电子</w:t>
      </w:r>
      <w:r>
        <w:rPr>
          <w:rFonts w:hint="eastAsia" w:ascii="宋体" w:hAnsi="宋体" w:cs="宋体"/>
          <w:b w:val="0"/>
          <w:bCs/>
          <w:color w:val="auto"/>
          <w:sz w:val="24"/>
          <w:szCs w:val="24"/>
          <w:highlight w:val="none"/>
          <w:lang w:val="en-US" w:eastAsia="zh-CN"/>
        </w:rPr>
        <w:t>公章</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p>
    <w:p w14:paraId="5BD879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w:t>
      </w:r>
    </w:p>
    <w:p w14:paraId="0E893521">
      <w:pPr>
        <w:spacing w:line="360" w:lineRule="auto"/>
        <w:jc w:val="center"/>
        <w:rPr>
          <w:rFonts w:cs="仿宋_GB2312" w:asciiTheme="minorEastAsia" w:hAnsiTheme="minorEastAsia" w:eastAsiaTheme="minorEastAsia"/>
          <w:b/>
          <w:bCs/>
          <w:color w:val="auto"/>
          <w:sz w:val="32"/>
          <w:szCs w:val="32"/>
          <w:highlight w:val="none"/>
        </w:rPr>
      </w:pPr>
    </w:p>
    <w:p w14:paraId="2B5C7ADB">
      <w:pPr>
        <w:spacing w:line="360" w:lineRule="auto"/>
        <w:jc w:val="center"/>
        <w:rPr>
          <w:rFonts w:cs="仿宋_GB2312" w:asciiTheme="minorEastAsia" w:hAnsiTheme="minorEastAsia" w:eastAsiaTheme="minorEastAsia"/>
          <w:color w:val="auto"/>
          <w:kern w:val="0"/>
          <w:sz w:val="24"/>
          <w:highlight w:val="none"/>
        </w:rPr>
      </w:pPr>
    </w:p>
    <w:p w14:paraId="31F39603">
      <w:pPr>
        <w:autoSpaceDE w:val="0"/>
        <w:autoSpaceDN w:val="0"/>
        <w:spacing w:line="360" w:lineRule="auto"/>
        <w:ind w:firstLine="4560" w:firstLineChars="1900"/>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kern w:val="0"/>
          <w:sz w:val="24"/>
          <w:highlight w:val="none"/>
        </w:rPr>
        <w:t xml:space="preserve">                    </w:t>
      </w:r>
    </w:p>
    <w:p w14:paraId="3ECA47D1">
      <w:pPr>
        <w:spacing w:line="360" w:lineRule="auto"/>
        <w:rPr>
          <w:rFonts w:hint="eastAsia"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kern w:val="0"/>
          <w:sz w:val="24"/>
          <w:highlight w:val="none"/>
        </w:rPr>
        <w:t xml:space="preserve">                      </w:t>
      </w:r>
    </w:p>
    <w:p w14:paraId="168B3A77">
      <w:pPr>
        <w:spacing w:line="360" w:lineRule="auto"/>
        <w:rPr>
          <w:rFonts w:hint="eastAsia" w:cs="仿宋_GB2312" w:asciiTheme="minorEastAsia" w:hAnsiTheme="minorEastAsia" w:eastAsiaTheme="minorEastAsia"/>
          <w:color w:val="auto"/>
          <w:kern w:val="0"/>
          <w:sz w:val="24"/>
          <w:highlight w:val="none"/>
        </w:rPr>
      </w:pPr>
    </w:p>
    <w:p w14:paraId="477D963B">
      <w:pPr>
        <w:spacing w:line="360" w:lineRule="auto"/>
        <w:rPr>
          <w:rFonts w:hint="eastAsia" w:cs="仿宋_GB2312" w:asciiTheme="minorEastAsia" w:hAnsiTheme="minorEastAsia" w:eastAsiaTheme="minorEastAsia"/>
          <w:color w:val="auto"/>
          <w:kern w:val="0"/>
          <w:sz w:val="24"/>
          <w:highlight w:val="none"/>
        </w:rPr>
      </w:pPr>
    </w:p>
    <w:p w14:paraId="77093540">
      <w:pPr>
        <w:spacing w:line="360" w:lineRule="auto"/>
        <w:rPr>
          <w:rFonts w:hint="eastAsia" w:cs="仿宋_GB2312" w:asciiTheme="minorEastAsia" w:hAnsiTheme="minorEastAsia" w:eastAsiaTheme="minorEastAsia"/>
          <w:color w:val="auto"/>
          <w:kern w:val="0"/>
          <w:sz w:val="24"/>
          <w:highlight w:val="none"/>
        </w:rPr>
      </w:pPr>
    </w:p>
    <w:p w14:paraId="6E505ABF">
      <w:pPr>
        <w:spacing w:line="360" w:lineRule="auto"/>
        <w:rPr>
          <w:rFonts w:hint="eastAsia" w:cs="仿宋_GB2312" w:asciiTheme="minorEastAsia" w:hAnsiTheme="minorEastAsia" w:eastAsiaTheme="minorEastAsia"/>
          <w:color w:val="auto"/>
          <w:kern w:val="0"/>
          <w:sz w:val="24"/>
          <w:highlight w:val="none"/>
        </w:rPr>
      </w:pPr>
    </w:p>
    <w:p w14:paraId="12CB38D4">
      <w:pPr>
        <w:spacing w:line="360" w:lineRule="auto"/>
        <w:rPr>
          <w:rFonts w:hint="eastAsia" w:cs="仿宋_GB2312" w:asciiTheme="minorEastAsia" w:hAnsiTheme="minorEastAsia" w:eastAsiaTheme="minorEastAsia"/>
          <w:color w:val="auto"/>
          <w:kern w:val="0"/>
          <w:sz w:val="24"/>
          <w:highlight w:val="none"/>
        </w:rPr>
      </w:pPr>
    </w:p>
    <w:p w14:paraId="4D7790E6">
      <w:pPr>
        <w:widowControl/>
        <w:adjustRightInd/>
        <w:jc w:val="center"/>
        <w:rPr>
          <w:rFonts w:hint="eastAsia" w:cs="Times New Roman" w:asciiTheme="minorEastAsia" w:hAnsiTheme="minorEastAsia" w:eastAsiaTheme="minorEastAsia"/>
          <w:b/>
          <w:color w:val="auto"/>
          <w:sz w:val="32"/>
          <w:szCs w:val="32"/>
          <w:highlight w:val="none"/>
          <w:lang w:val="en-US" w:eastAsia="zh-CN"/>
        </w:rPr>
      </w:pPr>
      <w:r>
        <w:rPr>
          <w:rFonts w:hint="eastAsia" w:cs="Times New Roman" w:asciiTheme="minorEastAsia" w:hAnsiTheme="minorEastAsia" w:eastAsiaTheme="minorEastAsia"/>
          <w:b/>
          <w:color w:val="auto"/>
          <w:sz w:val="32"/>
          <w:szCs w:val="32"/>
          <w:highlight w:val="none"/>
          <w:lang w:val="en-US" w:eastAsia="zh-CN"/>
        </w:rPr>
        <w:t>九、项目实施方案等评审标准要求的有关材料</w:t>
      </w:r>
    </w:p>
    <w:p w14:paraId="604B28F8">
      <w:pPr>
        <w:spacing w:line="360" w:lineRule="auto"/>
        <w:rPr>
          <w:rFonts w:hint="eastAsia" w:cs="仿宋_GB2312" w:asciiTheme="minorEastAsia" w:hAnsiTheme="minorEastAsia" w:eastAsiaTheme="minorEastAsia"/>
          <w:color w:val="auto"/>
          <w:kern w:val="0"/>
          <w:sz w:val="24"/>
          <w:highlight w:val="none"/>
        </w:rPr>
      </w:pPr>
    </w:p>
    <w:p w14:paraId="7711C402">
      <w:pPr>
        <w:spacing w:line="360" w:lineRule="auto"/>
        <w:rPr>
          <w:rFonts w:hint="eastAsia" w:cs="仿宋_GB2312" w:asciiTheme="minorEastAsia" w:hAnsiTheme="minorEastAsia" w:eastAsiaTheme="minorEastAsia"/>
          <w:color w:val="auto"/>
          <w:kern w:val="0"/>
          <w:sz w:val="24"/>
          <w:highlight w:val="none"/>
        </w:rPr>
      </w:pPr>
    </w:p>
    <w:p w14:paraId="19CA1BC4">
      <w:pPr>
        <w:spacing w:line="360" w:lineRule="auto"/>
        <w:rPr>
          <w:rFonts w:hint="eastAsia" w:cs="仿宋_GB2312" w:asciiTheme="minorEastAsia" w:hAnsiTheme="minorEastAsia" w:eastAsiaTheme="minorEastAsia"/>
          <w:color w:val="auto"/>
          <w:kern w:val="0"/>
          <w:sz w:val="24"/>
          <w:highlight w:val="none"/>
        </w:rPr>
      </w:pPr>
    </w:p>
    <w:p w14:paraId="59FC8276">
      <w:pPr>
        <w:spacing w:line="360" w:lineRule="auto"/>
        <w:rPr>
          <w:rFonts w:hint="eastAsia" w:cs="仿宋_GB2312" w:asciiTheme="minorEastAsia" w:hAnsiTheme="minorEastAsia" w:eastAsiaTheme="minorEastAsia"/>
          <w:color w:val="auto"/>
          <w:kern w:val="0"/>
          <w:sz w:val="24"/>
          <w:highlight w:val="none"/>
        </w:rPr>
      </w:pPr>
    </w:p>
    <w:p w14:paraId="13CE76C0">
      <w:pPr>
        <w:spacing w:line="360" w:lineRule="auto"/>
        <w:rPr>
          <w:rFonts w:hint="eastAsia" w:cs="仿宋_GB2312" w:asciiTheme="minorEastAsia" w:hAnsiTheme="minorEastAsia" w:eastAsiaTheme="minorEastAsia"/>
          <w:color w:val="auto"/>
          <w:kern w:val="0"/>
          <w:sz w:val="24"/>
          <w:highlight w:val="none"/>
        </w:rPr>
      </w:pPr>
    </w:p>
    <w:p w14:paraId="777B0BCA">
      <w:pPr>
        <w:widowControl/>
        <w:adjustRightInd/>
        <w:jc w:val="center"/>
        <w:rPr>
          <w:rFonts w:hint="eastAsia" w:asciiTheme="minorEastAsia" w:hAnsiTheme="minorEastAsia" w:eastAsiaTheme="minorEastAsia"/>
          <w:b/>
          <w:color w:val="auto"/>
          <w:sz w:val="32"/>
          <w:szCs w:val="32"/>
          <w:highlight w:val="none"/>
          <w:lang w:val="en-US" w:eastAsia="zh-CN"/>
        </w:rPr>
      </w:pPr>
    </w:p>
    <w:p w14:paraId="55217756">
      <w:pPr>
        <w:widowControl/>
        <w:adjustRightInd/>
        <w:jc w:val="center"/>
        <w:rPr>
          <w:rFonts w:hint="eastAsia" w:asciiTheme="minorEastAsia" w:hAnsiTheme="minorEastAsia" w:eastAsiaTheme="minorEastAsia"/>
          <w:b/>
          <w:color w:val="auto"/>
          <w:sz w:val="32"/>
          <w:szCs w:val="32"/>
          <w:highlight w:val="none"/>
          <w:lang w:val="en-US" w:eastAsia="zh-CN"/>
        </w:rPr>
      </w:pPr>
    </w:p>
    <w:p w14:paraId="731F8471">
      <w:pPr>
        <w:widowControl/>
        <w:adjustRightInd/>
        <w:jc w:val="center"/>
        <w:rPr>
          <w:rFonts w:hint="eastAsia" w:asciiTheme="minorEastAsia" w:hAnsiTheme="minorEastAsia" w:eastAsiaTheme="minorEastAsia"/>
          <w:b/>
          <w:color w:val="auto"/>
          <w:sz w:val="32"/>
          <w:szCs w:val="32"/>
          <w:highlight w:val="none"/>
          <w:lang w:val="en-US" w:eastAsia="zh-CN"/>
        </w:rPr>
      </w:pPr>
    </w:p>
    <w:p w14:paraId="5D31DDE7">
      <w:pPr>
        <w:widowControl/>
        <w:adjustRightInd/>
        <w:jc w:val="center"/>
        <w:rPr>
          <w:rFonts w:hint="default" w:asciiTheme="minorEastAsia" w:hAnsiTheme="minorEastAsia" w:eastAsiaTheme="minorEastAsia"/>
          <w:b/>
          <w:color w:val="auto"/>
          <w:sz w:val="32"/>
          <w:szCs w:val="32"/>
          <w:highlight w:val="none"/>
          <w:lang w:val="en-US" w:eastAsia="zh-CN"/>
        </w:rPr>
      </w:pPr>
      <w:r>
        <w:rPr>
          <w:rFonts w:hint="eastAsia" w:asciiTheme="minorEastAsia" w:hAnsiTheme="minorEastAsia" w:eastAsiaTheme="minorEastAsia"/>
          <w:b/>
          <w:color w:val="auto"/>
          <w:sz w:val="32"/>
          <w:szCs w:val="32"/>
          <w:highlight w:val="none"/>
          <w:lang w:val="en-US" w:eastAsia="zh-CN"/>
        </w:rPr>
        <w:t>十、采购项目需求中要求必须提供的材料等</w:t>
      </w:r>
    </w:p>
    <w:p w14:paraId="432FE86F">
      <w:pPr>
        <w:widowControl/>
        <w:adjustRightInd/>
        <w:jc w:val="center"/>
        <w:rPr>
          <w:rFonts w:hint="eastAsia" w:asciiTheme="minorEastAsia" w:hAnsiTheme="minorEastAsia" w:eastAsiaTheme="minorEastAsia"/>
          <w:b/>
          <w:color w:val="auto"/>
          <w:sz w:val="32"/>
          <w:szCs w:val="32"/>
          <w:highlight w:val="none"/>
          <w:lang w:val="en-US" w:eastAsia="zh-CN"/>
        </w:rPr>
      </w:pPr>
    </w:p>
    <w:p w14:paraId="2CA61BC3">
      <w:pPr>
        <w:widowControl/>
        <w:adjustRightInd/>
        <w:jc w:val="center"/>
        <w:rPr>
          <w:rFonts w:hint="eastAsia" w:asciiTheme="minorEastAsia" w:hAnsiTheme="minorEastAsia" w:eastAsiaTheme="minorEastAsia"/>
          <w:b/>
          <w:color w:val="auto"/>
          <w:sz w:val="32"/>
          <w:szCs w:val="32"/>
          <w:highlight w:val="none"/>
          <w:lang w:val="en-US" w:eastAsia="zh-CN"/>
        </w:rPr>
      </w:pPr>
    </w:p>
    <w:p w14:paraId="1938008C">
      <w:pPr>
        <w:widowControl/>
        <w:adjustRightInd/>
        <w:jc w:val="center"/>
        <w:rPr>
          <w:rFonts w:hint="eastAsia" w:asciiTheme="minorEastAsia" w:hAnsiTheme="minorEastAsia" w:eastAsiaTheme="minorEastAsia"/>
          <w:b/>
          <w:color w:val="auto"/>
          <w:sz w:val="32"/>
          <w:szCs w:val="32"/>
          <w:highlight w:val="none"/>
          <w:lang w:val="en-US" w:eastAsia="zh-CN"/>
        </w:rPr>
      </w:pPr>
    </w:p>
    <w:p w14:paraId="16607D6A">
      <w:pPr>
        <w:widowControl/>
        <w:adjustRightInd/>
        <w:jc w:val="center"/>
        <w:rPr>
          <w:rFonts w:hint="eastAsia" w:asciiTheme="minorEastAsia" w:hAnsiTheme="minorEastAsia" w:eastAsiaTheme="minorEastAsia"/>
          <w:b/>
          <w:color w:val="auto"/>
          <w:sz w:val="32"/>
          <w:szCs w:val="32"/>
          <w:highlight w:val="none"/>
          <w:lang w:val="en-US" w:eastAsia="zh-CN"/>
        </w:rPr>
      </w:pPr>
    </w:p>
    <w:p w14:paraId="08F363AB">
      <w:pPr>
        <w:widowControl/>
        <w:adjustRightInd/>
        <w:jc w:val="center"/>
        <w:rPr>
          <w:rFonts w:hint="eastAsia" w:asciiTheme="minorEastAsia" w:hAnsiTheme="minorEastAsia" w:eastAsiaTheme="minorEastAsia"/>
          <w:b/>
          <w:color w:val="auto"/>
          <w:sz w:val="32"/>
          <w:szCs w:val="32"/>
          <w:highlight w:val="none"/>
          <w:lang w:val="en-US" w:eastAsia="zh-CN"/>
        </w:rPr>
      </w:pPr>
    </w:p>
    <w:p w14:paraId="136979A8">
      <w:pPr>
        <w:widowControl/>
        <w:adjustRightInd/>
        <w:jc w:val="center"/>
        <w:rPr>
          <w:rFonts w:hint="eastAsia" w:asciiTheme="minorEastAsia" w:hAnsiTheme="minorEastAsia" w:eastAsiaTheme="minorEastAsia"/>
          <w:b/>
          <w:color w:val="auto"/>
          <w:sz w:val="32"/>
          <w:szCs w:val="32"/>
          <w:highlight w:val="none"/>
          <w:lang w:val="en-US" w:eastAsia="zh-CN"/>
        </w:rPr>
      </w:pPr>
    </w:p>
    <w:p w14:paraId="009AAFF9">
      <w:pPr>
        <w:widowControl/>
        <w:adjustRightInd/>
        <w:jc w:val="center"/>
        <w:rPr>
          <w:rFonts w:hint="eastAsia" w:asciiTheme="minorEastAsia" w:hAnsiTheme="minorEastAsia" w:eastAsiaTheme="minorEastAsia"/>
          <w:b/>
          <w:color w:val="auto"/>
          <w:sz w:val="32"/>
          <w:szCs w:val="32"/>
          <w:highlight w:val="none"/>
          <w:lang w:val="en-US" w:eastAsia="zh-CN"/>
        </w:rPr>
      </w:pPr>
    </w:p>
    <w:p w14:paraId="384574FC">
      <w:pPr>
        <w:widowControl/>
        <w:adjustRightInd/>
        <w:jc w:val="center"/>
        <w:rPr>
          <w:rFonts w:hint="eastAsia" w:asciiTheme="minorEastAsia" w:hAnsiTheme="minorEastAsia" w:eastAsiaTheme="minorEastAsia"/>
          <w:b/>
          <w:color w:val="auto"/>
          <w:sz w:val="32"/>
          <w:szCs w:val="32"/>
          <w:highlight w:val="none"/>
          <w:lang w:val="en-US" w:eastAsia="zh-CN"/>
        </w:rPr>
      </w:pPr>
    </w:p>
    <w:p w14:paraId="52F9CAB0">
      <w:pPr>
        <w:widowControl/>
        <w:adjustRightInd/>
        <w:jc w:val="center"/>
        <w:rPr>
          <w:rFonts w:hint="eastAsia" w:asciiTheme="minorEastAsia" w:hAnsiTheme="minorEastAsia" w:eastAsiaTheme="minorEastAsia"/>
          <w:b/>
          <w:color w:val="auto"/>
          <w:sz w:val="32"/>
          <w:szCs w:val="32"/>
          <w:highlight w:val="none"/>
          <w:lang w:val="en-US" w:eastAsia="zh-CN"/>
        </w:rPr>
      </w:pPr>
    </w:p>
    <w:p w14:paraId="4C171E1E">
      <w:pPr>
        <w:widowControl/>
        <w:adjustRightInd/>
        <w:jc w:val="center"/>
        <w:rPr>
          <w:rFonts w:hint="eastAsia" w:asciiTheme="minorEastAsia" w:hAnsiTheme="minorEastAsia" w:eastAsiaTheme="minorEastAsia"/>
          <w:b/>
          <w:color w:val="auto"/>
          <w:sz w:val="32"/>
          <w:szCs w:val="32"/>
          <w:highlight w:val="none"/>
          <w:lang w:val="en-US" w:eastAsia="zh-CN"/>
        </w:rPr>
      </w:pPr>
    </w:p>
    <w:p w14:paraId="5188DA96">
      <w:pPr>
        <w:pStyle w:val="24"/>
        <w:rPr>
          <w:rFonts w:hint="eastAsia" w:asciiTheme="minorEastAsia" w:hAnsiTheme="minorEastAsia" w:eastAsiaTheme="minorEastAsia"/>
          <w:b/>
          <w:color w:val="auto"/>
          <w:sz w:val="32"/>
          <w:szCs w:val="32"/>
          <w:highlight w:val="none"/>
          <w:lang w:val="en-US" w:eastAsia="zh-CN"/>
        </w:rPr>
      </w:pPr>
    </w:p>
    <w:p w14:paraId="255711DA">
      <w:pPr>
        <w:pStyle w:val="60"/>
        <w:rPr>
          <w:rFonts w:hint="eastAsia" w:asciiTheme="minorEastAsia" w:hAnsiTheme="minorEastAsia" w:eastAsiaTheme="minorEastAsia"/>
          <w:b/>
          <w:color w:val="auto"/>
          <w:sz w:val="32"/>
          <w:szCs w:val="32"/>
          <w:highlight w:val="none"/>
          <w:lang w:val="en-US" w:eastAsia="zh-CN"/>
        </w:rPr>
      </w:pPr>
    </w:p>
    <w:p w14:paraId="50AD4C7B">
      <w:pPr>
        <w:pStyle w:val="60"/>
        <w:jc w:val="center"/>
        <w:rPr>
          <w:rFonts w:hint="default" w:asciiTheme="minorEastAsia" w:hAnsiTheme="minorEastAsia" w:eastAsiaTheme="minorEastAsia"/>
          <w:b/>
          <w:color w:val="auto"/>
          <w:sz w:val="32"/>
          <w:szCs w:val="32"/>
          <w:highlight w:val="none"/>
          <w:lang w:val="en-US" w:eastAsia="zh-CN"/>
        </w:rPr>
      </w:pPr>
      <w:r>
        <w:rPr>
          <w:rFonts w:hint="eastAsia" w:asciiTheme="minorEastAsia" w:hAnsiTheme="minorEastAsia" w:eastAsiaTheme="minorEastAsia"/>
          <w:b/>
          <w:color w:val="auto"/>
          <w:sz w:val="32"/>
          <w:szCs w:val="32"/>
          <w:highlight w:val="none"/>
          <w:lang w:val="en-US" w:eastAsia="zh-CN"/>
        </w:rPr>
        <w:t>十一、磋商供应商认为需要提供的有关资料</w:t>
      </w:r>
    </w:p>
    <w:p w14:paraId="1759464F">
      <w:pPr>
        <w:widowControl/>
        <w:adjustRightInd/>
        <w:jc w:val="center"/>
        <w:rPr>
          <w:rFonts w:hint="eastAsia" w:asciiTheme="minorEastAsia" w:hAnsiTheme="minorEastAsia" w:eastAsiaTheme="minorEastAsia"/>
          <w:b/>
          <w:color w:val="auto"/>
          <w:sz w:val="32"/>
          <w:szCs w:val="32"/>
          <w:highlight w:val="none"/>
          <w:lang w:val="en-US" w:eastAsia="zh-CN"/>
        </w:rPr>
      </w:pPr>
    </w:p>
    <w:p w14:paraId="7287BB61">
      <w:pPr>
        <w:widowControl/>
        <w:adjustRightInd/>
        <w:jc w:val="center"/>
        <w:rPr>
          <w:rFonts w:hint="eastAsia" w:asciiTheme="minorEastAsia" w:hAnsiTheme="minorEastAsia" w:eastAsiaTheme="minorEastAsia"/>
          <w:b/>
          <w:color w:val="auto"/>
          <w:sz w:val="32"/>
          <w:szCs w:val="32"/>
          <w:highlight w:val="none"/>
          <w:lang w:val="en-US" w:eastAsia="zh-CN"/>
        </w:rPr>
      </w:pPr>
    </w:p>
    <w:p w14:paraId="439D9555">
      <w:pPr>
        <w:pStyle w:val="24"/>
        <w:rPr>
          <w:rFonts w:hint="eastAsia" w:asciiTheme="minorEastAsia" w:hAnsiTheme="minorEastAsia" w:eastAsiaTheme="minorEastAsia"/>
          <w:b/>
          <w:color w:val="auto"/>
          <w:sz w:val="32"/>
          <w:szCs w:val="32"/>
          <w:highlight w:val="none"/>
          <w:lang w:val="en-US" w:eastAsia="zh-CN"/>
        </w:rPr>
      </w:pPr>
    </w:p>
    <w:p w14:paraId="2F63127D">
      <w:pPr>
        <w:spacing w:line="360" w:lineRule="auto"/>
        <w:rPr>
          <w:rFonts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color w:val="auto"/>
          <w:kern w:val="0"/>
          <w:sz w:val="24"/>
          <w:highlight w:val="none"/>
        </w:rPr>
        <w:t xml:space="preserve">  </w:t>
      </w:r>
      <w:r>
        <w:rPr>
          <w:rFonts w:cs="仿宋_GB2312" w:asciiTheme="minorEastAsia" w:hAnsiTheme="minorEastAsia" w:eastAsiaTheme="minorEastAsia"/>
          <w:b/>
          <w:color w:val="auto"/>
          <w:sz w:val="36"/>
          <w:szCs w:val="36"/>
          <w:highlight w:val="none"/>
        </w:rPr>
        <w:br w:type="page"/>
      </w:r>
    </w:p>
    <w:p w14:paraId="3DD867BF">
      <w:pPr>
        <w:pStyle w:val="118"/>
        <w:keepNext w:val="0"/>
        <w:pageBreakBefore w:val="0"/>
        <w:tabs>
          <w:tab w:val="clear" w:pos="720"/>
        </w:tabs>
        <w:ind w:firstLine="640"/>
        <w:outlineLvl w:val="9"/>
        <w:rPr>
          <w:rFonts w:cs="仿宋_GB2312" w:asciiTheme="minorEastAsia" w:hAnsiTheme="minorEastAsia" w:eastAsiaTheme="minorEastAsia"/>
          <w:color w:val="auto"/>
          <w:kern w:val="2"/>
          <w:sz w:val="32"/>
          <w:szCs w:val="32"/>
          <w:highlight w:val="none"/>
        </w:rPr>
        <w:sectPr>
          <w:headerReference r:id="rId14" w:type="first"/>
          <w:footerReference r:id="rId17" w:type="first"/>
          <w:headerReference r:id="rId13" w:type="default"/>
          <w:footerReference r:id="rId15" w:type="default"/>
          <w:footerReference r:id="rId16" w:type="even"/>
          <w:pgSz w:w="11906" w:h="16838"/>
          <w:pgMar w:top="779" w:right="1418" w:bottom="468" w:left="1418" w:header="851" w:footer="992" w:gutter="0"/>
          <w:pgNumType w:fmt="decimal"/>
          <w:cols w:space="720" w:num="1"/>
          <w:titlePg/>
          <w:docGrid w:linePitch="312" w:charSpace="0"/>
        </w:sectPr>
      </w:pPr>
    </w:p>
    <w:p w14:paraId="185E63CC">
      <w:pPr>
        <w:pStyle w:val="3"/>
        <w:numPr>
          <w:ilvl w:val="0"/>
          <w:numId w:val="0"/>
        </w:numPr>
        <w:bidi w:val="0"/>
        <w:spacing w:line="240" w:lineRule="auto"/>
        <w:ind w:leftChars="0"/>
        <w:jc w:val="center"/>
        <w:rPr>
          <w:rFonts w:hint="eastAsia" w:ascii="Times New Roman" w:hAnsi="Times New Roman" w:eastAsia="宋体" w:cs="Times New Roman"/>
          <w:color w:val="auto"/>
          <w:sz w:val="40"/>
          <w:szCs w:val="40"/>
          <w:highlight w:val="none"/>
        </w:rPr>
      </w:pPr>
      <w:bookmarkStart w:id="168" w:name="_Toc15357"/>
      <w:r>
        <w:rPr>
          <w:rFonts w:hint="eastAsia" w:ascii="Times New Roman" w:hAnsi="Times New Roman" w:eastAsia="宋体" w:cs="Times New Roman"/>
          <w:color w:val="auto"/>
          <w:sz w:val="40"/>
          <w:szCs w:val="40"/>
          <w:highlight w:val="none"/>
        </w:rPr>
        <w:t>第八部分  最后报价格式</w:t>
      </w:r>
      <w:bookmarkEnd w:id="168"/>
    </w:p>
    <w:p w14:paraId="75884C42">
      <w:pPr>
        <w:spacing w:line="520" w:lineRule="exact"/>
        <w:jc w:val="center"/>
        <w:rPr>
          <w:rFonts w:hint="eastAsia" w:eastAsia="宋体"/>
          <w:b/>
          <w:bCs/>
          <w:color w:val="auto"/>
          <w:sz w:val="32"/>
          <w:szCs w:val="32"/>
          <w:highlight w:val="none"/>
          <w:lang w:val="en-US" w:eastAsia="zh-CN"/>
        </w:rPr>
      </w:pPr>
      <w:r>
        <w:rPr>
          <w:rFonts w:hint="eastAsia"/>
          <w:b/>
          <w:bCs/>
          <w:color w:val="auto"/>
          <w:sz w:val="32"/>
          <w:szCs w:val="32"/>
          <w:highlight w:val="none"/>
        </w:rPr>
        <w:t>最后报价表</w:t>
      </w:r>
      <w:r>
        <w:rPr>
          <w:rFonts w:hint="eastAsia"/>
          <w:b/>
          <w:bCs/>
          <w:color w:val="auto"/>
          <w:sz w:val="32"/>
          <w:szCs w:val="32"/>
          <w:highlight w:val="none"/>
          <w:lang w:val="en-US" w:eastAsia="zh-CN"/>
        </w:rPr>
        <w:t>一览表</w:t>
      </w:r>
    </w:p>
    <w:p w14:paraId="13E90F2C">
      <w:pPr>
        <w:snapToGrid w:val="0"/>
        <w:spacing w:before="50" w:after="50" w:line="360" w:lineRule="auto"/>
        <w:rPr>
          <w:color w:val="auto"/>
          <w:sz w:val="24"/>
          <w:highlight w:val="none"/>
        </w:rPr>
      </w:pPr>
    </w:p>
    <w:p w14:paraId="5FA64211">
      <w:pPr>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项目名称</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5471B8F1">
      <w:pPr>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项目编号</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5E412182">
      <w:pPr>
        <w:pStyle w:val="32"/>
        <w:spacing w:line="360" w:lineRule="auto"/>
        <w:rPr>
          <w:rFonts w:hint="eastAsia" w:hAnsi="宋体"/>
          <w:color w:val="auto"/>
          <w:sz w:val="24"/>
          <w:highlight w:val="none"/>
        </w:rPr>
      </w:pPr>
      <w:r>
        <w:rPr>
          <w:rFonts w:hint="eastAsia" w:hAnsi="宋体" w:cs="宋体"/>
          <w:color w:val="auto"/>
          <w:szCs w:val="21"/>
          <w:highlight w:val="none"/>
          <w:u w:val="none"/>
          <w:lang w:val="en-US" w:eastAsia="zh-CN"/>
        </w:rPr>
        <w:t>标项</w:t>
      </w:r>
      <w:r>
        <w:rPr>
          <w:rFonts w:hint="eastAsia" w:ascii="宋体" w:hAnsi="宋体" w:cs="宋体"/>
          <w:color w:val="auto"/>
          <w:szCs w:val="21"/>
          <w:highlight w:val="none"/>
          <w:u w:val="none"/>
          <w:lang w:val="en-US" w:eastAsia="zh-CN"/>
        </w:rPr>
        <w:t>号：</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rPr>
        <w:t xml:space="preserve">    </w:t>
      </w:r>
    </w:p>
    <w:tbl>
      <w:tblPr>
        <w:tblStyle w:val="62"/>
        <w:tblW w:w="945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2"/>
        <w:gridCol w:w="3102"/>
        <w:gridCol w:w="2609"/>
        <w:gridCol w:w="2685"/>
      </w:tblGrid>
      <w:tr w14:paraId="3FB850A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1062" w:type="dxa"/>
            <w:noWrap w:val="0"/>
            <w:vAlign w:val="center"/>
          </w:tcPr>
          <w:p w14:paraId="20596CF2">
            <w:pPr>
              <w:jc w:val="center"/>
              <w:rPr>
                <w:rFonts w:hint="eastAsia"/>
                <w:color w:val="auto"/>
                <w:sz w:val="24"/>
                <w:highlight w:val="none"/>
              </w:rPr>
            </w:pPr>
            <w:r>
              <w:rPr>
                <w:rFonts w:hint="eastAsia"/>
                <w:color w:val="auto"/>
                <w:sz w:val="24"/>
                <w:highlight w:val="none"/>
              </w:rPr>
              <w:t>序号</w:t>
            </w:r>
          </w:p>
        </w:tc>
        <w:tc>
          <w:tcPr>
            <w:tcW w:w="3102" w:type="dxa"/>
            <w:noWrap w:val="0"/>
            <w:vAlign w:val="center"/>
          </w:tcPr>
          <w:p w14:paraId="163A9425">
            <w:pPr>
              <w:jc w:val="center"/>
              <w:rPr>
                <w:rFonts w:hint="default"/>
                <w:color w:val="auto"/>
                <w:sz w:val="24"/>
                <w:highlight w:val="none"/>
                <w:lang w:val="en-US"/>
              </w:rPr>
            </w:pPr>
            <w:r>
              <w:rPr>
                <w:rFonts w:hint="default"/>
                <w:color w:val="auto"/>
                <w:sz w:val="24"/>
                <w:highlight w:val="none"/>
                <w:lang w:val="en-US" w:eastAsia="zh-CN"/>
              </w:rPr>
              <w:t>服务及技术</w:t>
            </w:r>
            <w:r>
              <w:rPr>
                <w:rFonts w:hint="default"/>
                <w:color w:val="auto"/>
                <w:sz w:val="24"/>
                <w:highlight w:val="none"/>
                <w:lang w:val="en-US"/>
              </w:rPr>
              <w:t>要求</w:t>
            </w:r>
          </w:p>
        </w:tc>
        <w:tc>
          <w:tcPr>
            <w:tcW w:w="2609" w:type="dxa"/>
            <w:noWrap w:val="0"/>
            <w:vAlign w:val="center"/>
          </w:tcPr>
          <w:p w14:paraId="63CCFB3B">
            <w:pPr>
              <w:jc w:val="center"/>
              <w:rPr>
                <w:rFonts w:hint="eastAsia" w:eastAsia="宋体"/>
                <w:color w:val="auto"/>
                <w:sz w:val="24"/>
                <w:highlight w:val="none"/>
                <w:lang w:eastAsia="zh-CN"/>
              </w:rPr>
            </w:pPr>
            <w:r>
              <w:rPr>
                <w:rFonts w:hint="eastAsia" w:ascii="宋体" w:hAnsi="宋体" w:eastAsia="宋体" w:cs="宋体"/>
                <w:b w:val="0"/>
                <w:bCs w:val="0"/>
                <w:color w:val="auto"/>
                <w:kern w:val="0"/>
                <w:sz w:val="21"/>
                <w:szCs w:val="21"/>
                <w:highlight w:val="none"/>
              </w:rPr>
              <w:t>数量及单位</w:t>
            </w:r>
            <w:r>
              <w:rPr>
                <w:rFonts w:hint="eastAsia" w:hAnsi="宋体" w:cs="宋体"/>
                <w:b w:val="0"/>
                <w:bCs w:val="0"/>
                <w:color w:val="auto"/>
                <w:kern w:val="0"/>
                <w:sz w:val="21"/>
                <w:szCs w:val="21"/>
                <w:highlight w:val="none"/>
                <w:lang w:eastAsia="zh-CN"/>
              </w:rPr>
              <w:t>（批次）</w:t>
            </w:r>
          </w:p>
        </w:tc>
        <w:tc>
          <w:tcPr>
            <w:tcW w:w="2685" w:type="dxa"/>
            <w:noWrap w:val="0"/>
            <w:vAlign w:val="center"/>
          </w:tcPr>
          <w:p w14:paraId="2A9554E4">
            <w:pPr>
              <w:jc w:val="center"/>
              <w:rPr>
                <w:rFonts w:hint="eastAsia"/>
                <w:color w:val="auto"/>
                <w:sz w:val="24"/>
                <w:highlight w:val="none"/>
              </w:rPr>
            </w:pPr>
            <w:r>
              <w:rPr>
                <w:rFonts w:hint="eastAsia"/>
                <w:color w:val="auto"/>
                <w:sz w:val="24"/>
                <w:highlight w:val="none"/>
              </w:rPr>
              <w:t>备注</w:t>
            </w:r>
          </w:p>
        </w:tc>
      </w:tr>
      <w:tr w14:paraId="1C7C451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1062" w:type="dxa"/>
            <w:noWrap w:val="0"/>
            <w:vAlign w:val="center"/>
          </w:tcPr>
          <w:p w14:paraId="269C4758">
            <w:pPr>
              <w:jc w:val="center"/>
              <w:rPr>
                <w:rFonts w:hint="eastAsia"/>
                <w:color w:val="auto"/>
                <w:sz w:val="24"/>
                <w:highlight w:val="none"/>
              </w:rPr>
            </w:pPr>
            <w:r>
              <w:rPr>
                <w:rFonts w:hint="eastAsia"/>
                <w:color w:val="auto"/>
                <w:sz w:val="24"/>
                <w:highlight w:val="none"/>
              </w:rPr>
              <w:t>1</w:t>
            </w:r>
          </w:p>
        </w:tc>
        <w:tc>
          <w:tcPr>
            <w:tcW w:w="3102" w:type="dxa"/>
            <w:noWrap w:val="0"/>
            <w:vAlign w:val="center"/>
          </w:tcPr>
          <w:p w14:paraId="519A4A38">
            <w:pPr>
              <w:jc w:val="center"/>
              <w:rPr>
                <w:rFonts w:hint="eastAsia" w:ascii="宋体" w:hAnsi="宋体" w:cs="宋体"/>
                <w:bCs/>
                <w:color w:val="auto"/>
                <w:sz w:val="24"/>
                <w:highlight w:val="none"/>
              </w:rPr>
            </w:pPr>
          </w:p>
        </w:tc>
        <w:tc>
          <w:tcPr>
            <w:tcW w:w="2609" w:type="dxa"/>
            <w:noWrap w:val="0"/>
            <w:vAlign w:val="center"/>
          </w:tcPr>
          <w:p w14:paraId="7E637FBC">
            <w:pPr>
              <w:spacing w:after="156" w:afterLines="50" w:line="360" w:lineRule="auto"/>
              <w:jc w:val="center"/>
              <w:rPr>
                <w:rFonts w:hint="eastAsia"/>
                <w:color w:val="auto"/>
                <w:sz w:val="24"/>
                <w:highlight w:val="none"/>
              </w:rPr>
            </w:pPr>
          </w:p>
        </w:tc>
        <w:tc>
          <w:tcPr>
            <w:tcW w:w="2685" w:type="dxa"/>
            <w:tcBorders>
              <w:bottom w:val="single" w:color="auto" w:sz="4" w:space="0"/>
            </w:tcBorders>
            <w:noWrap w:val="0"/>
            <w:vAlign w:val="center"/>
          </w:tcPr>
          <w:p w14:paraId="6E0BCDE8">
            <w:pPr>
              <w:jc w:val="center"/>
              <w:rPr>
                <w:rFonts w:hint="eastAsia"/>
                <w:color w:val="auto"/>
                <w:sz w:val="24"/>
                <w:highlight w:val="none"/>
              </w:rPr>
            </w:pPr>
          </w:p>
        </w:tc>
      </w:tr>
      <w:tr w14:paraId="3D336ED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9458" w:type="dxa"/>
            <w:gridSpan w:val="4"/>
            <w:noWrap w:val="0"/>
            <w:vAlign w:val="center"/>
          </w:tcPr>
          <w:p w14:paraId="3B4C8BBC">
            <w:pPr>
              <w:jc w:val="left"/>
              <w:rPr>
                <w:rFonts w:hint="default"/>
                <w:color w:val="auto"/>
                <w:sz w:val="24"/>
                <w:highlight w:val="none"/>
                <w:lang w:val="en-US"/>
              </w:rPr>
            </w:pPr>
            <w:r>
              <w:rPr>
                <w:rFonts w:hint="eastAsia"/>
                <w:color w:val="auto"/>
                <w:sz w:val="24"/>
                <w:highlight w:val="none"/>
                <w:lang w:val="en-US" w:eastAsia="zh-CN"/>
              </w:rPr>
              <w:t>报价总金额：</w:t>
            </w:r>
          </w:p>
        </w:tc>
      </w:tr>
    </w:tbl>
    <w:p w14:paraId="00EDE71C">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eastAsia" w:ascii="宋体" w:hAnsi="宋体" w:eastAsia="宋体" w:cs="宋体"/>
          <w:color w:val="auto"/>
          <w:szCs w:val="21"/>
          <w:highlight w:val="none"/>
          <w:lang w:val="zh-CN"/>
        </w:rPr>
      </w:pPr>
    </w:p>
    <w:p w14:paraId="4CE5FFEE">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eastAsia"/>
          <w:color w:val="auto"/>
          <w:lang w:val="en-US" w:eastAsia="zh-CN"/>
        </w:rPr>
      </w:pPr>
      <w:r>
        <w:rPr>
          <w:rFonts w:hint="eastAsia" w:ascii="宋体" w:hAnsi="宋体" w:cs="宋体"/>
          <w:color w:val="auto"/>
          <w:szCs w:val="21"/>
          <w:highlight w:val="none"/>
          <w:lang w:val="en-US" w:eastAsia="zh-CN"/>
        </w:rPr>
        <w:t>明细表（标项一）：</w:t>
      </w:r>
    </w:p>
    <w:tbl>
      <w:tblPr>
        <w:tblStyle w:val="62"/>
        <w:tblW w:w="931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08"/>
        <w:gridCol w:w="785"/>
        <w:gridCol w:w="999"/>
        <w:gridCol w:w="4301"/>
        <w:gridCol w:w="659"/>
        <w:gridCol w:w="805"/>
        <w:gridCol w:w="960"/>
      </w:tblGrid>
      <w:tr w14:paraId="27B17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808" w:type="dxa"/>
            <w:vMerge w:val="restart"/>
            <w:tcBorders>
              <w:top w:val="single" w:color="auto" w:sz="4" w:space="0"/>
              <w:left w:val="single" w:color="auto" w:sz="4" w:space="0"/>
              <w:bottom w:val="single" w:color="auto" w:sz="4" w:space="0"/>
              <w:right w:val="single" w:color="auto" w:sz="4" w:space="0"/>
            </w:tcBorders>
            <w:noWrap w:val="0"/>
            <w:vAlign w:val="center"/>
          </w:tcPr>
          <w:p w14:paraId="25680D5E">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标项号</w:t>
            </w:r>
          </w:p>
        </w:tc>
        <w:tc>
          <w:tcPr>
            <w:tcW w:w="785" w:type="dxa"/>
            <w:vMerge w:val="restart"/>
            <w:tcBorders>
              <w:top w:val="single" w:color="auto" w:sz="4" w:space="0"/>
              <w:left w:val="single" w:color="auto" w:sz="4" w:space="0"/>
              <w:bottom w:val="single" w:color="auto" w:sz="4" w:space="0"/>
              <w:right w:val="single" w:color="auto" w:sz="4" w:space="0"/>
            </w:tcBorders>
            <w:noWrap w:val="0"/>
            <w:vAlign w:val="center"/>
          </w:tcPr>
          <w:p w14:paraId="1D28F903">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产品类别</w:t>
            </w:r>
          </w:p>
        </w:tc>
        <w:tc>
          <w:tcPr>
            <w:tcW w:w="999" w:type="dxa"/>
            <w:vMerge w:val="restart"/>
            <w:tcBorders>
              <w:top w:val="single" w:color="000000" w:sz="4" w:space="0"/>
              <w:left w:val="single" w:color="auto" w:sz="4" w:space="0"/>
              <w:bottom w:val="single" w:color="000000" w:sz="4" w:space="0"/>
              <w:right w:val="single" w:color="000000" w:sz="4" w:space="0"/>
            </w:tcBorders>
            <w:noWrap w:val="0"/>
            <w:vAlign w:val="center"/>
          </w:tcPr>
          <w:p w14:paraId="1A1F8137">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检测类别</w:t>
            </w:r>
          </w:p>
        </w:tc>
        <w:tc>
          <w:tcPr>
            <w:tcW w:w="4301" w:type="dxa"/>
            <w:vMerge w:val="restart"/>
            <w:tcBorders>
              <w:top w:val="single" w:color="000000" w:sz="4" w:space="0"/>
              <w:left w:val="single" w:color="000000" w:sz="4" w:space="0"/>
              <w:bottom w:val="single" w:color="000000" w:sz="4" w:space="0"/>
              <w:right w:val="single" w:color="000000" w:sz="4" w:space="0"/>
            </w:tcBorders>
            <w:noWrap w:val="0"/>
            <w:vAlign w:val="center"/>
          </w:tcPr>
          <w:p w14:paraId="7D6C292C">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检测项目</w:t>
            </w:r>
            <w:r>
              <w:rPr>
                <w:rFonts w:hint="eastAsia" w:ascii="宋体" w:hAnsi="宋体" w:cs="宋体"/>
                <w:b/>
                <w:bCs/>
                <w:color w:val="auto"/>
                <w:sz w:val="21"/>
                <w:szCs w:val="21"/>
                <w:highlight w:val="none"/>
                <w:lang w:val="en-US" w:eastAsia="zh-CN"/>
              </w:rPr>
              <w:t>（根据实际工作需要可能临时调整）</w:t>
            </w:r>
          </w:p>
        </w:tc>
        <w:tc>
          <w:tcPr>
            <w:tcW w:w="659" w:type="dxa"/>
            <w:vMerge w:val="restart"/>
            <w:tcBorders>
              <w:top w:val="single" w:color="000000" w:sz="4" w:space="0"/>
              <w:left w:val="single" w:color="000000" w:sz="4" w:space="0"/>
              <w:bottom w:val="single" w:color="000000" w:sz="4" w:space="0"/>
              <w:right w:val="single" w:color="000000" w:sz="4" w:space="0"/>
            </w:tcBorders>
            <w:noWrap w:val="0"/>
            <w:vAlign w:val="center"/>
          </w:tcPr>
          <w:p w14:paraId="7111D4A6">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批次数量</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14:paraId="3A1A1280">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单价</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DC0BBF6">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小计</w:t>
            </w:r>
          </w:p>
        </w:tc>
      </w:tr>
      <w:tr w14:paraId="3E30D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808" w:type="dxa"/>
            <w:vMerge w:val="continue"/>
            <w:tcBorders>
              <w:top w:val="single" w:color="auto" w:sz="4" w:space="0"/>
              <w:left w:val="single" w:color="auto" w:sz="4" w:space="0"/>
              <w:bottom w:val="single" w:color="auto" w:sz="4" w:space="0"/>
              <w:right w:val="single" w:color="auto" w:sz="4" w:space="0"/>
            </w:tcBorders>
            <w:noWrap w:val="0"/>
            <w:vAlign w:val="center"/>
          </w:tcPr>
          <w:p w14:paraId="5E627763">
            <w:pPr>
              <w:jc w:val="center"/>
              <w:rPr>
                <w:rFonts w:hint="eastAsia" w:ascii="宋体" w:hAnsi="宋体" w:eastAsia="宋体" w:cs="宋体"/>
                <w:i w:val="0"/>
                <w:color w:val="auto"/>
                <w:sz w:val="21"/>
                <w:szCs w:val="21"/>
                <w:u w:val="none"/>
              </w:rPr>
            </w:pPr>
          </w:p>
        </w:tc>
        <w:tc>
          <w:tcPr>
            <w:tcW w:w="785" w:type="dxa"/>
            <w:vMerge w:val="continue"/>
            <w:tcBorders>
              <w:top w:val="single" w:color="auto" w:sz="4" w:space="0"/>
              <w:left w:val="single" w:color="auto" w:sz="4" w:space="0"/>
              <w:bottom w:val="single" w:color="auto" w:sz="4" w:space="0"/>
              <w:right w:val="single" w:color="auto" w:sz="4" w:space="0"/>
            </w:tcBorders>
            <w:noWrap w:val="0"/>
            <w:vAlign w:val="center"/>
          </w:tcPr>
          <w:p w14:paraId="3568B340">
            <w:pPr>
              <w:jc w:val="center"/>
              <w:rPr>
                <w:rFonts w:hint="eastAsia" w:ascii="宋体" w:hAnsi="宋体" w:eastAsia="宋体" w:cs="宋体"/>
                <w:i w:val="0"/>
                <w:color w:val="auto"/>
                <w:sz w:val="21"/>
                <w:szCs w:val="21"/>
                <w:u w:val="none"/>
              </w:rPr>
            </w:pPr>
          </w:p>
        </w:tc>
        <w:tc>
          <w:tcPr>
            <w:tcW w:w="999" w:type="dxa"/>
            <w:vMerge w:val="continue"/>
            <w:tcBorders>
              <w:top w:val="single" w:color="000000" w:sz="4" w:space="0"/>
              <w:left w:val="single" w:color="auto" w:sz="4" w:space="0"/>
              <w:bottom w:val="single" w:color="000000" w:sz="4" w:space="0"/>
              <w:right w:val="single" w:color="000000" w:sz="4" w:space="0"/>
            </w:tcBorders>
            <w:noWrap w:val="0"/>
            <w:vAlign w:val="center"/>
          </w:tcPr>
          <w:p w14:paraId="0C70A872">
            <w:pPr>
              <w:jc w:val="center"/>
              <w:rPr>
                <w:rFonts w:hint="eastAsia" w:ascii="宋体" w:hAnsi="宋体" w:eastAsia="宋体" w:cs="宋体"/>
                <w:i w:val="0"/>
                <w:color w:val="auto"/>
                <w:sz w:val="21"/>
                <w:szCs w:val="21"/>
                <w:u w:val="none"/>
              </w:rPr>
            </w:pPr>
          </w:p>
        </w:tc>
        <w:tc>
          <w:tcPr>
            <w:tcW w:w="430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A425AB">
            <w:pPr>
              <w:jc w:val="center"/>
              <w:rPr>
                <w:rFonts w:hint="eastAsia" w:ascii="宋体" w:hAnsi="宋体" w:eastAsia="宋体" w:cs="宋体"/>
                <w:i w:val="0"/>
                <w:color w:val="auto"/>
                <w:sz w:val="21"/>
                <w:szCs w:val="21"/>
                <w:u w:val="none"/>
              </w:rPr>
            </w:pPr>
          </w:p>
        </w:tc>
        <w:tc>
          <w:tcPr>
            <w:tcW w:w="6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5A35B9">
            <w:pPr>
              <w:jc w:val="center"/>
              <w:rPr>
                <w:rFonts w:hint="eastAsia" w:ascii="宋体" w:hAnsi="宋体" w:eastAsia="宋体" w:cs="宋体"/>
                <w:i w:val="0"/>
                <w:color w:val="auto"/>
                <w:sz w:val="21"/>
                <w:szCs w:val="21"/>
                <w:u w:val="none"/>
              </w:rPr>
            </w:pPr>
          </w:p>
        </w:tc>
        <w:tc>
          <w:tcPr>
            <w:tcW w:w="805" w:type="dxa"/>
            <w:tcBorders>
              <w:top w:val="single" w:color="000000" w:sz="4" w:space="0"/>
              <w:left w:val="single" w:color="000000" w:sz="4" w:space="0"/>
              <w:bottom w:val="single" w:color="000000" w:sz="4" w:space="0"/>
              <w:right w:val="single" w:color="000000" w:sz="4" w:space="0"/>
            </w:tcBorders>
            <w:noWrap w:val="0"/>
            <w:vAlign w:val="center"/>
          </w:tcPr>
          <w:p w14:paraId="76C79C76">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(元）</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0E5C354C">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(元）</w:t>
            </w:r>
          </w:p>
        </w:tc>
      </w:tr>
      <w:tr w14:paraId="5367B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9" w:hRule="atLeast"/>
        </w:trPr>
        <w:tc>
          <w:tcPr>
            <w:tcW w:w="808" w:type="dxa"/>
            <w:vMerge w:val="restart"/>
            <w:tcBorders>
              <w:top w:val="single" w:color="auto" w:sz="4" w:space="0"/>
              <w:left w:val="single" w:color="auto" w:sz="4" w:space="0"/>
              <w:bottom w:val="single" w:color="auto" w:sz="4" w:space="0"/>
              <w:right w:val="single" w:color="auto" w:sz="4" w:space="0"/>
            </w:tcBorders>
            <w:noWrap w:val="0"/>
            <w:vAlign w:val="center"/>
          </w:tcPr>
          <w:p w14:paraId="08F457A2">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b/>
                <w:bCs/>
                <w:i w:val="0"/>
                <w:color w:val="auto"/>
                <w:kern w:val="0"/>
                <w:sz w:val="21"/>
                <w:szCs w:val="21"/>
                <w:u w:val="none"/>
                <w:lang w:val="en-US" w:eastAsia="zh-CN" w:bidi="ar"/>
              </w:rPr>
              <w:t>Ⅰ</w:t>
            </w:r>
          </w:p>
        </w:tc>
        <w:tc>
          <w:tcPr>
            <w:tcW w:w="785" w:type="dxa"/>
            <w:vMerge w:val="restart"/>
            <w:tcBorders>
              <w:top w:val="single" w:color="auto" w:sz="4" w:space="0"/>
              <w:left w:val="single" w:color="auto" w:sz="4" w:space="0"/>
              <w:bottom w:val="single" w:color="auto" w:sz="4" w:space="0"/>
              <w:right w:val="single" w:color="auto" w:sz="4" w:space="0"/>
            </w:tcBorders>
            <w:noWrap w:val="0"/>
            <w:vAlign w:val="center"/>
          </w:tcPr>
          <w:p w14:paraId="1B338571">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种植业产品</w:t>
            </w:r>
          </w:p>
        </w:tc>
        <w:tc>
          <w:tcPr>
            <w:tcW w:w="999" w:type="dxa"/>
            <w:tcBorders>
              <w:top w:val="single" w:color="000000" w:sz="4" w:space="0"/>
              <w:left w:val="single" w:color="auto" w:sz="4" w:space="0"/>
              <w:bottom w:val="single" w:color="000000" w:sz="4" w:space="0"/>
              <w:right w:val="single" w:color="000000" w:sz="4" w:space="0"/>
            </w:tcBorders>
            <w:noWrap w:val="0"/>
            <w:vAlign w:val="center"/>
          </w:tcPr>
          <w:p w14:paraId="6DC1AA39">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风险监测</w:t>
            </w:r>
          </w:p>
        </w:tc>
        <w:tc>
          <w:tcPr>
            <w:tcW w:w="4301" w:type="dxa"/>
            <w:vMerge w:val="restart"/>
            <w:tcBorders>
              <w:top w:val="single" w:color="000000" w:sz="4" w:space="0"/>
              <w:left w:val="single" w:color="000000" w:sz="4" w:space="0"/>
              <w:bottom w:val="single" w:color="000000" w:sz="4" w:space="0"/>
              <w:right w:val="single" w:color="000000" w:sz="4" w:space="0"/>
            </w:tcBorders>
            <w:noWrap w:val="0"/>
            <w:vAlign w:val="center"/>
          </w:tcPr>
          <w:p w14:paraId="78D6D083">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甲胺磷、特丁硫磷、乙酰甲胺磷、甲拌磷（包括甲拌磷砜和甲拌磷亚砜）、氧乐果、克百威（包括3-羟基克百威）、涕灭威（包括涕灭威砜、涕灭威亚砜）、灭多威、毒死蜱、水胺硫磷、甲基异柳磷、三唑磷、氟虫腈（包括氟甲腈、氟虫腈硫醚、氟虫腈砜）、乐果、治螟磷、内吸磷、三氯杀螨醇、杀扑磷、久效磷、丙溴磷、灭蝇胺，倍硫磷、噻虫嗪、噻虫胺、吡唑醚菌酯、甲氨基阿维菌素苯甲酸盐、氯氰菊酯、氯氟氰菊酯、啶虫脒、抑霉唑、咪鲜胺等多种农药，韭菜、番茄、辣椒、芒果、荔枝等样品加测腐霉利。</w:t>
            </w:r>
          </w:p>
        </w:tc>
        <w:tc>
          <w:tcPr>
            <w:tcW w:w="659" w:type="dxa"/>
            <w:tcBorders>
              <w:top w:val="single" w:color="000000" w:sz="4" w:space="0"/>
              <w:left w:val="single" w:color="000000" w:sz="4" w:space="0"/>
              <w:bottom w:val="single" w:color="000000" w:sz="4" w:space="0"/>
              <w:right w:val="single" w:color="000000" w:sz="4" w:space="0"/>
            </w:tcBorders>
            <w:noWrap w:val="0"/>
            <w:vAlign w:val="center"/>
          </w:tcPr>
          <w:p w14:paraId="1F7B0B7D">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342</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14:paraId="53C0BFBA">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4C85FA81">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r>
      <w:tr w14:paraId="14E17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3" w:hRule="atLeast"/>
        </w:trPr>
        <w:tc>
          <w:tcPr>
            <w:tcW w:w="808" w:type="dxa"/>
            <w:vMerge w:val="continue"/>
            <w:tcBorders>
              <w:top w:val="single" w:color="auto" w:sz="4" w:space="0"/>
              <w:left w:val="single" w:color="auto" w:sz="4" w:space="0"/>
              <w:bottom w:val="single" w:color="auto" w:sz="4" w:space="0"/>
              <w:right w:val="single" w:color="auto" w:sz="4" w:space="0"/>
            </w:tcBorders>
            <w:noWrap w:val="0"/>
            <w:vAlign w:val="center"/>
          </w:tcPr>
          <w:p w14:paraId="35187999">
            <w:pPr>
              <w:jc w:val="center"/>
              <w:rPr>
                <w:rFonts w:hint="eastAsia" w:ascii="宋体" w:hAnsi="宋体" w:eastAsia="宋体" w:cs="宋体"/>
                <w:i w:val="0"/>
                <w:color w:val="auto"/>
                <w:sz w:val="21"/>
                <w:szCs w:val="21"/>
                <w:u w:val="none"/>
              </w:rPr>
            </w:pPr>
          </w:p>
        </w:tc>
        <w:tc>
          <w:tcPr>
            <w:tcW w:w="785" w:type="dxa"/>
            <w:vMerge w:val="continue"/>
            <w:tcBorders>
              <w:top w:val="single" w:color="auto" w:sz="4" w:space="0"/>
              <w:left w:val="single" w:color="auto" w:sz="4" w:space="0"/>
              <w:bottom w:val="single" w:color="auto" w:sz="4" w:space="0"/>
              <w:right w:val="single" w:color="auto" w:sz="4" w:space="0"/>
            </w:tcBorders>
            <w:noWrap w:val="0"/>
            <w:vAlign w:val="center"/>
          </w:tcPr>
          <w:p w14:paraId="2E189AEF">
            <w:pPr>
              <w:jc w:val="center"/>
              <w:rPr>
                <w:rFonts w:hint="eastAsia" w:ascii="宋体" w:hAnsi="宋体" w:eastAsia="宋体" w:cs="宋体"/>
                <w:i w:val="0"/>
                <w:color w:val="auto"/>
                <w:sz w:val="21"/>
                <w:szCs w:val="21"/>
                <w:u w:val="none"/>
              </w:rPr>
            </w:pPr>
          </w:p>
        </w:tc>
        <w:tc>
          <w:tcPr>
            <w:tcW w:w="999" w:type="dxa"/>
            <w:tcBorders>
              <w:top w:val="single" w:color="000000" w:sz="4" w:space="0"/>
              <w:left w:val="single" w:color="auto" w:sz="4" w:space="0"/>
              <w:bottom w:val="single" w:color="000000" w:sz="4" w:space="0"/>
              <w:right w:val="single" w:color="000000" w:sz="4" w:space="0"/>
            </w:tcBorders>
            <w:noWrap w:val="0"/>
            <w:vAlign w:val="center"/>
          </w:tcPr>
          <w:p w14:paraId="46550943">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监督抽检</w:t>
            </w:r>
          </w:p>
        </w:tc>
        <w:tc>
          <w:tcPr>
            <w:tcW w:w="430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DC942B">
            <w:pPr>
              <w:jc w:val="center"/>
              <w:rPr>
                <w:rFonts w:hint="eastAsia" w:ascii="宋体" w:hAnsi="宋体" w:eastAsia="宋体" w:cs="宋体"/>
                <w:i w:val="0"/>
                <w:color w:val="auto"/>
                <w:sz w:val="21"/>
                <w:szCs w:val="21"/>
                <w:u w:val="none"/>
              </w:rPr>
            </w:pPr>
          </w:p>
        </w:tc>
        <w:tc>
          <w:tcPr>
            <w:tcW w:w="659" w:type="dxa"/>
            <w:tcBorders>
              <w:top w:val="single" w:color="000000" w:sz="4" w:space="0"/>
              <w:left w:val="single" w:color="000000" w:sz="4" w:space="0"/>
              <w:bottom w:val="single" w:color="000000" w:sz="4" w:space="0"/>
              <w:right w:val="single" w:color="000000" w:sz="4" w:space="0"/>
            </w:tcBorders>
            <w:noWrap w:val="0"/>
            <w:vAlign w:val="center"/>
          </w:tcPr>
          <w:p w14:paraId="3737E633">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548</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14:paraId="6E55A690">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00188A63">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r>
      <w:tr w14:paraId="215A5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1" w:hRule="atLeast"/>
        </w:trPr>
        <w:tc>
          <w:tcPr>
            <w:tcW w:w="808" w:type="dxa"/>
            <w:vMerge w:val="continue"/>
            <w:tcBorders>
              <w:top w:val="single" w:color="auto" w:sz="4" w:space="0"/>
              <w:left w:val="single" w:color="auto" w:sz="4" w:space="0"/>
              <w:bottom w:val="single" w:color="auto" w:sz="4" w:space="0"/>
              <w:right w:val="single" w:color="auto" w:sz="4" w:space="0"/>
            </w:tcBorders>
            <w:noWrap w:val="0"/>
            <w:vAlign w:val="center"/>
          </w:tcPr>
          <w:p w14:paraId="48351D5C">
            <w:pPr>
              <w:jc w:val="center"/>
              <w:rPr>
                <w:rFonts w:hint="eastAsia" w:ascii="宋体" w:hAnsi="宋体" w:eastAsia="宋体" w:cs="宋体"/>
                <w:i w:val="0"/>
                <w:color w:val="auto"/>
                <w:sz w:val="21"/>
                <w:szCs w:val="21"/>
                <w:u w:val="none"/>
              </w:rPr>
            </w:pPr>
          </w:p>
        </w:tc>
        <w:tc>
          <w:tcPr>
            <w:tcW w:w="785" w:type="dxa"/>
            <w:vMerge w:val="restart"/>
            <w:tcBorders>
              <w:top w:val="single" w:color="auto" w:sz="4" w:space="0"/>
              <w:left w:val="single" w:color="auto" w:sz="4" w:space="0"/>
              <w:bottom w:val="single" w:color="auto" w:sz="4" w:space="0"/>
              <w:right w:val="single" w:color="auto" w:sz="4" w:space="0"/>
            </w:tcBorders>
            <w:noWrap w:val="0"/>
            <w:vAlign w:val="center"/>
          </w:tcPr>
          <w:p w14:paraId="248A6DBF">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畜牧产品</w:t>
            </w:r>
          </w:p>
        </w:tc>
        <w:tc>
          <w:tcPr>
            <w:tcW w:w="999" w:type="dxa"/>
            <w:tcBorders>
              <w:top w:val="single" w:color="000000" w:sz="4" w:space="0"/>
              <w:left w:val="single" w:color="auto" w:sz="4" w:space="0"/>
              <w:bottom w:val="single" w:color="000000" w:sz="4" w:space="0"/>
              <w:right w:val="single" w:color="000000" w:sz="4" w:space="0"/>
            </w:tcBorders>
            <w:noWrap w:val="0"/>
            <w:vAlign w:val="center"/>
          </w:tcPr>
          <w:p w14:paraId="54DC04FF">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风险监测</w:t>
            </w:r>
          </w:p>
        </w:tc>
        <w:tc>
          <w:tcPr>
            <w:tcW w:w="4301" w:type="dxa"/>
            <w:vMerge w:val="restart"/>
            <w:tcBorders>
              <w:top w:val="single" w:color="000000" w:sz="4" w:space="0"/>
              <w:left w:val="single" w:color="000000" w:sz="4" w:space="0"/>
              <w:bottom w:val="single" w:color="000000" w:sz="4" w:space="0"/>
              <w:right w:val="single" w:color="000000" w:sz="4" w:space="0"/>
            </w:tcBorders>
            <w:noWrap w:val="0"/>
            <w:vAlign w:val="center"/>
          </w:tcPr>
          <w:p w14:paraId="1B5C06C1">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磺胺类、氟苯尼考、氟喹诺酮类、硝基呋喃代谢物、四环素、氯霉素、青霉素、多西环素、土霉素、金霉素、金刚烷胺等，猪牛羊产品加测盐酸克伦特罗、沙丁胺醇、莱克多巴胺、硫酸特布他林、马布特罗、溴布特罗。</w:t>
            </w:r>
          </w:p>
        </w:tc>
        <w:tc>
          <w:tcPr>
            <w:tcW w:w="659" w:type="dxa"/>
            <w:tcBorders>
              <w:top w:val="single" w:color="000000" w:sz="4" w:space="0"/>
              <w:left w:val="single" w:color="000000" w:sz="4" w:space="0"/>
              <w:bottom w:val="single" w:color="000000" w:sz="4" w:space="0"/>
              <w:right w:val="single" w:color="000000" w:sz="4" w:space="0"/>
            </w:tcBorders>
            <w:noWrap w:val="0"/>
            <w:vAlign w:val="center"/>
          </w:tcPr>
          <w:p w14:paraId="4335D870">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14:paraId="1EA8C3FF">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765FDF7D">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r>
      <w:tr w14:paraId="558D2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5" w:hRule="atLeast"/>
        </w:trPr>
        <w:tc>
          <w:tcPr>
            <w:tcW w:w="808" w:type="dxa"/>
            <w:vMerge w:val="continue"/>
            <w:tcBorders>
              <w:top w:val="single" w:color="auto" w:sz="4" w:space="0"/>
              <w:left w:val="single" w:color="auto" w:sz="4" w:space="0"/>
              <w:bottom w:val="single" w:color="auto" w:sz="4" w:space="0"/>
              <w:right w:val="single" w:color="auto" w:sz="4" w:space="0"/>
            </w:tcBorders>
            <w:noWrap w:val="0"/>
            <w:vAlign w:val="center"/>
          </w:tcPr>
          <w:p w14:paraId="4A22618E">
            <w:pPr>
              <w:jc w:val="center"/>
              <w:rPr>
                <w:rFonts w:hint="eastAsia" w:ascii="宋体" w:hAnsi="宋体" w:eastAsia="宋体" w:cs="宋体"/>
                <w:i w:val="0"/>
                <w:color w:val="auto"/>
                <w:sz w:val="21"/>
                <w:szCs w:val="21"/>
                <w:u w:val="none"/>
              </w:rPr>
            </w:pPr>
          </w:p>
        </w:tc>
        <w:tc>
          <w:tcPr>
            <w:tcW w:w="785" w:type="dxa"/>
            <w:vMerge w:val="continue"/>
            <w:tcBorders>
              <w:top w:val="single" w:color="auto" w:sz="4" w:space="0"/>
              <w:left w:val="single" w:color="auto" w:sz="4" w:space="0"/>
              <w:bottom w:val="single" w:color="auto" w:sz="4" w:space="0"/>
              <w:right w:val="single" w:color="auto" w:sz="4" w:space="0"/>
            </w:tcBorders>
            <w:noWrap w:val="0"/>
            <w:vAlign w:val="center"/>
          </w:tcPr>
          <w:p w14:paraId="252DAFE3">
            <w:pPr>
              <w:jc w:val="center"/>
              <w:rPr>
                <w:rFonts w:hint="eastAsia" w:ascii="宋体" w:hAnsi="宋体" w:eastAsia="宋体" w:cs="宋体"/>
                <w:i w:val="0"/>
                <w:color w:val="auto"/>
                <w:sz w:val="21"/>
                <w:szCs w:val="21"/>
                <w:u w:val="none"/>
              </w:rPr>
            </w:pPr>
          </w:p>
        </w:tc>
        <w:tc>
          <w:tcPr>
            <w:tcW w:w="999" w:type="dxa"/>
            <w:tcBorders>
              <w:top w:val="single" w:color="000000" w:sz="4" w:space="0"/>
              <w:left w:val="single" w:color="auto" w:sz="4" w:space="0"/>
              <w:bottom w:val="single" w:color="000000" w:sz="4" w:space="0"/>
              <w:right w:val="single" w:color="000000" w:sz="4" w:space="0"/>
            </w:tcBorders>
            <w:noWrap w:val="0"/>
            <w:vAlign w:val="center"/>
          </w:tcPr>
          <w:p w14:paraId="532AF41E">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监督抽检</w:t>
            </w:r>
          </w:p>
        </w:tc>
        <w:tc>
          <w:tcPr>
            <w:tcW w:w="430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CA4B96">
            <w:pPr>
              <w:jc w:val="center"/>
              <w:rPr>
                <w:rFonts w:hint="eastAsia" w:ascii="宋体" w:hAnsi="宋体" w:eastAsia="宋体" w:cs="宋体"/>
                <w:i w:val="0"/>
                <w:color w:val="auto"/>
                <w:sz w:val="21"/>
                <w:szCs w:val="21"/>
                <w:u w:val="none"/>
              </w:rPr>
            </w:pPr>
          </w:p>
        </w:tc>
        <w:tc>
          <w:tcPr>
            <w:tcW w:w="659" w:type="dxa"/>
            <w:tcBorders>
              <w:top w:val="single" w:color="000000" w:sz="4" w:space="0"/>
              <w:left w:val="single" w:color="000000" w:sz="4" w:space="0"/>
              <w:bottom w:val="single" w:color="000000" w:sz="4" w:space="0"/>
              <w:right w:val="single" w:color="000000" w:sz="4" w:space="0"/>
            </w:tcBorders>
            <w:noWrap w:val="0"/>
            <w:vAlign w:val="center"/>
          </w:tcPr>
          <w:p w14:paraId="737331DB">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14:paraId="2E8D9BAE">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5D11CC5">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r>
      <w:tr w14:paraId="1D2BA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7" w:hRule="atLeast"/>
        </w:trPr>
        <w:tc>
          <w:tcPr>
            <w:tcW w:w="808" w:type="dxa"/>
            <w:vMerge w:val="continue"/>
            <w:tcBorders>
              <w:top w:val="single" w:color="auto" w:sz="4" w:space="0"/>
              <w:left w:val="single" w:color="auto" w:sz="4" w:space="0"/>
              <w:bottom w:val="single" w:color="auto" w:sz="4" w:space="0"/>
              <w:right w:val="single" w:color="auto" w:sz="4" w:space="0"/>
            </w:tcBorders>
            <w:noWrap w:val="0"/>
            <w:vAlign w:val="center"/>
          </w:tcPr>
          <w:p w14:paraId="3C8E4AF6">
            <w:pPr>
              <w:jc w:val="center"/>
              <w:rPr>
                <w:rFonts w:hint="eastAsia" w:ascii="宋体" w:hAnsi="宋体" w:eastAsia="宋体" w:cs="宋体"/>
                <w:i w:val="0"/>
                <w:color w:val="auto"/>
                <w:sz w:val="21"/>
                <w:szCs w:val="21"/>
                <w:u w:val="none"/>
              </w:rPr>
            </w:pPr>
          </w:p>
        </w:tc>
        <w:tc>
          <w:tcPr>
            <w:tcW w:w="785" w:type="dxa"/>
            <w:vMerge w:val="restart"/>
            <w:tcBorders>
              <w:top w:val="single" w:color="auto" w:sz="4" w:space="0"/>
              <w:left w:val="single" w:color="auto" w:sz="4" w:space="0"/>
              <w:bottom w:val="single" w:color="auto" w:sz="4" w:space="0"/>
              <w:right w:val="single" w:color="auto" w:sz="4" w:space="0"/>
            </w:tcBorders>
            <w:noWrap w:val="0"/>
            <w:vAlign w:val="center"/>
          </w:tcPr>
          <w:p w14:paraId="296EBA6C">
            <w:pPr>
              <w:keepNext w:val="0"/>
              <w:keepLines w:val="0"/>
              <w:widowControl/>
              <w:suppressLineNumbers w:val="0"/>
              <w:jc w:val="center"/>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淡水产品</w:t>
            </w:r>
          </w:p>
          <w:p w14:paraId="407EE5A8">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999" w:type="dxa"/>
            <w:tcBorders>
              <w:top w:val="single" w:color="000000" w:sz="4" w:space="0"/>
              <w:left w:val="single" w:color="auto" w:sz="4" w:space="0"/>
              <w:bottom w:val="single" w:color="000000" w:sz="4" w:space="0"/>
              <w:right w:val="single" w:color="000000" w:sz="4" w:space="0"/>
            </w:tcBorders>
            <w:noWrap w:val="0"/>
            <w:vAlign w:val="center"/>
          </w:tcPr>
          <w:p w14:paraId="75A1D7D6">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风险监测</w:t>
            </w:r>
          </w:p>
        </w:tc>
        <w:tc>
          <w:tcPr>
            <w:tcW w:w="4301" w:type="dxa"/>
            <w:vMerge w:val="restart"/>
            <w:tcBorders>
              <w:top w:val="single" w:color="000000" w:sz="4" w:space="0"/>
              <w:left w:val="single" w:color="000000" w:sz="4" w:space="0"/>
              <w:bottom w:val="single" w:color="000000" w:sz="4" w:space="0"/>
              <w:right w:val="single" w:color="000000" w:sz="4" w:space="0"/>
            </w:tcBorders>
            <w:noWrap w:val="0"/>
            <w:vAlign w:val="center"/>
          </w:tcPr>
          <w:p w14:paraId="085695EF">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氯霉素、孔雀石绿、硝基呋喃代谢物、洛美沙星、培氟沙星、诺氟沙星、氧氟沙星、地西泮、恩诺沙星和环丙沙星、磺胺类(磺胺嘧啶、磺胺二甲基嘧啶、磺胺间甲氧嘧啶、磺胺甲基异噁唑4种)等。</w:t>
            </w:r>
          </w:p>
        </w:tc>
        <w:tc>
          <w:tcPr>
            <w:tcW w:w="659" w:type="dxa"/>
            <w:tcBorders>
              <w:top w:val="single" w:color="000000" w:sz="4" w:space="0"/>
              <w:left w:val="single" w:color="000000" w:sz="4" w:space="0"/>
              <w:bottom w:val="single" w:color="000000" w:sz="4" w:space="0"/>
              <w:right w:val="single" w:color="000000" w:sz="4" w:space="0"/>
            </w:tcBorders>
            <w:noWrap w:val="0"/>
            <w:vAlign w:val="center"/>
          </w:tcPr>
          <w:p w14:paraId="769FDD33">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14:paraId="247B1953">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0515FFF2">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r>
      <w:tr w14:paraId="79B52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4" w:hRule="atLeast"/>
        </w:trPr>
        <w:tc>
          <w:tcPr>
            <w:tcW w:w="808" w:type="dxa"/>
            <w:vMerge w:val="continue"/>
            <w:tcBorders>
              <w:top w:val="single" w:color="auto" w:sz="4" w:space="0"/>
              <w:left w:val="single" w:color="auto" w:sz="4" w:space="0"/>
              <w:bottom w:val="single" w:color="auto" w:sz="4" w:space="0"/>
              <w:right w:val="single" w:color="auto" w:sz="4" w:space="0"/>
            </w:tcBorders>
            <w:noWrap w:val="0"/>
            <w:vAlign w:val="center"/>
          </w:tcPr>
          <w:p w14:paraId="4E0DD24F">
            <w:pPr>
              <w:jc w:val="center"/>
              <w:rPr>
                <w:rFonts w:hint="eastAsia" w:ascii="宋体" w:hAnsi="宋体" w:eastAsia="宋体" w:cs="宋体"/>
                <w:i w:val="0"/>
                <w:color w:val="auto"/>
                <w:sz w:val="21"/>
                <w:szCs w:val="21"/>
                <w:u w:val="none"/>
              </w:rPr>
            </w:pPr>
          </w:p>
        </w:tc>
        <w:tc>
          <w:tcPr>
            <w:tcW w:w="785" w:type="dxa"/>
            <w:vMerge w:val="continue"/>
            <w:tcBorders>
              <w:top w:val="single" w:color="auto" w:sz="4" w:space="0"/>
              <w:left w:val="single" w:color="auto" w:sz="4" w:space="0"/>
              <w:bottom w:val="single" w:color="auto" w:sz="4" w:space="0"/>
              <w:right w:val="single" w:color="auto" w:sz="4" w:space="0"/>
            </w:tcBorders>
            <w:noWrap w:val="0"/>
            <w:vAlign w:val="center"/>
          </w:tcPr>
          <w:p w14:paraId="292DF417">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999" w:type="dxa"/>
            <w:tcBorders>
              <w:top w:val="single" w:color="000000" w:sz="4" w:space="0"/>
              <w:left w:val="single" w:color="auto" w:sz="4" w:space="0"/>
              <w:bottom w:val="single" w:color="000000" w:sz="4" w:space="0"/>
              <w:right w:val="single" w:color="000000" w:sz="4" w:space="0"/>
            </w:tcBorders>
            <w:noWrap w:val="0"/>
            <w:vAlign w:val="center"/>
          </w:tcPr>
          <w:p w14:paraId="723310DC">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监督抽检</w:t>
            </w:r>
          </w:p>
        </w:tc>
        <w:tc>
          <w:tcPr>
            <w:tcW w:w="430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CB424D">
            <w:pPr>
              <w:jc w:val="center"/>
              <w:rPr>
                <w:rFonts w:hint="eastAsia" w:ascii="宋体" w:hAnsi="宋体" w:eastAsia="宋体" w:cs="宋体"/>
                <w:i w:val="0"/>
                <w:color w:val="auto"/>
                <w:sz w:val="21"/>
                <w:szCs w:val="21"/>
                <w:u w:val="none"/>
              </w:rPr>
            </w:pPr>
          </w:p>
        </w:tc>
        <w:tc>
          <w:tcPr>
            <w:tcW w:w="659" w:type="dxa"/>
            <w:tcBorders>
              <w:top w:val="single" w:color="000000" w:sz="4" w:space="0"/>
              <w:left w:val="single" w:color="000000" w:sz="4" w:space="0"/>
              <w:bottom w:val="single" w:color="000000" w:sz="4" w:space="0"/>
              <w:right w:val="single" w:color="000000" w:sz="4" w:space="0"/>
            </w:tcBorders>
            <w:noWrap w:val="0"/>
            <w:vAlign w:val="center"/>
          </w:tcPr>
          <w:p w14:paraId="18EC88A0">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14:paraId="0C29DF2A">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4A9E0E22">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r>
      <w:tr w14:paraId="3A605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7" w:hRule="atLeast"/>
        </w:trPr>
        <w:tc>
          <w:tcPr>
            <w:tcW w:w="808" w:type="dxa"/>
            <w:vMerge w:val="continue"/>
            <w:tcBorders>
              <w:top w:val="single" w:color="auto" w:sz="4" w:space="0"/>
              <w:left w:val="single" w:color="auto" w:sz="4" w:space="0"/>
              <w:bottom w:val="single" w:color="auto" w:sz="4" w:space="0"/>
              <w:right w:val="single" w:color="auto" w:sz="4" w:space="0"/>
            </w:tcBorders>
            <w:noWrap w:val="0"/>
            <w:vAlign w:val="center"/>
          </w:tcPr>
          <w:p w14:paraId="148BEEA4">
            <w:pPr>
              <w:jc w:val="center"/>
              <w:rPr>
                <w:rFonts w:hint="eastAsia" w:ascii="宋体" w:hAnsi="宋体" w:eastAsia="宋体" w:cs="宋体"/>
                <w:i w:val="0"/>
                <w:color w:val="auto"/>
                <w:sz w:val="21"/>
                <w:szCs w:val="21"/>
                <w:u w:val="none"/>
              </w:rPr>
            </w:pPr>
          </w:p>
        </w:tc>
        <w:tc>
          <w:tcPr>
            <w:tcW w:w="785" w:type="dxa"/>
            <w:tcBorders>
              <w:top w:val="single" w:color="auto" w:sz="4" w:space="0"/>
              <w:left w:val="single" w:color="auto" w:sz="4" w:space="0"/>
              <w:bottom w:val="single" w:color="auto" w:sz="4" w:space="0"/>
              <w:right w:val="single" w:color="auto" w:sz="4" w:space="0"/>
            </w:tcBorders>
            <w:noWrap w:val="0"/>
            <w:vAlign w:val="center"/>
          </w:tcPr>
          <w:p w14:paraId="7A3BAC7A">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2"/>
                <w:szCs w:val="22"/>
                <w:u w:val="none"/>
                <w:lang w:val="en-US" w:eastAsia="zh-CN" w:bidi="ar"/>
              </w:rPr>
              <w:t>合计</w:t>
            </w:r>
          </w:p>
        </w:tc>
        <w:tc>
          <w:tcPr>
            <w:tcW w:w="999" w:type="dxa"/>
            <w:tcBorders>
              <w:top w:val="single" w:color="000000" w:sz="4" w:space="0"/>
              <w:left w:val="single" w:color="auto" w:sz="4" w:space="0"/>
              <w:bottom w:val="single" w:color="000000" w:sz="4" w:space="0"/>
              <w:right w:val="single" w:color="000000" w:sz="4" w:space="0"/>
            </w:tcBorders>
            <w:noWrap w:val="0"/>
            <w:vAlign w:val="center"/>
          </w:tcPr>
          <w:p w14:paraId="42CF1F08">
            <w:pPr>
              <w:jc w:val="center"/>
              <w:rPr>
                <w:rFonts w:hint="eastAsia" w:ascii="宋体" w:hAnsi="宋体" w:eastAsia="宋体" w:cs="宋体"/>
                <w:i w:val="0"/>
                <w:color w:val="auto"/>
                <w:kern w:val="0"/>
                <w:sz w:val="21"/>
                <w:szCs w:val="21"/>
                <w:u w:val="none"/>
                <w:lang w:val="en-US" w:eastAsia="zh-CN" w:bidi="ar"/>
              </w:rPr>
            </w:pPr>
          </w:p>
        </w:tc>
        <w:tc>
          <w:tcPr>
            <w:tcW w:w="4301" w:type="dxa"/>
            <w:tcBorders>
              <w:top w:val="single" w:color="000000" w:sz="4" w:space="0"/>
              <w:left w:val="single" w:color="000000" w:sz="4" w:space="0"/>
              <w:bottom w:val="single" w:color="000000" w:sz="4" w:space="0"/>
              <w:right w:val="single" w:color="000000" w:sz="4" w:space="0"/>
            </w:tcBorders>
            <w:noWrap w:val="0"/>
            <w:vAlign w:val="center"/>
          </w:tcPr>
          <w:p w14:paraId="438FB8D6">
            <w:pPr>
              <w:jc w:val="center"/>
              <w:rPr>
                <w:rFonts w:hint="eastAsia" w:ascii="宋体" w:hAnsi="宋体" w:eastAsia="宋体" w:cs="宋体"/>
                <w:i w:val="0"/>
                <w:color w:val="auto"/>
                <w:sz w:val="21"/>
                <w:szCs w:val="21"/>
                <w:u w:val="none"/>
              </w:rPr>
            </w:pPr>
          </w:p>
        </w:tc>
        <w:tc>
          <w:tcPr>
            <w:tcW w:w="659" w:type="dxa"/>
            <w:tcBorders>
              <w:top w:val="single" w:color="000000" w:sz="4" w:space="0"/>
              <w:left w:val="single" w:color="000000" w:sz="4" w:space="0"/>
              <w:bottom w:val="single" w:color="000000" w:sz="4" w:space="0"/>
              <w:right w:val="single" w:color="000000" w:sz="4" w:space="0"/>
            </w:tcBorders>
            <w:noWrap w:val="0"/>
            <w:vAlign w:val="center"/>
          </w:tcPr>
          <w:p w14:paraId="164BC12F">
            <w:pPr>
              <w:keepNext w:val="0"/>
              <w:keepLines w:val="0"/>
              <w:widowControl/>
              <w:suppressLineNumbers w:val="0"/>
              <w:jc w:val="center"/>
              <w:textAlignment w:val="center"/>
              <w:rPr>
                <w:rFonts w:hint="default" w:ascii="宋体" w:hAnsi="宋体" w:eastAsia="宋体" w:cs="宋体"/>
                <w:i w:val="0"/>
                <w:color w:val="auto"/>
                <w:kern w:val="0"/>
                <w:sz w:val="21"/>
                <w:szCs w:val="21"/>
                <w:u w:val="none"/>
                <w:lang w:val="en-US" w:eastAsia="zh-CN" w:bidi="ar"/>
              </w:rPr>
            </w:pPr>
            <w:r>
              <w:rPr>
                <w:rFonts w:hint="eastAsia" w:ascii="宋体" w:hAnsi="宋体" w:cs="宋体"/>
                <w:i w:val="0"/>
                <w:color w:val="auto"/>
                <w:kern w:val="0"/>
                <w:sz w:val="21"/>
                <w:szCs w:val="21"/>
                <w:u w:val="none"/>
                <w:lang w:val="en-US" w:eastAsia="zh-CN" w:bidi="ar"/>
              </w:rPr>
              <w:t>1010</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14:paraId="669F04F4">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4EEAB254">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r>
    </w:tbl>
    <w:p w14:paraId="71BF95E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eastAsia" w:ascii="宋体" w:hAnsi="宋体" w:eastAsia="宋体" w:cs="宋体"/>
          <w:color w:val="auto"/>
          <w:szCs w:val="21"/>
          <w:highlight w:val="none"/>
          <w:lang w:val="zh-CN"/>
        </w:rPr>
      </w:pPr>
    </w:p>
    <w:p w14:paraId="7A223D82">
      <w:pPr>
        <w:bidi w:val="0"/>
        <w:rPr>
          <w:rFonts w:hint="eastAsia"/>
          <w:color w:val="auto"/>
          <w:lang w:val="zh-CN"/>
        </w:rPr>
      </w:pPr>
    </w:p>
    <w:p w14:paraId="28D8E18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eastAsia"/>
          <w:color w:val="auto"/>
          <w:lang w:val="en-US" w:eastAsia="zh-CN"/>
        </w:rPr>
      </w:pPr>
      <w:r>
        <w:rPr>
          <w:rFonts w:hint="eastAsia" w:ascii="宋体" w:hAnsi="宋体" w:cs="宋体"/>
          <w:color w:val="auto"/>
          <w:szCs w:val="21"/>
          <w:highlight w:val="none"/>
          <w:lang w:val="en-US" w:eastAsia="zh-CN"/>
        </w:rPr>
        <w:t>明细表（标项二）：</w:t>
      </w:r>
    </w:p>
    <w:tbl>
      <w:tblPr>
        <w:tblStyle w:val="62"/>
        <w:tblW w:w="9546" w:type="dxa"/>
        <w:tblInd w:w="-13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7"/>
        <w:gridCol w:w="832"/>
        <w:gridCol w:w="1059"/>
        <w:gridCol w:w="4559"/>
        <w:gridCol w:w="698"/>
        <w:gridCol w:w="749"/>
        <w:gridCol w:w="792"/>
      </w:tblGrid>
      <w:tr w14:paraId="36F34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857" w:type="dxa"/>
            <w:vMerge w:val="restart"/>
            <w:tcBorders>
              <w:top w:val="single" w:color="000000" w:sz="4" w:space="0"/>
              <w:left w:val="single" w:color="000000" w:sz="4" w:space="0"/>
              <w:bottom w:val="single" w:color="000000" w:sz="4" w:space="0"/>
              <w:right w:val="single" w:color="000000" w:sz="4" w:space="0"/>
            </w:tcBorders>
            <w:noWrap w:val="0"/>
            <w:vAlign w:val="center"/>
          </w:tcPr>
          <w:p w14:paraId="234EAA67">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标项号</w:t>
            </w:r>
          </w:p>
        </w:tc>
        <w:tc>
          <w:tcPr>
            <w:tcW w:w="832" w:type="dxa"/>
            <w:vMerge w:val="restart"/>
            <w:tcBorders>
              <w:top w:val="single" w:color="000000" w:sz="4" w:space="0"/>
              <w:left w:val="single" w:color="000000" w:sz="4" w:space="0"/>
              <w:bottom w:val="single" w:color="000000" w:sz="4" w:space="0"/>
              <w:right w:val="single" w:color="000000" w:sz="4" w:space="0"/>
            </w:tcBorders>
            <w:noWrap w:val="0"/>
            <w:vAlign w:val="center"/>
          </w:tcPr>
          <w:p w14:paraId="49228B60">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产品类别</w:t>
            </w:r>
          </w:p>
        </w:tc>
        <w:tc>
          <w:tcPr>
            <w:tcW w:w="1059" w:type="dxa"/>
            <w:vMerge w:val="restart"/>
            <w:tcBorders>
              <w:top w:val="single" w:color="000000" w:sz="4" w:space="0"/>
              <w:left w:val="single" w:color="000000" w:sz="4" w:space="0"/>
              <w:bottom w:val="single" w:color="000000" w:sz="4" w:space="0"/>
              <w:right w:val="single" w:color="000000" w:sz="4" w:space="0"/>
            </w:tcBorders>
            <w:noWrap w:val="0"/>
            <w:vAlign w:val="center"/>
          </w:tcPr>
          <w:p w14:paraId="469836C7">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检测类别</w:t>
            </w:r>
          </w:p>
        </w:tc>
        <w:tc>
          <w:tcPr>
            <w:tcW w:w="4559" w:type="dxa"/>
            <w:vMerge w:val="restart"/>
            <w:tcBorders>
              <w:top w:val="single" w:color="000000" w:sz="4" w:space="0"/>
              <w:left w:val="single" w:color="000000" w:sz="4" w:space="0"/>
              <w:bottom w:val="single" w:color="000000" w:sz="4" w:space="0"/>
              <w:right w:val="single" w:color="000000" w:sz="4" w:space="0"/>
            </w:tcBorders>
            <w:noWrap w:val="0"/>
            <w:vAlign w:val="center"/>
          </w:tcPr>
          <w:p w14:paraId="43B50057">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检测项目</w:t>
            </w:r>
            <w:r>
              <w:rPr>
                <w:rFonts w:hint="eastAsia" w:ascii="宋体" w:hAnsi="宋体" w:cs="宋体"/>
                <w:b/>
                <w:bCs/>
                <w:color w:val="auto"/>
                <w:sz w:val="21"/>
                <w:szCs w:val="21"/>
                <w:highlight w:val="none"/>
                <w:lang w:val="en-US" w:eastAsia="zh-CN"/>
              </w:rPr>
              <w:t>（根据实际工作需要可能临时调整）</w:t>
            </w:r>
          </w:p>
        </w:tc>
        <w:tc>
          <w:tcPr>
            <w:tcW w:w="698" w:type="dxa"/>
            <w:vMerge w:val="restart"/>
            <w:tcBorders>
              <w:top w:val="single" w:color="000000" w:sz="4" w:space="0"/>
              <w:left w:val="single" w:color="000000" w:sz="4" w:space="0"/>
              <w:bottom w:val="single" w:color="000000" w:sz="4" w:space="0"/>
              <w:right w:val="single" w:color="000000" w:sz="4" w:space="0"/>
            </w:tcBorders>
            <w:noWrap w:val="0"/>
            <w:vAlign w:val="center"/>
          </w:tcPr>
          <w:p w14:paraId="4D5486D9">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批次数量</w:t>
            </w:r>
          </w:p>
        </w:tc>
        <w:tc>
          <w:tcPr>
            <w:tcW w:w="749" w:type="dxa"/>
            <w:tcBorders>
              <w:top w:val="single" w:color="000000" w:sz="4" w:space="0"/>
              <w:left w:val="single" w:color="000000" w:sz="4" w:space="0"/>
              <w:bottom w:val="single" w:color="000000" w:sz="4" w:space="0"/>
              <w:right w:val="single" w:color="000000" w:sz="4" w:space="0"/>
            </w:tcBorders>
            <w:noWrap w:val="0"/>
            <w:vAlign w:val="center"/>
          </w:tcPr>
          <w:p w14:paraId="3A65884B">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单价</w:t>
            </w:r>
          </w:p>
        </w:tc>
        <w:tc>
          <w:tcPr>
            <w:tcW w:w="792" w:type="dxa"/>
            <w:tcBorders>
              <w:top w:val="single" w:color="000000" w:sz="4" w:space="0"/>
              <w:left w:val="single" w:color="000000" w:sz="4" w:space="0"/>
              <w:bottom w:val="single" w:color="000000" w:sz="4" w:space="0"/>
              <w:right w:val="single" w:color="000000" w:sz="4" w:space="0"/>
            </w:tcBorders>
            <w:noWrap w:val="0"/>
            <w:vAlign w:val="center"/>
          </w:tcPr>
          <w:p w14:paraId="48EBBC23">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小计</w:t>
            </w:r>
          </w:p>
        </w:tc>
      </w:tr>
      <w:tr w14:paraId="43029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8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4F3308">
            <w:pPr>
              <w:jc w:val="center"/>
              <w:rPr>
                <w:rFonts w:hint="eastAsia" w:ascii="宋体" w:hAnsi="宋体" w:eastAsia="宋体" w:cs="宋体"/>
                <w:i w:val="0"/>
                <w:color w:val="auto"/>
                <w:sz w:val="21"/>
                <w:szCs w:val="21"/>
                <w:u w:val="none"/>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5A9B89">
            <w:pPr>
              <w:jc w:val="center"/>
              <w:rPr>
                <w:rFonts w:hint="eastAsia" w:ascii="宋体" w:hAnsi="宋体" w:eastAsia="宋体" w:cs="宋体"/>
                <w:i w:val="0"/>
                <w:color w:val="auto"/>
                <w:sz w:val="21"/>
                <w:szCs w:val="21"/>
                <w:u w:val="none"/>
              </w:rPr>
            </w:pPr>
          </w:p>
        </w:tc>
        <w:tc>
          <w:tcPr>
            <w:tcW w:w="10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01349F">
            <w:pPr>
              <w:jc w:val="center"/>
              <w:rPr>
                <w:rFonts w:hint="eastAsia" w:ascii="宋体" w:hAnsi="宋体" w:eastAsia="宋体" w:cs="宋体"/>
                <w:i w:val="0"/>
                <w:color w:val="auto"/>
                <w:sz w:val="21"/>
                <w:szCs w:val="21"/>
                <w:u w:val="none"/>
              </w:rPr>
            </w:pPr>
          </w:p>
        </w:tc>
        <w:tc>
          <w:tcPr>
            <w:tcW w:w="45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89F1F3">
            <w:pPr>
              <w:jc w:val="center"/>
              <w:rPr>
                <w:rFonts w:hint="eastAsia" w:ascii="宋体" w:hAnsi="宋体" w:eastAsia="宋体" w:cs="宋体"/>
                <w:i w:val="0"/>
                <w:color w:val="auto"/>
                <w:sz w:val="21"/>
                <w:szCs w:val="21"/>
                <w:u w:val="none"/>
              </w:rPr>
            </w:pPr>
          </w:p>
        </w:tc>
        <w:tc>
          <w:tcPr>
            <w:tcW w:w="6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8CE812">
            <w:pPr>
              <w:jc w:val="center"/>
              <w:rPr>
                <w:rFonts w:hint="eastAsia" w:ascii="宋体" w:hAnsi="宋体" w:eastAsia="宋体" w:cs="宋体"/>
                <w:i w:val="0"/>
                <w:color w:val="auto"/>
                <w:sz w:val="21"/>
                <w:szCs w:val="21"/>
                <w:u w:val="none"/>
              </w:rPr>
            </w:pPr>
          </w:p>
        </w:tc>
        <w:tc>
          <w:tcPr>
            <w:tcW w:w="749" w:type="dxa"/>
            <w:tcBorders>
              <w:top w:val="single" w:color="000000" w:sz="4" w:space="0"/>
              <w:left w:val="single" w:color="000000" w:sz="4" w:space="0"/>
              <w:bottom w:val="single" w:color="000000" w:sz="4" w:space="0"/>
              <w:right w:val="single" w:color="000000" w:sz="4" w:space="0"/>
            </w:tcBorders>
            <w:noWrap w:val="0"/>
            <w:vAlign w:val="center"/>
          </w:tcPr>
          <w:p w14:paraId="4680225C">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(元）</w:t>
            </w:r>
          </w:p>
        </w:tc>
        <w:tc>
          <w:tcPr>
            <w:tcW w:w="792" w:type="dxa"/>
            <w:tcBorders>
              <w:top w:val="single" w:color="000000" w:sz="4" w:space="0"/>
              <w:left w:val="single" w:color="000000" w:sz="4" w:space="0"/>
              <w:bottom w:val="single" w:color="000000" w:sz="4" w:space="0"/>
              <w:right w:val="single" w:color="000000" w:sz="4" w:space="0"/>
            </w:tcBorders>
            <w:noWrap w:val="0"/>
            <w:vAlign w:val="center"/>
          </w:tcPr>
          <w:p w14:paraId="0E9B5434">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(元）</w:t>
            </w:r>
          </w:p>
        </w:tc>
      </w:tr>
      <w:tr w14:paraId="41E7A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7" w:hRule="atLeast"/>
        </w:trPr>
        <w:tc>
          <w:tcPr>
            <w:tcW w:w="857" w:type="dxa"/>
            <w:vMerge w:val="restart"/>
            <w:tcBorders>
              <w:top w:val="single" w:color="000000" w:sz="4" w:space="0"/>
              <w:left w:val="single" w:color="000000" w:sz="4" w:space="0"/>
              <w:bottom w:val="single" w:color="000000" w:sz="4" w:space="0"/>
              <w:right w:val="single" w:color="000000" w:sz="4" w:space="0"/>
            </w:tcBorders>
            <w:noWrap w:val="0"/>
            <w:vAlign w:val="center"/>
          </w:tcPr>
          <w:p w14:paraId="762F5B52">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Ⅱ</w:t>
            </w:r>
          </w:p>
        </w:tc>
        <w:tc>
          <w:tcPr>
            <w:tcW w:w="832" w:type="dxa"/>
            <w:vMerge w:val="restart"/>
            <w:tcBorders>
              <w:top w:val="single" w:color="000000" w:sz="4" w:space="0"/>
              <w:left w:val="single" w:color="000000" w:sz="4" w:space="0"/>
              <w:bottom w:val="single" w:color="000000" w:sz="4" w:space="0"/>
              <w:right w:val="single" w:color="000000" w:sz="4" w:space="0"/>
            </w:tcBorders>
            <w:noWrap w:val="0"/>
            <w:vAlign w:val="center"/>
          </w:tcPr>
          <w:p w14:paraId="6A578F5C">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种植业产品</w:t>
            </w:r>
          </w:p>
        </w:tc>
        <w:tc>
          <w:tcPr>
            <w:tcW w:w="1059" w:type="dxa"/>
            <w:tcBorders>
              <w:top w:val="single" w:color="000000" w:sz="4" w:space="0"/>
              <w:left w:val="single" w:color="000000" w:sz="4" w:space="0"/>
              <w:bottom w:val="single" w:color="000000" w:sz="4" w:space="0"/>
              <w:right w:val="single" w:color="000000" w:sz="4" w:space="0"/>
            </w:tcBorders>
            <w:noWrap w:val="0"/>
            <w:vAlign w:val="center"/>
          </w:tcPr>
          <w:p w14:paraId="2C49EE23">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风险监测</w:t>
            </w:r>
          </w:p>
        </w:tc>
        <w:tc>
          <w:tcPr>
            <w:tcW w:w="4559" w:type="dxa"/>
            <w:vMerge w:val="restart"/>
            <w:tcBorders>
              <w:top w:val="single" w:color="000000" w:sz="4" w:space="0"/>
              <w:left w:val="single" w:color="000000" w:sz="4" w:space="0"/>
              <w:bottom w:val="single" w:color="000000" w:sz="4" w:space="0"/>
              <w:right w:val="single" w:color="000000" w:sz="4" w:space="0"/>
            </w:tcBorders>
            <w:noWrap w:val="0"/>
            <w:vAlign w:val="center"/>
          </w:tcPr>
          <w:p w14:paraId="5E4BCF4E">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甲胺磷、特丁硫磷、乙酰甲胺磷、甲拌磷（包括甲拌磷砜和甲拌磷亚砜）、氧乐果、克百威（包括3-羟基克百威）、涕灭威（包括涕灭威砜、涕灭威亚砜）、灭多威、毒死蜱、水胺硫磷、甲基异柳磷、三唑磷、氟虫腈（包括氟甲腈、氟虫腈硫醚、氟虫腈砜）、乐果、治螟磷、内吸磷、三氯杀螨醇、杀扑磷、久效磷、丙溴磷、灭蝇胺，倍硫磷、噻虫嗪、噻虫胺、吡唑醚菌酯、甲氨基阿维菌素苯甲酸盐、氯氰菊酯、氯氟氰菊酯、啶虫脒、抑霉唑、咪鲜胺等多种农药，韭菜、番茄、辣椒、芒果、荔枝等样品加测腐霉利。</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2008584C">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340</w:t>
            </w:r>
          </w:p>
        </w:tc>
        <w:tc>
          <w:tcPr>
            <w:tcW w:w="749" w:type="dxa"/>
            <w:tcBorders>
              <w:top w:val="single" w:color="000000" w:sz="4" w:space="0"/>
              <w:left w:val="single" w:color="000000" w:sz="4" w:space="0"/>
              <w:bottom w:val="single" w:color="000000" w:sz="4" w:space="0"/>
              <w:right w:val="single" w:color="000000" w:sz="4" w:space="0"/>
            </w:tcBorders>
            <w:noWrap w:val="0"/>
            <w:vAlign w:val="center"/>
          </w:tcPr>
          <w:p w14:paraId="45F7A25A">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792" w:type="dxa"/>
            <w:tcBorders>
              <w:top w:val="single" w:color="000000" w:sz="4" w:space="0"/>
              <w:left w:val="single" w:color="000000" w:sz="4" w:space="0"/>
              <w:bottom w:val="single" w:color="000000" w:sz="4" w:space="0"/>
              <w:right w:val="single" w:color="000000" w:sz="4" w:space="0"/>
            </w:tcBorders>
            <w:noWrap/>
            <w:vAlign w:val="center"/>
          </w:tcPr>
          <w:p w14:paraId="52A67451">
            <w:pPr>
              <w:keepNext w:val="0"/>
              <w:keepLines w:val="0"/>
              <w:widowControl/>
              <w:suppressLineNumbers w:val="0"/>
              <w:jc w:val="center"/>
              <w:textAlignment w:val="center"/>
              <w:rPr>
                <w:rFonts w:hint="eastAsia" w:ascii="宋体" w:hAnsi="宋体" w:eastAsia="宋体" w:cs="宋体"/>
                <w:i w:val="0"/>
                <w:color w:val="auto"/>
                <w:sz w:val="22"/>
                <w:szCs w:val="22"/>
                <w:u w:val="none"/>
              </w:rPr>
            </w:pPr>
          </w:p>
        </w:tc>
      </w:tr>
      <w:tr w14:paraId="7A8F4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5" w:hRule="atLeast"/>
        </w:trPr>
        <w:tc>
          <w:tcPr>
            <w:tcW w:w="8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1385AF">
            <w:pPr>
              <w:jc w:val="center"/>
              <w:rPr>
                <w:rFonts w:hint="eastAsia" w:ascii="宋体" w:hAnsi="宋体" w:eastAsia="宋体" w:cs="宋体"/>
                <w:i w:val="0"/>
                <w:color w:val="auto"/>
                <w:sz w:val="21"/>
                <w:szCs w:val="21"/>
                <w:u w:val="none"/>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763603">
            <w:pPr>
              <w:jc w:val="center"/>
              <w:rPr>
                <w:rFonts w:hint="eastAsia" w:ascii="宋体" w:hAnsi="宋体" w:eastAsia="宋体" w:cs="宋体"/>
                <w:i w:val="0"/>
                <w:color w:val="auto"/>
                <w:sz w:val="21"/>
                <w:szCs w:val="21"/>
                <w:u w:val="none"/>
              </w:rPr>
            </w:pPr>
          </w:p>
        </w:tc>
        <w:tc>
          <w:tcPr>
            <w:tcW w:w="1059" w:type="dxa"/>
            <w:tcBorders>
              <w:top w:val="single" w:color="000000" w:sz="4" w:space="0"/>
              <w:left w:val="single" w:color="000000" w:sz="4" w:space="0"/>
              <w:bottom w:val="single" w:color="000000" w:sz="4" w:space="0"/>
              <w:right w:val="single" w:color="000000" w:sz="4" w:space="0"/>
            </w:tcBorders>
            <w:noWrap w:val="0"/>
            <w:vAlign w:val="center"/>
          </w:tcPr>
          <w:p w14:paraId="4A30B79A">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监督抽检</w:t>
            </w:r>
          </w:p>
        </w:tc>
        <w:tc>
          <w:tcPr>
            <w:tcW w:w="45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732E71">
            <w:pPr>
              <w:jc w:val="center"/>
              <w:rPr>
                <w:rFonts w:hint="eastAsia" w:ascii="宋体" w:hAnsi="宋体" w:eastAsia="宋体" w:cs="宋体"/>
                <w:i w:val="0"/>
                <w:color w:val="auto"/>
                <w:sz w:val="21"/>
                <w:szCs w:val="21"/>
                <w:u w:val="none"/>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6385FEC9">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540</w:t>
            </w:r>
          </w:p>
        </w:tc>
        <w:tc>
          <w:tcPr>
            <w:tcW w:w="749" w:type="dxa"/>
            <w:tcBorders>
              <w:top w:val="single" w:color="000000" w:sz="4" w:space="0"/>
              <w:left w:val="single" w:color="000000" w:sz="4" w:space="0"/>
              <w:bottom w:val="single" w:color="000000" w:sz="4" w:space="0"/>
              <w:right w:val="single" w:color="000000" w:sz="4" w:space="0"/>
            </w:tcBorders>
            <w:noWrap w:val="0"/>
            <w:vAlign w:val="center"/>
          </w:tcPr>
          <w:p w14:paraId="38D7502D">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792" w:type="dxa"/>
            <w:tcBorders>
              <w:top w:val="single" w:color="000000" w:sz="4" w:space="0"/>
              <w:left w:val="single" w:color="000000" w:sz="4" w:space="0"/>
              <w:bottom w:val="single" w:color="000000" w:sz="4" w:space="0"/>
              <w:right w:val="single" w:color="000000" w:sz="4" w:space="0"/>
            </w:tcBorders>
            <w:noWrap/>
            <w:vAlign w:val="center"/>
          </w:tcPr>
          <w:p w14:paraId="58251F62">
            <w:pPr>
              <w:keepNext w:val="0"/>
              <w:keepLines w:val="0"/>
              <w:widowControl/>
              <w:suppressLineNumbers w:val="0"/>
              <w:jc w:val="center"/>
              <w:textAlignment w:val="center"/>
              <w:rPr>
                <w:rFonts w:hint="eastAsia" w:ascii="宋体" w:hAnsi="宋体" w:eastAsia="宋体" w:cs="宋体"/>
                <w:i w:val="0"/>
                <w:color w:val="auto"/>
                <w:sz w:val="22"/>
                <w:szCs w:val="22"/>
                <w:u w:val="none"/>
              </w:rPr>
            </w:pPr>
          </w:p>
        </w:tc>
      </w:tr>
      <w:tr w14:paraId="4FABE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8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0B7056">
            <w:pPr>
              <w:jc w:val="center"/>
              <w:rPr>
                <w:rFonts w:hint="eastAsia" w:ascii="宋体" w:hAnsi="宋体" w:eastAsia="宋体" w:cs="宋体"/>
                <w:i w:val="0"/>
                <w:color w:val="auto"/>
                <w:sz w:val="21"/>
                <w:szCs w:val="21"/>
                <w:u w:val="none"/>
              </w:rPr>
            </w:pPr>
          </w:p>
        </w:tc>
        <w:tc>
          <w:tcPr>
            <w:tcW w:w="832" w:type="dxa"/>
            <w:vMerge w:val="restart"/>
            <w:tcBorders>
              <w:top w:val="single" w:color="000000" w:sz="4" w:space="0"/>
              <w:left w:val="single" w:color="000000" w:sz="4" w:space="0"/>
              <w:bottom w:val="single" w:color="000000" w:sz="4" w:space="0"/>
              <w:right w:val="single" w:color="000000" w:sz="4" w:space="0"/>
            </w:tcBorders>
            <w:noWrap w:val="0"/>
            <w:vAlign w:val="center"/>
          </w:tcPr>
          <w:p w14:paraId="45906C89">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畜牧产品</w:t>
            </w:r>
          </w:p>
        </w:tc>
        <w:tc>
          <w:tcPr>
            <w:tcW w:w="1059" w:type="dxa"/>
            <w:tcBorders>
              <w:top w:val="single" w:color="000000" w:sz="4" w:space="0"/>
              <w:left w:val="single" w:color="000000" w:sz="4" w:space="0"/>
              <w:bottom w:val="single" w:color="000000" w:sz="4" w:space="0"/>
              <w:right w:val="single" w:color="000000" w:sz="4" w:space="0"/>
            </w:tcBorders>
            <w:noWrap w:val="0"/>
            <w:vAlign w:val="center"/>
          </w:tcPr>
          <w:p w14:paraId="150AAC79">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风险监测</w:t>
            </w:r>
          </w:p>
        </w:tc>
        <w:tc>
          <w:tcPr>
            <w:tcW w:w="4559" w:type="dxa"/>
            <w:vMerge w:val="restart"/>
            <w:tcBorders>
              <w:top w:val="single" w:color="000000" w:sz="4" w:space="0"/>
              <w:left w:val="single" w:color="000000" w:sz="4" w:space="0"/>
              <w:bottom w:val="single" w:color="000000" w:sz="4" w:space="0"/>
              <w:right w:val="single" w:color="000000" w:sz="4" w:space="0"/>
            </w:tcBorders>
            <w:noWrap w:val="0"/>
            <w:vAlign w:val="center"/>
          </w:tcPr>
          <w:p w14:paraId="25BCA5AA">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磺胺类、氟苯尼考、氟喹诺酮类、硝基呋喃代谢物、四环素、氯霉素、青霉素、多西环素、土霉素、金霉素、金刚烷胺等，猪牛羊产品加测盐酸克伦特罗、沙丁胺醇、莱克多巴胺、硫酸特布他林、马布特罗、溴布特罗。</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31F3FCDD">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w:t>
            </w:r>
          </w:p>
        </w:tc>
        <w:tc>
          <w:tcPr>
            <w:tcW w:w="749" w:type="dxa"/>
            <w:tcBorders>
              <w:top w:val="single" w:color="000000" w:sz="4" w:space="0"/>
              <w:left w:val="single" w:color="000000" w:sz="4" w:space="0"/>
              <w:bottom w:val="single" w:color="000000" w:sz="4" w:space="0"/>
              <w:right w:val="single" w:color="000000" w:sz="4" w:space="0"/>
            </w:tcBorders>
            <w:noWrap w:val="0"/>
            <w:vAlign w:val="center"/>
          </w:tcPr>
          <w:p w14:paraId="2ABC5AC5">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792" w:type="dxa"/>
            <w:tcBorders>
              <w:top w:val="single" w:color="000000" w:sz="4" w:space="0"/>
              <w:left w:val="single" w:color="000000" w:sz="4" w:space="0"/>
              <w:bottom w:val="single" w:color="000000" w:sz="4" w:space="0"/>
              <w:right w:val="single" w:color="000000" w:sz="4" w:space="0"/>
            </w:tcBorders>
            <w:noWrap/>
            <w:vAlign w:val="center"/>
          </w:tcPr>
          <w:p w14:paraId="7D4AE0D6">
            <w:pPr>
              <w:keepNext w:val="0"/>
              <w:keepLines w:val="0"/>
              <w:widowControl/>
              <w:suppressLineNumbers w:val="0"/>
              <w:jc w:val="center"/>
              <w:textAlignment w:val="center"/>
              <w:rPr>
                <w:rFonts w:hint="eastAsia" w:ascii="宋体" w:hAnsi="宋体" w:eastAsia="宋体" w:cs="宋体"/>
                <w:i w:val="0"/>
                <w:color w:val="auto"/>
                <w:sz w:val="22"/>
                <w:szCs w:val="22"/>
                <w:u w:val="none"/>
              </w:rPr>
            </w:pPr>
          </w:p>
        </w:tc>
      </w:tr>
      <w:tr w14:paraId="7EDC2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trPr>
        <w:tc>
          <w:tcPr>
            <w:tcW w:w="8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389DEE">
            <w:pPr>
              <w:jc w:val="center"/>
              <w:rPr>
                <w:rFonts w:hint="eastAsia" w:ascii="宋体" w:hAnsi="宋体" w:eastAsia="宋体" w:cs="宋体"/>
                <w:i w:val="0"/>
                <w:color w:val="auto"/>
                <w:sz w:val="21"/>
                <w:szCs w:val="21"/>
                <w:u w:val="none"/>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117E05">
            <w:pPr>
              <w:jc w:val="center"/>
              <w:rPr>
                <w:rFonts w:hint="eastAsia" w:ascii="宋体" w:hAnsi="宋体" w:eastAsia="宋体" w:cs="宋体"/>
                <w:i w:val="0"/>
                <w:color w:val="auto"/>
                <w:sz w:val="21"/>
                <w:szCs w:val="21"/>
                <w:u w:val="none"/>
              </w:rPr>
            </w:pPr>
          </w:p>
        </w:tc>
        <w:tc>
          <w:tcPr>
            <w:tcW w:w="1059" w:type="dxa"/>
            <w:tcBorders>
              <w:top w:val="single" w:color="000000" w:sz="4" w:space="0"/>
              <w:left w:val="single" w:color="000000" w:sz="4" w:space="0"/>
              <w:bottom w:val="single" w:color="000000" w:sz="4" w:space="0"/>
              <w:right w:val="single" w:color="000000" w:sz="4" w:space="0"/>
            </w:tcBorders>
            <w:noWrap w:val="0"/>
            <w:vAlign w:val="center"/>
          </w:tcPr>
          <w:p w14:paraId="1D1D6072">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监督抽检</w:t>
            </w:r>
          </w:p>
        </w:tc>
        <w:tc>
          <w:tcPr>
            <w:tcW w:w="45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90A721">
            <w:pPr>
              <w:jc w:val="center"/>
              <w:rPr>
                <w:rFonts w:hint="eastAsia" w:ascii="宋体" w:hAnsi="宋体" w:eastAsia="宋体" w:cs="宋体"/>
                <w:i w:val="0"/>
                <w:color w:val="auto"/>
                <w:sz w:val="21"/>
                <w:szCs w:val="21"/>
                <w:u w:val="none"/>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42632388">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w:t>
            </w:r>
          </w:p>
        </w:tc>
        <w:tc>
          <w:tcPr>
            <w:tcW w:w="749" w:type="dxa"/>
            <w:tcBorders>
              <w:top w:val="single" w:color="000000" w:sz="4" w:space="0"/>
              <w:left w:val="single" w:color="000000" w:sz="4" w:space="0"/>
              <w:bottom w:val="single" w:color="000000" w:sz="4" w:space="0"/>
              <w:right w:val="single" w:color="000000" w:sz="4" w:space="0"/>
            </w:tcBorders>
            <w:noWrap w:val="0"/>
            <w:vAlign w:val="center"/>
          </w:tcPr>
          <w:p w14:paraId="4ACF0C78">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792" w:type="dxa"/>
            <w:tcBorders>
              <w:top w:val="single" w:color="000000" w:sz="4" w:space="0"/>
              <w:left w:val="single" w:color="000000" w:sz="4" w:space="0"/>
              <w:bottom w:val="single" w:color="000000" w:sz="4" w:space="0"/>
              <w:right w:val="single" w:color="000000" w:sz="4" w:space="0"/>
            </w:tcBorders>
            <w:noWrap/>
            <w:vAlign w:val="center"/>
          </w:tcPr>
          <w:p w14:paraId="3DD3188B">
            <w:pPr>
              <w:keepNext w:val="0"/>
              <w:keepLines w:val="0"/>
              <w:widowControl/>
              <w:suppressLineNumbers w:val="0"/>
              <w:jc w:val="center"/>
              <w:textAlignment w:val="center"/>
              <w:rPr>
                <w:rFonts w:hint="eastAsia" w:ascii="宋体" w:hAnsi="宋体" w:eastAsia="宋体" w:cs="宋体"/>
                <w:i w:val="0"/>
                <w:color w:val="auto"/>
                <w:sz w:val="22"/>
                <w:szCs w:val="22"/>
                <w:u w:val="none"/>
              </w:rPr>
            </w:pPr>
          </w:p>
        </w:tc>
      </w:tr>
      <w:tr w14:paraId="04C07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8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6E17FB">
            <w:pPr>
              <w:jc w:val="center"/>
              <w:rPr>
                <w:rFonts w:hint="eastAsia" w:ascii="宋体" w:hAnsi="宋体" w:eastAsia="宋体" w:cs="宋体"/>
                <w:i w:val="0"/>
                <w:color w:val="auto"/>
                <w:sz w:val="21"/>
                <w:szCs w:val="21"/>
                <w:u w:val="none"/>
              </w:rPr>
            </w:pPr>
          </w:p>
        </w:tc>
        <w:tc>
          <w:tcPr>
            <w:tcW w:w="832" w:type="dxa"/>
            <w:vMerge w:val="restart"/>
            <w:tcBorders>
              <w:top w:val="single" w:color="000000" w:sz="4" w:space="0"/>
              <w:left w:val="single" w:color="000000" w:sz="4" w:space="0"/>
              <w:right w:val="single" w:color="000000" w:sz="4" w:space="0"/>
            </w:tcBorders>
            <w:noWrap w:val="0"/>
            <w:vAlign w:val="center"/>
          </w:tcPr>
          <w:p w14:paraId="3D7DB7B4">
            <w:pPr>
              <w:keepNext w:val="0"/>
              <w:keepLines w:val="0"/>
              <w:widowControl/>
              <w:suppressLineNumbers w:val="0"/>
              <w:jc w:val="center"/>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淡水产品</w:t>
            </w:r>
          </w:p>
          <w:p w14:paraId="7CF3A08B">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1059" w:type="dxa"/>
            <w:tcBorders>
              <w:top w:val="single" w:color="000000" w:sz="4" w:space="0"/>
              <w:left w:val="single" w:color="000000" w:sz="4" w:space="0"/>
              <w:bottom w:val="single" w:color="000000" w:sz="4" w:space="0"/>
              <w:right w:val="single" w:color="000000" w:sz="4" w:space="0"/>
            </w:tcBorders>
            <w:noWrap w:val="0"/>
            <w:vAlign w:val="center"/>
          </w:tcPr>
          <w:p w14:paraId="1B749736">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风险监测</w:t>
            </w:r>
          </w:p>
        </w:tc>
        <w:tc>
          <w:tcPr>
            <w:tcW w:w="4559" w:type="dxa"/>
            <w:vMerge w:val="restart"/>
            <w:tcBorders>
              <w:top w:val="single" w:color="000000" w:sz="4" w:space="0"/>
              <w:left w:val="single" w:color="000000" w:sz="4" w:space="0"/>
              <w:bottom w:val="single" w:color="000000" w:sz="4" w:space="0"/>
              <w:right w:val="single" w:color="000000" w:sz="4" w:space="0"/>
            </w:tcBorders>
            <w:noWrap w:val="0"/>
            <w:vAlign w:val="center"/>
          </w:tcPr>
          <w:p w14:paraId="0B8782C8">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氯霉素、孔雀石绿、硝基呋喃代谢物、洛美沙星、培氟沙星、诺氟沙星、氧氟沙星、地西泮、恩诺沙星和环丙沙星、磺胺类(磺胺嘧啶、磺胺二甲基嘧啶、磺胺间甲氧嘧啶、磺胺甲基异噁唑4种)等。</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0CA4C110">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w:t>
            </w:r>
          </w:p>
        </w:tc>
        <w:tc>
          <w:tcPr>
            <w:tcW w:w="749" w:type="dxa"/>
            <w:tcBorders>
              <w:top w:val="single" w:color="000000" w:sz="4" w:space="0"/>
              <w:left w:val="single" w:color="000000" w:sz="4" w:space="0"/>
              <w:bottom w:val="single" w:color="000000" w:sz="4" w:space="0"/>
              <w:right w:val="single" w:color="000000" w:sz="4" w:space="0"/>
            </w:tcBorders>
            <w:noWrap w:val="0"/>
            <w:vAlign w:val="center"/>
          </w:tcPr>
          <w:p w14:paraId="28ADF081">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792" w:type="dxa"/>
            <w:tcBorders>
              <w:top w:val="single" w:color="000000" w:sz="4" w:space="0"/>
              <w:left w:val="single" w:color="000000" w:sz="4" w:space="0"/>
              <w:bottom w:val="single" w:color="000000" w:sz="4" w:space="0"/>
              <w:right w:val="single" w:color="000000" w:sz="4" w:space="0"/>
            </w:tcBorders>
            <w:noWrap/>
            <w:vAlign w:val="center"/>
          </w:tcPr>
          <w:p w14:paraId="05978D99">
            <w:pPr>
              <w:keepNext w:val="0"/>
              <w:keepLines w:val="0"/>
              <w:widowControl/>
              <w:suppressLineNumbers w:val="0"/>
              <w:jc w:val="center"/>
              <w:textAlignment w:val="center"/>
              <w:rPr>
                <w:rFonts w:hint="eastAsia" w:ascii="宋体" w:hAnsi="宋体" w:eastAsia="宋体" w:cs="宋体"/>
                <w:i w:val="0"/>
                <w:color w:val="auto"/>
                <w:sz w:val="22"/>
                <w:szCs w:val="22"/>
                <w:u w:val="none"/>
              </w:rPr>
            </w:pPr>
          </w:p>
        </w:tc>
      </w:tr>
      <w:tr w14:paraId="23E23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trPr>
        <w:tc>
          <w:tcPr>
            <w:tcW w:w="8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69A743">
            <w:pPr>
              <w:jc w:val="center"/>
              <w:rPr>
                <w:rFonts w:hint="eastAsia" w:ascii="宋体" w:hAnsi="宋体" w:eastAsia="宋体" w:cs="宋体"/>
                <w:i w:val="0"/>
                <w:color w:val="auto"/>
                <w:sz w:val="21"/>
                <w:szCs w:val="21"/>
                <w:u w:val="none"/>
              </w:rPr>
            </w:pPr>
          </w:p>
        </w:tc>
        <w:tc>
          <w:tcPr>
            <w:tcW w:w="832" w:type="dxa"/>
            <w:vMerge w:val="continue"/>
            <w:tcBorders>
              <w:left w:val="single" w:color="000000" w:sz="4" w:space="0"/>
              <w:bottom w:val="single" w:color="000000" w:sz="4" w:space="0"/>
              <w:right w:val="single" w:color="000000" w:sz="4" w:space="0"/>
            </w:tcBorders>
            <w:noWrap w:val="0"/>
            <w:vAlign w:val="center"/>
          </w:tcPr>
          <w:p w14:paraId="44C5C751">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1059" w:type="dxa"/>
            <w:tcBorders>
              <w:top w:val="single" w:color="000000" w:sz="4" w:space="0"/>
              <w:left w:val="single" w:color="000000" w:sz="4" w:space="0"/>
              <w:bottom w:val="single" w:color="000000" w:sz="4" w:space="0"/>
              <w:right w:val="single" w:color="000000" w:sz="4" w:space="0"/>
            </w:tcBorders>
            <w:noWrap w:val="0"/>
            <w:vAlign w:val="center"/>
          </w:tcPr>
          <w:p w14:paraId="0A6B7D83">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监督抽检</w:t>
            </w:r>
          </w:p>
        </w:tc>
        <w:tc>
          <w:tcPr>
            <w:tcW w:w="45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A0EACA">
            <w:pPr>
              <w:jc w:val="center"/>
              <w:rPr>
                <w:rFonts w:hint="eastAsia" w:ascii="宋体" w:hAnsi="宋体" w:eastAsia="宋体" w:cs="宋体"/>
                <w:i w:val="0"/>
                <w:color w:val="auto"/>
                <w:sz w:val="21"/>
                <w:szCs w:val="21"/>
                <w:u w:val="none"/>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04FF527B">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w:t>
            </w:r>
          </w:p>
        </w:tc>
        <w:tc>
          <w:tcPr>
            <w:tcW w:w="749" w:type="dxa"/>
            <w:tcBorders>
              <w:top w:val="single" w:color="000000" w:sz="4" w:space="0"/>
              <w:left w:val="single" w:color="000000" w:sz="4" w:space="0"/>
              <w:bottom w:val="single" w:color="000000" w:sz="4" w:space="0"/>
              <w:right w:val="single" w:color="000000" w:sz="4" w:space="0"/>
            </w:tcBorders>
            <w:noWrap w:val="0"/>
            <w:vAlign w:val="center"/>
          </w:tcPr>
          <w:p w14:paraId="494DA32A">
            <w:pPr>
              <w:keepNext w:val="0"/>
              <w:keepLines w:val="0"/>
              <w:widowControl/>
              <w:suppressLineNumbers w:val="0"/>
              <w:jc w:val="center"/>
              <w:textAlignment w:val="center"/>
              <w:rPr>
                <w:rFonts w:hint="eastAsia" w:ascii="宋体" w:hAnsi="宋体" w:eastAsia="宋体" w:cs="宋体"/>
                <w:i w:val="0"/>
                <w:color w:val="auto"/>
                <w:sz w:val="21"/>
                <w:szCs w:val="21"/>
                <w:u w:val="none"/>
              </w:rPr>
            </w:pPr>
          </w:p>
        </w:tc>
        <w:tc>
          <w:tcPr>
            <w:tcW w:w="792" w:type="dxa"/>
            <w:tcBorders>
              <w:top w:val="single" w:color="000000" w:sz="4" w:space="0"/>
              <w:left w:val="single" w:color="000000" w:sz="4" w:space="0"/>
              <w:bottom w:val="single" w:color="000000" w:sz="4" w:space="0"/>
              <w:right w:val="single" w:color="000000" w:sz="4" w:space="0"/>
            </w:tcBorders>
            <w:noWrap/>
            <w:vAlign w:val="center"/>
          </w:tcPr>
          <w:p w14:paraId="63BA9C53">
            <w:pPr>
              <w:keepNext w:val="0"/>
              <w:keepLines w:val="0"/>
              <w:widowControl/>
              <w:suppressLineNumbers w:val="0"/>
              <w:jc w:val="center"/>
              <w:textAlignment w:val="center"/>
              <w:rPr>
                <w:rFonts w:hint="eastAsia" w:ascii="宋体" w:hAnsi="宋体" w:eastAsia="宋体" w:cs="宋体"/>
                <w:i w:val="0"/>
                <w:color w:val="auto"/>
                <w:sz w:val="22"/>
                <w:szCs w:val="22"/>
                <w:u w:val="none"/>
              </w:rPr>
            </w:pPr>
          </w:p>
        </w:tc>
      </w:tr>
      <w:tr w14:paraId="0E551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8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3D98AF">
            <w:pPr>
              <w:jc w:val="center"/>
              <w:rPr>
                <w:rFonts w:hint="eastAsia" w:ascii="宋体" w:hAnsi="宋体" w:eastAsia="宋体" w:cs="宋体"/>
                <w:i w:val="0"/>
                <w:color w:val="auto"/>
                <w:sz w:val="21"/>
                <w:szCs w:val="21"/>
                <w:u w:val="none"/>
              </w:rPr>
            </w:pPr>
          </w:p>
        </w:tc>
        <w:tc>
          <w:tcPr>
            <w:tcW w:w="832" w:type="dxa"/>
            <w:tcBorders>
              <w:top w:val="single" w:color="000000" w:sz="4" w:space="0"/>
              <w:left w:val="single" w:color="000000" w:sz="4" w:space="0"/>
              <w:bottom w:val="single" w:color="000000" w:sz="4" w:space="0"/>
              <w:right w:val="single" w:color="000000" w:sz="4" w:space="0"/>
            </w:tcBorders>
            <w:noWrap/>
            <w:vAlign w:val="center"/>
          </w:tcPr>
          <w:p w14:paraId="0E1D040D">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合计</w:t>
            </w:r>
          </w:p>
        </w:tc>
        <w:tc>
          <w:tcPr>
            <w:tcW w:w="1059" w:type="dxa"/>
            <w:tcBorders>
              <w:top w:val="single" w:color="000000" w:sz="4" w:space="0"/>
              <w:left w:val="single" w:color="000000" w:sz="4" w:space="0"/>
              <w:bottom w:val="single" w:color="000000" w:sz="4" w:space="0"/>
              <w:right w:val="single" w:color="000000" w:sz="4" w:space="0"/>
            </w:tcBorders>
            <w:noWrap/>
            <w:vAlign w:val="center"/>
          </w:tcPr>
          <w:p w14:paraId="144657C2">
            <w:pPr>
              <w:jc w:val="center"/>
              <w:rPr>
                <w:rFonts w:hint="eastAsia" w:ascii="宋体" w:hAnsi="宋体" w:eastAsia="宋体" w:cs="宋体"/>
                <w:i w:val="0"/>
                <w:color w:val="auto"/>
                <w:sz w:val="22"/>
                <w:szCs w:val="22"/>
                <w:u w:val="none"/>
              </w:rPr>
            </w:pPr>
          </w:p>
        </w:tc>
        <w:tc>
          <w:tcPr>
            <w:tcW w:w="4559" w:type="dxa"/>
            <w:tcBorders>
              <w:top w:val="single" w:color="000000" w:sz="4" w:space="0"/>
              <w:left w:val="single" w:color="000000" w:sz="4" w:space="0"/>
              <w:bottom w:val="single" w:color="000000" w:sz="4" w:space="0"/>
              <w:right w:val="single" w:color="000000" w:sz="4" w:space="0"/>
            </w:tcBorders>
            <w:noWrap/>
            <w:vAlign w:val="center"/>
          </w:tcPr>
          <w:p w14:paraId="49C99F0E">
            <w:pPr>
              <w:jc w:val="center"/>
              <w:rPr>
                <w:rFonts w:hint="eastAsia" w:ascii="宋体" w:hAnsi="宋体" w:eastAsia="宋体" w:cs="宋体"/>
                <w:i w:val="0"/>
                <w:color w:val="auto"/>
                <w:sz w:val="22"/>
                <w:szCs w:val="22"/>
                <w:u w:val="none"/>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13E3A0C5">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960</w:t>
            </w:r>
          </w:p>
        </w:tc>
        <w:tc>
          <w:tcPr>
            <w:tcW w:w="749" w:type="dxa"/>
            <w:tcBorders>
              <w:top w:val="single" w:color="000000" w:sz="4" w:space="0"/>
              <w:left w:val="single" w:color="000000" w:sz="4" w:space="0"/>
              <w:bottom w:val="single" w:color="000000" w:sz="4" w:space="0"/>
              <w:right w:val="single" w:color="000000" w:sz="4" w:space="0"/>
            </w:tcBorders>
            <w:noWrap/>
            <w:vAlign w:val="center"/>
          </w:tcPr>
          <w:p w14:paraId="6C3B1737">
            <w:pPr>
              <w:keepNext w:val="0"/>
              <w:keepLines w:val="0"/>
              <w:widowControl/>
              <w:suppressLineNumbers w:val="0"/>
              <w:jc w:val="center"/>
              <w:textAlignment w:val="center"/>
              <w:rPr>
                <w:rFonts w:hint="eastAsia" w:ascii="宋体" w:hAnsi="宋体" w:eastAsia="宋体" w:cs="宋体"/>
                <w:i w:val="0"/>
                <w:color w:val="auto"/>
                <w:sz w:val="22"/>
                <w:szCs w:val="22"/>
                <w:u w:val="none"/>
              </w:rPr>
            </w:pPr>
          </w:p>
        </w:tc>
        <w:tc>
          <w:tcPr>
            <w:tcW w:w="792" w:type="dxa"/>
            <w:tcBorders>
              <w:top w:val="single" w:color="000000" w:sz="4" w:space="0"/>
              <w:left w:val="single" w:color="000000" w:sz="4" w:space="0"/>
              <w:bottom w:val="single" w:color="000000" w:sz="4" w:space="0"/>
              <w:right w:val="single" w:color="000000" w:sz="4" w:space="0"/>
            </w:tcBorders>
            <w:noWrap/>
            <w:vAlign w:val="center"/>
          </w:tcPr>
          <w:p w14:paraId="339D6C9A">
            <w:pPr>
              <w:keepNext w:val="0"/>
              <w:keepLines w:val="0"/>
              <w:widowControl/>
              <w:suppressLineNumbers w:val="0"/>
              <w:jc w:val="center"/>
              <w:textAlignment w:val="center"/>
              <w:rPr>
                <w:rFonts w:hint="eastAsia" w:ascii="宋体" w:hAnsi="宋体" w:eastAsia="宋体" w:cs="宋体"/>
                <w:i w:val="0"/>
                <w:color w:val="auto"/>
                <w:sz w:val="22"/>
                <w:szCs w:val="22"/>
                <w:u w:val="none"/>
              </w:rPr>
            </w:pPr>
          </w:p>
        </w:tc>
      </w:tr>
    </w:tbl>
    <w:p w14:paraId="57470A1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注：</w:t>
      </w:r>
    </w:p>
    <w:p w14:paraId="3DE537AA">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eastAsia" w:ascii="宋体" w:hAnsi="宋体" w:eastAsia="宋体" w:cs="宋体"/>
          <w:color w:val="auto"/>
          <w:szCs w:val="21"/>
          <w:highlight w:val="none"/>
          <w:lang w:val="zh-CN" w:eastAsia="zh-CN"/>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lang w:val="zh-CN" w:eastAsia="zh-CN"/>
        </w:rPr>
        <w:t>报价时均不能超过预算单价，否则响应无效。</w:t>
      </w:r>
    </w:p>
    <w:p w14:paraId="1C8C41A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磋商供应商</w:t>
      </w:r>
      <w:r>
        <w:rPr>
          <w:rFonts w:hint="eastAsia" w:ascii="宋体" w:hAnsi="宋体" w:eastAsia="宋体" w:cs="宋体"/>
          <w:color w:val="auto"/>
          <w:szCs w:val="21"/>
          <w:highlight w:val="none"/>
        </w:rPr>
        <w:t>的投标报价应包括但不限于完成</w:t>
      </w:r>
      <w:r>
        <w:rPr>
          <w:rFonts w:hint="eastAsia" w:ascii="宋体" w:hAnsi="宋体" w:eastAsia="宋体" w:cs="宋体"/>
          <w:color w:val="auto"/>
          <w:szCs w:val="21"/>
          <w:highlight w:val="none"/>
          <w:lang w:eastAsia="zh-CN"/>
        </w:rPr>
        <w:t>本项目</w:t>
      </w:r>
      <w:r>
        <w:rPr>
          <w:rFonts w:hint="eastAsia" w:ascii="宋体" w:hAnsi="宋体" w:eastAsia="宋体" w:cs="宋体"/>
          <w:color w:val="auto"/>
          <w:szCs w:val="21"/>
          <w:highlight w:val="none"/>
        </w:rPr>
        <w:t>所需的一切费用（含购买</w:t>
      </w:r>
      <w:r>
        <w:rPr>
          <w:rFonts w:hint="eastAsia" w:ascii="宋体" w:hAnsi="宋体" w:eastAsia="宋体" w:cs="宋体"/>
          <w:color w:val="auto"/>
          <w:szCs w:val="21"/>
          <w:highlight w:val="none"/>
          <w:lang w:eastAsia="zh-CN"/>
        </w:rPr>
        <w:t>样品、</w:t>
      </w:r>
      <w:r>
        <w:rPr>
          <w:rFonts w:hint="eastAsia" w:ascii="宋体" w:hAnsi="宋体" w:eastAsia="宋体" w:cs="宋体"/>
          <w:color w:val="auto"/>
          <w:szCs w:val="21"/>
          <w:highlight w:val="none"/>
        </w:rPr>
        <w:t>协助抽样与制样、各项检测指标、技术服务、</w:t>
      </w:r>
      <w:r>
        <w:rPr>
          <w:rFonts w:hint="eastAsia" w:ascii="宋体" w:hAnsi="宋体" w:eastAsia="宋体" w:cs="宋体"/>
          <w:color w:val="auto"/>
          <w:szCs w:val="21"/>
          <w:highlight w:val="none"/>
          <w:lang w:eastAsia="zh-CN"/>
        </w:rPr>
        <w:t>代理机构服务费、</w:t>
      </w:r>
      <w:r>
        <w:rPr>
          <w:rFonts w:hint="eastAsia" w:ascii="宋体" w:hAnsi="宋体" w:eastAsia="宋体" w:cs="宋体"/>
          <w:color w:val="auto"/>
          <w:szCs w:val="21"/>
          <w:highlight w:val="none"/>
        </w:rPr>
        <w:t>验收</w:t>
      </w:r>
      <w:r>
        <w:rPr>
          <w:rFonts w:hint="eastAsia" w:ascii="宋体" w:hAnsi="宋体" w:eastAsia="宋体" w:cs="宋体"/>
          <w:color w:val="auto"/>
          <w:szCs w:val="21"/>
          <w:highlight w:val="none"/>
          <w:lang w:eastAsia="zh-CN"/>
        </w:rPr>
        <w:t>及税费</w:t>
      </w:r>
      <w:r>
        <w:rPr>
          <w:rFonts w:hint="eastAsia" w:ascii="宋体" w:hAnsi="宋体" w:eastAsia="宋体" w:cs="宋体"/>
          <w:color w:val="auto"/>
          <w:szCs w:val="21"/>
          <w:highlight w:val="none"/>
        </w:rPr>
        <w:t>等费用）</w:t>
      </w:r>
    </w:p>
    <w:p w14:paraId="62AD802F">
      <w:pPr>
        <w:keepNext w:val="0"/>
        <w:keepLines w:val="0"/>
        <w:pageBreakBefore w:val="0"/>
        <w:widowControl w:val="0"/>
        <w:kinsoku/>
        <w:wordWrap/>
        <w:overflowPunct/>
        <w:topLinePunct w:val="0"/>
        <w:autoSpaceDE/>
        <w:autoSpaceDN/>
        <w:bidi w:val="0"/>
        <w:adjustRightInd/>
        <w:snapToGrid/>
        <w:spacing w:line="400" w:lineRule="exact"/>
        <w:ind w:firstLine="3150" w:firstLineChars="1500"/>
        <w:textAlignment w:val="auto"/>
        <w:rPr>
          <w:rFonts w:hint="eastAsia" w:ascii="宋体" w:hAnsi="宋体" w:eastAsia="宋体" w:cs="宋体"/>
          <w:color w:val="auto"/>
          <w:szCs w:val="21"/>
          <w:highlight w:val="none"/>
        </w:rPr>
      </w:pPr>
    </w:p>
    <w:p w14:paraId="06F8EE06">
      <w:pPr>
        <w:keepNext w:val="0"/>
        <w:keepLines w:val="0"/>
        <w:pageBreakBefore w:val="0"/>
        <w:widowControl w:val="0"/>
        <w:kinsoku/>
        <w:wordWrap/>
        <w:overflowPunct/>
        <w:topLinePunct w:val="0"/>
        <w:autoSpaceDE/>
        <w:autoSpaceDN/>
        <w:bidi w:val="0"/>
        <w:adjustRightInd/>
        <w:snapToGrid/>
        <w:spacing w:line="400" w:lineRule="exact"/>
        <w:ind w:firstLine="3150" w:firstLineChars="15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负责人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或委托代理人（</w:t>
      </w:r>
      <w:r>
        <w:rPr>
          <w:rFonts w:hint="eastAsia" w:ascii="宋体" w:hAnsi="宋体" w:eastAsia="宋体" w:cs="宋体"/>
          <w:color w:val="auto"/>
          <w:szCs w:val="21"/>
          <w:highlight w:val="none"/>
          <w:lang w:eastAsia="zh-CN"/>
        </w:rPr>
        <w:t>签</w:t>
      </w:r>
      <w:r>
        <w:rPr>
          <w:rFonts w:hint="eastAsia" w:ascii="宋体" w:hAnsi="宋体" w:cs="宋体"/>
          <w:color w:val="auto"/>
          <w:szCs w:val="21"/>
          <w:highlight w:val="none"/>
          <w:lang w:val="en-US" w:eastAsia="zh-CN"/>
        </w:rPr>
        <w:t>名</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0B0B9F4A">
      <w:pPr>
        <w:keepNext w:val="0"/>
        <w:keepLines w:val="0"/>
        <w:pageBreakBefore w:val="0"/>
        <w:widowControl w:val="0"/>
        <w:kinsoku/>
        <w:wordWrap/>
        <w:overflowPunct/>
        <w:topLinePunct w:val="0"/>
        <w:autoSpaceDE/>
        <w:autoSpaceDN/>
        <w:bidi w:val="0"/>
        <w:adjustRightInd/>
        <w:snapToGrid/>
        <w:spacing w:line="400" w:lineRule="exact"/>
        <w:ind w:firstLine="3150" w:firstLineChars="1500"/>
        <w:textAlignment w:val="auto"/>
        <w:rPr>
          <w:rFonts w:hint="default"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rPr>
        <w:t>磋商供应商名称（</w:t>
      </w:r>
      <w:r>
        <w:rPr>
          <w:rFonts w:hint="eastAsia" w:ascii="宋体" w:hAnsi="宋体" w:eastAsia="宋体" w:cs="宋体"/>
          <w:color w:val="auto"/>
          <w:szCs w:val="21"/>
          <w:highlight w:val="none"/>
          <w:lang w:eastAsia="zh-CN"/>
        </w:rPr>
        <w:t>电子</w:t>
      </w:r>
      <w:r>
        <w:rPr>
          <w:rFonts w:hint="eastAsia" w:ascii="宋体" w:hAnsi="宋体" w:cs="宋体"/>
          <w:b w:val="0"/>
          <w:bCs/>
          <w:color w:val="auto"/>
          <w:szCs w:val="21"/>
          <w:highlight w:val="none"/>
          <w:lang w:val="en-US" w:eastAsia="zh-CN"/>
        </w:rPr>
        <w:t>公章</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p>
    <w:p w14:paraId="470C0373">
      <w:pPr>
        <w:keepNext w:val="0"/>
        <w:keepLines w:val="0"/>
        <w:pageBreakBefore w:val="0"/>
        <w:widowControl w:val="0"/>
        <w:kinsoku/>
        <w:wordWrap/>
        <w:overflowPunct/>
        <w:topLinePunct w:val="0"/>
        <w:autoSpaceDE/>
        <w:autoSpaceDN/>
        <w:bidi w:val="0"/>
        <w:adjustRightInd/>
        <w:snapToGrid/>
        <w:spacing w:line="400" w:lineRule="exact"/>
        <w:ind w:firstLine="3150" w:firstLineChars="1500"/>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报价时间</w:t>
      </w:r>
      <w:r>
        <w:rPr>
          <w:rFonts w:hint="eastAsia" w:ascii="宋体" w:hAnsi="宋体" w:cs="宋体"/>
          <w:color w:val="auto"/>
          <w:highlight w:val="none"/>
          <w:lang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14:paraId="1122F10B">
      <w:pPr>
        <w:autoSpaceDE w:val="0"/>
        <w:autoSpaceDN w:val="0"/>
        <w:spacing w:line="360" w:lineRule="auto"/>
        <w:ind w:firstLine="4536" w:firstLineChars="1890"/>
        <w:jc w:val="left"/>
        <w:rPr>
          <w:rFonts w:cs="仿宋_GB2312" w:asciiTheme="minorEastAsia" w:hAnsiTheme="minorEastAsia" w:eastAsiaTheme="minorEastAsia"/>
          <w:color w:val="auto"/>
          <w:kern w:val="0"/>
          <w:sz w:val="24"/>
          <w:highlight w:val="none"/>
          <w:lang w:val="zh-CN"/>
        </w:rPr>
        <w:sectPr>
          <w:pgSz w:w="11906" w:h="16838"/>
          <w:pgMar w:top="471" w:right="1418" w:bottom="777" w:left="1418" w:header="851" w:footer="992" w:gutter="0"/>
          <w:pgNumType w:fmt="decimal"/>
          <w:cols w:space="720" w:num="1"/>
          <w:titlePg/>
          <w:docGrid w:linePitch="312" w:charSpace="0"/>
        </w:sectPr>
      </w:pPr>
    </w:p>
    <w:p w14:paraId="7526B364">
      <w:pPr>
        <w:widowControl/>
        <w:adjustRightInd/>
        <w:jc w:val="center"/>
        <w:rPr>
          <w:rFonts w:hint="eastAsia" w:asciiTheme="minorEastAsia" w:hAnsiTheme="minorEastAsia" w:eastAsiaTheme="minorEastAsia"/>
          <w:b/>
          <w:color w:val="auto"/>
          <w:sz w:val="32"/>
          <w:szCs w:val="32"/>
          <w:highlight w:val="none"/>
        </w:rPr>
      </w:pPr>
      <w:r>
        <w:rPr>
          <w:rFonts w:hint="eastAsia" w:asciiTheme="minorEastAsia" w:hAnsiTheme="minorEastAsia" w:eastAsiaTheme="minorEastAsia"/>
          <w:b/>
          <w:color w:val="auto"/>
          <w:sz w:val="32"/>
          <w:szCs w:val="32"/>
          <w:highlight w:val="none"/>
        </w:rPr>
        <w:t>（二）中小企业声明函</w:t>
      </w:r>
      <w:bookmarkStart w:id="169" w:name="_Toc465665161"/>
      <w:r>
        <w:rPr>
          <w:rFonts w:hint="eastAsia" w:asciiTheme="minorEastAsia" w:hAnsiTheme="minorEastAsia" w:eastAsiaTheme="minorEastAsia"/>
          <w:b/>
          <w:color w:val="auto"/>
          <w:sz w:val="32"/>
          <w:szCs w:val="32"/>
          <w:highlight w:val="none"/>
        </w:rPr>
        <w:t>（</w:t>
      </w:r>
      <w:r>
        <w:rPr>
          <w:rFonts w:hint="eastAsia" w:asciiTheme="minorEastAsia" w:hAnsiTheme="minorEastAsia" w:eastAsiaTheme="minorEastAsia"/>
          <w:b/>
          <w:color w:val="auto"/>
          <w:sz w:val="32"/>
          <w:szCs w:val="32"/>
          <w:highlight w:val="none"/>
          <w:lang w:eastAsia="zh-CN"/>
        </w:rPr>
        <w:t>必须提供</w:t>
      </w:r>
      <w:r>
        <w:rPr>
          <w:rFonts w:hint="eastAsia" w:asciiTheme="minorEastAsia" w:hAnsiTheme="minorEastAsia" w:eastAsiaTheme="minorEastAsia"/>
          <w:b/>
          <w:color w:val="auto"/>
          <w:sz w:val="32"/>
          <w:szCs w:val="32"/>
          <w:highlight w:val="none"/>
        </w:rPr>
        <w:t>）</w:t>
      </w:r>
    </w:p>
    <w:p w14:paraId="6671CF89">
      <w:pPr>
        <w:widowControl/>
        <w:spacing w:line="360" w:lineRule="auto"/>
        <w:ind w:firstLine="120" w:firstLineChars="50"/>
        <w:jc w:val="left"/>
        <w:rPr>
          <w:rFonts w:hint="eastAsia" w:cs="宋体" w:asciiTheme="minorEastAsia" w:hAnsiTheme="minorEastAsia" w:eastAsiaTheme="minorEastAsia"/>
          <w:b/>
          <w:color w:val="auto"/>
          <w:sz w:val="24"/>
          <w:highlight w:val="none"/>
        </w:rPr>
      </w:pPr>
    </w:p>
    <w:p w14:paraId="32B6B65E">
      <w:pPr>
        <w:widowControl/>
        <w:spacing w:line="360" w:lineRule="auto"/>
        <w:ind w:firstLine="120" w:firstLineChars="50"/>
        <w:jc w:val="left"/>
        <w:rPr>
          <w:rFonts w:hint="eastAsia"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 xml:space="preserve"> [</w:t>
      </w:r>
      <w:r>
        <w:rPr>
          <w:rFonts w:hint="eastAsia" w:cs="宋体" w:asciiTheme="minorEastAsia" w:hAnsiTheme="minorEastAsia" w:eastAsiaTheme="minorEastAsia"/>
          <w:b/>
          <w:bCs/>
          <w:color w:val="auto"/>
          <w:sz w:val="24"/>
          <w:highlight w:val="none"/>
        </w:rPr>
        <w:t>竞争性磋商邀请公告</w:t>
      </w:r>
      <w:r>
        <w:rPr>
          <w:rFonts w:hint="eastAsia" w:cs="宋体" w:asciiTheme="minorEastAsia" w:hAnsiTheme="minorEastAsia" w:eastAsiaTheme="minorEastAsia"/>
          <w:b/>
          <w:color w:val="auto"/>
          <w:sz w:val="24"/>
          <w:highlight w:val="none"/>
        </w:rPr>
        <w:t>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cs="宋体" w:asciiTheme="minorEastAsia" w:hAnsiTheme="minorEastAsia" w:eastAsiaTheme="minorEastAsia"/>
          <w:b/>
          <w:color w:val="auto"/>
          <w:sz w:val="24"/>
          <w:highlight w:val="none"/>
        </w:rPr>
        <w:t>5</w:t>
      </w:r>
      <w:r>
        <w:rPr>
          <w:rFonts w:hint="eastAsia" w:cs="宋体" w:asciiTheme="minorEastAsia" w:hAnsiTheme="minorEastAsia" w:eastAsiaTheme="minorEastAsia"/>
          <w:b/>
          <w:color w:val="auto"/>
          <w:sz w:val="24"/>
          <w:highlight w:val="none"/>
        </w:rPr>
        <w:t>）。]</w:t>
      </w:r>
    </w:p>
    <w:p w14:paraId="5C287CEB">
      <w:pPr>
        <w:widowControl/>
        <w:adjustRightInd/>
        <w:jc w:val="center"/>
        <w:rPr>
          <w:rFonts w:hint="eastAsia" w:cs="仿宋_GB2312" w:asciiTheme="minorEastAsia" w:hAnsiTheme="minorEastAsia" w:eastAsiaTheme="minorEastAsia"/>
          <w:color w:val="auto"/>
          <w:sz w:val="24"/>
          <w:highlight w:val="none"/>
        </w:rPr>
      </w:pPr>
    </w:p>
    <w:p w14:paraId="56ADD740">
      <w:pPr>
        <w:widowControl/>
        <w:adjustRightInd/>
        <w:jc w:val="left"/>
        <w:rPr>
          <w:rFonts w:hint="eastAsia" w:cs="宋体" w:asciiTheme="minorEastAsia" w:hAnsiTheme="minorEastAsia" w:eastAsiaTheme="minorEastAsia"/>
          <w:b/>
          <w:color w:val="auto"/>
          <w:sz w:val="32"/>
          <w:szCs w:val="32"/>
          <w:highlight w:val="none"/>
        </w:rPr>
      </w:pPr>
      <w:r>
        <w:rPr>
          <w:rFonts w:cs="宋体" w:asciiTheme="minorEastAsia" w:hAnsiTheme="minorEastAsia" w:eastAsiaTheme="minorEastAsia"/>
          <w:b/>
          <w:color w:val="auto"/>
          <w:sz w:val="32"/>
          <w:szCs w:val="32"/>
          <w:highlight w:val="none"/>
        </w:rPr>
        <w:br w:type="page"/>
      </w:r>
    </w:p>
    <w:p w14:paraId="24616F37">
      <w:pPr>
        <w:pStyle w:val="634"/>
        <w:rPr>
          <w:rFonts w:hint="eastAsia"/>
          <w:color w:val="auto"/>
          <w:highlight w:val="none"/>
        </w:rPr>
      </w:pPr>
      <w:r>
        <w:rPr>
          <w:rFonts w:hint="eastAsia"/>
          <w:color w:val="auto"/>
          <w:highlight w:val="none"/>
        </w:rPr>
        <w:t>附件</w:t>
      </w:r>
      <w:bookmarkEnd w:id="169"/>
    </w:p>
    <w:p w14:paraId="33FAFFC7">
      <w:pPr>
        <w:spacing w:line="360" w:lineRule="auto"/>
        <w:jc w:val="left"/>
        <w:rPr>
          <w:rFonts w:hint="eastAsia" w:cs="仿宋_GB2312" w:asciiTheme="minorEastAsia" w:hAnsiTheme="minorEastAsia" w:eastAsiaTheme="minorEastAsia"/>
          <w:b/>
          <w:color w:val="auto"/>
          <w:spacing w:val="6"/>
          <w:sz w:val="32"/>
          <w:szCs w:val="32"/>
          <w:highlight w:val="none"/>
        </w:rPr>
      </w:pPr>
      <w:r>
        <w:rPr>
          <w:rFonts w:hint="eastAsia" w:cs="仿宋_GB2312" w:asciiTheme="minorEastAsia" w:hAnsiTheme="minorEastAsia" w:eastAsiaTheme="minorEastAsia"/>
          <w:b/>
          <w:color w:val="auto"/>
          <w:spacing w:val="6"/>
          <w:sz w:val="32"/>
          <w:szCs w:val="32"/>
          <w:highlight w:val="none"/>
        </w:rPr>
        <w:t>附件1：质疑函范本及制作说明</w:t>
      </w:r>
    </w:p>
    <w:p w14:paraId="462B22C5">
      <w:pPr>
        <w:spacing w:line="360" w:lineRule="auto"/>
        <w:jc w:val="center"/>
        <w:rPr>
          <w:rFonts w:hint="eastAsia" w:cs="仿宋_GB2312" w:asciiTheme="minorEastAsia" w:hAnsiTheme="minorEastAsia" w:eastAsiaTheme="minorEastAsia"/>
          <w:b/>
          <w:color w:val="auto"/>
          <w:spacing w:val="6"/>
          <w:sz w:val="32"/>
          <w:szCs w:val="32"/>
          <w:highlight w:val="none"/>
        </w:rPr>
      </w:pPr>
      <w:r>
        <w:rPr>
          <w:rFonts w:hint="eastAsia" w:cs="仿宋_GB2312" w:asciiTheme="minorEastAsia" w:hAnsiTheme="minorEastAsia" w:eastAsiaTheme="minorEastAsia"/>
          <w:b/>
          <w:color w:val="auto"/>
          <w:spacing w:val="6"/>
          <w:sz w:val="32"/>
          <w:szCs w:val="32"/>
          <w:highlight w:val="none"/>
        </w:rPr>
        <w:t>质疑函范本</w:t>
      </w:r>
    </w:p>
    <w:p w14:paraId="034D82AA">
      <w:pPr>
        <w:snapToGrid w:val="0"/>
        <w:spacing w:before="240" w:beforeLines="100" w:line="360" w:lineRule="auto"/>
        <w:rPr>
          <w:rFonts w:hint="eastAsia" w:cs="仿宋_GB2312" w:asciiTheme="minorEastAsia" w:hAnsiTheme="minorEastAsia" w:eastAsiaTheme="minorEastAsia"/>
          <w:bCs/>
          <w:color w:val="auto"/>
          <w:sz w:val="24"/>
          <w:highlight w:val="none"/>
        </w:rPr>
      </w:pPr>
      <w:r>
        <w:rPr>
          <w:rFonts w:hint="eastAsia" w:cs="仿宋_GB2312" w:asciiTheme="minorEastAsia" w:hAnsiTheme="minorEastAsia" w:eastAsiaTheme="minorEastAsia"/>
          <w:bCs/>
          <w:color w:val="auto"/>
          <w:sz w:val="24"/>
          <w:highlight w:val="none"/>
        </w:rPr>
        <w:t>一、质疑供应商基本信息</w:t>
      </w:r>
    </w:p>
    <w:p w14:paraId="75A28C54">
      <w:pPr>
        <w:snapToGrid w:val="0"/>
        <w:spacing w:line="360" w:lineRule="auto"/>
        <w:rPr>
          <w:rFonts w:hint="eastAsia"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质疑供应商：</w:t>
      </w:r>
      <w:r>
        <w:rPr>
          <w:rFonts w:hint="eastAsia" w:cs="仿宋_GB2312" w:asciiTheme="minorEastAsia" w:hAnsiTheme="minorEastAsia" w:eastAsiaTheme="minorEastAsia"/>
          <w:color w:val="auto"/>
          <w:sz w:val="24"/>
          <w:highlight w:val="none"/>
          <w:u w:val="dotted"/>
        </w:rPr>
        <w:t xml:space="preserve">                                        </w:t>
      </w:r>
    </w:p>
    <w:p w14:paraId="0A8EDC81">
      <w:pPr>
        <w:snapToGrid w:val="0"/>
        <w:spacing w:line="360" w:lineRule="auto"/>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地址：</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邮编：</w:t>
      </w:r>
      <w:r>
        <w:rPr>
          <w:rFonts w:hint="eastAsia" w:cs="仿宋_GB2312" w:asciiTheme="minorEastAsia" w:hAnsiTheme="minorEastAsia" w:eastAsiaTheme="minorEastAsia"/>
          <w:color w:val="auto"/>
          <w:sz w:val="24"/>
          <w:highlight w:val="none"/>
          <w:u w:val="dotted"/>
        </w:rPr>
        <w:t xml:space="preserve">                                                   </w:t>
      </w:r>
    </w:p>
    <w:p w14:paraId="75D8AD02">
      <w:pPr>
        <w:snapToGrid w:val="0"/>
        <w:spacing w:line="360" w:lineRule="auto"/>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联系人：</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联系电话：</w:t>
      </w:r>
      <w:r>
        <w:rPr>
          <w:rFonts w:hint="eastAsia" w:cs="仿宋_GB2312" w:asciiTheme="minorEastAsia" w:hAnsiTheme="minorEastAsia" w:eastAsiaTheme="minorEastAsia"/>
          <w:color w:val="auto"/>
          <w:sz w:val="24"/>
          <w:highlight w:val="none"/>
          <w:u w:val="dotted"/>
        </w:rPr>
        <w:t xml:space="preserve">                              </w:t>
      </w:r>
    </w:p>
    <w:p w14:paraId="057DC382">
      <w:pPr>
        <w:snapToGrid w:val="0"/>
        <w:spacing w:line="360" w:lineRule="auto"/>
        <w:rPr>
          <w:rFonts w:hint="eastAsia"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授权代表：</w:t>
      </w:r>
      <w:r>
        <w:rPr>
          <w:rFonts w:hint="eastAsia" w:cs="仿宋_GB2312" w:asciiTheme="minorEastAsia" w:hAnsiTheme="minorEastAsia" w:eastAsiaTheme="minorEastAsia"/>
          <w:color w:val="auto"/>
          <w:sz w:val="24"/>
          <w:highlight w:val="none"/>
          <w:u w:val="dotted"/>
        </w:rPr>
        <w:t xml:space="preserve">                                          </w:t>
      </w:r>
    </w:p>
    <w:p w14:paraId="50A26952">
      <w:pPr>
        <w:snapToGrid w:val="0"/>
        <w:spacing w:line="360" w:lineRule="auto"/>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联系电话：</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 xml:space="preserve"> </w:t>
      </w:r>
    </w:p>
    <w:p w14:paraId="2F7A9160">
      <w:pPr>
        <w:snapToGrid w:val="0"/>
        <w:spacing w:line="360" w:lineRule="auto"/>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 xml:space="preserve">地址： </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邮编：</w:t>
      </w:r>
      <w:r>
        <w:rPr>
          <w:rFonts w:hint="eastAsia" w:cs="仿宋_GB2312" w:asciiTheme="minorEastAsia" w:hAnsiTheme="minorEastAsia" w:eastAsiaTheme="minorEastAsia"/>
          <w:color w:val="auto"/>
          <w:sz w:val="24"/>
          <w:highlight w:val="none"/>
          <w:u w:val="dotted"/>
        </w:rPr>
        <w:t xml:space="preserve">                                                </w:t>
      </w:r>
    </w:p>
    <w:p w14:paraId="1B0D30BB">
      <w:pPr>
        <w:snapToGrid w:val="0"/>
        <w:spacing w:line="360" w:lineRule="auto"/>
        <w:rPr>
          <w:rFonts w:hint="eastAsia" w:cs="仿宋_GB2312" w:asciiTheme="minorEastAsia" w:hAnsiTheme="minorEastAsia" w:eastAsiaTheme="minorEastAsia"/>
          <w:bCs/>
          <w:color w:val="auto"/>
          <w:sz w:val="24"/>
          <w:highlight w:val="none"/>
        </w:rPr>
      </w:pPr>
      <w:r>
        <w:rPr>
          <w:rFonts w:hint="eastAsia" w:cs="仿宋_GB2312" w:asciiTheme="minorEastAsia" w:hAnsiTheme="minorEastAsia" w:eastAsiaTheme="minorEastAsia"/>
          <w:bCs/>
          <w:color w:val="auto"/>
          <w:sz w:val="24"/>
          <w:highlight w:val="none"/>
        </w:rPr>
        <w:t>二、质疑项目基本情况</w:t>
      </w:r>
    </w:p>
    <w:p w14:paraId="03229955">
      <w:pPr>
        <w:snapToGrid w:val="0"/>
        <w:spacing w:line="360" w:lineRule="auto"/>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质疑项目的名称：</w:t>
      </w:r>
      <w:r>
        <w:rPr>
          <w:rFonts w:hint="eastAsia" w:cs="仿宋_GB2312" w:asciiTheme="minorEastAsia" w:hAnsiTheme="minorEastAsia" w:eastAsiaTheme="minorEastAsia"/>
          <w:color w:val="auto"/>
          <w:sz w:val="24"/>
          <w:highlight w:val="none"/>
          <w:u w:val="dotted"/>
        </w:rPr>
        <w:t xml:space="preserve">                                      </w:t>
      </w:r>
    </w:p>
    <w:p w14:paraId="4FB40D39">
      <w:pPr>
        <w:snapToGrid w:val="0"/>
        <w:spacing w:line="360" w:lineRule="auto"/>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质疑项目的编号：</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包号：</w:t>
      </w:r>
      <w:r>
        <w:rPr>
          <w:rFonts w:hint="eastAsia" w:cs="仿宋_GB2312" w:asciiTheme="minorEastAsia" w:hAnsiTheme="minorEastAsia" w:eastAsiaTheme="minorEastAsia"/>
          <w:color w:val="auto"/>
          <w:sz w:val="24"/>
          <w:highlight w:val="none"/>
          <w:u w:val="dotted"/>
        </w:rPr>
        <w:t xml:space="preserve">                 </w:t>
      </w:r>
    </w:p>
    <w:p w14:paraId="01DD6F2D">
      <w:pPr>
        <w:snapToGrid w:val="0"/>
        <w:spacing w:line="360" w:lineRule="auto"/>
        <w:rPr>
          <w:rFonts w:hint="eastAsia"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采购人名称：</w:t>
      </w:r>
      <w:r>
        <w:rPr>
          <w:rFonts w:hint="eastAsia" w:cs="仿宋_GB2312" w:asciiTheme="minorEastAsia" w:hAnsiTheme="minorEastAsia" w:eastAsiaTheme="minorEastAsia"/>
          <w:color w:val="auto"/>
          <w:sz w:val="24"/>
          <w:highlight w:val="none"/>
          <w:u w:val="dotted"/>
        </w:rPr>
        <w:t xml:space="preserve">                                         </w:t>
      </w:r>
    </w:p>
    <w:p w14:paraId="5EA95948">
      <w:pPr>
        <w:snapToGrid w:val="0"/>
        <w:spacing w:line="360" w:lineRule="auto"/>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采购文件获取日期：</w:t>
      </w:r>
      <w:r>
        <w:rPr>
          <w:rFonts w:hint="eastAsia" w:cs="仿宋_GB2312" w:asciiTheme="minorEastAsia" w:hAnsiTheme="minorEastAsia" w:eastAsiaTheme="minorEastAsia"/>
          <w:color w:val="auto"/>
          <w:sz w:val="24"/>
          <w:highlight w:val="none"/>
          <w:u w:val="dotted"/>
        </w:rPr>
        <w:t xml:space="preserve">                                           </w:t>
      </w:r>
    </w:p>
    <w:p w14:paraId="249B8F2E">
      <w:pPr>
        <w:snapToGrid w:val="0"/>
        <w:spacing w:line="360" w:lineRule="auto"/>
        <w:rPr>
          <w:rFonts w:hint="eastAsia" w:cs="仿宋_GB2312" w:asciiTheme="minorEastAsia" w:hAnsiTheme="minorEastAsia" w:eastAsiaTheme="minorEastAsia"/>
          <w:bCs/>
          <w:color w:val="auto"/>
          <w:sz w:val="24"/>
          <w:highlight w:val="none"/>
        </w:rPr>
      </w:pPr>
      <w:r>
        <w:rPr>
          <w:rFonts w:hint="eastAsia" w:cs="仿宋_GB2312" w:asciiTheme="minorEastAsia" w:hAnsiTheme="minorEastAsia" w:eastAsiaTheme="minorEastAsia"/>
          <w:bCs/>
          <w:color w:val="auto"/>
          <w:sz w:val="24"/>
          <w:highlight w:val="none"/>
        </w:rPr>
        <w:t>三、质疑事项具体内容</w:t>
      </w:r>
    </w:p>
    <w:p w14:paraId="3CA23086">
      <w:pPr>
        <w:snapToGrid w:val="0"/>
        <w:spacing w:line="360" w:lineRule="auto"/>
        <w:rPr>
          <w:rFonts w:hint="eastAsia"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质疑事项1：</w:t>
      </w:r>
      <w:r>
        <w:rPr>
          <w:rFonts w:hint="eastAsia" w:cs="仿宋_GB2312" w:asciiTheme="minorEastAsia" w:hAnsiTheme="minorEastAsia" w:eastAsiaTheme="minorEastAsia"/>
          <w:color w:val="auto"/>
          <w:sz w:val="24"/>
          <w:highlight w:val="none"/>
          <w:u w:val="dotted"/>
        </w:rPr>
        <w:t xml:space="preserve">                                         </w:t>
      </w:r>
    </w:p>
    <w:p w14:paraId="49244DBD">
      <w:pPr>
        <w:snapToGrid w:val="0"/>
        <w:spacing w:line="360" w:lineRule="auto"/>
        <w:rPr>
          <w:rFonts w:hint="eastAsia"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事实依据：</w:t>
      </w:r>
      <w:r>
        <w:rPr>
          <w:rFonts w:hint="eastAsia" w:cs="仿宋_GB2312" w:asciiTheme="minorEastAsia" w:hAnsiTheme="minorEastAsia" w:eastAsiaTheme="minorEastAsia"/>
          <w:color w:val="auto"/>
          <w:sz w:val="24"/>
          <w:highlight w:val="none"/>
          <w:u w:val="dotted"/>
        </w:rPr>
        <w:t xml:space="preserve">                                          </w:t>
      </w:r>
    </w:p>
    <w:p w14:paraId="4368DDF3">
      <w:pPr>
        <w:snapToGrid w:val="0"/>
        <w:spacing w:line="360" w:lineRule="auto"/>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u w:val="dotted"/>
        </w:rPr>
        <w:t xml:space="preserve">                                                       </w:t>
      </w:r>
    </w:p>
    <w:p w14:paraId="1446B658">
      <w:pPr>
        <w:snapToGrid w:val="0"/>
        <w:spacing w:line="360" w:lineRule="auto"/>
        <w:rPr>
          <w:rFonts w:hint="eastAsia"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法律依据：</w:t>
      </w:r>
      <w:r>
        <w:rPr>
          <w:rFonts w:hint="eastAsia" w:cs="仿宋_GB2312" w:asciiTheme="minorEastAsia" w:hAnsiTheme="minorEastAsia" w:eastAsiaTheme="minorEastAsia"/>
          <w:color w:val="auto"/>
          <w:sz w:val="24"/>
          <w:highlight w:val="none"/>
          <w:u w:val="dotted"/>
        </w:rPr>
        <w:t xml:space="preserve">                                          </w:t>
      </w:r>
    </w:p>
    <w:p w14:paraId="6181509F">
      <w:pPr>
        <w:snapToGrid w:val="0"/>
        <w:spacing w:line="360" w:lineRule="auto"/>
        <w:rPr>
          <w:rFonts w:hint="eastAsia"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u w:val="dotted"/>
        </w:rPr>
        <w:t xml:space="preserve">                                                     </w:t>
      </w:r>
    </w:p>
    <w:p w14:paraId="1E9BC294">
      <w:pPr>
        <w:snapToGrid w:val="0"/>
        <w:spacing w:line="360" w:lineRule="auto"/>
        <w:rPr>
          <w:rFonts w:hint="eastAsia"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质疑事项2</w:t>
      </w:r>
    </w:p>
    <w:p w14:paraId="57C8989F">
      <w:pPr>
        <w:snapToGrid w:val="0"/>
        <w:spacing w:line="360" w:lineRule="auto"/>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w:t>
      </w:r>
    </w:p>
    <w:p w14:paraId="0C517DDB">
      <w:pPr>
        <w:snapToGrid w:val="0"/>
        <w:spacing w:line="360" w:lineRule="auto"/>
        <w:rPr>
          <w:rFonts w:hint="eastAsia" w:cs="仿宋_GB2312" w:asciiTheme="minorEastAsia" w:hAnsiTheme="minorEastAsia" w:eastAsiaTheme="minorEastAsia"/>
          <w:bCs/>
          <w:color w:val="auto"/>
          <w:sz w:val="24"/>
          <w:highlight w:val="none"/>
        </w:rPr>
      </w:pPr>
      <w:r>
        <w:rPr>
          <w:rFonts w:hint="eastAsia" w:cs="仿宋_GB2312" w:asciiTheme="minorEastAsia" w:hAnsiTheme="minorEastAsia" w:eastAsiaTheme="minorEastAsia"/>
          <w:bCs/>
          <w:color w:val="auto"/>
          <w:sz w:val="24"/>
          <w:highlight w:val="none"/>
        </w:rPr>
        <w:t>四、与质疑事项相关的质疑请求</w:t>
      </w:r>
    </w:p>
    <w:p w14:paraId="18F86F3D">
      <w:pPr>
        <w:snapToGrid w:val="0"/>
        <w:spacing w:line="360" w:lineRule="auto"/>
        <w:rPr>
          <w:rFonts w:hint="eastAsia"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请求：</w:t>
      </w:r>
      <w:r>
        <w:rPr>
          <w:rFonts w:hint="eastAsia" w:cs="仿宋_GB2312" w:asciiTheme="minorEastAsia" w:hAnsiTheme="minorEastAsia" w:eastAsiaTheme="minorEastAsia"/>
          <w:color w:val="auto"/>
          <w:sz w:val="24"/>
          <w:highlight w:val="none"/>
          <w:u w:val="dotted"/>
        </w:rPr>
        <w:t xml:space="preserve">                                               </w:t>
      </w:r>
    </w:p>
    <w:p w14:paraId="6F2A9FBD">
      <w:pPr>
        <w:spacing w:line="360" w:lineRule="auto"/>
        <w:rPr>
          <w:rFonts w:hint="eastAsia" w:cs="仿宋_GB2312" w:asciiTheme="minorEastAsia" w:hAnsiTheme="minorEastAsia" w:eastAsiaTheme="minorEastAsia"/>
          <w:color w:val="auto"/>
          <w:sz w:val="24"/>
          <w:highlight w:val="none"/>
        </w:rPr>
      </w:pPr>
    </w:p>
    <w:p w14:paraId="12982C6B">
      <w:pPr>
        <w:spacing w:line="360" w:lineRule="auto"/>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 xml:space="preserve">签字(签章)：                   公章：                      </w:t>
      </w:r>
    </w:p>
    <w:p w14:paraId="671A22E1">
      <w:pPr>
        <w:spacing w:line="360" w:lineRule="auto"/>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 xml:space="preserve">日期：    </w:t>
      </w:r>
    </w:p>
    <w:p w14:paraId="15832C25">
      <w:pPr>
        <w:spacing w:line="360" w:lineRule="auto"/>
        <w:rPr>
          <w:rFonts w:hint="eastAsia"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质疑函制作说明：</w:t>
      </w:r>
    </w:p>
    <w:p w14:paraId="126FFF21">
      <w:pPr>
        <w:widowControl/>
        <w:spacing w:line="360" w:lineRule="auto"/>
        <w:ind w:firstLine="480" w:firstLineChars="200"/>
        <w:jc w:val="left"/>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1.供应商提出质疑时，应提交质疑函和必要的证明材料。</w:t>
      </w:r>
    </w:p>
    <w:p w14:paraId="3A065728">
      <w:pPr>
        <w:widowControl/>
        <w:spacing w:line="360" w:lineRule="auto"/>
        <w:ind w:firstLine="480" w:firstLineChars="200"/>
        <w:jc w:val="left"/>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2.质疑供应商若委托代理人进行质疑的，质疑函应按要求列明“授权代表”的有关内容，并在附件中提交由质疑</w:t>
      </w:r>
      <w:r>
        <w:rPr>
          <w:rFonts w:hint="eastAsia" w:cs="仿宋_GB2312" w:asciiTheme="minorEastAsia" w:hAnsiTheme="minorEastAsia" w:eastAsiaTheme="minorEastAsia"/>
          <w:color w:val="auto"/>
          <w:kern w:val="0"/>
          <w:sz w:val="24"/>
          <w:highlight w:val="none"/>
        </w:rPr>
        <w:t>供应商签署的授权委托书。授权委托书应载明代理人的姓名或者名称、代理事项、具体权限、期限和相关事项。</w:t>
      </w:r>
    </w:p>
    <w:p w14:paraId="556508BF">
      <w:pPr>
        <w:widowControl/>
        <w:spacing w:line="360" w:lineRule="auto"/>
        <w:ind w:firstLine="480" w:firstLineChars="200"/>
        <w:jc w:val="left"/>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3.质疑供应商若对项目的某一分包进行质疑，质疑函中应列明具体分包号。</w:t>
      </w:r>
    </w:p>
    <w:p w14:paraId="7540D1A3">
      <w:pPr>
        <w:widowControl/>
        <w:spacing w:line="360" w:lineRule="auto"/>
        <w:ind w:firstLine="480" w:firstLineChars="200"/>
        <w:jc w:val="left"/>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4.质疑函的质疑事项应具体、明确，并有必要的事实依据和法律依据。</w:t>
      </w:r>
    </w:p>
    <w:p w14:paraId="2D66A559">
      <w:pPr>
        <w:widowControl/>
        <w:spacing w:line="360" w:lineRule="auto"/>
        <w:ind w:firstLine="480" w:firstLineChars="200"/>
        <w:jc w:val="left"/>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5.质疑函的质疑请求应与质疑事项相关。</w:t>
      </w:r>
    </w:p>
    <w:p w14:paraId="3BB4A57A">
      <w:pPr>
        <w:widowControl/>
        <w:spacing w:line="360" w:lineRule="auto"/>
        <w:ind w:firstLine="480" w:firstLineChars="200"/>
        <w:jc w:val="left"/>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1764DB3A">
      <w:pPr>
        <w:widowControl/>
        <w:spacing w:line="360" w:lineRule="auto"/>
        <w:ind w:firstLine="600" w:firstLineChars="200"/>
        <w:jc w:val="left"/>
        <w:rPr>
          <w:rFonts w:hint="eastAsia" w:cs="仿宋_GB2312" w:asciiTheme="minorEastAsia" w:hAnsiTheme="minorEastAsia" w:eastAsiaTheme="minorEastAsia"/>
          <w:color w:val="auto"/>
          <w:sz w:val="30"/>
          <w:szCs w:val="30"/>
          <w:highlight w:val="none"/>
        </w:rPr>
      </w:pPr>
    </w:p>
    <w:p w14:paraId="65B820AE">
      <w:pPr>
        <w:spacing w:line="360" w:lineRule="auto"/>
        <w:jc w:val="left"/>
        <w:rPr>
          <w:rFonts w:hint="eastAsia" w:cs="仿宋_GB2312" w:asciiTheme="minorEastAsia" w:hAnsiTheme="minorEastAsia" w:eastAsiaTheme="minorEastAsia"/>
          <w:b/>
          <w:color w:val="auto"/>
          <w:spacing w:val="6"/>
          <w:sz w:val="32"/>
          <w:szCs w:val="32"/>
          <w:highlight w:val="none"/>
        </w:rPr>
      </w:pPr>
      <w:r>
        <w:rPr>
          <w:rFonts w:hint="eastAsia" w:cs="仿宋_GB2312" w:asciiTheme="minorEastAsia" w:hAnsiTheme="minorEastAsia" w:eastAsiaTheme="minorEastAsia"/>
          <w:b/>
          <w:color w:val="auto"/>
          <w:sz w:val="24"/>
          <w:highlight w:val="none"/>
        </w:rPr>
        <w:br w:type="page"/>
      </w:r>
      <w:r>
        <w:rPr>
          <w:rFonts w:hint="eastAsia" w:cs="仿宋_GB2312" w:asciiTheme="minorEastAsia" w:hAnsiTheme="minorEastAsia" w:eastAsiaTheme="minorEastAsia"/>
          <w:b/>
          <w:color w:val="auto"/>
          <w:spacing w:val="6"/>
          <w:sz w:val="32"/>
          <w:szCs w:val="32"/>
          <w:highlight w:val="none"/>
        </w:rPr>
        <w:t>附件2：投诉书范本及制作说明</w:t>
      </w:r>
    </w:p>
    <w:p w14:paraId="4C1F2FF0">
      <w:pPr>
        <w:spacing w:line="360" w:lineRule="auto"/>
        <w:jc w:val="center"/>
        <w:rPr>
          <w:rFonts w:hint="eastAsia" w:cs="仿宋_GB2312" w:asciiTheme="minorEastAsia" w:hAnsiTheme="minorEastAsia" w:eastAsiaTheme="minorEastAsia"/>
          <w:b/>
          <w:color w:val="auto"/>
          <w:sz w:val="24"/>
          <w:highlight w:val="none"/>
        </w:rPr>
      </w:pPr>
    </w:p>
    <w:p w14:paraId="3479FFB5">
      <w:pPr>
        <w:spacing w:line="360" w:lineRule="auto"/>
        <w:jc w:val="center"/>
        <w:rPr>
          <w:rFonts w:hint="eastAsia" w:cs="仿宋_GB2312" w:asciiTheme="minorEastAsia" w:hAnsiTheme="minorEastAsia" w:eastAsiaTheme="minorEastAsia"/>
          <w:b/>
          <w:color w:val="auto"/>
          <w:spacing w:val="6"/>
          <w:sz w:val="32"/>
          <w:szCs w:val="32"/>
          <w:highlight w:val="none"/>
        </w:rPr>
      </w:pPr>
      <w:r>
        <w:rPr>
          <w:rFonts w:hint="eastAsia" w:cs="仿宋_GB2312" w:asciiTheme="minorEastAsia" w:hAnsiTheme="minorEastAsia" w:eastAsiaTheme="minorEastAsia"/>
          <w:b/>
          <w:color w:val="auto"/>
          <w:spacing w:val="6"/>
          <w:sz w:val="32"/>
          <w:szCs w:val="32"/>
          <w:highlight w:val="none"/>
        </w:rPr>
        <w:t>投诉书范本</w:t>
      </w:r>
    </w:p>
    <w:p w14:paraId="53797DB3">
      <w:pPr>
        <w:spacing w:line="360" w:lineRule="auto"/>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一、投诉相关主体基本情况</w:t>
      </w:r>
    </w:p>
    <w:p w14:paraId="4FDD401C">
      <w:pPr>
        <w:spacing w:line="360" w:lineRule="auto"/>
        <w:rPr>
          <w:rFonts w:hint="eastAsia"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投诉人：</w:t>
      </w:r>
      <w:r>
        <w:rPr>
          <w:rFonts w:hint="eastAsia" w:cs="仿宋_GB2312" w:asciiTheme="minorEastAsia" w:hAnsiTheme="minorEastAsia" w:eastAsiaTheme="minorEastAsia"/>
          <w:color w:val="auto"/>
          <w:sz w:val="24"/>
          <w:highlight w:val="none"/>
          <w:u w:val="dotted"/>
        </w:rPr>
        <w:t xml:space="preserve">                                               </w:t>
      </w:r>
    </w:p>
    <w:p w14:paraId="0802A268">
      <w:pPr>
        <w:spacing w:line="360" w:lineRule="auto"/>
        <w:rPr>
          <w:rFonts w:hint="eastAsia"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地     址：</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邮编：</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u w:val="single"/>
        </w:rPr>
        <w:t xml:space="preserve">   </w:t>
      </w:r>
    </w:p>
    <w:p w14:paraId="16CEE32F">
      <w:pPr>
        <w:tabs>
          <w:tab w:val="left" w:pos="6510"/>
        </w:tabs>
        <w:spacing w:line="360" w:lineRule="auto"/>
        <w:jc w:val="left"/>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法定代表人/主要负责人：</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 xml:space="preserve">  </w:t>
      </w:r>
    </w:p>
    <w:p w14:paraId="4BDCC149">
      <w:pPr>
        <w:tabs>
          <w:tab w:val="left" w:pos="6510"/>
        </w:tabs>
        <w:spacing w:line="360" w:lineRule="auto"/>
        <w:rPr>
          <w:rFonts w:hint="eastAsia"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联系电话：</w:t>
      </w:r>
      <w:r>
        <w:rPr>
          <w:rFonts w:hint="eastAsia" w:cs="仿宋_GB2312" w:asciiTheme="minorEastAsia" w:hAnsiTheme="minorEastAsia" w:eastAsiaTheme="minorEastAsia"/>
          <w:color w:val="auto"/>
          <w:sz w:val="24"/>
          <w:highlight w:val="none"/>
          <w:u w:val="dotted"/>
        </w:rPr>
        <w:t xml:space="preserve">                                             </w:t>
      </w:r>
    </w:p>
    <w:p w14:paraId="5E735973">
      <w:pPr>
        <w:spacing w:line="360" w:lineRule="auto"/>
        <w:rPr>
          <w:rFonts w:hint="eastAsia"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授权代表：</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联系电话</w:t>
      </w:r>
      <w:r>
        <w:rPr>
          <w:rFonts w:hint="eastAsia" w:cs="仿宋_GB2312" w:asciiTheme="minorEastAsia" w:hAnsiTheme="minorEastAsia" w:eastAsiaTheme="minorEastAsia"/>
          <w:color w:val="auto"/>
          <w:sz w:val="24"/>
          <w:highlight w:val="none"/>
          <w:u w:val="dotted"/>
        </w:rPr>
        <w:t xml:space="preserve">：                  </w:t>
      </w:r>
    </w:p>
    <w:p w14:paraId="6498DF4A">
      <w:pPr>
        <w:spacing w:line="360" w:lineRule="auto"/>
        <w:rPr>
          <w:rFonts w:hint="eastAsia"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地     址：</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邮编：</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u w:val="single"/>
        </w:rPr>
        <w:t xml:space="preserve"> </w:t>
      </w:r>
      <w:r>
        <w:rPr>
          <w:rFonts w:hint="eastAsia" w:cs="仿宋_GB2312" w:asciiTheme="minorEastAsia" w:hAnsiTheme="minorEastAsia" w:eastAsiaTheme="minorEastAsia"/>
          <w:color w:val="auto"/>
          <w:sz w:val="24"/>
          <w:highlight w:val="none"/>
          <w:u w:val="dotted"/>
        </w:rPr>
        <w:t xml:space="preserve">                   </w:t>
      </w:r>
    </w:p>
    <w:p w14:paraId="0EC3F426">
      <w:pPr>
        <w:spacing w:line="360" w:lineRule="auto"/>
        <w:rPr>
          <w:rFonts w:hint="eastAsia"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被投诉人1：</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u w:val="single"/>
        </w:rPr>
        <w:t xml:space="preserve">  </w:t>
      </w:r>
    </w:p>
    <w:p w14:paraId="33D87C64">
      <w:pPr>
        <w:spacing w:line="360" w:lineRule="auto"/>
        <w:rPr>
          <w:rFonts w:hint="eastAsia"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地     址：</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邮编：</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u w:val="single"/>
        </w:rPr>
        <w:t xml:space="preserve"> </w:t>
      </w:r>
    </w:p>
    <w:p w14:paraId="5DAA4C2B">
      <w:pPr>
        <w:spacing w:line="360" w:lineRule="auto"/>
        <w:rPr>
          <w:rFonts w:hint="eastAsia"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联系人：</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联系电话：</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u w:val="single"/>
        </w:rPr>
        <w:t xml:space="preserve"> </w:t>
      </w:r>
    </w:p>
    <w:p w14:paraId="1F426463">
      <w:pPr>
        <w:spacing w:line="360" w:lineRule="auto"/>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被投诉人2</w:t>
      </w:r>
    </w:p>
    <w:p w14:paraId="3EAB664B">
      <w:pPr>
        <w:spacing w:line="360" w:lineRule="auto"/>
        <w:rPr>
          <w:rFonts w:hint="eastAsia"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w:t>
      </w:r>
    </w:p>
    <w:p w14:paraId="0509486C">
      <w:pPr>
        <w:spacing w:line="360" w:lineRule="auto"/>
        <w:rPr>
          <w:rFonts w:hint="eastAsia"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相关供应商：</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u w:val="single"/>
        </w:rPr>
        <w:t xml:space="preserve">    </w:t>
      </w:r>
    </w:p>
    <w:p w14:paraId="3BCC92C6">
      <w:pPr>
        <w:spacing w:line="360" w:lineRule="auto"/>
        <w:rPr>
          <w:rFonts w:hint="eastAsia"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地     址：</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邮编：</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u w:val="single"/>
        </w:rPr>
        <w:t xml:space="preserve"> </w:t>
      </w:r>
    </w:p>
    <w:p w14:paraId="35454B1F">
      <w:pPr>
        <w:spacing w:line="360" w:lineRule="auto"/>
        <w:rPr>
          <w:rFonts w:hint="eastAsia"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联系人：</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联系电话：</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u w:val="single"/>
        </w:rPr>
        <w:t xml:space="preserve">      </w:t>
      </w:r>
    </w:p>
    <w:p w14:paraId="62F7A4B7">
      <w:pPr>
        <w:spacing w:line="360" w:lineRule="auto"/>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二、投诉项目基本情况</w:t>
      </w:r>
    </w:p>
    <w:p w14:paraId="793F239D">
      <w:pPr>
        <w:spacing w:line="360" w:lineRule="auto"/>
        <w:rPr>
          <w:rFonts w:hint="eastAsia"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采购项目名称：</w:t>
      </w:r>
      <w:r>
        <w:rPr>
          <w:rFonts w:hint="eastAsia" w:cs="仿宋_GB2312" w:asciiTheme="minorEastAsia" w:hAnsiTheme="minorEastAsia" w:eastAsiaTheme="minorEastAsia"/>
          <w:color w:val="auto"/>
          <w:sz w:val="24"/>
          <w:highlight w:val="none"/>
          <w:u w:val="dotted"/>
        </w:rPr>
        <w:t xml:space="preserve">                                        </w:t>
      </w:r>
    </w:p>
    <w:p w14:paraId="50E2298B">
      <w:pPr>
        <w:spacing w:line="360" w:lineRule="auto"/>
        <w:rPr>
          <w:rFonts w:hint="eastAsia"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采购项目编号：</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包号：</w:t>
      </w:r>
      <w:r>
        <w:rPr>
          <w:rFonts w:hint="eastAsia" w:cs="仿宋_GB2312" w:asciiTheme="minorEastAsia" w:hAnsiTheme="minorEastAsia" w:eastAsiaTheme="minorEastAsia"/>
          <w:color w:val="auto"/>
          <w:sz w:val="24"/>
          <w:highlight w:val="none"/>
          <w:u w:val="dotted"/>
        </w:rPr>
        <w:t xml:space="preserve">              </w:t>
      </w:r>
    </w:p>
    <w:p w14:paraId="317DEF99">
      <w:pPr>
        <w:spacing w:line="360" w:lineRule="auto"/>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采购人名称：</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u w:val="single"/>
        </w:rPr>
        <w:t xml:space="preserve">  </w:t>
      </w:r>
    </w:p>
    <w:p w14:paraId="5731897C">
      <w:pPr>
        <w:spacing w:line="360" w:lineRule="auto"/>
        <w:rPr>
          <w:rFonts w:hint="eastAsia"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代理机构名称：</w:t>
      </w:r>
      <w:r>
        <w:rPr>
          <w:rFonts w:hint="eastAsia" w:cs="仿宋_GB2312" w:asciiTheme="minorEastAsia" w:hAnsiTheme="minorEastAsia" w:eastAsiaTheme="minorEastAsia"/>
          <w:color w:val="auto"/>
          <w:sz w:val="24"/>
          <w:highlight w:val="none"/>
          <w:u w:val="dotted"/>
        </w:rPr>
        <w:t xml:space="preserve">                                         </w:t>
      </w:r>
    </w:p>
    <w:p w14:paraId="162E348E">
      <w:pPr>
        <w:spacing w:line="360" w:lineRule="auto"/>
        <w:rPr>
          <w:rFonts w:hint="eastAsia"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采购文件公告:</w:t>
      </w:r>
      <w:r>
        <w:rPr>
          <w:rFonts w:hint="eastAsia" w:cs="仿宋_GB2312" w:asciiTheme="minorEastAsia" w:hAnsiTheme="minorEastAsia" w:eastAsiaTheme="minorEastAsia"/>
          <w:color w:val="auto"/>
          <w:sz w:val="24"/>
          <w:highlight w:val="none"/>
          <w:u w:val="dotted"/>
        </w:rPr>
        <w:t xml:space="preserve">是/否 </w:t>
      </w:r>
      <w:r>
        <w:rPr>
          <w:rFonts w:hint="eastAsia" w:cs="仿宋_GB2312" w:asciiTheme="minorEastAsia" w:hAnsiTheme="minorEastAsia" w:eastAsiaTheme="minorEastAsia"/>
          <w:color w:val="auto"/>
          <w:sz w:val="24"/>
          <w:highlight w:val="none"/>
        </w:rPr>
        <w:t>公告期限：</w:t>
      </w:r>
      <w:r>
        <w:rPr>
          <w:rFonts w:hint="eastAsia" w:cs="仿宋_GB2312" w:asciiTheme="minorEastAsia" w:hAnsiTheme="minorEastAsia" w:eastAsiaTheme="minorEastAsia"/>
          <w:color w:val="auto"/>
          <w:sz w:val="24"/>
          <w:highlight w:val="none"/>
          <w:u w:val="dotted"/>
        </w:rPr>
        <w:t xml:space="preserve">                                 </w:t>
      </w:r>
    </w:p>
    <w:p w14:paraId="7906AF6E">
      <w:pPr>
        <w:spacing w:line="360" w:lineRule="auto"/>
        <w:rPr>
          <w:rFonts w:hint="eastAsia"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采购结果公告:</w:t>
      </w:r>
      <w:r>
        <w:rPr>
          <w:rFonts w:hint="eastAsia" w:cs="仿宋_GB2312" w:asciiTheme="minorEastAsia" w:hAnsiTheme="minorEastAsia" w:eastAsiaTheme="minorEastAsia"/>
          <w:color w:val="auto"/>
          <w:sz w:val="24"/>
          <w:highlight w:val="none"/>
          <w:u w:val="dotted"/>
        </w:rPr>
        <w:t xml:space="preserve">是/否 </w:t>
      </w:r>
      <w:r>
        <w:rPr>
          <w:rFonts w:hint="eastAsia" w:cs="仿宋_GB2312" w:asciiTheme="minorEastAsia" w:hAnsiTheme="minorEastAsia" w:eastAsiaTheme="minorEastAsia"/>
          <w:color w:val="auto"/>
          <w:sz w:val="24"/>
          <w:highlight w:val="none"/>
        </w:rPr>
        <w:t>公告期限：</w:t>
      </w:r>
      <w:r>
        <w:rPr>
          <w:rFonts w:hint="eastAsia" w:cs="仿宋_GB2312" w:asciiTheme="minorEastAsia" w:hAnsiTheme="minorEastAsia" w:eastAsiaTheme="minorEastAsia"/>
          <w:color w:val="auto"/>
          <w:sz w:val="24"/>
          <w:highlight w:val="none"/>
          <w:u w:val="dotted"/>
        </w:rPr>
        <w:t xml:space="preserve">                        </w:t>
      </w:r>
    </w:p>
    <w:p w14:paraId="4A92ABCD">
      <w:pPr>
        <w:spacing w:line="360" w:lineRule="auto"/>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三、质疑基本情况</w:t>
      </w:r>
    </w:p>
    <w:p w14:paraId="102A8660">
      <w:pPr>
        <w:spacing w:line="360" w:lineRule="auto"/>
        <w:ind w:firstLine="480" w:firstLineChars="200"/>
        <w:rPr>
          <w:rFonts w:hint="eastAsia"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投诉人于</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年</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月</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日,向</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提出质疑，质疑事项为：</w:t>
      </w:r>
      <w:r>
        <w:rPr>
          <w:rFonts w:hint="eastAsia" w:cs="仿宋_GB2312" w:asciiTheme="minorEastAsia" w:hAnsiTheme="minorEastAsia" w:eastAsiaTheme="minorEastAsia"/>
          <w:color w:val="auto"/>
          <w:sz w:val="24"/>
          <w:highlight w:val="none"/>
          <w:u w:val="dotted"/>
        </w:rPr>
        <w:t xml:space="preserve">                                </w:t>
      </w:r>
    </w:p>
    <w:p w14:paraId="51EDD79E">
      <w:pPr>
        <w:spacing w:line="360" w:lineRule="auto"/>
        <w:rPr>
          <w:rFonts w:hint="eastAsia"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 xml:space="preserve">  </w:t>
      </w:r>
    </w:p>
    <w:p w14:paraId="7891AD63">
      <w:pPr>
        <w:spacing w:line="360" w:lineRule="auto"/>
        <w:ind w:firstLine="360" w:firstLineChars="150"/>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u w:val="dotted"/>
        </w:rPr>
        <w:t>采购人/代理机构</w:t>
      </w:r>
      <w:r>
        <w:rPr>
          <w:rFonts w:hint="eastAsia" w:cs="仿宋_GB2312" w:asciiTheme="minorEastAsia" w:hAnsiTheme="minorEastAsia" w:eastAsiaTheme="minorEastAsia"/>
          <w:color w:val="auto"/>
          <w:sz w:val="24"/>
          <w:highlight w:val="none"/>
        </w:rPr>
        <w:t>于</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年</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月</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日,就质疑事项作出了答复/没有在法定期限内作出答复。</w:t>
      </w:r>
    </w:p>
    <w:p w14:paraId="751F41C4">
      <w:pPr>
        <w:spacing w:line="360" w:lineRule="auto"/>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四、投诉事项具体内容</w:t>
      </w:r>
    </w:p>
    <w:p w14:paraId="012F80E1">
      <w:pPr>
        <w:spacing w:line="360" w:lineRule="auto"/>
        <w:rPr>
          <w:rFonts w:hint="eastAsia"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投诉事项 1：</w:t>
      </w:r>
      <w:r>
        <w:rPr>
          <w:rFonts w:hint="eastAsia" w:cs="仿宋_GB2312" w:asciiTheme="minorEastAsia" w:hAnsiTheme="minorEastAsia" w:eastAsiaTheme="minorEastAsia"/>
          <w:color w:val="auto"/>
          <w:sz w:val="24"/>
          <w:highlight w:val="none"/>
          <w:u w:val="dotted"/>
        </w:rPr>
        <w:t xml:space="preserve">                                       </w:t>
      </w:r>
    </w:p>
    <w:p w14:paraId="78A08A3C">
      <w:pPr>
        <w:spacing w:line="360" w:lineRule="auto"/>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事实依据：</w:t>
      </w:r>
      <w:r>
        <w:rPr>
          <w:rFonts w:hint="eastAsia" w:cs="仿宋_GB2312" w:asciiTheme="minorEastAsia" w:hAnsiTheme="minorEastAsia" w:eastAsiaTheme="minorEastAsia"/>
          <w:color w:val="auto"/>
          <w:sz w:val="24"/>
          <w:highlight w:val="none"/>
          <w:u w:val="dotted"/>
        </w:rPr>
        <w:t xml:space="preserve">                                         </w:t>
      </w:r>
    </w:p>
    <w:p w14:paraId="0BA24BBA">
      <w:pPr>
        <w:spacing w:line="360" w:lineRule="auto"/>
        <w:rPr>
          <w:rFonts w:hint="eastAsia"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u w:val="dotted"/>
        </w:rPr>
        <w:t xml:space="preserve">                                                      </w:t>
      </w:r>
    </w:p>
    <w:p w14:paraId="7C151A00">
      <w:pPr>
        <w:spacing w:line="360" w:lineRule="auto"/>
        <w:rPr>
          <w:rFonts w:hint="eastAsia"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法律依据：</w:t>
      </w:r>
      <w:r>
        <w:rPr>
          <w:rFonts w:hint="eastAsia" w:cs="仿宋_GB2312" w:asciiTheme="minorEastAsia" w:hAnsiTheme="minorEastAsia" w:eastAsiaTheme="minorEastAsia"/>
          <w:color w:val="auto"/>
          <w:sz w:val="24"/>
          <w:highlight w:val="none"/>
          <w:u w:val="dotted"/>
        </w:rPr>
        <w:t xml:space="preserve">                                          </w:t>
      </w:r>
    </w:p>
    <w:p w14:paraId="46F95732">
      <w:pPr>
        <w:spacing w:line="360" w:lineRule="auto"/>
        <w:rPr>
          <w:rFonts w:hint="eastAsia"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u w:val="dotted"/>
        </w:rPr>
        <w:t xml:space="preserve">                                                      </w:t>
      </w:r>
    </w:p>
    <w:p w14:paraId="76BC85E1">
      <w:pPr>
        <w:spacing w:line="360" w:lineRule="auto"/>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投诉事项2</w:t>
      </w:r>
    </w:p>
    <w:p w14:paraId="7F868841">
      <w:pPr>
        <w:spacing w:line="360" w:lineRule="auto"/>
        <w:rPr>
          <w:rFonts w:hint="eastAsia"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w:t>
      </w:r>
    </w:p>
    <w:p w14:paraId="05B1262B">
      <w:pPr>
        <w:spacing w:line="360" w:lineRule="auto"/>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五、与投诉事项相关的投诉请求</w:t>
      </w:r>
    </w:p>
    <w:p w14:paraId="4107A2E7">
      <w:pPr>
        <w:spacing w:line="360" w:lineRule="auto"/>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请求：</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 xml:space="preserve"> </w:t>
      </w:r>
    </w:p>
    <w:p w14:paraId="23D6ADC7">
      <w:pPr>
        <w:spacing w:line="360" w:lineRule="auto"/>
        <w:rPr>
          <w:rFonts w:hint="eastAsia"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 xml:space="preserve">                                                                                                    </w:t>
      </w:r>
    </w:p>
    <w:p w14:paraId="3978CAF8">
      <w:pPr>
        <w:spacing w:line="360" w:lineRule="auto"/>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 xml:space="preserve">签字(签章)：                   公章：                      </w:t>
      </w:r>
    </w:p>
    <w:p w14:paraId="60ACF080">
      <w:pPr>
        <w:spacing w:line="360" w:lineRule="auto"/>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 xml:space="preserve">日期：    </w:t>
      </w:r>
    </w:p>
    <w:p w14:paraId="51E5434D">
      <w:pPr>
        <w:spacing w:line="360" w:lineRule="auto"/>
        <w:rPr>
          <w:rFonts w:hint="eastAsia" w:cs="仿宋_GB2312" w:asciiTheme="minorEastAsia" w:hAnsiTheme="minorEastAsia" w:eastAsiaTheme="minorEastAsia"/>
          <w:b/>
          <w:color w:val="auto"/>
          <w:sz w:val="24"/>
          <w:highlight w:val="none"/>
        </w:rPr>
      </w:pPr>
    </w:p>
    <w:p w14:paraId="3A54702F">
      <w:pPr>
        <w:spacing w:line="360" w:lineRule="auto"/>
        <w:rPr>
          <w:rFonts w:hint="eastAsia" w:cs="仿宋_GB2312" w:asciiTheme="minorEastAsia" w:hAnsiTheme="minorEastAsia" w:eastAsiaTheme="minorEastAsia"/>
          <w:b/>
          <w:color w:val="auto"/>
          <w:sz w:val="24"/>
          <w:highlight w:val="none"/>
        </w:rPr>
      </w:pPr>
    </w:p>
    <w:p w14:paraId="1F2CA410">
      <w:pPr>
        <w:spacing w:line="360" w:lineRule="auto"/>
        <w:rPr>
          <w:rFonts w:hint="eastAsia"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投诉书制作说明：</w:t>
      </w:r>
    </w:p>
    <w:p w14:paraId="64607B73">
      <w:pPr>
        <w:widowControl/>
        <w:spacing w:line="360" w:lineRule="auto"/>
        <w:ind w:firstLine="480" w:firstLineChars="200"/>
        <w:rPr>
          <w:rFonts w:hint="eastAsia"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sz w:val="24"/>
          <w:highlight w:val="none"/>
        </w:rPr>
        <w:t>1.投诉人提起投诉时，应当提交投诉书和必要的证明材料，并按照被投诉人和与投诉事项有关的供应商数量提供投诉书副本。</w:t>
      </w:r>
    </w:p>
    <w:p w14:paraId="0C9AB84F">
      <w:pPr>
        <w:widowControl/>
        <w:spacing w:line="360" w:lineRule="auto"/>
        <w:ind w:firstLine="480" w:firstLineChars="200"/>
        <w:jc w:val="left"/>
        <w:rPr>
          <w:rFonts w:hint="eastAsia"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sz w:val="24"/>
          <w:highlight w:val="none"/>
        </w:rPr>
        <w:t>2.投诉人若委托代理人进行投诉的，投诉书应按照要求列明“授权代表”的有关内容，并在附件中提交由</w:t>
      </w:r>
      <w:r>
        <w:rPr>
          <w:rFonts w:hint="eastAsia" w:cs="仿宋_GB2312" w:asciiTheme="minorEastAsia" w:hAnsiTheme="minorEastAsia" w:eastAsiaTheme="minorEastAsia"/>
          <w:color w:val="auto"/>
          <w:kern w:val="0"/>
          <w:sz w:val="24"/>
          <w:highlight w:val="none"/>
        </w:rPr>
        <w:t>投诉人签署的授权委托书。授权委托书应当载明代理人的姓名或者名称、代理事项、具体权限、期限和相关事项。</w:t>
      </w:r>
    </w:p>
    <w:p w14:paraId="72A6AB77">
      <w:pPr>
        <w:widowControl/>
        <w:spacing w:line="360" w:lineRule="auto"/>
        <w:ind w:firstLine="480" w:firstLineChars="200"/>
        <w:jc w:val="left"/>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3.投诉人若对项目的某一分包进行投诉，投诉书应列明具体分包号。</w:t>
      </w:r>
    </w:p>
    <w:p w14:paraId="19E10444">
      <w:pPr>
        <w:widowControl/>
        <w:spacing w:line="360" w:lineRule="auto"/>
        <w:ind w:firstLine="480" w:firstLineChars="200"/>
        <w:jc w:val="left"/>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4.投诉书应简要列明质疑事项，质疑函、质疑答复等作为附件材料提供。</w:t>
      </w:r>
    </w:p>
    <w:p w14:paraId="3CCB89BB">
      <w:pPr>
        <w:widowControl/>
        <w:spacing w:line="360" w:lineRule="auto"/>
        <w:ind w:firstLine="480" w:firstLineChars="200"/>
        <w:jc w:val="left"/>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5.投诉书的投诉事项应具体、明确，并有必要的事实依据和法律依据。</w:t>
      </w:r>
    </w:p>
    <w:p w14:paraId="7B1F9D31">
      <w:pPr>
        <w:widowControl/>
        <w:spacing w:line="360" w:lineRule="auto"/>
        <w:ind w:firstLine="480" w:firstLineChars="200"/>
        <w:jc w:val="left"/>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6.投诉书的投诉请求应与投诉事项相关。</w:t>
      </w:r>
    </w:p>
    <w:p w14:paraId="0C035778">
      <w:pPr>
        <w:widowControl/>
        <w:spacing w:line="360" w:lineRule="auto"/>
        <w:ind w:firstLine="480" w:firstLineChars="200"/>
        <w:jc w:val="left"/>
        <w:rPr>
          <w:rFonts w:hint="eastAsia"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sz w:val="24"/>
          <w:highlight w:val="none"/>
        </w:rPr>
        <w:t>7.投诉人为自然人的，投诉书应当由本人签字；投诉人为法人或者其他组织的，投诉书应当由法定代表人、主要负责人，或者其授权代表签字或者盖章，并加盖公章。</w:t>
      </w:r>
    </w:p>
    <w:p w14:paraId="2C7B96FB">
      <w:pPr>
        <w:rPr>
          <w:rFonts w:hint="eastAsia" w:cs="仿宋_GB2312" w:asciiTheme="minorEastAsia" w:hAnsiTheme="minorEastAsia" w:eastAsiaTheme="minorEastAsia"/>
          <w:b/>
          <w:color w:val="auto"/>
          <w:sz w:val="24"/>
          <w:highlight w:val="none"/>
        </w:rPr>
      </w:pPr>
    </w:p>
    <w:p w14:paraId="71C5FB4C">
      <w:pPr>
        <w:widowControl/>
        <w:adjustRightInd/>
        <w:jc w:val="left"/>
        <w:rPr>
          <w:rFonts w:hint="eastAsia"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br w:type="page"/>
      </w:r>
    </w:p>
    <w:p w14:paraId="25FCDF08">
      <w:pPr>
        <w:spacing w:line="360" w:lineRule="auto"/>
        <w:jc w:val="left"/>
        <w:rPr>
          <w:rFonts w:hint="eastAsia" w:cs="仿宋_GB2312" w:asciiTheme="minorEastAsia" w:hAnsiTheme="minorEastAsia" w:eastAsiaTheme="minorEastAsia"/>
          <w:b/>
          <w:color w:val="auto"/>
          <w:sz w:val="32"/>
          <w:szCs w:val="32"/>
          <w:highlight w:val="none"/>
        </w:rPr>
      </w:pPr>
      <w:r>
        <w:rPr>
          <w:rFonts w:hint="eastAsia" w:cs="仿宋_GB2312" w:asciiTheme="minorEastAsia" w:hAnsiTheme="minorEastAsia" w:eastAsiaTheme="minorEastAsia"/>
          <w:b/>
          <w:color w:val="auto"/>
          <w:sz w:val="32"/>
          <w:szCs w:val="32"/>
          <w:highlight w:val="none"/>
        </w:rPr>
        <w:t>附件3：</w:t>
      </w:r>
    </w:p>
    <w:p w14:paraId="77EE745D">
      <w:pPr>
        <w:spacing w:line="360" w:lineRule="auto"/>
        <w:rPr>
          <w:rFonts w:hint="eastAsia" w:asciiTheme="minorEastAsia" w:hAnsiTheme="minorEastAsia" w:eastAsiaTheme="minorEastAsia"/>
          <w:b/>
          <w:color w:val="auto"/>
          <w:spacing w:val="6"/>
          <w:sz w:val="32"/>
          <w:szCs w:val="32"/>
          <w:highlight w:val="none"/>
        </w:rPr>
      </w:pPr>
    </w:p>
    <w:p w14:paraId="341953CC">
      <w:pPr>
        <w:spacing w:line="360" w:lineRule="auto"/>
        <w:jc w:val="center"/>
        <w:rPr>
          <w:rFonts w:hint="eastAsia" w:asciiTheme="minorEastAsia" w:hAnsiTheme="minorEastAsia" w:eastAsiaTheme="minorEastAsia"/>
          <w:b/>
          <w:color w:val="auto"/>
          <w:spacing w:val="6"/>
          <w:sz w:val="32"/>
          <w:szCs w:val="32"/>
          <w:highlight w:val="none"/>
        </w:rPr>
      </w:pPr>
      <w:r>
        <w:rPr>
          <w:rFonts w:hint="eastAsia" w:asciiTheme="minorEastAsia" w:hAnsiTheme="minorEastAsia" w:eastAsiaTheme="minorEastAsia"/>
          <w:b/>
          <w:color w:val="auto"/>
          <w:spacing w:val="6"/>
          <w:sz w:val="32"/>
          <w:szCs w:val="32"/>
          <w:highlight w:val="none"/>
        </w:rPr>
        <w:t>残疾人福利性单位声明函</w:t>
      </w:r>
    </w:p>
    <w:p w14:paraId="41B4DB40">
      <w:pPr>
        <w:spacing w:line="360" w:lineRule="auto"/>
        <w:rPr>
          <w:rFonts w:hint="eastAsia" w:asciiTheme="minorEastAsia" w:hAnsiTheme="minorEastAsia" w:eastAsiaTheme="minorEastAsia"/>
          <w:b/>
          <w:color w:val="auto"/>
          <w:spacing w:val="6"/>
          <w:sz w:val="30"/>
          <w:szCs w:val="30"/>
          <w:highlight w:val="none"/>
        </w:rPr>
      </w:pPr>
    </w:p>
    <w:p w14:paraId="1AE6D7B3">
      <w:pPr>
        <w:spacing w:line="360" w:lineRule="auto"/>
        <w:ind w:firstLine="480" w:firstLineChars="200"/>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cs="仿宋_GB2312" w:asciiTheme="minorEastAsia" w:hAnsiTheme="minorEastAsia" w:eastAsiaTheme="minorEastAsia"/>
          <w:color w:val="auto"/>
          <w:sz w:val="24"/>
          <w:highlight w:val="none"/>
          <w:u w:val="single"/>
        </w:rPr>
        <w:t xml:space="preserve">   （采购人）    </w:t>
      </w:r>
      <w:r>
        <w:rPr>
          <w:rFonts w:hint="eastAsia" w:cs="仿宋_GB2312" w:asciiTheme="minorEastAsia" w:hAnsiTheme="minorEastAsia" w:eastAsiaTheme="minorEastAsia"/>
          <w:color w:val="auto"/>
          <w:sz w:val="24"/>
          <w:highlight w:val="none"/>
        </w:rPr>
        <w:t>单位的</w:t>
      </w:r>
      <w:r>
        <w:rPr>
          <w:rFonts w:hint="eastAsia" w:cs="仿宋_GB2312" w:asciiTheme="minorEastAsia" w:hAnsiTheme="minorEastAsia" w:eastAsiaTheme="minorEastAsia"/>
          <w:color w:val="auto"/>
          <w:sz w:val="24"/>
          <w:highlight w:val="none"/>
          <w:u w:val="single"/>
        </w:rPr>
        <w:t xml:space="preserve">     （项目名称）    </w:t>
      </w:r>
      <w:r>
        <w:rPr>
          <w:rFonts w:hint="eastAsia" w:cs="仿宋_GB2312" w:asciiTheme="minorEastAsia" w:hAnsiTheme="minorEastAsia" w:eastAsiaTheme="minorEastAsia"/>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29751D40">
      <w:pPr>
        <w:spacing w:line="360" w:lineRule="auto"/>
        <w:ind w:firstLine="480" w:firstLineChars="200"/>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本单位对上述声明的真实性负责。如有虚假，将依法承担相应责任。</w:t>
      </w:r>
    </w:p>
    <w:p w14:paraId="59674DF9">
      <w:pPr>
        <w:spacing w:line="360" w:lineRule="auto"/>
        <w:ind w:firstLine="480" w:firstLineChars="200"/>
        <w:rPr>
          <w:rFonts w:hint="eastAsia" w:cs="仿宋_GB2312" w:asciiTheme="minorEastAsia" w:hAnsiTheme="minorEastAsia" w:eastAsiaTheme="minorEastAsia"/>
          <w:color w:val="auto"/>
          <w:sz w:val="24"/>
          <w:highlight w:val="none"/>
        </w:rPr>
      </w:pPr>
    </w:p>
    <w:p w14:paraId="677DCEF0">
      <w:pPr>
        <w:spacing w:line="360" w:lineRule="auto"/>
        <w:ind w:firstLine="480" w:firstLineChars="200"/>
        <w:rPr>
          <w:rFonts w:hint="eastAsia" w:cs="仿宋_GB2312" w:asciiTheme="minorEastAsia" w:hAnsiTheme="minorEastAsia" w:eastAsiaTheme="minorEastAsia"/>
          <w:color w:val="auto"/>
          <w:sz w:val="24"/>
          <w:highlight w:val="none"/>
        </w:rPr>
      </w:pPr>
    </w:p>
    <w:p w14:paraId="2B43F4FC">
      <w:pPr>
        <w:tabs>
          <w:tab w:val="left" w:pos="4860"/>
        </w:tabs>
        <w:spacing w:line="360" w:lineRule="auto"/>
        <w:ind w:right="1560" w:firstLine="480" w:firstLineChars="200"/>
        <w:jc w:val="center"/>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 xml:space="preserve">               </w:t>
      </w:r>
      <w:r>
        <w:rPr>
          <w:rFonts w:hint="eastAsia" w:cs="仿宋_GB2312" w:asciiTheme="minorEastAsia" w:hAnsiTheme="minorEastAsia" w:eastAsiaTheme="minorEastAsia"/>
          <w:color w:val="auto"/>
          <w:kern w:val="0"/>
          <w:sz w:val="24"/>
          <w:highlight w:val="none"/>
          <w:lang w:val="zh-CN"/>
        </w:rPr>
        <w:t>磋商供应商名称(公章)</w:t>
      </w:r>
      <w:r>
        <w:rPr>
          <w:rFonts w:hint="eastAsia" w:cs="仿宋_GB2312" w:asciiTheme="minorEastAsia" w:hAnsiTheme="minorEastAsia" w:eastAsiaTheme="minorEastAsia"/>
          <w:color w:val="auto"/>
          <w:sz w:val="24"/>
          <w:highlight w:val="none"/>
        </w:rPr>
        <w:t>：</w:t>
      </w:r>
    </w:p>
    <w:p w14:paraId="6AC0BE7F">
      <w:pPr>
        <w:tabs>
          <w:tab w:val="left" w:pos="4860"/>
        </w:tabs>
        <w:spacing w:line="360" w:lineRule="auto"/>
        <w:ind w:right="1560" w:firstLine="480" w:firstLineChars="200"/>
        <w:jc w:val="center"/>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 xml:space="preserve">       日  期：</w:t>
      </w:r>
    </w:p>
    <w:p w14:paraId="2E0BA390">
      <w:pPr>
        <w:spacing w:line="360" w:lineRule="auto"/>
        <w:ind w:firstLine="480" w:firstLineChars="200"/>
        <w:rPr>
          <w:rFonts w:hint="eastAsia" w:cs="仿宋_GB2312" w:asciiTheme="minorEastAsia" w:hAnsiTheme="minorEastAsia" w:eastAsiaTheme="minorEastAsia"/>
          <w:color w:val="auto"/>
          <w:sz w:val="24"/>
          <w:highlight w:val="none"/>
        </w:rPr>
      </w:pPr>
    </w:p>
    <w:p w14:paraId="04AAEC95">
      <w:pPr>
        <w:widowControl/>
        <w:adjustRightInd/>
        <w:jc w:val="left"/>
        <w:rPr>
          <w:rFonts w:hint="eastAsia" w:cs="仿宋_GB2312" w:asciiTheme="minorEastAsia" w:hAnsiTheme="minorEastAsia" w:eastAsiaTheme="minorEastAsia"/>
          <w:b/>
          <w:color w:val="auto"/>
          <w:sz w:val="32"/>
          <w:szCs w:val="32"/>
          <w:highlight w:val="none"/>
        </w:rPr>
      </w:pPr>
      <w:r>
        <w:rPr>
          <w:rFonts w:cs="仿宋_GB2312" w:asciiTheme="minorEastAsia" w:hAnsiTheme="minorEastAsia" w:eastAsiaTheme="minorEastAsia"/>
          <w:b/>
          <w:color w:val="auto"/>
          <w:sz w:val="32"/>
          <w:szCs w:val="32"/>
          <w:highlight w:val="none"/>
        </w:rPr>
        <w:br w:type="page"/>
      </w:r>
    </w:p>
    <w:p w14:paraId="30A4CFC6">
      <w:pPr>
        <w:autoSpaceDE w:val="0"/>
        <w:autoSpaceDN w:val="0"/>
        <w:jc w:val="left"/>
        <w:rPr>
          <w:rFonts w:hint="eastAsia"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32"/>
          <w:szCs w:val="32"/>
          <w:highlight w:val="none"/>
        </w:rPr>
        <w:t>附件4：</w:t>
      </w:r>
    </w:p>
    <w:p w14:paraId="76562AE7">
      <w:pPr>
        <w:spacing w:line="360" w:lineRule="auto"/>
        <w:jc w:val="left"/>
        <w:rPr>
          <w:rFonts w:hint="eastAsia" w:cs="仿宋_GB2312" w:asciiTheme="minorEastAsia" w:hAnsiTheme="minorEastAsia" w:eastAsiaTheme="minorEastAsia"/>
          <w:b/>
          <w:color w:val="auto"/>
          <w:sz w:val="24"/>
          <w:highlight w:val="none"/>
        </w:rPr>
      </w:pPr>
    </w:p>
    <w:p w14:paraId="04A6152D">
      <w:pPr>
        <w:autoSpaceDE w:val="0"/>
        <w:autoSpaceDN w:val="0"/>
        <w:jc w:val="center"/>
        <w:rPr>
          <w:rFonts w:hint="eastAsia" w:asciiTheme="minorEastAsia" w:hAnsiTheme="minorEastAsia" w:eastAsiaTheme="minorEastAsia"/>
          <w:b/>
          <w:bCs/>
          <w:color w:val="auto"/>
          <w:sz w:val="32"/>
          <w:szCs w:val="32"/>
          <w:highlight w:val="none"/>
        </w:rPr>
      </w:pPr>
      <w:r>
        <w:rPr>
          <w:rFonts w:hint="eastAsia" w:asciiTheme="minorEastAsia" w:hAnsiTheme="minorEastAsia" w:eastAsiaTheme="minorEastAsia"/>
          <w:b/>
          <w:bCs/>
          <w:color w:val="auto"/>
          <w:sz w:val="32"/>
          <w:szCs w:val="32"/>
          <w:highlight w:val="none"/>
        </w:rPr>
        <w:t>业务专用章使用说明函</w:t>
      </w:r>
    </w:p>
    <w:p w14:paraId="1719CA94">
      <w:pPr>
        <w:autoSpaceDE w:val="0"/>
        <w:autoSpaceDN w:val="0"/>
        <w:jc w:val="center"/>
        <w:rPr>
          <w:rFonts w:hint="eastAsia" w:asciiTheme="minorEastAsia" w:hAnsiTheme="minorEastAsia" w:eastAsiaTheme="minorEastAsia"/>
          <w:b/>
          <w:bCs/>
          <w:color w:val="auto"/>
          <w:sz w:val="32"/>
          <w:szCs w:val="32"/>
          <w:highlight w:val="none"/>
        </w:rPr>
      </w:pPr>
    </w:p>
    <w:p w14:paraId="27B5C1A8">
      <w:pPr>
        <w:spacing w:line="360" w:lineRule="auto"/>
        <w:rPr>
          <w:rFonts w:hint="eastAsia"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（采购人）、（采购代理机构）：</w:t>
      </w:r>
    </w:p>
    <w:p w14:paraId="4F6E0FA7">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0"/>
          <w:sz w:val="24"/>
          <w:highlight w:val="none"/>
          <w:lang w:val="zh-CN"/>
        </w:rPr>
        <w:t>我方</w:t>
      </w:r>
      <w:r>
        <w:rPr>
          <w:rFonts w:hint="eastAsia" w:cs="仿宋_GB2312" w:asciiTheme="minorEastAsia" w:hAnsiTheme="minorEastAsia" w:eastAsiaTheme="minorEastAsia"/>
          <w:color w:val="auto"/>
          <w:kern w:val="0"/>
          <w:sz w:val="24"/>
          <w:highlight w:val="none"/>
          <w:u w:val="single"/>
          <w:lang w:val="zh-CN"/>
        </w:rPr>
        <w:t xml:space="preserve">                         </w:t>
      </w:r>
      <w:r>
        <w:rPr>
          <w:rFonts w:hint="eastAsia" w:cs="仿宋_GB2312" w:asciiTheme="minorEastAsia" w:hAnsiTheme="minorEastAsia" w:eastAsiaTheme="minorEastAsia"/>
          <w:color w:val="auto"/>
          <w:sz w:val="24"/>
          <w:highlight w:val="none"/>
        </w:rPr>
        <w:t>(供应商全称)</w:t>
      </w:r>
      <w:r>
        <w:rPr>
          <w:rFonts w:hint="eastAsia" w:asciiTheme="minorEastAsia" w:hAnsiTheme="minorEastAsia" w:eastAsiaTheme="minorEastAsia"/>
          <w:color w:val="auto"/>
          <w:sz w:val="24"/>
          <w:highlight w:val="none"/>
        </w:rPr>
        <w:t>是中华人民共和国依法登记注册的合法企业，</w:t>
      </w:r>
      <w:r>
        <w:rPr>
          <w:rFonts w:hint="eastAsia" w:cs="宋体" w:asciiTheme="minorEastAsia" w:hAnsiTheme="minorEastAsia" w:eastAsiaTheme="minorEastAsia"/>
          <w:bCs/>
          <w:color w:val="auto"/>
          <w:sz w:val="24"/>
          <w:highlight w:val="none"/>
        </w:rPr>
        <w:t>在参加</w:t>
      </w:r>
      <w:r>
        <w:rPr>
          <w:rFonts w:hint="eastAsia" w:cs="仿宋_GB2312" w:asciiTheme="minorEastAsia" w:hAnsiTheme="minorEastAsia" w:eastAsiaTheme="minorEastAsia"/>
          <w:color w:val="auto"/>
          <w:sz w:val="24"/>
          <w:highlight w:val="none"/>
        </w:rPr>
        <w:t>贵方组织的（项目名称）【项目编号：（采购编号）】</w:t>
      </w:r>
      <w:r>
        <w:rPr>
          <w:rFonts w:hint="eastAsia" w:cs="宋体" w:asciiTheme="minorEastAsia" w:hAnsiTheme="minorEastAsia" w:eastAsiaTheme="minorEastAsia"/>
          <w:bCs/>
          <w:color w:val="auto"/>
          <w:sz w:val="24"/>
          <w:highlight w:val="none"/>
        </w:rPr>
        <w:t>采购活动中作如下说明：</w:t>
      </w:r>
      <w:r>
        <w:rPr>
          <w:rFonts w:hint="eastAsia" w:cs="宋体" w:asciiTheme="minorEastAsia" w:hAnsiTheme="minorEastAsia" w:eastAsiaTheme="minorEastAsia"/>
          <w:color w:val="auto"/>
          <w:sz w:val="24"/>
          <w:highlight w:val="none"/>
        </w:rPr>
        <w:t>我方所使用的“</w:t>
      </w:r>
      <w:r>
        <w:rPr>
          <w:rFonts w:hint="eastAsia" w:cs="仿宋_GB2312" w:asciiTheme="minorEastAsia" w:hAnsiTheme="minorEastAsia" w:eastAsiaTheme="minorEastAsia"/>
          <w:color w:val="auto"/>
          <w:sz w:val="24"/>
          <w:highlight w:val="none"/>
        </w:rPr>
        <w:t>XX</w:t>
      </w:r>
      <w:r>
        <w:rPr>
          <w:rFonts w:hint="eastAsia" w:cs="宋体" w:asciiTheme="minorEastAsia" w:hAnsiTheme="minorEastAsia" w:eastAsiaTheme="minorEastAsia"/>
          <w:color w:val="auto"/>
          <w:sz w:val="24"/>
          <w:highlight w:val="none"/>
        </w:rPr>
        <w:t>专用章”与法定名称章具有同等的法律效力，对使用“</w:t>
      </w:r>
      <w:r>
        <w:rPr>
          <w:rFonts w:hint="eastAsia" w:cs="仿宋_GB2312" w:asciiTheme="minorEastAsia" w:hAnsiTheme="minorEastAsia" w:eastAsiaTheme="minorEastAsia"/>
          <w:color w:val="auto"/>
          <w:sz w:val="24"/>
          <w:highlight w:val="none"/>
        </w:rPr>
        <w:t>XX</w:t>
      </w:r>
      <w:r>
        <w:rPr>
          <w:rFonts w:hint="eastAsia" w:cs="宋体" w:asciiTheme="minorEastAsia" w:hAnsiTheme="minorEastAsia" w:eastAsiaTheme="minorEastAsia"/>
          <w:color w:val="auto"/>
          <w:sz w:val="24"/>
          <w:highlight w:val="none"/>
        </w:rPr>
        <w:t xml:space="preserve">专用章”的行为予以完全承认，并愿意承担相应责任。   </w:t>
      </w:r>
    </w:p>
    <w:p w14:paraId="705DC30A">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特此说明。</w:t>
      </w:r>
    </w:p>
    <w:p w14:paraId="282A49AC">
      <w:pPr>
        <w:spacing w:line="360" w:lineRule="auto"/>
        <w:ind w:firstLine="494"/>
        <w:rPr>
          <w:rFonts w:hint="eastAsia" w:cs="宋体" w:asciiTheme="minorEastAsia" w:hAnsiTheme="minorEastAsia" w:eastAsiaTheme="minorEastAsia"/>
          <w:color w:val="auto"/>
          <w:sz w:val="24"/>
          <w:highlight w:val="none"/>
        </w:rPr>
      </w:pPr>
    </w:p>
    <w:p w14:paraId="611B5150">
      <w:pPr>
        <w:spacing w:line="360" w:lineRule="auto"/>
        <w:ind w:firstLine="494"/>
        <w:rPr>
          <w:rFonts w:hint="eastAsia" w:cs="宋体" w:asciiTheme="minorEastAsia" w:hAnsiTheme="minorEastAsia" w:eastAsiaTheme="minorEastAsia"/>
          <w:color w:val="auto"/>
          <w:sz w:val="24"/>
          <w:highlight w:val="none"/>
        </w:rPr>
      </w:pPr>
    </w:p>
    <w:p w14:paraId="46E56FBC">
      <w:pPr>
        <w:spacing w:line="360" w:lineRule="auto"/>
        <w:ind w:firstLine="494"/>
        <w:rPr>
          <w:rFonts w:hint="eastAsia" w:cs="宋体" w:asciiTheme="minorEastAsia" w:hAnsiTheme="minorEastAsia" w:eastAsiaTheme="minorEastAsia"/>
          <w:color w:val="auto"/>
          <w:sz w:val="24"/>
          <w:highlight w:val="none"/>
        </w:rPr>
      </w:pPr>
    </w:p>
    <w:p w14:paraId="10152D3F">
      <w:pPr>
        <w:spacing w:line="360" w:lineRule="auto"/>
        <w:ind w:firstLine="494"/>
        <w:rPr>
          <w:rFonts w:hint="eastAsia" w:cs="宋体" w:asciiTheme="minorEastAsia" w:hAnsiTheme="minorEastAsia" w:eastAsiaTheme="minorEastAsia"/>
          <w:color w:val="auto"/>
          <w:sz w:val="24"/>
          <w:highlight w:val="none"/>
        </w:rPr>
      </w:pPr>
    </w:p>
    <w:p w14:paraId="2B8B864D">
      <w:pPr>
        <w:spacing w:line="360" w:lineRule="auto"/>
        <w:ind w:right="482" w:firstLine="4080" w:firstLineChars="17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供应商（法定名称章）：</w:t>
      </w:r>
    </w:p>
    <w:p w14:paraId="09B6ECA6">
      <w:pPr>
        <w:spacing w:line="360" w:lineRule="auto"/>
        <w:ind w:right="482" w:firstLine="4080" w:firstLineChars="17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日期：       年     月     日</w:t>
      </w:r>
    </w:p>
    <w:p w14:paraId="11ABC706">
      <w:pPr>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b/>
          <w:bCs/>
          <w:color w:val="auto"/>
          <w:sz w:val="24"/>
          <w:highlight w:val="none"/>
        </w:rPr>
        <w:t>附：</w:t>
      </w:r>
    </w:p>
    <w:p w14:paraId="06FCFD96">
      <w:pPr>
        <w:spacing w:line="360" w:lineRule="auto"/>
        <w:rPr>
          <w:rFonts w:hint="eastAsia" w:asciiTheme="minorEastAsia" w:hAnsiTheme="minorEastAsia" w:eastAsiaTheme="minorEastAsia"/>
          <w:bCs/>
          <w:color w:val="auto"/>
          <w:sz w:val="24"/>
          <w:highlight w:val="none"/>
        </w:rPr>
      </w:pPr>
      <w:r>
        <w:rPr>
          <w:rFonts w:asciiTheme="minorEastAsia" w:hAnsiTheme="minorEastAsia" w:eastAsiaTheme="minorEastAsia"/>
          <w:color w:val="auto"/>
          <w:highlight w:val="none"/>
        </w:rPr>
        <mc:AlternateContent>
          <mc:Choice Requires="wps">
            <w:drawing>
              <wp:anchor distT="0" distB="0" distL="114300" distR="114300" simplePos="0" relativeHeight="251684864" behindDoc="1" locked="0" layoutInCell="1" allowOverlap="1">
                <wp:simplePos x="0" y="0"/>
                <wp:positionH relativeFrom="column">
                  <wp:posOffset>3034030</wp:posOffset>
                </wp:positionH>
                <wp:positionV relativeFrom="paragraph">
                  <wp:posOffset>356235</wp:posOffset>
                </wp:positionV>
                <wp:extent cx="2704465" cy="2253615"/>
                <wp:effectExtent l="5080" t="4445" r="18415" b="12700"/>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31616;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gOBzGjECAABwBAAADgAAAGRycy9lMm9Eb2MueG1srVTB&#10;jtMwEL0j8Q+W7zRpaLts1XS1alWEtMBKCx/gOk5jYXvM2G26/AwSNz6Cz0H8BhOnLd2Fwx7IIfJk&#10;xs/vvRlndrW3hu0UBg2u5MNBzplyEirtNiX/+GH14hVnIQpXCQNOlfxeBX41f/5s1vqpKqABUylk&#10;BOLCtPUlb2L00ywLslFWhAF45ShZA1oRKcRNVqFoCd2arMjzSdYCVh5BqhDo67JP8gMiPgUQ6lpL&#10;tQS5tcrFHhWVEZEkhUb7wOeJbV0rGd/XdVCRmZKT0pjedAit1907m8/EdIPCN1oeKIinUHikyQrt&#10;6NAT1FJEwbao/4KyWiIEqONAgs16IckRUjHMH3lz1wivkhayOviT6eH/wcp3u1tkuqJJ4MwJSw3/&#10;9fX7zx/f2LDzpvVhSiV3/hY7dcHfgPwUmINFI9xGXSNC2yhREaNUnz3Y0AWBtrJ1+xYqghbbCMmm&#10;fY22AyQD2D514/7UDbWPTNLH4iIfjSZjziTlimL8cjIcd5wyMT1u9xjiawWWdYuSI7U7wYvdTYh9&#10;6bEk0Qejq5U2JgW4WS8Msp2g0Vil54AezsuMY23JL8fFOCE/yIVziDw9/4KwOtKNMdqSjPMi40jM&#10;0aPe6zVU9+QXQj+odE1p0QB+4aylIS15+LwVqDgzbxx5fjkcjbqpTsFofFFQgOeZ9XlGOElQJY+c&#10;9ctF7G/C1qPeNHTSMGl0cE19qnVysOPXszqQpUFMPThcmm7Sz+NU9edHMf8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9ZAPP9gAAAAKAQAADwAAAAAAAAABACAAAAAiAAAAZHJzL2Rvd25yZXYueG1s&#10;UEsBAhQAFAAAAAgAh07iQIDgcxoxAgAAcAQAAA4AAAAAAAAAAQAgAAAAJwEAAGRycy9lMm9Eb2Mu&#10;eG1sUEsFBgAAAAAGAAYAWQEAAMoFAAAAAA==&#10;">
                <v:fill on="t" focussize="0,0"/>
                <v:stroke color="#000000" miterlimit="2" joinstyle="miter"/>
                <v:imagedata o:title=""/>
                <o:lock v:ext="edit" aspectratio="f"/>
              </v:rect>
            </w:pict>
          </mc:Fallback>
        </mc:AlternateContent>
      </w:r>
      <w:r>
        <w:rPr>
          <w:rFonts w:asciiTheme="minorEastAsia" w:hAnsiTheme="minorEastAsia" w:eastAsiaTheme="minorEastAsia"/>
          <w:color w:val="auto"/>
          <w:highlight w:val="none"/>
        </w:rPr>
        <mc:AlternateContent>
          <mc:Choice Requires="wps">
            <w:drawing>
              <wp:anchor distT="0" distB="0" distL="114300" distR="114300" simplePos="0" relativeHeight="251683840" behindDoc="1" locked="0" layoutInCell="1" allowOverlap="1">
                <wp:simplePos x="0" y="0"/>
                <wp:positionH relativeFrom="column">
                  <wp:posOffset>-91440</wp:posOffset>
                </wp:positionH>
                <wp:positionV relativeFrom="paragraph">
                  <wp:posOffset>384810</wp:posOffset>
                </wp:positionV>
                <wp:extent cx="2647950" cy="2253615"/>
                <wp:effectExtent l="5080" t="4445" r="13970" b="12700"/>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2pt;margin-top:30.3pt;height:177.45pt;width:208.5pt;z-index:-251632640;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iM21VTMCAABwBAAADgAAAGRycy9lMm9Eb2MueG1srVTB&#10;jtMwEL0j8Q+W7zRtaLs0arpatSpCWmClhQ9wHaexsD1m7DZdfgaJGx/B5yB+g4nTLd2Fwx7IwfJ4&#10;xs/z3sxkfnmwhu0VBg2u5KPBkDPlJFTabUv+8cP6xSvOQhSuEgacKvmdCvxy8fzZvPWFyqEBUylk&#10;BOJC0fqSNzH6IsuCbJQVYQBeOXLWgFZEMnGbVShaQrcmy4fDadYCVh5BqhDodNU7+RERnwIIda2l&#10;WoHcWeVij4rKiEiUQqN94IuUbV0rGd/XdVCRmZIT05hWeoT2m27NFnNRbFH4RstjCuIpKTziZIV2&#10;9OgJaiWiYDvUf0FZLREC1HEgwWY9kaQIsRgNH2lz2wivEheSOviT6OH/wcp3+xtkuir5mDMnLBX8&#10;19fvP398Y+NOm9aHgkJu/Q127IK/BvkpMAfLRritukKEtlGiooxGXXz24EJnBLrKNu1bqAha7CIk&#10;mQ412g6QBGCHVI27UzXUITJJh/l0fDGbUKEk+fJ88nI6mqQ3RHF/3WOIrxVY1m1KjlTuBC/21yF2&#10;6YjiPiSlD0ZXa21MMnC7WRpke0GtsU7fET2chxnH2pLPJvkkIT/whXOIYfr+BWF1pIkx2hKN8yDj&#10;joJ1GvVab6C6I70Q+kalMaVNA/iFs5aatOTh806g4sy8caT5bDQed12djPHkIicDzz2bc49wkqBK&#10;Hjnrt8vYT8LOo9429NIocXRwRXWqdVKwq2Gf1TFZasQk7HFouk4/t1PUnx/F4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ZjEem2AAAAAoBAAAPAAAAAAAAAAEAIAAAACIAAABkcnMvZG93bnJldi54&#10;bWxQSwECFAAUAAAACACHTuJAiM21VTMCAABwBAAADgAAAAAAAAABACAAAAAnAQAAZHJzL2Uyb0Rv&#10;Yy54bWxQSwUGAAAAAAYABgBZAQAAzAUAAAAA&#10;">
                <v:fill on="t" focussize="0,0"/>
                <v:stroke color="#000000" miterlimit="2" joinstyle="miter"/>
                <v:imagedata o:title=""/>
                <o:lock v:ext="edit" aspectratio="f"/>
              </v:rect>
            </w:pict>
          </mc:Fallback>
        </mc:AlternateContent>
      </w:r>
      <w:r>
        <w:rPr>
          <w:rFonts w:hint="eastAsia" w:cs="宋体" w:asciiTheme="minorEastAsia" w:hAnsiTheme="minorEastAsia" w:eastAsiaTheme="minorEastAsia"/>
          <w:color w:val="auto"/>
          <w:sz w:val="24"/>
          <w:highlight w:val="none"/>
        </w:rPr>
        <w:t>供应商法定名称章（印模）                供应商“</w:t>
      </w:r>
      <w:r>
        <w:rPr>
          <w:rFonts w:hint="eastAsia" w:cs="仿宋_GB2312" w:asciiTheme="minorEastAsia" w:hAnsiTheme="minorEastAsia" w:eastAsiaTheme="minorEastAsia"/>
          <w:color w:val="auto"/>
          <w:sz w:val="24"/>
          <w:highlight w:val="none"/>
        </w:rPr>
        <w:t>XX</w:t>
      </w:r>
      <w:r>
        <w:rPr>
          <w:rFonts w:hint="eastAsia" w:cs="宋体" w:asciiTheme="minorEastAsia" w:hAnsiTheme="minorEastAsia" w:eastAsiaTheme="minorEastAsia"/>
          <w:color w:val="auto"/>
          <w:sz w:val="24"/>
          <w:highlight w:val="none"/>
        </w:rPr>
        <w:t>专用章”（印模）</w:t>
      </w:r>
    </w:p>
    <w:p w14:paraId="15B21BEE">
      <w:pPr>
        <w:widowControl/>
        <w:spacing w:line="360" w:lineRule="auto"/>
        <w:ind w:firstLine="480" w:firstLineChars="200"/>
        <w:jc w:val="left"/>
        <w:rPr>
          <w:rFonts w:hint="eastAsia" w:cs="宋体" w:asciiTheme="minorEastAsia" w:hAnsiTheme="minorEastAsia" w:eastAsiaTheme="minorEastAsia"/>
          <w:color w:val="auto"/>
          <w:kern w:val="0"/>
          <w:sz w:val="24"/>
          <w:highlight w:val="none"/>
        </w:rPr>
      </w:pPr>
    </w:p>
    <w:p w14:paraId="1F332DB2">
      <w:pPr>
        <w:snapToGrid w:val="0"/>
        <w:spacing w:line="360" w:lineRule="auto"/>
        <w:jc w:val="center"/>
        <w:rPr>
          <w:rFonts w:hint="eastAsia" w:cs="仿宋_GB2312" w:asciiTheme="minorEastAsia" w:hAnsiTheme="minorEastAsia" w:eastAsiaTheme="minorEastAsia"/>
          <w:b/>
          <w:color w:val="auto"/>
          <w:sz w:val="24"/>
          <w:highlight w:val="none"/>
        </w:rPr>
      </w:pPr>
    </w:p>
    <w:p w14:paraId="43841746">
      <w:pPr>
        <w:widowControl/>
        <w:adjustRightInd/>
        <w:jc w:val="left"/>
        <w:rPr>
          <w:rFonts w:hint="eastAsia" w:cs="仿宋_GB2312" w:asciiTheme="minorEastAsia" w:hAnsiTheme="minorEastAsia" w:eastAsiaTheme="minorEastAsia"/>
          <w:b/>
          <w:color w:val="auto"/>
          <w:sz w:val="24"/>
          <w:highlight w:val="none"/>
        </w:rPr>
      </w:pPr>
      <w:r>
        <w:rPr>
          <w:rFonts w:cs="仿宋_GB2312" w:asciiTheme="minorEastAsia" w:hAnsiTheme="minorEastAsia" w:eastAsiaTheme="minorEastAsia"/>
          <w:b/>
          <w:color w:val="auto"/>
          <w:sz w:val="24"/>
          <w:highlight w:val="none"/>
        </w:rPr>
        <w:br w:type="page"/>
      </w:r>
    </w:p>
    <w:p w14:paraId="134884CC">
      <w:pPr>
        <w:autoSpaceDE w:val="0"/>
        <w:autoSpaceDN w:val="0"/>
        <w:jc w:val="left"/>
        <w:rPr>
          <w:rFonts w:hint="eastAsia" w:cs="仿宋_GB2312" w:asciiTheme="minorEastAsia" w:hAnsiTheme="minorEastAsia" w:eastAsiaTheme="minorEastAsia"/>
          <w:b/>
          <w:color w:val="auto"/>
          <w:sz w:val="32"/>
          <w:szCs w:val="32"/>
          <w:highlight w:val="none"/>
        </w:rPr>
      </w:pPr>
      <w:r>
        <w:rPr>
          <w:rFonts w:hint="eastAsia" w:cs="仿宋_GB2312" w:asciiTheme="minorEastAsia" w:hAnsiTheme="minorEastAsia" w:eastAsiaTheme="minorEastAsia"/>
          <w:b/>
          <w:color w:val="auto"/>
          <w:sz w:val="32"/>
          <w:szCs w:val="32"/>
          <w:highlight w:val="none"/>
        </w:rPr>
        <w:t>附件5：</w:t>
      </w:r>
    </w:p>
    <w:p w14:paraId="2890B62C">
      <w:pPr>
        <w:spacing w:line="360" w:lineRule="auto"/>
        <w:jc w:val="center"/>
        <w:rPr>
          <w:rFonts w:hint="eastAsia" w:cs="宋体" w:asciiTheme="minorEastAsia" w:hAnsiTheme="minorEastAsia" w:eastAsiaTheme="minorEastAsia"/>
          <w:b/>
          <w:color w:val="auto"/>
          <w:sz w:val="32"/>
          <w:szCs w:val="32"/>
          <w:highlight w:val="none"/>
        </w:rPr>
      </w:pPr>
    </w:p>
    <w:p w14:paraId="65701753">
      <w:pPr>
        <w:adjustRightInd/>
        <w:spacing w:line="360" w:lineRule="auto"/>
        <w:jc w:val="center"/>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中小企业声明函（服务）</w:t>
      </w:r>
    </w:p>
    <w:p w14:paraId="69F3633F">
      <w:pPr>
        <w:spacing w:line="360" w:lineRule="auto"/>
        <w:jc w:val="center"/>
        <w:rPr>
          <w:rFonts w:hint="eastAsia" w:cs="宋体" w:asciiTheme="minorEastAsia" w:hAnsiTheme="minorEastAsia" w:eastAsiaTheme="minorEastAsia"/>
          <w:b/>
          <w:color w:val="auto"/>
          <w:sz w:val="32"/>
          <w:szCs w:val="32"/>
          <w:highlight w:val="none"/>
        </w:rPr>
      </w:pPr>
    </w:p>
    <w:p w14:paraId="4FA9EEB2">
      <w:pPr>
        <w:spacing w:line="360" w:lineRule="auto"/>
        <w:ind w:firstLine="360" w:firstLineChars="150"/>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 xml:space="preserve">本公司（联合体）郑重声明，根据《政府采购促进中小企业发展管理办法》（财库﹝2020﹞46 号）的规定，本公司（联合体）参加 </w:t>
      </w:r>
      <w:r>
        <w:rPr>
          <w:rFonts w:hint="eastAsia" w:cs="宋体" w:asciiTheme="minorEastAsia" w:hAnsiTheme="minorEastAsia" w:eastAsiaTheme="minorEastAsia"/>
          <w:color w:val="auto"/>
          <w:sz w:val="24"/>
          <w:highlight w:val="none"/>
          <w:u w:val="single"/>
        </w:rPr>
        <w:t xml:space="preserve">（采购人） </w:t>
      </w:r>
      <w:r>
        <w:rPr>
          <w:rFonts w:hint="eastAsia" w:cs="宋体" w:asciiTheme="minorEastAsia" w:hAnsiTheme="minorEastAsia" w:eastAsiaTheme="minorEastAsia"/>
          <w:color w:val="auto"/>
          <w:sz w:val="24"/>
          <w:highlight w:val="none"/>
        </w:rPr>
        <w:t>的</w:t>
      </w:r>
      <w:r>
        <w:rPr>
          <w:rFonts w:cs="宋体" w:asciiTheme="minorEastAsia" w:hAnsiTheme="minorEastAsia" w:eastAsiaTheme="minorEastAsia"/>
          <w:color w:val="auto"/>
          <w:sz w:val="24"/>
          <w:highlight w:val="none"/>
          <w:u w:val="single"/>
        </w:rPr>
        <w:t xml:space="preserve"> （项目</w:t>
      </w:r>
      <w:r>
        <w:rPr>
          <w:rFonts w:hint="eastAsia" w:cs="宋体" w:asciiTheme="minorEastAsia" w:hAnsiTheme="minorEastAsia" w:eastAsiaTheme="minorEastAsia"/>
          <w:color w:val="auto"/>
          <w:sz w:val="24"/>
          <w:highlight w:val="none"/>
          <w:u w:val="single"/>
        </w:rPr>
        <w:t xml:space="preserve">名称） </w:t>
      </w:r>
      <w:r>
        <w:rPr>
          <w:rFonts w:hint="eastAsia" w:cs="宋体" w:asciiTheme="minorEastAsia" w:hAnsiTheme="minorEastAsia" w:eastAsiaTheme="minorEastAsia"/>
          <w:color w:val="auto"/>
          <w:sz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6C4C5DFE">
      <w:pPr>
        <w:spacing w:line="360" w:lineRule="auto"/>
        <w:ind w:firstLine="480" w:firstLineChars="200"/>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w:t>
      </w:r>
      <w:r>
        <w:rPr>
          <w:rFonts w:hint="eastAsia" w:cs="宋体" w:asciiTheme="minorEastAsia" w:hAnsiTheme="minorEastAsia" w:eastAsiaTheme="minorEastAsia"/>
          <w:color w:val="auto"/>
          <w:highlight w:val="none"/>
        </w:rPr>
        <w:t xml:space="preserve"> </w:t>
      </w:r>
      <w:r>
        <w:rPr>
          <w:rFonts w:hint="eastAsia" w:cs="宋体" w:asciiTheme="minorEastAsia" w:hAnsiTheme="minorEastAsia" w:eastAsiaTheme="minorEastAsia"/>
          <w:color w:val="auto"/>
          <w:sz w:val="24"/>
          <w:highlight w:val="none"/>
          <w:u w:val="single"/>
        </w:rPr>
        <w:t>（标的名称）</w:t>
      </w:r>
      <w:r>
        <w:rPr>
          <w:rFonts w:hint="eastAsia" w:cs="宋体" w:asciiTheme="minorEastAsia" w:hAnsiTheme="minorEastAsia" w:eastAsiaTheme="minorEastAsia"/>
          <w:color w:val="auto"/>
          <w:sz w:val="24"/>
          <w:highlight w:val="none"/>
        </w:rPr>
        <w:t xml:space="preserve">，属于 </w:t>
      </w:r>
      <w:r>
        <w:rPr>
          <w:rFonts w:hint="eastAsia" w:cs="宋体" w:asciiTheme="minorEastAsia" w:hAnsiTheme="minorEastAsia" w:eastAsiaTheme="minorEastAsia"/>
          <w:color w:val="auto"/>
          <w:sz w:val="24"/>
          <w:highlight w:val="none"/>
          <w:u w:val="single"/>
        </w:rPr>
        <w:t>（采购文件中明确的所属行业）</w:t>
      </w:r>
      <w:r>
        <w:rPr>
          <w:rFonts w:hint="eastAsia" w:cs="宋体" w:asciiTheme="minorEastAsia" w:hAnsiTheme="minorEastAsia" w:eastAsiaTheme="minorEastAsia"/>
          <w:color w:val="auto"/>
          <w:sz w:val="24"/>
          <w:highlight w:val="none"/>
        </w:rPr>
        <w:t xml:space="preserve"> ；承建（承接）企业为 </w:t>
      </w:r>
      <w:r>
        <w:rPr>
          <w:rFonts w:hint="eastAsia" w:cs="宋体" w:asciiTheme="minorEastAsia" w:hAnsiTheme="minorEastAsia" w:eastAsiaTheme="minorEastAsia"/>
          <w:color w:val="auto"/>
          <w:sz w:val="24"/>
          <w:highlight w:val="none"/>
          <w:u w:val="single"/>
        </w:rPr>
        <w:t>（企业名称）</w:t>
      </w:r>
      <w:r>
        <w:rPr>
          <w:rFonts w:hint="eastAsia" w:cs="宋体" w:asciiTheme="minorEastAsia" w:hAnsiTheme="minorEastAsia" w:eastAsiaTheme="minorEastAsia"/>
          <w:color w:val="auto"/>
          <w:sz w:val="24"/>
          <w:highlight w:val="none"/>
        </w:rPr>
        <w:t xml:space="preserve"> ，从业人员</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人，营业收入为</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万元，资产总额为</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万元属于</w:t>
      </w:r>
      <w:r>
        <w:rPr>
          <w:rFonts w:hint="eastAsia" w:cs="宋体" w:asciiTheme="minorEastAsia" w:hAnsiTheme="minorEastAsia" w:eastAsiaTheme="minorEastAsia"/>
          <w:color w:val="auto"/>
          <w:sz w:val="24"/>
          <w:highlight w:val="none"/>
          <w:u w:val="single"/>
        </w:rPr>
        <w:t xml:space="preserve"> （中型企业、小型企业、微型企业） </w:t>
      </w:r>
      <w:r>
        <w:rPr>
          <w:rFonts w:hint="eastAsia" w:cs="宋体" w:asciiTheme="minorEastAsia" w:hAnsiTheme="minorEastAsia" w:eastAsiaTheme="minorEastAsia"/>
          <w:color w:val="auto"/>
          <w:sz w:val="24"/>
          <w:highlight w:val="none"/>
        </w:rPr>
        <w:t>；</w:t>
      </w:r>
    </w:p>
    <w:p w14:paraId="172936C0">
      <w:pPr>
        <w:spacing w:line="360" w:lineRule="auto"/>
        <w:ind w:firstLine="480" w:firstLineChars="200"/>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w:t>
      </w:r>
      <w:r>
        <w:rPr>
          <w:rFonts w:hint="eastAsia" w:cs="宋体" w:asciiTheme="minorEastAsia" w:hAnsiTheme="minorEastAsia" w:eastAsiaTheme="minorEastAsia"/>
          <w:color w:val="auto"/>
          <w:highlight w:val="none"/>
        </w:rPr>
        <w:t xml:space="preserve"> </w:t>
      </w:r>
      <w:r>
        <w:rPr>
          <w:rFonts w:hint="eastAsia" w:cs="宋体" w:asciiTheme="minorEastAsia" w:hAnsiTheme="minorEastAsia" w:eastAsiaTheme="minorEastAsia"/>
          <w:color w:val="auto"/>
          <w:sz w:val="24"/>
          <w:highlight w:val="none"/>
          <w:u w:val="single"/>
        </w:rPr>
        <w:t>（标的名称）</w:t>
      </w:r>
      <w:r>
        <w:rPr>
          <w:rFonts w:hint="eastAsia" w:cs="宋体" w:asciiTheme="minorEastAsia" w:hAnsiTheme="minorEastAsia" w:eastAsiaTheme="minorEastAsia"/>
          <w:color w:val="auto"/>
          <w:sz w:val="24"/>
          <w:highlight w:val="none"/>
        </w:rPr>
        <w:t xml:space="preserve">，属于 </w:t>
      </w:r>
      <w:r>
        <w:rPr>
          <w:rFonts w:hint="eastAsia" w:cs="宋体" w:asciiTheme="minorEastAsia" w:hAnsiTheme="minorEastAsia" w:eastAsiaTheme="minorEastAsia"/>
          <w:color w:val="auto"/>
          <w:sz w:val="24"/>
          <w:highlight w:val="none"/>
          <w:u w:val="single"/>
        </w:rPr>
        <w:t>（采购文件中明确的所属行业）</w:t>
      </w:r>
      <w:r>
        <w:rPr>
          <w:rFonts w:hint="eastAsia" w:cs="宋体" w:asciiTheme="minorEastAsia" w:hAnsiTheme="minorEastAsia" w:eastAsiaTheme="minorEastAsia"/>
          <w:color w:val="auto"/>
          <w:sz w:val="24"/>
          <w:highlight w:val="none"/>
        </w:rPr>
        <w:t xml:space="preserve"> ；承建（承接）企业为 </w:t>
      </w:r>
      <w:r>
        <w:rPr>
          <w:rFonts w:hint="eastAsia" w:cs="宋体" w:asciiTheme="minorEastAsia" w:hAnsiTheme="minorEastAsia" w:eastAsiaTheme="minorEastAsia"/>
          <w:color w:val="auto"/>
          <w:sz w:val="24"/>
          <w:highlight w:val="none"/>
          <w:u w:val="single"/>
        </w:rPr>
        <w:t>（企业名称）</w:t>
      </w:r>
      <w:r>
        <w:rPr>
          <w:rFonts w:hint="eastAsia" w:cs="宋体" w:asciiTheme="minorEastAsia" w:hAnsiTheme="minorEastAsia" w:eastAsiaTheme="minorEastAsia"/>
          <w:color w:val="auto"/>
          <w:sz w:val="24"/>
          <w:highlight w:val="none"/>
        </w:rPr>
        <w:t xml:space="preserve"> ，从业人员</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人，营业收入为</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万元，资产总额为</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万元属于</w:t>
      </w:r>
      <w:r>
        <w:rPr>
          <w:rFonts w:hint="eastAsia" w:cs="宋体" w:asciiTheme="minorEastAsia" w:hAnsiTheme="minorEastAsia" w:eastAsiaTheme="minorEastAsia"/>
          <w:color w:val="auto"/>
          <w:sz w:val="24"/>
          <w:highlight w:val="none"/>
          <w:u w:val="single"/>
        </w:rPr>
        <w:t xml:space="preserve"> （中型企业、小型企业、微型企业） </w:t>
      </w:r>
      <w:r>
        <w:rPr>
          <w:rFonts w:hint="eastAsia" w:cs="宋体" w:asciiTheme="minorEastAsia" w:hAnsiTheme="minorEastAsia" w:eastAsiaTheme="minorEastAsia"/>
          <w:color w:val="auto"/>
          <w:sz w:val="24"/>
          <w:highlight w:val="none"/>
        </w:rPr>
        <w:t>；</w:t>
      </w:r>
    </w:p>
    <w:p w14:paraId="62F29F2C">
      <w:pPr>
        <w:spacing w:line="360" w:lineRule="auto"/>
        <w:ind w:firstLine="480" w:firstLineChars="200"/>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w:t>
      </w:r>
    </w:p>
    <w:p w14:paraId="1CE46E78">
      <w:pPr>
        <w:spacing w:line="360" w:lineRule="auto"/>
        <w:ind w:firstLine="480" w:firstLineChars="200"/>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以上企业，不属于大企业的分支机构，不存在控股股东为大企业的情形，也不存在与大企业的负责人为同一人的情形。</w:t>
      </w:r>
    </w:p>
    <w:p w14:paraId="72E53AC3">
      <w:pPr>
        <w:spacing w:line="360" w:lineRule="auto"/>
        <w:ind w:firstLine="480" w:firstLineChars="200"/>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本企业对上述声明内容的真实性负责。如有虚假，将依法承担相应责任。</w:t>
      </w:r>
    </w:p>
    <w:p w14:paraId="2C79DF34">
      <w:pPr>
        <w:spacing w:line="360" w:lineRule="auto"/>
        <w:ind w:right="1760"/>
        <w:jc w:val="right"/>
        <w:rPr>
          <w:rFonts w:hint="eastAsia" w:cs="宋体"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0"/>
          <w:sz w:val="24"/>
          <w:highlight w:val="none"/>
          <w:lang w:val="zh-CN"/>
        </w:rPr>
        <w:t>磋商供应商名称(公章)</w:t>
      </w:r>
      <w:r>
        <w:rPr>
          <w:rFonts w:hint="eastAsia" w:cs="宋体" w:asciiTheme="minorEastAsia" w:hAnsiTheme="minorEastAsia" w:eastAsiaTheme="minorEastAsia"/>
          <w:color w:val="auto"/>
          <w:sz w:val="24"/>
          <w:highlight w:val="none"/>
        </w:rPr>
        <w:t>：</w:t>
      </w:r>
    </w:p>
    <w:p w14:paraId="7B7DCAB2">
      <w:pPr>
        <w:spacing w:line="360" w:lineRule="auto"/>
        <w:ind w:right="1120" w:firstLine="4680" w:firstLineChars="195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日 期：</w:t>
      </w:r>
    </w:p>
    <w:p w14:paraId="28D958C4">
      <w:pPr>
        <w:spacing w:line="360" w:lineRule="auto"/>
        <w:ind w:right="42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 xml:space="preserve">   注：</w:t>
      </w:r>
    </w:p>
    <w:p w14:paraId="479200F7">
      <w:pPr>
        <w:spacing w:line="360" w:lineRule="auto"/>
        <w:ind w:right="420"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填写要求：①“标的名称”、“采购文件中明确的所属行业”依据磋商文件第三部分供应商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供应商提供的《中小企业声明函》与实际情况不符的或者未按以上要求填写的，中小企业声明函无效，不享受中小企业扶持政策。声明内容不实的，属于提供虚假材料谋取中标、成交的，依法承担法律责任。</w:t>
      </w:r>
    </w:p>
    <w:p w14:paraId="09A0F75D">
      <w:pPr>
        <w:spacing w:line="360" w:lineRule="auto"/>
        <w:ind w:right="420" w:firstLine="720" w:firstLineChars="3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符合《关于促进残疾人就业政府采购政策的通知》（财库〔2017〕141号）规定的条件并提供《残疾人福利性单位声明函》（附件3）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14:paraId="4DF2AE99">
      <w:pPr>
        <w:spacing w:line="360" w:lineRule="auto"/>
        <w:rPr>
          <w:rFonts w:hint="eastAsia" w:cs="仿宋_GB2312" w:asciiTheme="minorEastAsia" w:hAnsiTheme="minorEastAsia" w:eastAsiaTheme="minorEastAsia"/>
          <w:b/>
          <w:color w:val="auto"/>
          <w:sz w:val="24"/>
          <w:highlight w:val="none"/>
        </w:rPr>
      </w:pPr>
    </w:p>
    <w:p w14:paraId="74AD3908">
      <w:pPr>
        <w:snapToGrid w:val="0"/>
        <w:spacing w:line="360" w:lineRule="auto"/>
        <w:jc w:val="left"/>
        <w:rPr>
          <w:rFonts w:ascii="宋体" w:hAnsi="宋体" w:cs="宋体"/>
          <w:b/>
          <w:color w:val="auto"/>
          <w:kern w:val="0"/>
          <w:sz w:val="32"/>
          <w:szCs w:val="32"/>
          <w:highlight w:val="none"/>
        </w:rPr>
      </w:pPr>
      <w:r>
        <w:rPr>
          <w:rFonts w:hint="eastAsia" w:cs="仿宋_GB2312" w:asciiTheme="minorEastAsia" w:hAnsiTheme="minorEastAsia" w:eastAsiaTheme="minorEastAsia"/>
          <w:b/>
          <w:color w:val="auto"/>
          <w:sz w:val="24"/>
          <w:highlight w:val="none"/>
        </w:rPr>
        <w:br w:type="page"/>
      </w:r>
      <w:r>
        <w:rPr>
          <w:rFonts w:hint="eastAsia" w:ascii="宋体" w:hAnsi="宋体" w:cs="宋体"/>
          <w:b/>
          <w:color w:val="auto"/>
          <w:kern w:val="0"/>
          <w:sz w:val="32"/>
          <w:szCs w:val="32"/>
          <w:highlight w:val="none"/>
        </w:rPr>
        <w:t>附件6：关于符合本国产品标准的声明函</w:t>
      </w:r>
    </w:p>
    <w:p w14:paraId="48C4B186">
      <w:pPr>
        <w:spacing w:line="360" w:lineRule="auto"/>
        <w:jc w:val="center"/>
        <w:rPr>
          <w:rFonts w:ascii="宋体" w:hAnsi="宋体" w:cs="宋体"/>
          <w:color w:val="auto"/>
          <w:sz w:val="24"/>
          <w:highlight w:val="none"/>
          <w:u w:val="single"/>
        </w:rPr>
      </w:pPr>
    </w:p>
    <w:p w14:paraId="7B6C826D">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关于符合本国产品标准的声明函</w:t>
      </w:r>
    </w:p>
    <w:p w14:paraId="0A2A8FD1">
      <w:pPr>
        <w:spacing w:line="360" w:lineRule="auto"/>
        <w:ind w:right="420" w:firstLine="480" w:firstLineChars="200"/>
        <w:rPr>
          <w:rFonts w:ascii="宋体" w:hAnsi="宋体" w:cs="宋体"/>
          <w:color w:val="auto"/>
          <w:sz w:val="24"/>
          <w:highlight w:val="none"/>
        </w:rPr>
      </w:pPr>
    </w:p>
    <w:p w14:paraId="696CC711">
      <w:pPr>
        <w:spacing w:line="360" w:lineRule="auto"/>
        <w:ind w:right="420" w:firstLine="480" w:firstLineChars="200"/>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6D4BCF71">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（产品名称1）</w:t>
      </w:r>
      <w:r>
        <w:rPr>
          <w:rFonts w:hint="eastAsia" w:ascii="宋体" w:hAnsi="宋体" w:cs="宋体"/>
          <w:color w:val="auto"/>
          <w:sz w:val="24"/>
          <w:highlight w:val="none"/>
        </w:rPr>
        <w:t>1，生产厂为</w:t>
      </w:r>
      <w:r>
        <w:rPr>
          <w:rFonts w:hint="eastAsia" w:ascii="宋体" w:hAnsi="宋体" w:cs="宋体"/>
          <w:color w:val="auto"/>
          <w:sz w:val="24"/>
          <w:highlight w:val="none"/>
          <w:u w:val="single"/>
        </w:rPr>
        <w:t>（厂名）</w:t>
      </w:r>
      <w:r>
        <w:rPr>
          <w:rFonts w:hint="eastAsia" w:ascii="宋体" w:hAnsi="宋体" w:cs="宋体"/>
          <w:color w:val="auto"/>
          <w:sz w:val="24"/>
          <w:highlight w:val="none"/>
        </w:rPr>
        <w:t>2，厂址为</w:t>
      </w:r>
      <w:r>
        <w:rPr>
          <w:rFonts w:hint="eastAsia" w:ascii="宋体" w:hAnsi="宋体" w:cs="宋体"/>
          <w:color w:val="auto"/>
          <w:sz w:val="24"/>
          <w:highlight w:val="none"/>
          <w:u w:val="single"/>
        </w:rPr>
        <w:t>（生产厂址）</w:t>
      </w:r>
      <w:r>
        <w:rPr>
          <w:rFonts w:hint="eastAsia" w:ascii="宋体" w:hAnsi="宋体" w:cs="宋体"/>
          <w:color w:val="auto"/>
          <w:sz w:val="24"/>
          <w:highlight w:val="none"/>
        </w:rPr>
        <w:t>。</w:t>
      </w:r>
      <w:r>
        <w:rPr>
          <w:rFonts w:hint="eastAsia" w:ascii="宋体" w:hAnsi="宋体" w:cs="宋体"/>
          <w:color w:val="auto"/>
          <w:sz w:val="24"/>
          <w:highlight w:val="none"/>
          <w:u w:val="single"/>
        </w:rPr>
        <w:t>（产品名称1）</w:t>
      </w:r>
      <w:r>
        <w:rPr>
          <w:rFonts w:hint="eastAsia" w:ascii="宋体" w:hAnsi="宋体" w:cs="宋体"/>
          <w:color w:val="auto"/>
          <w:sz w:val="24"/>
          <w:highlight w:val="none"/>
        </w:rPr>
        <w:t>的中国境内生产的组件成本占比≥</w:t>
      </w:r>
      <w:r>
        <w:rPr>
          <w:rFonts w:hint="eastAsia" w:ascii="宋体" w:hAnsi="宋体" w:cs="宋体"/>
          <w:color w:val="auto"/>
          <w:sz w:val="24"/>
          <w:highlight w:val="none"/>
          <w:u w:val="single"/>
        </w:rPr>
        <w:t>（规定比例）</w:t>
      </w:r>
      <w:r>
        <w:rPr>
          <w:rFonts w:hint="eastAsia" w:ascii="宋体" w:hAnsi="宋体" w:cs="宋体"/>
          <w:color w:val="auto"/>
          <w:sz w:val="24"/>
          <w:highlight w:val="none"/>
        </w:rPr>
        <w:t>3。</w:t>
      </w:r>
      <w:r>
        <w:rPr>
          <w:rFonts w:hint="eastAsia" w:ascii="宋体" w:hAnsi="宋体" w:cs="宋体"/>
          <w:color w:val="auto"/>
          <w:sz w:val="24"/>
          <w:highlight w:val="none"/>
          <w:u w:val="single"/>
        </w:rPr>
        <w:t>（产品名称1）</w:t>
      </w:r>
      <w:r>
        <w:rPr>
          <w:rFonts w:hint="eastAsia" w:ascii="宋体" w:hAnsi="宋体" w:cs="宋体"/>
          <w:color w:val="auto"/>
          <w:sz w:val="24"/>
          <w:highlight w:val="none"/>
        </w:rPr>
        <w:t>的</w:t>
      </w:r>
      <w:r>
        <w:rPr>
          <w:rFonts w:hint="eastAsia" w:ascii="宋体" w:hAnsi="宋体" w:cs="宋体"/>
          <w:color w:val="auto"/>
          <w:sz w:val="24"/>
          <w:highlight w:val="none"/>
          <w:u w:val="single"/>
        </w:rPr>
        <w:t>（关键组件）</w:t>
      </w:r>
      <w:r>
        <w:rPr>
          <w:rFonts w:hint="eastAsia" w:ascii="宋体" w:hAnsi="宋体" w:cs="宋体"/>
          <w:color w:val="auto"/>
          <w:sz w:val="24"/>
          <w:highlight w:val="none"/>
        </w:rPr>
        <w:t>4在中国境内生产。</w:t>
      </w:r>
      <w:r>
        <w:rPr>
          <w:rFonts w:hint="eastAsia" w:ascii="宋体" w:hAnsi="宋体" w:cs="宋体"/>
          <w:color w:val="auto"/>
          <w:sz w:val="24"/>
          <w:highlight w:val="none"/>
          <w:u w:val="single"/>
        </w:rPr>
        <w:t>（产品名称1）</w:t>
      </w:r>
      <w:r>
        <w:rPr>
          <w:rFonts w:hint="eastAsia" w:ascii="宋体" w:hAnsi="宋体" w:cs="宋体"/>
          <w:color w:val="auto"/>
          <w:sz w:val="24"/>
          <w:highlight w:val="none"/>
        </w:rPr>
        <w:t>的</w:t>
      </w:r>
      <w:r>
        <w:rPr>
          <w:rFonts w:hint="eastAsia" w:ascii="宋体" w:hAnsi="宋体" w:cs="宋体"/>
          <w:color w:val="auto"/>
          <w:sz w:val="24"/>
          <w:highlight w:val="none"/>
          <w:u w:val="single"/>
        </w:rPr>
        <w:t>（关键工序）</w:t>
      </w:r>
      <w:r>
        <w:rPr>
          <w:rFonts w:hint="eastAsia" w:ascii="宋体" w:hAnsi="宋体" w:cs="宋体"/>
          <w:color w:val="auto"/>
          <w:sz w:val="24"/>
          <w:highlight w:val="none"/>
        </w:rPr>
        <w:t>5在中国境内完成。</w:t>
      </w:r>
    </w:p>
    <w:p w14:paraId="0D67924E">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u w:val="single"/>
        </w:rPr>
        <w:t>（产品名称2）</w:t>
      </w:r>
      <w:r>
        <w:rPr>
          <w:rFonts w:hint="eastAsia" w:ascii="宋体" w:hAnsi="宋体" w:cs="宋体"/>
          <w:color w:val="auto"/>
          <w:sz w:val="24"/>
          <w:highlight w:val="none"/>
        </w:rPr>
        <w:t>，生产厂为</w:t>
      </w:r>
      <w:r>
        <w:rPr>
          <w:rFonts w:hint="eastAsia" w:ascii="宋体" w:hAnsi="宋体" w:cs="宋体"/>
          <w:color w:val="auto"/>
          <w:sz w:val="24"/>
          <w:highlight w:val="none"/>
          <w:u w:val="single"/>
        </w:rPr>
        <w:t>（厂名）</w:t>
      </w:r>
      <w:r>
        <w:rPr>
          <w:rFonts w:hint="eastAsia" w:ascii="宋体" w:hAnsi="宋体" w:cs="宋体"/>
          <w:color w:val="auto"/>
          <w:sz w:val="24"/>
          <w:highlight w:val="none"/>
        </w:rPr>
        <w:t>，厂址为</w:t>
      </w:r>
      <w:r>
        <w:rPr>
          <w:rFonts w:hint="eastAsia" w:ascii="宋体" w:hAnsi="宋体" w:cs="宋体"/>
          <w:color w:val="auto"/>
          <w:sz w:val="24"/>
          <w:highlight w:val="none"/>
          <w:u w:val="single"/>
        </w:rPr>
        <w:t>（生产厂址）</w:t>
      </w:r>
      <w:r>
        <w:rPr>
          <w:rFonts w:hint="eastAsia" w:ascii="宋体" w:hAnsi="宋体" w:cs="宋体"/>
          <w:color w:val="auto"/>
          <w:sz w:val="24"/>
          <w:highlight w:val="none"/>
        </w:rPr>
        <w:t>。</w:t>
      </w:r>
      <w:r>
        <w:rPr>
          <w:rFonts w:hint="eastAsia" w:ascii="宋体" w:hAnsi="宋体" w:cs="宋体"/>
          <w:color w:val="auto"/>
          <w:sz w:val="24"/>
          <w:highlight w:val="none"/>
          <w:u w:val="single"/>
        </w:rPr>
        <w:t>（产品名称2）</w:t>
      </w:r>
      <w:r>
        <w:rPr>
          <w:rFonts w:hint="eastAsia" w:ascii="宋体" w:hAnsi="宋体" w:cs="宋体"/>
          <w:color w:val="auto"/>
          <w:sz w:val="24"/>
          <w:highlight w:val="none"/>
        </w:rPr>
        <w:t>的中国境内生产的组件成本占比≥</w:t>
      </w:r>
      <w:r>
        <w:rPr>
          <w:rFonts w:hint="eastAsia" w:ascii="宋体" w:hAnsi="宋体" w:cs="宋体"/>
          <w:color w:val="auto"/>
          <w:sz w:val="24"/>
          <w:highlight w:val="none"/>
          <w:u w:val="single"/>
        </w:rPr>
        <w:t>（规定比例）</w:t>
      </w:r>
      <w:r>
        <w:rPr>
          <w:rFonts w:hint="eastAsia" w:ascii="宋体" w:hAnsi="宋体" w:cs="宋体"/>
          <w:color w:val="auto"/>
          <w:sz w:val="24"/>
          <w:highlight w:val="none"/>
        </w:rPr>
        <w:t>。</w:t>
      </w:r>
      <w:r>
        <w:rPr>
          <w:rFonts w:hint="eastAsia" w:ascii="宋体" w:hAnsi="宋体" w:cs="宋体"/>
          <w:color w:val="auto"/>
          <w:sz w:val="24"/>
          <w:highlight w:val="none"/>
          <w:u w:val="single"/>
        </w:rPr>
        <w:t>（产品名称2）</w:t>
      </w:r>
      <w:r>
        <w:rPr>
          <w:rFonts w:hint="eastAsia" w:ascii="宋体" w:hAnsi="宋体" w:cs="宋体"/>
          <w:color w:val="auto"/>
          <w:sz w:val="24"/>
          <w:highlight w:val="none"/>
        </w:rPr>
        <w:t>的</w:t>
      </w:r>
      <w:r>
        <w:rPr>
          <w:rFonts w:hint="eastAsia" w:ascii="宋体" w:hAnsi="宋体" w:cs="宋体"/>
          <w:color w:val="auto"/>
          <w:sz w:val="24"/>
          <w:highlight w:val="none"/>
          <w:u w:val="single"/>
        </w:rPr>
        <w:t>（关键组件）</w:t>
      </w:r>
      <w:r>
        <w:rPr>
          <w:rFonts w:hint="eastAsia" w:ascii="宋体" w:hAnsi="宋体" w:cs="宋体"/>
          <w:color w:val="auto"/>
          <w:sz w:val="24"/>
          <w:highlight w:val="none"/>
        </w:rPr>
        <w:t>在中国境内生产。</w:t>
      </w:r>
      <w:r>
        <w:rPr>
          <w:rFonts w:hint="eastAsia" w:ascii="宋体" w:hAnsi="宋体" w:cs="宋体"/>
          <w:color w:val="auto"/>
          <w:sz w:val="24"/>
          <w:highlight w:val="none"/>
          <w:u w:val="single"/>
        </w:rPr>
        <w:t>（产品名称2）</w:t>
      </w:r>
      <w:r>
        <w:rPr>
          <w:rFonts w:hint="eastAsia" w:ascii="宋体" w:hAnsi="宋体" w:cs="宋体"/>
          <w:color w:val="auto"/>
          <w:sz w:val="24"/>
          <w:highlight w:val="none"/>
        </w:rPr>
        <w:t>的</w:t>
      </w:r>
      <w:r>
        <w:rPr>
          <w:rFonts w:hint="eastAsia" w:ascii="宋体" w:hAnsi="宋体" w:cs="宋体"/>
          <w:color w:val="auto"/>
          <w:sz w:val="24"/>
          <w:highlight w:val="none"/>
          <w:u w:val="single"/>
        </w:rPr>
        <w:t>（关键工序）</w:t>
      </w:r>
      <w:r>
        <w:rPr>
          <w:rFonts w:hint="eastAsia" w:ascii="宋体" w:hAnsi="宋体" w:cs="宋体"/>
          <w:color w:val="auto"/>
          <w:sz w:val="24"/>
          <w:highlight w:val="none"/>
        </w:rPr>
        <w:t>在中国境内完成。</w:t>
      </w:r>
    </w:p>
    <w:p w14:paraId="4BFCD818">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w:t>
      </w:r>
    </w:p>
    <w:p w14:paraId="1B712FEA">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417B1DB6">
      <w:pPr>
        <w:spacing w:line="360" w:lineRule="auto"/>
        <w:ind w:right="420" w:firstLine="480" w:firstLineChars="200"/>
        <w:rPr>
          <w:rFonts w:ascii="宋体" w:hAnsi="宋体" w:cs="宋体"/>
          <w:color w:val="auto"/>
          <w:sz w:val="24"/>
          <w:highlight w:val="none"/>
        </w:rPr>
      </w:pPr>
    </w:p>
    <w:p w14:paraId="08BF2496">
      <w:pPr>
        <w:spacing w:line="360" w:lineRule="auto"/>
        <w:ind w:right="420" w:firstLine="480" w:firstLineChars="200"/>
        <w:jc w:val="right"/>
        <w:rPr>
          <w:rFonts w:ascii="宋体" w:hAnsi="宋体" w:cs="宋体"/>
          <w:color w:val="auto"/>
          <w:sz w:val="24"/>
          <w:highlight w:val="none"/>
        </w:rPr>
      </w:pPr>
      <w:r>
        <w:rPr>
          <w:rFonts w:hint="eastAsia" w:ascii="宋体" w:hAnsi="宋体" w:cs="宋体"/>
          <w:color w:val="auto"/>
          <w:sz w:val="24"/>
          <w:highlight w:val="none"/>
        </w:rPr>
        <w:t>公司（单位）名称（盖章）：　</w:t>
      </w:r>
      <w:r>
        <w:rPr>
          <w:rFonts w:ascii="宋体" w:hAnsi="宋体" w:cs="宋体"/>
          <w:color w:val="auto"/>
          <w:sz w:val="24"/>
          <w:highlight w:val="none"/>
        </w:rPr>
        <w:t>        </w:t>
      </w:r>
    </w:p>
    <w:p w14:paraId="7AD91675">
      <w:pPr>
        <w:spacing w:line="360" w:lineRule="auto"/>
        <w:ind w:right="180" w:firstLine="480" w:firstLineChars="200"/>
        <w:jc w:val="right"/>
        <w:rPr>
          <w:rFonts w:ascii="宋体" w:hAnsi="宋体" w:cs="宋体"/>
          <w:color w:val="auto"/>
          <w:sz w:val="24"/>
          <w:highlight w:val="none"/>
        </w:rPr>
      </w:pPr>
      <w:r>
        <w:rPr>
          <w:rFonts w:hint="eastAsia" w:ascii="宋体" w:hAnsi="宋体" w:cs="宋体"/>
          <w:color w:val="auto"/>
          <w:sz w:val="24"/>
          <w:highlight w:val="none"/>
        </w:rPr>
        <w:t>日期：</w:t>
      </w:r>
      <w:r>
        <w:rPr>
          <w:rFonts w:ascii="宋体" w:hAnsi="宋体" w:cs="宋体"/>
          <w:color w:val="auto"/>
          <w:sz w:val="24"/>
          <w:highlight w:val="none"/>
        </w:rPr>
        <w:t> </w:t>
      </w:r>
      <w:r>
        <w:rPr>
          <w:rFonts w:hint="eastAsia" w:ascii="宋体" w:hAnsi="宋体" w:cs="宋体"/>
          <w:color w:val="auto"/>
          <w:sz w:val="24"/>
          <w:highlight w:val="none"/>
        </w:rPr>
        <w:t xml:space="preserve">  </w:t>
      </w:r>
      <w:r>
        <w:rPr>
          <w:rFonts w:ascii="宋体" w:hAnsi="宋体" w:cs="宋体"/>
          <w:color w:val="auto"/>
          <w:sz w:val="24"/>
          <w:highlight w:val="none"/>
        </w:rPr>
        <w:t> </w:t>
      </w:r>
      <w:r>
        <w:rPr>
          <w:rFonts w:hint="eastAsia" w:ascii="宋体" w:hAnsi="宋体" w:cs="宋体"/>
          <w:color w:val="auto"/>
          <w:sz w:val="24"/>
          <w:highlight w:val="none"/>
        </w:rPr>
        <w:t>年 　</w:t>
      </w:r>
      <w:r>
        <w:rPr>
          <w:rFonts w:ascii="宋体" w:hAnsi="宋体" w:cs="宋体"/>
          <w:color w:val="auto"/>
          <w:sz w:val="24"/>
          <w:highlight w:val="none"/>
        </w:rPr>
        <w:t> </w:t>
      </w:r>
      <w:r>
        <w:rPr>
          <w:rFonts w:hint="eastAsia" w:ascii="宋体" w:hAnsi="宋体" w:cs="宋体"/>
          <w:color w:val="auto"/>
          <w:sz w:val="24"/>
          <w:highlight w:val="none"/>
        </w:rPr>
        <w:t xml:space="preserve">月　 </w:t>
      </w:r>
      <w:r>
        <w:rPr>
          <w:rFonts w:ascii="宋体" w:hAnsi="宋体" w:cs="宋体"/>
          <w:color w:val="auto"/>
          <w:sz w:val="24"/>
          <w:highlight w:val="none"/>
        </w:rPr>
        <w:t> </w:t>
      </w:r>
      <w:r>
        <w:rPr>
          <w:rFonts w:hint="eastAsia" w:ascii="宋体" w:hAnsi="宋体" w:cs="宋体"/>
          <w:color w:val="auto"/>
          <w:sz w:val="24"/>
          <w:highlight w:val="none"/>
        </w:rPr>
        <w:t>日</w:t>
      </w:r>
      <w:r>
        <w:rPr>
          <w:rFonts w:ascii="宋体" w:hAnsi="宋体" w:cs="宋体"/>
          <w:color w:val="auto"/>
          <w:sz w:val="24"/>
          <w:highlight w:val="none"/>
        </w:rPr>
        <w:t>         </w:t>
      </w:r>
    </w:p>
    <w:p w14:paraId="7ABED28F">
      <w:pPr>
        <w:spacing w:line="360" w:lineRule="auto"/>
        <w:ind w:right="420" w:firstLine="480" w:firstLineChars="200"/>
        <w:rPr>
          <w:rFonts w:ascii="宋体" w:hAnsi="宋体" w:cs="宋体"/>
          <w:color w:val="auto"/>
          <w:sz w:val="24"/>
          <w:highlight w:val="none"/>
        </w:rPr>
      </w:pPr>
    </w:p>
    <w:p w14:paraId="5F532688">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注：</w:t>
      </w:r>
    </w:p>
    <w:p w14:paraId="4795A55C">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1.产品如有型号，请在“产品名称”栏一并填写。</w:t>
      </w:r>
    </w:p>
    <w:p w14:paraId="267E10B2">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2.生产厂名与厂址应与生产厂营业执照载明的相关信息保持一致。</w:t>
      </w:r>
    </w:p>
    <w:p w14:paraId="4E35F057">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3.该产品的中国境内生产的组件成本占比相关要求实施前，“规定比例”栏可不填，下同。</w:t>
      </w:r>
    </w:p>
    <w:p w14:paraId="54AF1C06">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4.该产品的关键组件要求实施前，“关键组件”栏可不填，下同。</w:t>
      </w:r>
    </w:p>
    <w:p w14:paraId="277CA725">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5.该产品的关键工序要求实施前，“关键工序”栏可不填，下同。</w:t>
      </w:r>
    </w:p>
    <w:p w14:paraId="62867FFD">
      <w:pPr>
        <w:spacing w:line="360" w:lineRule="auto"/>
        <w:jc w:val="center"/>
        <w:rPr>
          <w:rFonts w:ascii="宋体" w:hAnsi="宋体" w:cs="宋体"/>
          <w:b/>
          <w:color w:val="auto"/>
          <w:sz w:val="32"/>
          <w:szCs w:val="32"/>
          <w:highlight w:val="none"/>
        </w:rPr>
      </w:pPr>
    </w:p>
    <w:p w14:paraId="6FAB33DD">
      <w:pPr>
        <w:spacing w:line="360" w:lineRule="auto"/>
        <w:jc w:val="center"/>
        <w:rPr>
          <w:rFonts w:ascii="宋体" w:hAnsi="宋体" w:cs="宋体"/>
          <w:b/>
          <w:color w:val="auto"/>
          <w:sz w:val="32"/>
          <w:szCs w:val="32"/>
          <w:highlight w:val="none"/>
        </w:rPr>
      </w:pPr>
    </w:p>
    <w:p w14:paraId="566855A2">
      <w:pPr>
        <w:snapToGrid w:val="0"/>
        <w:spacing w:line="360" w:lineRule="auto"/>
        <w:jc w:val="left"/>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附件7：关于符合本国产品标准的产品成本之和占提供的全部产品成本之和的比例达到80%以上的声明函</w:t>
      </w:r>
    </w:p>
    <w:p w14:paraId="14B935C1">
      <w:pPr>
        <w:spacing w:line="360" w:lineRule="auto"/>
        <w:jc w:val="center"/>
        <w:rPr>
          <w:rFonts w:ascii="宋体" w:hAnsi="宋体" w:cs="宋体"/>
          <w:b/>
          <w:color w:val="auto"/>
          <w:sz w:val="32"/>
          <w:szCs w:val="32"/>
          <w:highlight w:val="none"/>
        </w:rPr>
      </w:pPr>
    </w:p>
    <w:p w14:paraId="4BD38FCC">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关于符合本国产品标准的产品成本之和占所提供的全部产品成本之和的比例达到80%以上的声明函</w:t>
      </w:r>
    </w:p>
    <w:p w14:paraId="2F1D3CA2">
      <w:pPr>
        <w:spacing w:line="360" w:lineRule="auto"/>
        <w:ind w:right="420" w:firstLine="480" w:firstLineChars="200"/>
        <w:rPr>
          <w:rFonts w:ascii="宋体" w:hAnsi="宋体" w:cs="宋体"/>
          <w:color w:val="auto"/>
          <w:sz w:val="24"/>
          <w:highlight w:val="none"/>
        </w:rPr>
      </w:pPr>
    </w:p>
    <w:p w14:paraId="4BAE6BE5">
      <w:pPr>
        <w:spacing w:line="360" w:lineRule="auto"/>
        <w:ind w:right="420" w:firstLine="480" w:firstLineChars="200"/>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本次谈判所提供的符合本国产品标准的产品成本之和占我公司（单位）本次谈判所提供的全部产品（全部产品是指货物或服务采购项目或采购包中包含的全部货物、服务产品）成本之和的比例达到80%以上。</w:t>
      </w:r>
    </w:p>
    <w:p w14:paraId="731378BF">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0589B0C1">
      <w:pPr>
        <w:spacing w:line="360" w:lineRule="auto"/>
        <w:ind w:right="420" w:firstLine="480" w:firstLineChars="200"/>
        <w:rPr>
          <w:rFonts w:ascii="宋体" w:hAnsi="宋体" w:cs="宋体"/>
          <w:color w:val="auto"/>
          <w:sz w:val="24"/>
          <w:highlight w:val="none"/>
        </w:rPr>
      </w:pPr>
    </w:p>
    <w:p w14:paraId="5660D61F">
      <w:pPr>
        <w:spacing w:line="360" w:lineRule="auto"/>
        <w:ind w:right="420" w:firstLine="480" w:firstLineChars="200"/>
        <w:jc w:val="right"/>
        <w:rPr>
          <w:rFonts w:ascii="宋体" w:hAnsi="宋体" w:cs="宋体"/>
          <w:color w:val="auto"/>
          <w:sz w:val="24"/>
          <w:highlight w:val="none"/>
        </w:rPr>
      </w:pPr>
      <w:r>
        <w:rPr>
          <w:rFonts w:hint="eastAsia" w:ascii="宋体" w:hAnsi="宋体" w:cs="宋体"/>
          <w:color w:val="auto"/>
          <w:sz w:val="24"/>
          <w:highlight w:val="none"/>
        </w:rPr>
        <w:t>公司（单位）名称（盖章）：　</w:t>
      </w:r>
      <w:r>
        <w:rPr>
          <w:rFonts w:ascii="宋体" w:hAnsi="宋体" w:cs="宋体"/>
          <w:color w:val="auto"/>
          <w:sz w:val="24"/>
          <w:highlight w:val="none"/>
        </w:rPr>
        <w:t>        </w:t>
      </w:r>
    </w:p>
    <w:p w14:paraId="3A7EA0C3">
      <w:pPr>
        <w:spacing w:line="360" w:lineRule="auto"/>
        <w:ind w:right="180" w:firstLine="480" w:firstLineChars="200"/>
        <w:jc w:val="right"/>
        <w:rPr>
          <w:rFonts w:ascii="宋体" w:hAnsi="宋体" w:cs="宋体"/>
          <w:color w:val="auto"/>
          <w:sz w:val="24"/>
          <w:highlight w:val="none"/>
        </w:rPr>
      </w:pPr>
      <w:r>
        <w:rPr>
          <w:rFonts w:hint="eastAsia" w:ascii="宋体" w:hAnsi="宋体" w:cs="宋体"/>
          <w:color w:val="auto"/>
          <w:sz w:val="24"/>
          <w:highlight w:val="none"/>
        </w:rPr>
        <w:t>日期：</w:t>
      </w:r>
      <w:r>
        <w:rPr>
          <w:rFonts w:ascii="宋体" w:hAnsi="宋体" w:cs="宋体"/>
          <w:color w:val="auto"/>
          <w:sz w:val="24"/>
          <w:highlight w:val="none"/>
        </w:rPr>
        <w:t> </w:t>
      </w:r>
      <w:r>
        <w:rPr>
          <w:rFonts w:hint="eastAsia" w:ascii="宋体" w:hAnsi="宋体" w:cs="宋体"/>
          <w:color w:val="auto"/>
          <w:sz w:val="24"/>
          <w:highlight w:val="none"/>
        </w:rPr>
        <w:t xml:space="preserve">  </w:t>
      </w:r>
      <w:r>
        <w:rPr>
          <w:rFonts w:ascii="宋体" w:hAnsi="宋体" w:cs="宋体"/>
          <w:color w:val="auto"/>
          <w:sz w:val="24"/>
          <w:highlight w:val="none"/>
        </w:rPr>
        <w:t> </w:t>
      </w:r>
      <w:r>
        <w:rPr>
          <w:rFonts w:hint="eastAsia" w:ascii="宋体" w:hAnsi="宋体" w:cs="宋体"/>
          <w:color w:val="auto"/>
          <w:sz w:val="24"/>
          <w:highlight w:val="none"/>
        </w:rPr>
        <w:t>年 　</w:t>
      </w:r>
      <w:r>
        <w:rPr>
          <w:rFonts w:ascii="宋体" w:hAnsi="宋体" w:cs="宋体"/>
          <w:color w:val="auto"/>
          <w:sz w:val="24"/>
          <w:highlight w:val="none"/>
        </w:rPr>
        <w:t> </w:t>
      </w:r>
      <w:r>
        <w:rPr>
          <w:rFonts w:hint="eastAsia" w:ascii="宋体" w:hAnsi="宋体" w:cs="宋体"/>
          <w:color w:val="auto"/>
          <w:sz w:val="24"/>
          <w:highlight w:val="none"/>
        </w:rPr>
        <w:t xml:space="preserve">月　 </w:t>
      </w:r>
      <w:r>
        <w:rPr>
          <w:rFonts w:ascii="宋体" w:hAnsi="宋体" w:cs="宋体"/>
          <w:color w:val="auto"/>
          <w:sz w:val="24"/>
          <w:highlight w:val="none"/>
        </w:rPr>
        <w:t> </w:t>
      </w:r>
      <w:r>
        <w:rPr>
          <w:rFonts w:hint="eastAsia" w:ascii="宋体" w:hAnsi="宋体" w:cs="宋体"/>
          <w:color w:val="auto"/>
          <w:sz w:val="24"/>
          <w:highlight w:val="none"/>
        </w:rPr>
        <w:t>日</w:t>
      </w:r>
      <w:r>
        <w:rPr>
          <w:rFonts w:ascii="宋体" w:hAnsi="宋体" w:cs="宋体"/>
          <w:color w:val="auto"/>
          <w:sz w:val="24"/>
          <w:highlight w:val="none"/>
        </w:rPr>
        <w:t>         </w:t>
      </w:r>
    </w:p>
    <w:p w14:paraId="163C1DF9">
      <w:pPr>
        <w:spacing w:line="360" w:lineRule="auto"/>
        <w:ind w:right="420" w:firstLine="480" w:firstLineChars="200"/>
        <w:rPr>
          <w:rFonts w:ascii="宋体" w:hAnsi="宋体" w:cs="宋体"/>
          <w:color w:val="auto"/>
          <w:sz w:val="24"/>
          <w:highlight w:val="none"/>
        </w:rPr>
      </w:pPr>
    </w:p>
    <w:p w14:paraId="49178E8F">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注：</w:t>
      </w:r>
    </w:p>
    <w:p w14:paraId="2FD3EE00">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1.本声明函须同时提供关于符合本国产品标准的声明函或财政部会同有关部门规定的有关证明文件，否则不享受价格扣除政策。</w:t>
      </w:r>
    </w:p>
    <w:p w14:paraId="79132B21">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2.当采购项目或者采购包中含有多种产品，供应商拟享受该政策时提供。当采购项目或者采购包中仅含有单一产品时，无须提供本声明函。</w:t>
      </w:r>
    </w:p>
    <w:p w14:paraId="2B5785BE">
      <w:pPr>
        <w:rPr>
          <w:rFonts w:hint="eastAsia"/>
          <w:color w:val="auto"/>
          <w:highlight w:val="none"/>
        </w:rPr>
      </w:pPr>
    </w:p>
    <w:p w14:paraId="33EDBB79">
      <w:pPr>
        <w:spacing w:line="360" w:lineRule="auto"/>
        <w:ind w:firstLine="482" w:firstLineChars="200"/>
        <w:rPr>
          <w:rFonts w:cs="仿宋_GB2312" w:asciiTheme="minorEastAsia" w:hAnsiTheme="minorEastAsia" w:eastAsiaTheme="minorEastAsia"/>
          <w:b/>
          <w:color w:val="auto"/>
          <w:sz w:val="24"/>
          <w:highlight w:val="none"/>
        </w:rPr>
      </w:pPr>
    </w:p>
    <w:sectPr>
      <w:pgSz w:w="11906" w:h="16838"/>
      <w:pgMar w:top="1247" w:right="1418" w:bottom="1276" w:left="1418"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FHLHE E+ Futura Bk">
    <w:altName w:val="宋体"/>
    <w:panose1 w:val="00000000000000000000"/>
    <w:charset w:val="86"/>
    <w:family w:val="swiss"/>
    <w:pitch w:val="default"/>
    <w:sig w:usb0="00000000" w:usb1="00000000" w:usb2="00000010" w:usb3="00000000" w:csb0="00040000" w:csb1="00000000"/>
  </w:font>
  <w:font w:name="新宋体">
    <w:panose1 w:val="02010609030101010101"/>
    <w:charset w:val="86"/>
    <w:family w:val="modern"/>
    <w:pitch w:val="default"/>
    <w:sig w:usb0="00000203" w:usb1="288F0000" w:usb2="00000006" w:usb3="00000000" w:csb0="00040001" w:csb1="00000000"/>
  </w:font>
  <w:font w:name="Helvetica">
    <w:altName w:val="Arial"/>
    <w:panose1 w:val="020B0604020202020204"/>
    <w:charset w:val="00"/>
    <w:family w:val="swiss"/>
    <w:pitch w:val="default"/>
    <w:sig w:usb0="00000000" w:usb1="00000000" w:usb2="00000000" w:usb3="00000000" w:csb0="00000000" w:csb1="00000000"/>
  </w:font>
  <w:font w:name="Arial Narrow">
    <w:panose1 w:val="020B0606020202030204"/>
    <w:charset w:val="00"/>
    <w:family w:val="swiss"/>
    <w:pitch w:val="default"/>
    <w:sig w:usb0="00000287" w:usb1="00000800" w:usb2="00000000" w:usb3="00000000" w:csb0="2000009F" w:csb1="DFD70000"/>
  </w:font>
  <w:font w:name="Lucida Sans">
    <w:panose1 w:val="020B0602030504020204"/>
    <w:charset w:val="00"/>
    <w:family w:val="swiss"/>
    <w:pitch w:val="default"/>
    <w:sig w:usb0="00000003" w:usb1="00000000" w:usb2="00000000" w:usb3="00000000" w:csb0="2000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Arial (W1)">
    <w:altName w:val="Arial"/>
    <w:panose1 w:val="00000000000000000000"/>
    <w:charset w:val="00"/>
    <w:family w:val="swiss"/>
    <w:pitch w:val="default"/>
    <w:sig w:usb0="00000000" w:usb1="00000000" w:usb2="00000008" w:usb3="00000000" w:csb0="000001FF"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0"/>
    <w:family w:val="swiss"/>
    <w:pitch w:val="default"/>
    <w:sig w:usb0="00000000" w:usb1="00000000" w:usb2="00000000" w:usb3="00000000" w:csb0="00000001" w:csb1="00000000"/>
  </w:font>
  <w:font w:name="Futura Hv">
    <w:altName w:val="Segoe Print"/>
    <w:panose1 w:val="00000000000000000000"/>
    <w:charset w:val="00"/>
    <w:family w:val="swiss"/>
    <w:pitch w:val="default"/>
    <w:sig w:usb0="00000000" w:usb1="00000000" w:usb2="00000000" w:usb3="00000000" w:csb0="000001FB" w:csb1="00000000"/>
  </w:font>
  <w:font w:name="Cumberland">
    <w:altName w:val="宋体"/>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Arial Unicode MS">
    <w:panose1 w:val="020B0604020202020204"/>
    <w:charset w:val="86"/>
    <w:family w:val="swiss"/>
    <w:pitch w:val="default"/>
    <w:sig w:usb0="FFFFFFFF" w:usb1="E9FFFFFF" w:usb2="0000003F" w:usb3="00000000" w:csb0="603F01FF" w:csb1="FFFF0000"/>
  </w:font>
  <w:font w:name="幼圆">
    <w:panose1 w:val="02010509060101010101"/>
    <w:charset w:val="86"/>
    <w:family w:val="modern"/>
    <w:pitch w:val="default"/>
    <w:sig w:usb0="00000001" w:usb1="080E0000" w:usb2="00000000" w:usb3="00000000" w:csb0="00040000" w:csb1="00000000"/>
  </w:font>
  <w:font w:name="Aldine401 BT">
    <w:altName w:val="Segoe Print"/>
    <w:panose1 w:val="00000000000000000000"/>
    <w:charset w:val="00"/>
    <w:family w:val="roman"/>
    <w:pitch w:val="default"/>
    <w:sig w:usb0="00000000" w:usb1="00000000" w:usb2="00000000" w:usb3="00000000" w:csb0="00000011" w:csb1="00000000"/>
  </w:font>
  <w:font w:name="Century Gothic">
    <w:panose1 w:val="020B0502020202020204"/>
    <w:charset w:val="00"/>
    <w:family w:val="swiss"/>
    <w:pitch w:val="default"/>
    <w:sig w:usb0="00000287" w:usb1="00000000" w:usb2="00000000" w:usb3="00000000" w:csb0="2000009F" w:csb1="DFD70000"/>
  </w:font>
  <w:font w:name="ˎ̥">
    <w:altName w:val="宋体"/>
    <w:panose1 w:val="00000000000000000000"/>
    <w:charset w:val="00"/>
    <w:family w:val="roman"/>
    <w:pitch w:val="default"/>
    <w:sig w:usb0="00000000" w:usb1="00000000" w:usb2="00000000" w:usb3="00000000" w:csb0="00040001"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华文中宋">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MS Mincho">
    <w:panose1 w:val="02020609040205080304"/>
    <w:charset w:val="80"/>
    <w:family w:val="modern"/>
    <w:pitch w:val="default"/>
    <w:sig w:usb0="A00002BF" w:usb1="68C7FCFB" w:usb2="00000010" w:usb3="00000000" w:csb0="4002009F" w:csb1="DFD70000"/>
  </w:font>
  <w:font w:name="Microsoft YaHei UI">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55DE7">
    <w:pPr>
      <w:pStyle w:val="38"/>
      <w:jc w:val="center"/>
      <w:rPr>
        <w:rFonts w:ascii="仿宋_GB2312" w:eastAsia="仿宋_GB2312"/>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43C308">
                          <w:pPr>
                            <w:pStyle w:val="38"/>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B43C308">
                    <w:pPr>
                      <w:pStyle w:val="38"/>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316CC">
    <w:pPr>
      <w:pStyle w:val="38"/>
      <w:framePr w:wrap="around" w:vAnchor="text" w:hAnchor="margin" w:xAlign="right" w:y="1"/>
      <w:rPr>
        <w:rStyle w:val="66"/>
      </w:rPr>
    </w:pPr>
    <w:r>
      <w:fldChar w:fldCharType="begin"/>
    </w:r>
    <w:r>
      <w:rPr>
        <w:rStyle w:val="66"/>
      </w:rPr>
      <w:instrText xml:space="preserve">PAGE  </w:instrText>
    </w:r>
    <w:r>
      <w:fldChar w:fldCharType="end"/>
    </w:r>
  </w:p>
  <w:p w14:paraId="36A25BD9">
    <w:pPr>
      <w:pStyle w:val="3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A0AC9">
    <w:pPr>
      <w:pStyle w:val="38"/>
      <w:jc w:val="center"/>
      <w:rPr>
        <w:rFonts w:ascii="仿宋_GB2312" w:eastAsia="仿宋_GB2312"/>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FA4952">
                          <w:pPr>
                            <w:pStyle w:val="3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8FA4952">
                    <w:pPr>
                      <w:pStyle w:val="3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2A8B2">
    <w:pPr>
      <w:pStyle w:val="38"/>
      <w:jc w:val="center"/>
      <w:rPr>
        <w:rFonts w:ascii="仿宋_GB2312" w:eastAsia="仿宋_GB2312"/>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20D513">
                          <w:pPr>
                            <w:pStyle w:val="38"/>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6320D513">
                    <w:pPr>
                      <w:pStyle w:val="38"/>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315CB">
    <w:pPr>
      <w:pStyle w:val="38"/>
      <w:framePr w:wrap="around" w:vAnchor="text" w:hAnchor="margin" w:xAlign="right" w:y="1"/>
      <w:rPr>
        <w:rStyle w:val="66"/>
      </w:rPr>
    </w:pPr>
    <w:r>
      <w:fldChar w:fldCharType="begin"/>
    </w:r>
    <w:r>
      <w:rPr>
        <w:rStyle w:val="66"/>
      </w:rPr>
      <w:instrText xml:space="preserve">PAGE  </w:instrText>
    </w:r>
    <w:r>
      <w:fldChar w:fldCharType="end"/>
    </w:r>
  </w:p>
  <w:p w14:paraId="6E544BE7">
    <w:pPr>
      <w:pStyle w:val="38"/>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9734A">
    <w:pPr>
      <w:pStyle w:val="38"/>
      <w:jc w:val="center"/>
      <w:rPr>
        <w:rFonts w:ascii="仿宋_GB2312" w:eastAsia="仿宋_GB2312"/>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377805">
                          <w:pPr>
                            <w:pStyle w:val="38"/>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3D377805">
                    <w:pPr>
                      <w:pStyle w:val="38"/>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02BB4">
    <w:pPr>
      <w:pStyle w:val="38"/>
      <w:jc w:val="center"/>
      <w:rPr>
        <w:rFonts w:ascii="仿宋_GB2312" w:eastAsia="仿宋_GB2312"/>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155A10">
                          <w:pPr>
                            <w:pStyle w:val="38"/>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61155A10">
                    <w:pPr>
                      <w:pStyle w:val="38"/>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58105">
    <w:pPr>
      <w:pStyle w:val="38"/>
      <w:framePr w:wrap="around" w:vAnchor="text" w:hAnchor="margin" w:xAlign="right" w:y="1"/>
      <w:rPr>
        <w:rStyle w:val="66"/>
      </w:rPr>
    </w:pPr>
    <w:r>
      <w:fldChar w:fldCharType="begin"/>
    </w:r>
    <w:r>
      <w:rPr>
        <w:rStyle w:val="66"/>
      </w:rPr>
      <w:instrText xml:space="preserve">PAGE  </w:instrText>
    </w:r>
    <w:r>
      <w:fldChar w:fldCharType="end"/>
    </w:r>
  </w:p>
  <w:p w14:paraId="233FAC4D">
    <w:pPr>
      <w:pStyle w:val="38"/>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DC3C7">
    <w:pPr>
      <w:pStyle w:val="38"/>
      <w:jc w:val="center"/>
      <w:rPr>
        <w:rFonts w:ascii="仿宋_GB2312" w:eastAsia="仿宋_GB2312"/>
        <w:sz w:val="21"/>
        <w:szCs w:val="21"/>
      </w:rP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0B5034">
                          <w:pPr>
                            <w:pStyle w:val="38"/>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7C0B5034">
                    <w:pPr>
                      <w:pStyle w:val="38"/>
                    </w:pPr>
                    <w:r>
                      <w:fldChar w:fldCharType="begin"/>
                    </w:r>
                    <w:r>
                      <w:instrText xml:space="preserve"> PAGE  \* MERGEFORMAT </w:instrText>
                    </w:r>
                    <w:r>
                      <w:fldChar w:fldCharType="separate"/>
                    </w:r>
                    <w:r>
                      <w:t>66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580B9">
    <w:pPr>
      <w:pStyle w:val="4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1BBE6">
    <w:pPr>
      <w:pStyle w:val="40"/>
      <w:pBdr>
        <w:bottom w:val="none" w:color="auto" w:sz="0" w:space="1"/>
      </w:pBdr>
      <w:jc w:val="right"/>
      <w:rPr>
        <w:rFonts w:eastAsia="仿宋_GB2312"/>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51987E">
    <w:pPr>
      <w:pStyle w:val="40"/>
      <w:pBdr>
        <w:bottom w:val="none" w:color="auto" w:sz="0" w:space="1"/>
      </w:pBdr>
      <w:jc w:val="right"/>
      <w:rPr>
        <w:rFonts w:eastAsia="仿宋_GB2312"/>
        <w:sz w:val="21"/>
        <w:szCs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B3646">
    <w:pPr>
      <w:pStyle w:val="40"/>
      <w:pBdr>
        <w:bottom w:val="none" w:color="auto" w:sz="0" w:space="1"/>
      </w:pBdr>
      <w:jc w:val="right"/>
      <w:rPr>
        <w:rFonts w:eastAsia="仿宋_GB2312"/>
        <w:sz w:val="21"/>
        <w:szCs w:val="21"/>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927E4">
    <w:pPr>
      <w:pStyle w:val="40"/>
      <w:pBdr>
        <w:bottom w:val="none" w:color="auto" w:sz="0" w:space="1"/>
      </w:pBdr>
      <w:jc w:val="right"/>
      <w:rPr>
        <w:rFonts w:eastAsia="仿宋_GB2312"/>
        <w:sz w:val="21"/>
        <w:szCs w:val="21"/>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DF1D8">
    <w:pPr>
      <w:pStyle w:val="40"/>
      <w:pBdr>
        <w:bottom w:val="none" w:color="auto" w:sz="0" w:space="1"/>
      </w:pBdr>
      <w:jc w:val="right"/>
      <w:rPr>
        <w:rFonts w:eastAsia="仿宋_GB2312"/>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E44146"/>
    <w:multiLevelType w:val="singleLevel"/>
    <w:tmpl w:val="A2E44146"/>
    <w:lvl w:ilvl="0" w:tentative="0">
      <w:start w:val="1"/>
      <w:numFmt w:val="decimal"/>
      <w:suff w:val="nothing"/>
      <w:lvlText w:val="（%1）"/>
      <w:lvlJc w:val="left"/>
    </w:lvl>
  </w:abstractNum>
  <w:abstractNum w:abstractNumId="1">
    <w:nsid w:val="B0C24E6E"/>
    <w:multiLevelType w:val="singleLevel"/>
    <w:tmpl w:val="B0C24E6E"/>
    <w:lvl w:ilvl="0" w:tentative="0">
      <w:start w:val="6"/>
      <w:numFmt w:val="decimal"/>
      <w:suff w:val="space"/>
      <w:lvlText w:val="%1."/>
      <w:lvlJc w:val="left"/>
    </w:lvl>
  </w:abstractNum>
  <w:abstractNum w:abstractNumId="2">
    <w:nsid w:val="E88AC33F"/>
    <w:multiLevelType w:val="singleLevel"/>
    <w:tmpl w:val="E88AC33F"/>
    <w:lvl w:ilvl="0" w:tentative="0">
      <w:start w:val="1"/>
      <w:numFmt w:val="decimal"/>
      <w:suff w:val="space"/>
      <w:lvlText w:val="%1."/>
      <w:lvlJc w:val="left"/>
    </w:lvl>
  </w:abstractNum>
  <w:abstractNum w:abstractNumId="3">
    <w:nsid w:val="FFFFFF81"/>
    <w:multiLevelType w:val="singleLevel"/>
    <w:tmpl w:val="FFFFFF81"/>
    <w:lvl w:ilvl="0" w:tentative="0">
      <w:start w:val="1"/>
      <w:numFmt w:val="bullet"/>
      <w:pStyle w:val="14"/>
      <w:lvlText w:val=""/>
      <w:lvlJc w:val="left"/>
      <w:pPr>
        <w:tabs>
          <w:tab w:val="left" w:pos="1440"/>
        </w:tabs>
        <w:ind w:left="1440" w:hanging="360"/>
      </w:pPr>
      <w:rPr>
        <w:rFonts w:hint="default" w:ascii="Symbol" w:hAnsi="Symbol" w:eastAsia="Symbol"/>
      </w:rPr>
    </w:lvl>
  </w:abstractNum>
  <w:abstractNum w:abstractNumId="4">
    <w:nsid w:val="00000007"/>
    <w:multiLevelType w:val="multilevel"/>
    <w:tmpl w:val="00000007"/>
    <w:lvl w:ilvl="0" w:tentative="0">
      <w:start w:val="1"/>
      <w:numFmt w:val="bullet"/>
      <w:pStyle w:val="104"/>
      <w:lvlText w:val=""/>
      <w:lvlJc w:val="left"/>
      <w:pPr>
        <w:tabs>
          <w:tab w:val="left" w:pos="840"/>
        </w:tabs>
        <w:ind w:left="840" w:hanging="420"/>
      </w:pPr>
      <w:rPr>
        <w:rFonts w:hint="default" w:ascii="Wingdings" w:hAnsi="Wingdings"/>
      </w:rPr>
    </w:lvl>
    <w:lvl w:ilvl="1" w:tentative="0">
      <w:start w:val="1"/>
      <w:numFmt w:val="bullet"/>
      <w:pStyle w:val="88"/>
      <w:lvlText w:val=""/>
      <w:lvlJc w:val="left"/>
      <w:pPr>
        <w:tabs>
          <w:tab w:val="left" w:pos="1260"/>
        </w:tabs>
        <w:ind w:left="1260" w:hanging="420"/>
      </w:pPr>
      <w:rPr>
        <w:rFonts w:hint="default" w:ascii="Wingdings" w:hAnsi="Wingdings"/>
      </w:rPr>
    </w:lvl>
    <w:lvl w:ilvl="2" w:tentative="0">
      <w:start w:val="1"/>
      <w:numFmt w:val="bullet"/>
      <w:pStyle w:val="342"/>
      <w:lvlText w:val=""/>
      <w:lvlJc w:val="left"/>
      <w:pPr>
        <w:tabs>
          <w:tab w:val="left" w:pos="1680"/>
        </w:tabs>
        <w:ind w:left="1680" w:hanging="420"/>
      </w:pPr>
      <w:rPr>
        <w:rFonts w:hint="default" w:ascii="Wingdings" w:hAnsi="Wingdings"/>
      </w:rPr>
    </w:lvl>
    <w:lvl w:ilvl="3" w:tentative="0">
      <w:start w:val="1"/>
      <w:numFmt w:val="bullet"/>
      <w:pStyle w:val="175"/>
      <w:lvlText w:val=""/>
      <w:lvlJc w:val="left"/>
      <w:pPr>
        <w:tabs>
          <w:tab w:val="left" w:pos="2100"/>
        </w:tabs>
        <w:ind w:left="2100" w:hanging="420"/>
      </w:pPr>
      <w:rPr>
        <w:rFonts w:hint="default" w:ascii="Wingdings" w:hAnsi="Wingdings"/>
      </w:rPr>
    </w:lvl>
    <w:lvl w:ilvl="4" w:tentative="0">
      <w:start w:val="1"/>
      <w:numFmt w:val="bullet"/>
      <w:pStyle w:val="411"/>
      <w:lvlText w:val=""/>
      <w:lvlJc w:val="left"/>
      <w:pPr>
        <w:tabs>
          <w:tab w:val="left" w:pos="2520"/>
        </w:tabs>
        <w:ind w:left="2520" w:hanging="420"/>
      </w:pPr>
      <w:rPr>
        <w:rFonts w:hint="default" w:ascii="Wingdings" w:hAnsi="Wingdings"/>
      </w:rPr>
    </w:lvl>
    <w:lvl w:ilvl="5" w:tentative="0">
      <w:start w:val="1"/>
      <w:numFmt w:val="bullet"/>
      <w:pStyle w:val="173"/>
      <w:lvlText w:val=""/>
      <w:lvlJc w:val="left"/>
      <w:pPr>
        <w:tabs>
          <w:tab w:val="left" w:pos="2940"/>
        </w:tabs>
        <w:ind w:left="2940" w:hanging="420"/>
      </w:pPr>
      <w:rPr>
        <w:rFonts w:hint="default" w:ascii="Wingdings" w:hAnsi="Wingdings"/>
      </w:rPr>
    </w:lvl>
    <w:lvl w:ilvl="6" w:tentative="0">
      <w:start w:val="1"/>
      <w:numFmt w:val="bullet"/>
      <w:pStyle w:val="400"/>
      <w:lvlText w:val=""/>
      <w:lvlJc w:val="left"/>
      <w:pPr>
        <w:tabs>
          <w:tab w:val="left" w:pos="3360"/>
        </w:tabs>
        <w:ind w:left="3360" w:hanging="420"/>
      </w:pPr>
      <w:rPr>
        <w:rFonts w:hint="default" w:ascii="Wingdings" w:hAnsi="Wingdings"/>
      </w:rPr>
    </w:lvl>
    <w:lvl w:ilvl="7" w:tentative="0">
      <w:start w:val="1"/>
      <w:numFmt w:val="bullet"/>
      <w:pStyle w:val="280"/>
      <w:lvlText w:val=""/>
      <w:lvlJc w:val="left"/>
      <w:pPr>
        <w:tabs>
          <w:tab w:val="left" w:pos="3780"/>
        </w:tabs>
        <w:ind w:left="3780" w:hanging="420"/>
      </w:pPr>
      <w:rPr>
        <w:rFonts w:hint="default" w:ascii="Wingdings" w:hAnsi="Wingdings"/>
      </w:rPr>
    </w:lvl>
    <w:lvl w:ilvl="8" w:tentative="0">
      <w:start w:val="1"/>
      <w:numFmt w:val="bullet"/>
      <w:pStyle w:val="373"/>
      <w:lvlText w:val=""/>
      <w:lvlJc w:val="left"/>
      <w:pPr>
        <w:tabs>
          <w:tab w:val="left" w:pos="4200"/>
        </w:tabs>
        <w:ind w:left="4200" w:hanging="420"/>
      </w:pPr>
      <w:rPr>
        <w:rFonts w:hint="default" w:ascii="Wingdings" w:hAnsi="Wingdings"/>
      </w:rPr>
    </w:lvl>
  </w:abstractNum>
  <w:abstractNum w:abstractNumId="5">
    <w:nsid w:val="0000000A"/>
    <w:multiLevelType w:val="multilevel"/>
    <w:tmpl w:val="0000000A"/>
    <w:lvl w:ilvl="0" w:tentative="0">
      <w:start w:val="1"/>
      <w:numFmt w:val="decimal"/>
      <w:pStyle w:val="4"/>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6">
    <w:nsid w:val="11744E57"/>
    <w:multiLevelType w:val="multilevel"/>
    <w:tmpl w:val="11744E57"/>
    <w:lvl w:ilvl="0" w:tentative="0">
      <w:start w:val="1"/>
      <w:numFmt w:val="decimal"/>
      <w:pStyle w:val="3"/>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5"/>
      <w:lvlText w:val="%1.%2.%3"/>
      <w:lvlJc w:val="left"/>
      <w:pPr>
        <w:tabs>
          <w:tab w:val="left" w:pos="900"/>
        </w:tabs>
        <w:ind w:left="900" w:hanging="720"/>
      </w:pPr>
    </w:lvl>
    <w:lvl w:ilvl="3" w:tentative="0">
      <w:start w:val="1"/>
      <w:numFmt w:val="decimal"/>
      <w:pStyle w:val="6"/>
      <w:lvlText w:val="%1.%2.%3.%4"/>
      <w:lvlJc w:val="left"/>
      <w:pPr>
        <w:tabs>
          <w:tab w:val="left" w:pos="864"/>
        </w:tabs>
        <w:ind w:left="864" w:hanging="864"/>
      </w:pPr>
    </w:lvl>
    <w:lvl w:ilvl="4" w:tentative="0">
      <w:start w:val="1"/>
      <w:numFmt w:val="decimal"/>
      <w:pStyle w:val="7"/>
      <w:lvlText w:val="%1.%2.%3.%4.%5"/>
      <w:lvlJc w:val="left"/>
      <w:pPr>
        <w:tabs>
          <w:tab w:val="left" w:pos="1008"/>
        </w:tabs>
        <w:ind w:left="1008" w:hanging="1008"/>
      </w:pPr>
    </w:lvl>
    <w:lvl w:ilvl="5" w:tentative="0">
      <w:start w:val="1"/>
      <w:numFmt w:val="decimal"/>
      <w:pStyle w:val="8"/>
      <w:lvlText w:val="%1.%2.%3.%4.%5.%6"/>
      <w:lvlJc w:val="left"/>
      <w:pPr>
        <w:tabs>
          <w:tab w:val="left" w:pos="1152"/>
        </w:tabs>
        <w:ind w:left="1152" w:hanging="1152"/>
      </w:pPr>
    </w:lvl>
    <w:lvl w:ilvl="6" w:tentative="0">
      <w:start w:val="1"/>
      <w:numFmt w:val="decimal"/>
      <w:pStyle w:val="9"/>
      <w:lvlText w:val="%1.%2.%3.%4.%5.%6.%7"/>
      <w:lvlJc w:val="left"/>
      <w:pPr>
        <w:tabs>
          <w:tab w:val="left" w:pos="1296"/>
        </w:tabs>
        <w:ind w:left="1296" w:hanging="1296"/>
      </w:pPr>
    </w:lvl>
    <w:lvl w:ilvl="7" w:tentative="0">
      <w:start w:val="1"/>
      <w:numFmt w:val="decimal"/>
      <w:pStyle w:val="10"/>
      <w:lvlText w:val="%1.%2.%3.%4.%5.%6.%7.%8"/>
      <w:lvlJc w:val="left"/>
      <w:pPr>
        <w:tabs>
          <w:tab w:val="left" w:pos="1440"/>
        </w:tabs>
        <w:ind w:left="1440" w:hanging="1440"/>
      </w:pPr>
    </w:lvl>
    <w:lvl w:ilvl="8" w:tentative="0">
      <w:start w:val="1"/>
      <w:numFmt w:val="decimal"/>
      <w:pStyle w:val="11"/>
      <w:lvlText w:val="%1.%2.%3.%4.%5.%6.%7.%8.%9"/>
      <w:lvlJc w:val="left"/>
      <w:pPr>
        <w:tabs>
          <w:tab w:val="left" w:pos="1584"/>
        </w:tabs>
        <w:ind w:left="1584" w:hanging="1584"/>
      </w:pPr>
    </w:lvl>
  </w:abstractNum>
  <w:abstractNum w:abstractNumId="7">
    <w:nsid w:val="578B3BD2"/>
    <w:multiLevelType w:val="multilevel"/>
    <w:tmpl w:val="578B3BD2"/>
    <w:lvl w:ilvl="0" w:tentative="0">
      <w:start w:val="1"/>
      <w:numFmt w:val="decimal"/>
      <w:pStyle w:val="414"/>
      <w:lvlText w:val="%1"/>
      <w:lvlJc w:val="left"/>
      <w:pPr>
        <w:tabs>
          <w:tab w:val="left" w:pos="480"/>
        </w:tabs>
        <w:ind w:left="480" w:hanging="480"/>
      </w:pPr>
      <w:rPr>
        <w:rFonts w:hint="eastAsia"/>
        <w:sz w:val="44"/>
        <w:szCs w:val="44"/>
      </w:rPr>
    </w:lvl>
    <w:lvl w:ilvl="1" w:tentative="0">
      <w:start w:val="1"/>
      <w:numFmt w:val="decimal"/>
      <w:pStyle w:val="335"/>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pStyle w:val="403"/>
      <w:lvlText w:val="%1.%2.%3.%4.%5"/>
      <w:lvlJc w:val="left"/>
      <w:pPr>
        <w:tabs>
          <w:tab w:val="left" w:pos="1080"/>
        </w:tabs>
        <w:ind w:left="1080" w:hanging="1080"/>
      </w:pPr>
      <w:rPr>
        <w:rFonts w:hint="default"/>
      </w:rPr>
    </w:lvl>
    <w:lvl w:ilvl="5" w:tentative="0">
      <w:start w:val="1"/>
      <w:numFmt w:val="decimal"/>
      <w:pStyle w:val="217"/>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8">
    <w:nsid w:val="73596DCC"/>
    <w:multiLevelType w:val="multilevel"/>
    <w:tmpl w:val="73596DCC"/>
    <w:lvl w:ilvl="0" w:tentative="0">
      <w:start w:val="1"/>
      <w:numFmt w:val="bullet"/>
      <w:pStyle w:val="321"/>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6"/>
  </w:num>
  <w:num w:numId="2">
    <w:abstractNumId w:val="5"/>
  </w:num>
  <w:num w:numId="3">
    <w:abstractNumId w:val="3"/>
  </w:num>
  <w:num w:numId="4">
    <w:abstractNumId w:val="4"/>
  </w:num>
  <w:num w:numId="5">
    <w:abstractNumId w:val="7"/>
  </w:num>
  <w:num w:numId="6">
    <w:abstractNumId w:val="8"/>
  </w:num>
  <w:num w:numId="7">
    <w:abstractNumId w:val="0"/>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formatting="1" w:enforcement="1" w:cryptProviderType="rsaFull" w:cryptAlgorithmClass="hash" w:cryptAlgorithmType="typeAny" w:cryptAlgorithmSid="4" w:cryptSpinCount="0" w:hash="cjesZV2OruFoYtjNCrXtJxd8tSI=" w:salt="0fMMh8TZTmZ0f1i/YjL9dQ=="/>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B3FD8"/>
    <w:rsid w:val="0058523E"/>
    <w:rsid w:val="005B62F5"/>
    <w:rsid w:val="009F2456"/>
    <w:rsid w:val="00EF5BA2"/>
    <w:rsid w:val="01407DFE"/>
    <w:rsid w:val="01445665"/>
    <w:rsid w:val="0156352C"/>
    <w:rsid w:val="016D4781"/>
    <w:rsid w:val="018C1643"/>
    <w:rsid w:val="0194674A"/>
    <w:rsid w:val="01C71945"/>
    <w:rsid w:val="02166F15"/>
    <w:rsid w:val="03411FB9"/>
    <w:rsid w:val="03C86237"/>
    <w:rsid w:val="03CC06C2"/>
    <w:rsid w:val="03E017DB"/>
    <w:rsid w:val="03EC461B"/>
    <w:rsid w:val="04123E86"/>
    <w:rsid w:val="045D1075"/>
    <w:rsid w:val="04F419D9"/>
    <w:rsid w:val="05C75487"/>
    <w:rsid w:val="05CF7786"/>
    <w:rsid w:val="05FD09AF"/>
    <w:rsid w:val="065A06D9"/>
    <w:rsid w:val="06640338"/>
    <w:rsid w:val="066C6FCD"/>
    <w:rsid w:val="066F6E3E"/>
    <w:rsid w:val="06775342"/>
    <w:rsid w:val="07FD0DA7"/>
    <w:rsid w:val="08031F3F"/>
    <w:rsid w:val="0808084B"/>
    <w:rsid w:val="087526DB"/>
    <w:rsid w:val="08AA0601"/>
    <w:rsid w:val="08C6543B"/>
    <w:rsid w:val="09047D11"/>
    <w:rsid w:val="091B5662"/>
    <w:rsid w:val="09522A21"/>
    <w:rsid w:val="09540C99"/>
    <w:rsid w:val="09D36191"/>
    <w:rsid w:val="0A3F144F"/>
    <w:rsid w:val="0A8D0CF1"/>
    <w:rsid w:val="0ACF3C35"/>
    <w:rsid w:val="0AE75B3C"/>
    <w:rsid w:val="0AFD3643"/>
    <w:rsid w:val="0BAE18E0"/>
    <w:rsid w:val="0BC157F5"/>
    <w:rsid w:val="0C0043CF"/>
    <w:rsid w:val="0C304C60"/>
    <w:rsid w:val="0C3F432B"/>
    <w:rsid w:val="0CF20C5A"/>
    <w:rsid w:val="0CF22164"/>
    <w:rsid w:val="0D1E1017"/>
    <w:rsid w:val="0DB02915"/>
    <w:rsid w:val="0E5937AB"/>
    <w:rsid w:val="0EA1304B"/>
    <w:rsid w:val="0EA93C67"/>
    <w:rsid w:val="0EC63E70"/>
    <w:rsid w:val="0EE93A7E"/>
    <w:rsid w:val="0F1128D2"/>
    <w:rsid w:val="0F113188"/>
    <w:rsid w:val="0F277106"/>
    <w:rsid w:val="0F3F7243"/>
    <w:rsid w:val="0F4E1CE6"/>
    <w:rsid w:val="0F9E3000"/>
    <w:rsid w:val="0FE52636"/>
    <w:rsid w:val="101A42BE"/>
    <w:rsid w:val="103E7FAD"/>
    <w:rsid w:val="10533239"/>
    <w:rsid w:val="10667503"/>
    <w:rsid w:val="10686EC1"/>
    <w:rsid w:val="108D683E"/>
    <w:rsid w:val="1092654A"/>
    <w:rsid w:val="109B0441"/>
    <w:rsid w:val="10CA4B14"/>
    <w:rsid w:val="10E01064"/>
    <w:rsid w:val="10EC7A09"/>
    <w:rsid w:val="10F877FB"/>
    <w:rsid w:val="11606388"/>
    <w:rsid w:val="11895257"/>
    <w:rsid w:val="119E41D5"/>
    <w:rsid w:val="122907E8"/>
    <w:rsid w:val="12706417"/>
    <w:rsid w:val="127B5451"/>
    <w:rsid w:val="12967BEE"/>
    <w:rsid w:val="12A61E39"/>
    <w:rsid w:val="12F46CD0"/>
    <w:rsid w:val="132F1E2E"/>
    <w:rsid w:val="1367781A"/>
    <w:rsid w:val="136E0BA9"/>
    <w:rsid w:val="136E6DFB"/>
    <w:rsid w:val="13A24CF6"/>
    <w:rsid w:val="13DC045F"/>
    <w:rsid w:val="14025795"/>
    <w:rsid w:val="14851632"/>
    <w:rsid w:val="155B6F0B"/>
    <w:rsid w:val="16143E54"/>
    <w:rsid w:val="162B4B2F"/>
    <w:rsid w:val="163E2DAF"/>
    <w:rsid w:val="16534086"/>
    <w:rsid w:val="166A2EEE"/>
    <w:rsid w:val="16B35032"/>
    <w:rsid w:val="16BF1E6B"/>
    <w:rsid w:val="16F2564D"/>
    <w:rsid w:val="171366DB"/>
    <w:rsid w:val="171A32B4"/>
    <w:rsid w:val="174560C4"/>
    <w:rsid w:val="176D5C4E"/>
    <w:rsid w:val="183A374F"/>
    <w:rsid w:val="18610D32"/>
    <w:rsid w:val="18942F6A"/>
    <w:rsid w:val="19232435"/>
    <w:rsid w:val="19434691"/>
    <w:rsid w:val="1966169D"/>
    <w:rsid w:val="197821ED"/>
    <w:rsid w:val="1980089F"/>
    <w:rsid w:val="19EB2BAA"/>
    <w:rsid w:val="1A04207E"/>
    <w:rsid w:val="1A17459F"/>
    <w:rsid w:val="1A494ADF"/>
    <w:rsid w:val="1B216501"/>
    <w:rsid w:val="1B3A75C2"/>
    <w:rsid w:val="1BA70A73"/>
    <w:rsid w:val="1BA717D5"/>
    <w:rsid w:val="1BAA5614"/>
    <w:rsid w:val="1BF04FA7"/>
    <w:rsid w:val="1C27223D"/>
    <w:rsid w:val="1D1C7687"/>
    <w:rsid w:val="1D6B6159"/>
    <w:rsid w:val="1D7019C1"/>
    <w:rsid w:val="1D8A4831"/>
    <w:rsid w:val="1D941552"/>
    <w:rsid w:val="1D994A74"/>
    <w:rsid w:val="1DE06B47"/>
    <w:rsid w:val="1DF919B7"/>
    <w:rsid w:val="1E547359"/>
    <w:rsid w:val="1E7379F0"/>
    <w:rsid w:val="1EAA05EF"/>
    <w:rsid w:val="1EBA2EF4"/>
    <w:rsid w:val="1EC02DEE"/>
    <w:rsid w:val="1EE2660B"/>
    <w:rsid w:val="1EFA3A95"/>
    <w:rsid w:val="1F26058E"/>
    <w:rsid w:val="1F996FAD"/>
    <w:rsid w:val="2034523A"/>
    <w:rsid w:val="209F7BF6"/>
    <w:rsid w:val="20ED23BF"/>
    <w:rsid w:val="20F66153"/>
    <w:rsid w:val="21E25855"/>
    <w:rsid w:val="21FB3203"/>
    <w:rsid w:val="224551CB"/>
    <w:rsid w:val="22DA0B06"/>
    <w:rsid w:val="2303029D"/>
    <w:rsid w:val="233C6462"/>
    <w:rsid w:val="23660FB8"/>
    <w:rsid w:val="237E4C6B"/>
    <w:rsid w:val="23A178E3"/>
    <w:rsid w:val="24521E86"/>
    <w:rsid w:val="245931AF"/>
    <w:rsid w:val="24C4205E"/>
    <w:rsid w:val="24F61C74"/>
    <w:rsid w:val="251813FB"/>
    <w:rsid w:val="25203CCD"/>
    <w:rsid w:val="25311A36"/>
    <w:rsid w:val="253A3226"/>
    <w:rsid w:val="253F39D5"/>
    <w:rsid w:val="25645668"/>
    <w:rsid w:val="25694473"/>
    <w:rsid w:val="257E4652"/>
    <w:rsid w:val="259D70CC"/>
    <w:rsid w:val="25CA3BA8"/>
    <w:rsid w:val="25DB517C"/>
    <w:rsid w:val="260E7FC9"/>
    <w:rsid w:val="261D3E53"/>
    <w:rsid w:val="26234BC5"/>
    <w:rsid w:val="266279B6"/>
    <w:rsid w:val="26926A44"/>
    <w:rsid w:val="26C37006"/>
    <w:rsid w:val="26F76CD7"/>
    <w:rsid w:val="276A1EE4"/>
    <w:rsid w:val="279D1605"/>
    <w:rsid w:val="27A9472D"/>
    <w:rsid w:val="27F356C9"/>
    <w:rsid w:val="28245882"/>
    <w:rsid w:val="283A50A6"/>
    <w:rsid w:val="28BB61E6"/>
    <w:rsid w:val="296E0570"/>
    <w:rsid w:val="29712D49"/>
    <w:rsid w:val="299E1B49"/>
    <w:rsid w:val="29B925F8"/>
    <w:rsid w:val="29F46D44"/>
    <w:rsid w:val="2A026B3E"/>
    <w:rsid w:val="2A043570"/>
    <w:rsid w:val="2A0F7976"/>
    <w:rsid w:val="2A6F54DA"/>
    <w:rsid w:val="2AA151B4"/>
    <w:rsid w:val="2AA270FE"/>
    <w:rsid w:val="2ACD0453"/>
    <w:rsid w:val="2B287437"/>
    <w:rsid w:val="2B31737E"/>
    <w:rsid w:val="2B681337"/>
    <w:rsid w:val="2B8903C8"/>
    <w:rsid w:val="2BBD4024"/>
    <w:rsid w:val="2BC17C44"/>
    <w:rsid w:val="2BED61CA"/>
    <w:rsid w:val="2C5C383D"/>
    <w:rsid w:val="2CD77367"/>
    <w:rsid w:val="2CE42B12"/>
    <w:rsid w:val="2CF90D25"/>
    <w:rsid w:val="2D0877C5"/>
    <w:rsid w:val="2D170C8A"/>
    <w:rsid w:val="2D30727C"/>
    <w:rsid w:val="2D393B7E"/>
    <w:rsid w:val="2D3E1277"/>
    <w:rsid w:val="2D76092E"/>
    <w:rsid w:val="2D803B29"/>
    <w:rsid w:val="2EA92A1B"/>
    <w:rsid w:val="2EF75A9F"/>
    <w:rsid w:val="2F25085E"/>
    <w:rsid w:val="2F79372D"/>
    <w:rsid w:val="2FA13217"/>
    <w:rsid w:val="300743FF"/>
    <w:rsid w:val="303625F7"/>
    <w:rsid w:val="30474804"/>
    <w:rsid w:val="3143321D"/>
    <w:rsid w:val="314942A1"/>
    <w:rsid w:val="31605251"/>
    <w:rsid w:val="31710F12"/>
    <w:rsid w:val="317F1D2F"/>
    <w:rsid w:val="31BA24B5"/>
    <w:rsid w:val="31C205E6"/>
    <w:rsid w:val="32054110"/>
    <w:rsid w:val="320C1861"/>
    <w:rsid w:val="320F30FF"/>
    <w:rsid w:val="32894732"/>
    <w:rsid w:val="32957AA8"/>
    <w:rsid w:val="32B11DF1"/>
    <w:rsid w:val="32EC57CA"/>
    <w:rsid w:val="32F56799"/>
    <w:rsid w:val="330C5891"/>
    <w:rsid w:val="339E473B"/>
    <w:rsid w:val="33B64797"/>
    <w:rsid w:val="33D3480F"/>
    <w:rsid w:val="33E64AB9"/>
    <w:rsid w:val="3408616B"/>
    <w:rsid w:val="3444025F"/>
    <w:rsid w:val="34626EAA"/>
    <w:rsid w:val="34BB6546"/>
    <w:rsid w:val="35042CC3"/>
    <w:rsid w:val="353A7E23"/>
    <w:rsid w:val="3542559A"/>
    <w:rsid w:val="355E62D7"/>
    <w:rsid w:val="35CF32D1"/>
    <w:rsid w:val="35E328D9"/>
    <w:rsid w:val="35ED3C8B"/>
    <w:rsid w:val="35FC1151"/>
    <w:rsid w:val="36136CCC"/>
    <w:rsid w:val="3618333E"/>
    <w:rsid w:val="36356EAC"/>
    <w:rsid w:val="364610BA"/>
    <w:rsid w:val="36581EF8"/>
    <w:rsid w:val="366118FB"/>
    <w:rsid w:val="36B80D1E"/>
    <w:rsid w:val="371643C9"/>
    <w:rsid w:val="372B09DB"/>
    <w:rsid w:val="373A063E"/>
    <w:rsid w:val="375F2433"/>
    <w:rsid w:val="37D84772"/>
    <w:rsid w:val="37FB65FF"/>
    <w:rsid w:val="382A5D29"/>
    <w:rsid w:val="385F23EF"/>
    <w:rsid w:val="38AC78FA"/>
    <w:rsid w:val="38B33219"/>
    <w:rsid w:val="395354F2"/>
    <w:rsid w:val="39975BA6"/>
    <w:rsid w:val="3A0455C7"/>
    <w:rsid w:val="3A3F02FA"/>
    <w:rsid w:val="3A571A53"/>
    <w:rsid w:val="3A6540F3"/>
    <w:rsid w:val="3A915A51"/>
    <w:rsid w:val="3BAC788A"/>
    <w:rsid w:val="3BE86E9B"/>
    <w:rsid w:val="3BF82959"/>
    <w:rsid w:val="3C35255E"/>
    <w:rsid w:val="3C65673D"/>
    <w:rsid w:val="3D25536C"/>
    <w:rsid w:val="3D2E14E1"/>
    <w:rsid w:val="3D994559"/>
    <w:rsid w:val="3DBB238D"/>
    <w:rsid w:val="3E347824"/>
    <w:rsid w:val="3E44668D"/>
    <w:rsid w:val="3E4614ED"/>
    <w:rsid w:val="3EDD5BA6"/>
    <w:rsid w:val="3EF43607"/>
    <w:rsid w:val="3F13086E"/>
    <w:rsid w:val="3F132D74"/>
    <w:rsid w:val="3F2A5A1C"/>
    <w:rsid w:val="3F950DDA"/>
    <w:rsid w:val="3FD40B75"/>
    <w:rsid w:val="40A37834"/>
    <w:rsid w:val="40E87393"/>
    <w:rsid w:val="41FD4D22"/>
    <w:rsid w:val="424173CD"/>
    <w:rsid w:val="424D24FB"/>
    <w:rsid w:val="4263645E"/>
    <w:rsid w:val="426C1EA8"/>
    <w:rsid w:val="4325144D"/>
    <w:rsid w:val="43A07623"/>
    <w:rsid w:val="43B05954"/>
    <w:rsid w:val="43CA722C"/>
    <w:rsid w:val="43E06BC0"/>
    <w:rsid w:val="442645F7"/>
    <w:rsid w:val="442962A2"/>
    <w:rsid w:val="448742A8"/>
    <w:rsid w:val="44A3524D"/>
    <w:rsid w:val="45154265"/>
    <w:rsid w:val="453853F6"/>
    <w:rsid w:val="45AA241A"/>
    <w:rsid w:val="45C857C3"/>
    <w:rsid w:val="46207231"/>
    <w:rsid w:val="462B3B83"/>
    <w:rsid w:val="462E5E6E"/>
    <w:rsid w:val="465B470D"/>
    <w:rsid w:val="46AB2645"/>
    <w:rsid w:val="46BC33FE"/>
    <w:rsid w:val="46DD097A"/>
    <w:rsid w:val="47510331"/>
    <w:rsid w:val="475953BF"/>
    <w:rsid w:val="476D399F"/>
    <w:rsid w:val="477A0BC3"/>
    <w:rsid w:val="47925F0D"/>
    <w:rsid w:val="47AA2A87"/>
    <w:rsid w:val="47C307BC"/>
    <w:rsid w:val="47E2206A"/>
    <w:rsid w:val="488717E9"/>
    <w:rsid w:val="48A215A4"/>
    <w:rsid w:val="48C5668D"/>
    <w:rsid w:val="48F76E74"/>
    <w:rsid w:val="494E2307"/>
    <w:rsid w:val="49D1656A"/>
    <w:rsid w:val="4A0B2AD8"/>
    <w:rsid w:val="4A8C30E7"/>
    <w:rsid w:val="4AA27F52"/>
    <w:rsid w:val="4B1F662B"/>
    <w:rsid w:val="4B4B1A3D"/>
    <w:rsid w:val="4B533C05"/>
    <w:rsid w:val="4C0E6C6E"/>
    <w:rsid w:val="4C5365B2"/>
    <w:rsid w:val="4C6201C8"/>
    <w:rsid w:val="4C7D5AE9"/>
    <w:rsid w:val="4C96024D"/>
    <w:rsid w:val="4CC823D1"/>
    <w:rsid w:val="4CF355F1"/>
    <w:rsid w:val="4D0C6761"/>
    <w:rsid w:val="4D0E24D9"/>
    <w:rsid w:val="4D3F08E5"/>
    <w:rsid w:val="4D7560E1"/>
    <w:rsid w:val="4D9053D6"/>
    <w:rsid w:val="4DD03170"/>
    <w:rsid w:val="4DE837A8"/>
    <w:rsid w:val="4E3F5DB8"/>
    <w:rsid w:val="4E4E1811"/>
    <w:rsid w:val="4E526C3C"/>
    <w:rsid w:val="4E8E6BC6"/>
    <w:rsid w:val="4EA50589"/>
    <w:rsid w:val="4ED07129"/>
    <w:rsid w:val="4F037CE6"/>
    <w:rsid w:val="4F2608AE"/>
    <w:rsid w:val="4F7F298C"/>
    <w:rsid w:val="4F9F566B"/>
    <w:rsid w:val="4FA04497"/>
    <w:rsid w:val="4FDA583D"/>
    <w:rsid w:val="4FFB7978"/>
    <w:rsid w:val="506D39BB"/>
    <w:rsid w:val="507B4A7B"/>
    <w:rsid w:val="50986EE7"/>
    <w:rsid w:val="50A05B3E"/>
    <w:rsid w:val="50B17E56"/>
    <w:rsid w:val="51480F25"/>
    <w:rsid w:val="51760DFC"/>
    <w:rsid w:val="518F7ED1"/>
    <w:rsid w:val="51F16466"/>
    <w:rsid w:val="51F27002"/>
    <w:rsid w:val="5272350A"/>
    <w:rsid w:val="52E95071"/>
    <w:rsid w:val="52EC506B"/>
    <w:rsid w:val="531B7AA5"/>
    <w:rsid w:val="53682BBC"/>
    <w:rsid w:val="53C75190"/>
    <w:rsid w:val="53EA2853"/>
    <w:rsid w:val="5426635A"/>
    <w:rsid w:val="544306A6"/>
    <w:rsid w:val="54BD77A2"/>
    <w:rsid w:val="54C824D5"/>
    <w:rsid w:val="54FC70BB"/>
    <w:rsid w:val="553C395C"/>
    <w:rsid w:val="55612E7C"/>
    <w:rsid w:val="557B4484"/>
    <w:rsid w:val="55A1589A"/>
    <w:rsid w:val="55B80EC6"/>
    <w:rsid w:val="55EE4C56"/>
    <w:rsid w:val="56177C28"/>
    <w:rsid w:val="56336B0D"/>
    <w:rsid w:val="569869C4"/>
    <w:rsid w:val="56C87388"/>
    <w:rsid w:val="56D93B58"/>
    <w:rsid w:val="572B36A8"/>
    <w:rsid w:val="574DF56D"/>
    <w:rsid w:val="574F7976"/>
    <w:rsid w:val="57BD7AFE"/>
    <w:rsid w:val="57D21CA3"/>
    <w:rsid w:val="58443253"/>
    <w:rsid w:val="5847364B"/>
    <w:rsid w:val="584C035A"/>
    <w:rsid w:val="58575BCF"/>
    <w:rsid w:val="58E467E4"/>
    <w:rsid w:val="595079D6"/>
    <w:rsid w:val="597F334B"/>
    <w:rsid w:val="598002BB"/>
    <w:rsid w:val="59AB01F8"/>
    <w:rsid w:val="59B44408"/>
    <w:rsid w:val="5A405EA0"/>
    <w:rsid w:val="5A451ECD"/>
    <w:rsid w:val="5A455CEF"/>
    <w:rsid w:val="5A5F6122"/>
    <w:rsid w:val="5A762E3E"/>
    <w:rsid w:val="5AAF5D14"/>
    <w:rsid w:val="5AF076C2"/>
    <w:rsid w:val="5AF34ABD"/>
    <w:rsid w:val="5B5C6B06"/>
    <w:rsid w:val="5B8D358D"/>
    <w:rsid w:val="5B900777"/>
    <w:rsid w:val="5BBB7319"/>
    <w:rsid w:val="5BD63CFA"/>
    <w:rsid w:val="5BD76A6C"/>
    <w:rsid w:val="5BE4354C"/>
    <w:rsid w:val="5BF62AB6"/>
    <w:rsid w:val="5C0D0AE7"/>
    <w:rsid w:val="5C414CEA"/>
    <w:rsid w:val="5D7E0FB5"/>
    <w:rsid w:val="5E2819E4"/>
    <w:rsid w:val="5E3D2C1E"/>
    <w:rsid w:val="5E82313A"/>
    <w:rsid w:val="5E8D2864"/>
    <w:rsid w:val="5EBB1968"/>
    <w:rsid w:val="5ED04B87"/>
    <w:rsid w:val="5ED66053"/>
    <w:rsid w:val="5F2471FB"/>
    <w:rsid w:val="5F2D1CD3"/>
    <w:rsid w:val="5F2F29E7"/>
    <w:rsid w:val="5F602F3B"/>
    <w:rsid w:val="5FBD2609"/>
    <w:rsid w:val="5FE80968"/>
    <w:rsid w:val="603E2C7E"/>
    <w:rsid w:val="6052563D"/>
    <w:rsid w:val="60675D31"/>
    <w:rsid w:val="60863BD5"/>
    <w:rsid w:val="60C17B45"/>
    <w:rsid w:val="61120392"/>
    <w:rsid w:val="6172193C"/>
    <w:rsid w:val="6211064A"/>
    <w:rsid w:val="621719D8"/>
    <w:rsid w:val="622F2236"/>
    <w:rsid w:val="628964F1"/>
    <w:rsid w:val="63340B4D"/>
    <w:rsid w:val="636D2380"/>
    <w:rsid w:val="63F975E8"/>
    <w:rsid w:val="64115395"/>
    <w:rsid w:val="64351345"/>
    <w:rsid w:val="64A226A9"/>
    <w:rsid w:val="653861CE"/>
    <w:rsid w:val="65982F48"/>
    <w:rsid w:val="65DA0F80"/>
    <w:rsid w:val="65ED51F2"/>
    <w:rsid w:val="667D7425"/>
    <w:rsid w:val="67242BCD"/>
    <w:rsid w:val="67A1421E"/>
    <w:rsid w:val="67A55390"/>
    <w:rsid w:val="67EC5312"/>
    <w:rsid w:val="6854116D"/>
    <w:rsid w:val="68645A6D"/>
    <w:rsid w:val="68B47F81"/>
    <w:rsid w:val="690E3C54"/>
    <w:rsid w:val="696E0130"/>
    <w:rsid w:val="69F9496F"/>
    <w:rsid w:val="6A1A637C"/>
    <w:rsid w:val="6A1F0AE9"/>
    <w:rsid w:val="6A49294B"/>
    <w:rsid w:val="6B200811"/>
    <w:rsid w:val="6B4F4FD8"/>
    <w:rsid w:val="6BE14233"/>
    <w:rsid w:val="6C0C6CE4"/>
    <w:rsid w:val="6C247DB6"/>
    <w:rsid w:val="6C53360D"/>
    <w:rsid w:val="6C5630FD"/>
    <w:rsid w:val="6C680776"/>
    <w:rsid w:val="6C6920F9"/>
    <w:rsid w:val="6C9C0599"/>
    <w:rsid w:val="6D237483"/>
    <w:rsid w:val="6D2E350A"/>
    <w:rsid w:val="6D851EEC"/>
    <w:rsid w:val="6DB427D1"/>
    <w:rsid w:val="6E0830F2"/>
    <w:rsid w:val="6E220C15"/>
    <w:rsid w:val="6E5972F9"/>
    <w:rsid w:val="6E66128D"/>
    <w:rsid w:val="6E910CC8"/>
    <w:rsid w:val="6E921AF9"/>
    <w:rsid w:val="6E930B96"/>
    <w:rsid w:val="6E947DEA"/>
    <w:rsid w:val="6EB74327"/>
    <w:rsid w:val="6ECD44F5"/>
    <w:rsid w:val="6ED7185C"/>
    <w:rsid w:val="6EE24726"/>
    <w:rsid w:val="6EF54E4F"/>
    <w:rsid w:val="6F1201CC"/>
    <w:rsid w:val="6F7E4E45"/>
    <w:rsid w:val="6F8B1310"/>
    <w:rsid w:val="6F9570F5"/>
    <w:rsid w:val="70115CB9"/>
    <w:rsid w:val="708973D2"/>
    <w:rsid w:val="70F32156"/>
    <w:rsid w:val="711C2B67"/>
    <w:rsid w:val="712437CA"/>
    <w:rsid w:val="71EE1EBD"/>
    <w:rsid w:val="720A29C0"/>
    <w:rsid w:val="72201152"/>
    <w:rsid w:val="72E110C7"/>
    <w:rsid w:val="7303612B"/>
    <w:rsid w:val="734C37BC"/>
    <w:rsid w:val="73A34E7A"/>
    <w:rsid w:val="73B726C7"/>
    <w:rsid w:val="73CC7BB2"/>
    <w:rsid w:val="73DD6B53"/>
    <w:rsid w:val="744A3547"/>
    <w:rsid w:val="744C72C0"/>
    <w:rsid w:val="746C0790"/>
    <w:rsid w:val="74A72748"/>
    <w:rsid w:val="74E474F8"/>
    <w:rsid w:val="750C27BD"/>
    <w:rsid w:val="758B206A"/>
    <w:rsid w:val="75F96FD3"/>
    <w:rsid w:val="762077E1"/>
    <w:rsid w:val="766A77DA"/>
    <w:rsid w:val="76B25EDD"/>
    <w:rsid w:val="76D637B8"/>
    <w:rsid w:val="77237793"/>
    <w:rsid w:val="776C7C79"/>
    <w:rsid w:val="777D5D5F"/>
    <w:rsid w:val="779B11D3"/>
    <w:rsid w:val="786731E2"/>
    <w:rsid w:val="788D60F9"/>
    <w:rsid w:val="78F120AC"/>
    <w:rsid w:val="79294073"/>
    <w:rsid w:val="797A726F"/>
    <w:rsid w:val="79886AB8"/>
    <w:rsid w:val="79B325B0"/>
    <w:rsid w:val="7A1B4B4C"/>
    <w:rsid w:val="7A2D2686"/>
    <w:rsid w:val="7A653295"/>
    <w:rsid w:val="7AA360D0"/>
    <w:rsid w:val="7B056098"/>
    <w:rsid w:val="7B1810A1"/>
    <w:rsid w:val="7B354F51"/>
    <w:rsid w:val="7B594DD6"/>
    <w:rsid w:val="7B6E6AE7"/>
    <w:rsid w:val="7BAD1045"/>
    <w:rsid w:val="7BB4464A"/>
    <w:rsid w:val="7C35666D"/>
    <w:rsid w:val="7D0F1A31"/>
    <w:rsid w:val="7D0F2107"/>
    <w:rsid w:val="7D627D20"/>
    <w:rsid w:val="7DC97BD3"/>
    <w:rsid w:val="7DDD6DD3"/>
    <w:rsid w:val="7E3D0917"/>
    <w:rsid w:val="7E421268"/>
    <w:rsid w:val="7F1C4477"/>
    <w:rsid w:val="7F991773"/>
    <w:rsid w:val="FF6A47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50"/>
    <w:qFormat/>
    <w:uiPriority w:val="0"/>
    <w:pPr>
      <w:keepNext/>
      <w:keepLines/>
      <w:numPr>
        <w:ilvl w:val="0"/>
        <w:numId w:val="1"/>
      </w:numPr>
      <w:spacing w:before="340" w:after="330" w:line="578" w:lineRule="auto"/>
      <w:outlineLvl w:val="0"/>
    </w:pPr>
    <w:rPr>
      <w:b/>
      <w:bCs/>
      <w:kern w:val="44"/>
      <w:sz w:val="44"/>
      <w:szCs w:val="44"/>
    </w:rPr>
  </w:style>
  <w:style w:type="paragraph" w:styleId="4">
    <w:name w:val="heading 2"/>
    <w:basedOn w:val="1"/>
    <w:next w:val="1"/>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5">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6">
    <w:name w:val="heading 4"/>
    <w:basedOn w:val="1"/>
    <w:next w:val="1"/>
    <w:link w:val="600"/>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7">
    <w:name w:val="heading 5"/>
    <w:basedOn w:val="1"/>
    <w:next w:val="1"/>
    <w:link w:val="574"/>
    <w:qFormat/>
    <w:uiPriority w:val="0"/>
    <w:pPr>
      <w:keepNext/>
      <w:keepLines/>
      <w:numPr>
        <w:ilvl w:val="4"/>
        <w:numId w:val="1"/>
      </w:numPr>
      <w:spacing w:before="280" w:after="290" w:line="376" w:lineRule="auto"/>
      <w:outlineLvl w:val="4"/>
    </w:pPr>
    <w:rPr>
      <w:b/>
      <w:bCs/>
      <w:sz w:val="28"/>
      <w:szCs w:val="28"/>
    </w:rPr>
  </w:style>
  <w:style w:type="paragraph" w:styleId="8">
    <w:name w:val="heading 6"/>
    <w:basedOn w:val="1"/>
    <w:next w:val="1"/>
    <w:link w:val="613"/>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9">
    <w:name w:val="heading 7"/>
    <w:basedOn w:val="1"/>
    <w:next w:val="1"/>
    <w:link w:val="482"/>
    <w:qFormat/>
    <w:uiPriority w:val="0"/>
    <w:pPr>
      <w:keepNext/>
      <w:keepLines/>
      <w:numPr>
        <w:ilvl w:val="6"/>
        <w:numId w:val="1"/>
      </w:numPr>
      <w:spacing w:before="240" w:after="64" w:line="320" w:lineRule="auto"/>
      <w:outlineLvl w:val="6"/>
    </w:pPr>
    <w:rPr>
      <w:b/>
      <w:bCs/>
      <w:sz w:val="24"/>
    </w:rPr>
  </w:style>
  <w:style w:type="paragraph" w:styleId="10">
    <w:name w:val="heading 8"/>
    <w:basedOn w:val="1"/>
    <w:next w:val="1"/>
    <w:link w:val="472"/>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1"/>
    <w:link w:val="520"/>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64">
    <w:name w:val="Default Paragraph Font"/>
    <w:unhideWhenUsed/>
    <w:qFormat/>
    <w:uiPriority w:val="1"/>
  </w:style>
  <w:style w:type="table" w:default="1" w:styleId="62">
    <w:name w:val="Normal Table"/>
    <w:unhideWhenUsed/>
    <w:qFormat/>
    <w:uiPriority w:val="99"/>
    <w:tblPr>
      <w:tblCellMar>
        <w:top w:w="0" w:type="dxa"/>
        <w:left w:w="108" w:type="dxa"/>
        <w:bottom w:w="0" w:type="dxa"/>
        <w:right w:w="108" w:type="dxa"/>
      </w:tblCellMar>
    </w:tblPr>
  </w:style>
  <w:style w:type="paragraph" w:customStyle="1" w:styleId="2">
    <w:name w:val="Body Text First Indent1"/>
    <w:qFormat/>
    <w:uiPriority w:val="0"/>
    <w:pPr>
      <w:widowControl w:val="0"/>
      <w:ind w:firstLine="420" w:firstLineChars="100"/>
      <w:jc w:val="both"/>
    </w:pPr>
    <w:rPr>
      <w:rFonts w:ascii="Calibri" w:hAnsi="Calibri" w:eastAsia="宋体" w:cs="黑体"/>
      <w:kern w:val="2"/>
      <w:sz w:val="28"/>
      <w:szCs w:val="24"/>
      <w:lang w:val="en-US" w:eastAsia="zh-CN" w:bidi="ar-SA"/>
    </w:rPr>
  </w:style>
  <w:style w:type="paragraph" w:styleId="12">
    <w:name w:val="toc 7"/>
    <w:basedOn w:val="1"/>
    <w:next w:val="1"/>
    <w:qFormat/>
    <w:uiPriority w:val="0"/>
    <w:pPr>
      <w:ind w:left="2520" w:leftChars="1200"/>
    </w:pPr>
  </w:style>
  <w:style w:type="paragraph" w:styleId="13">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4">
    <w:name w:val="List Bullet 4"/>
    <w:basedOn w:val="1"/>
    <w:unhideWhenUsed/>
    <w:qFormat/>
    <w:uiPriority w:val="99"/>
    <w:pPr>
      <w:widowControl/>
      <w:numPr>
        <w:ilvl w:val="0"/>
        <w:numId w:val="3"/>
      </w:numPr>
      <w:tabs>
        <w:tab w:val="left" w:pos="432"/>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Normal Indent"/>
    <w:basedOn w:val="1"/>
    <w:link w:val="614"/>
    <w:qFormat/>
    <w:uiPriority w:val="0"/>
    <w:pPr>
      <w:widowControl/>
      <w:snapToGrid w:val="0"/>
      <w:spacing w:line="480" w:lineRule="exact"/>
      <w:ind w:firstLine="567"/>
    </w:pPr>
    <w:rPr>
      <w:rFonts w:ascii="宋体"/>
      <w:snapToGrid w:val="0"/>
      <w:color w:val="000000"/>
      <w:kern w:val="28"/>
      <w:sz w:val="28"/>
      <w:szCs w:val="20"/>
    </w:rPr>
  </w:style>
  <w:style w:type="paragraph" w:styleId="17">
    <w:name w:val="caption"/>
    <w:basedOn w:val="1"/>
    <w:next w:val="1"/>
    <w:qFormat/>
    <w:uiPriority w:val="0"/>
    <w:rPr>
      <w:b/>
      <w:sz w:val="28"/>
      <w:szCs w:val="20"/>
    </w:rPr>
  </w:style>
  <w:style w:type="paragraph" w:styleId="18">
    <w:name w:val="index 5"/>
    <w:basedOn w:val="1"/>
    <w:next w:val="1"/>
    <w:qFormat/>
    <w:uiPriority w:val="0"/>
    <w:pPr>
      <w:adjustRightInd/>
      <w:ind w:left="800" w:leftChars="800" w:firstLine="200" w:firstLineChars="200"/>
    </w:pPr>
  </w:style>
  <w:style w:type="paragraph" w:styleId="19">
    <w:name w:val="Document Map"/>
    <w:basedOn w:val="1"/>
    <w:semiHidden/>
    <w:qFormat/>
    <w:uiPriority w:val="0"/>
    <w:pPr>
      <w:shd w:val="clear" w:color="auto" w:fill="000080"/>
    </w:pPr>
  </w:style>
  <w:style w:type="paragraph" w:styleId="20">
    <w:name w:val="annotation text"/>
    <w:basedOn w:val="1"/>
    <w:next w:val="21"/>
    <w:link w:val="615"/>
    <w:qFormat/>
    <w:uiPriority w:val="99"/>
    <w:pPr>
      <w:jc w:val="left"/>
    </w:pPr>
  </w:style>
  <w:style w:type="paragraph" w:styleId="21">
    <w:name w:val="Body Text Indent"/>
    <w:basedOn w:val="1"/>
    <w:next w:val="1"/>
    <w:link w:val="476"/>
    <w:qFormat/>
    <w:uiPriority w:val="0"/>
    <w:pPr>
      <w:spacing w:line="480" w:lineRule="exact"/>
      <w:ind w:firstLine="480" w:firstLineChars="200"/>
    </w:pPr>
    <w:rPr>
      <w:rFonts w:ascii="宋体" w:hAnsi="宋体"/>
      <w:sz w:val="24"/>
    </w:rPr>
  </w:style>
  <w:style w:type="paragraph" w:styleId="22">
    <w:name w:val="Salutation"/>
    <w:basedOn w:val="1"/>
    <w:next w:val="1"/>
    <w:link w:val="483"/>
    <w:qFormat/>
    <w:uiPriority w:val="0"/>
    <w:rPr>
      <w:rFonts w:ascii="仿宋_GB2312" w:eastAsia="仿宋_GB2312"/>
      <w:sz w:val="28"/>
      <w:szCs w:val="20"/>
    </w:rPr>
  </w:style>
  <w:style w:type="paragraph" w:styleId="23">
    <w:name w:val="Body Text 3"/>
    <w:basedOn w:val="1"/>
    <w:link w:val="582"/>
    <w:qFormat/>
    <w:uiPriority w:val="0"/>
    <w:pPr>
      <w:jc w:val="center"/>
    </w:pPr>
    <w:rPr>
      <w:szCs w:val="20"/>
    </w:rPr>
  </w:style>
  <w:style w:type="paragraph" w:styleId="24">
    <w:name w:val="Body Text"/>
    <w:basedOn w:val="1"/>
    <w:next w:val="1"/>
    <w:link w:val="513"/>
    <w:qFormat/>
    <w:uiPriority w:val="0"/>
    <w:pPr>
      <w:autoSpaceDE w:val="0"/>
      <w:autoSpaceDN w:val="0"/>
      <w:spacing w:line="360" w:lineRule="auto"/>
    </w:pPr>
    <w:rPr>
      <w:rFonts w:ascii="宋体"/>
      <w:sz w:val="24"/>
      <w:szCs w:val="21"/>
      <w:lang w:val="zh-CN"/>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572"/>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link w:val="490"/>
    <w:qFormat/>
    <w:uiPriority w:val="0"/>
    <w:rPr>
      <w:rFonts w:ascii="宋体" w:hAnsi="Courier New"/>
      <w:szCs w:val="20"/>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599"/>
    <w:qFormat/>
    <w:uiPriority w:val="0"/>
    <w:pPr>
      <w:ind w:left="100" w:leftChars="2500"/>
    </w:pPr>
    <w:rPr>
      <w:rFonts w:ascii="宋体"/>
      <w:sz w:val="24"/>
      <w:szCs w:val="21"/>
      <w:lang w:val="zh-CN"/>
    </w:rPr>
  </w:style>
  <w:style w:type="paragraph" w:styleId="36">
    <w:name w:val="Body Text Indent 2"/>
    <w:basedOn w:val="1"/>
    <w:link w:val="504"/>
    <w:qFormat/>
    <w:uiPriority w:val="0"/>
    <w:pPr>
      <w:spacing w:line="360" w:lineRule="auto"/>
      <w:ind w:firstLine="601"/>
      <w:textAlignment w:val="baseline"/>
    </w:pPr>
    <w:rPr>
      <w:rFonts w:ascii="宋体"/>
      <w:kern w:val="0"/>
      <w:sz w:val="28"/>
      <w:szCs w:val="20"/>
    </w:rPr>
  </w:style>
  <w:style w:type="paragraph" w:styleId="37">
    <w:name w:val="Balloon Text"/>
    <w:basedOn w:val="1"/>
    <w:link w:val="616"/>
    <w:semiHidden/>
    <w:qFormat/>
    <w:uiPriority w:val="0"/>
    <w:rPr>
      <w:sz w:val="18"/>
      <w:szCs w:val="18"/>
    </w:rPr>
  </w:style>
  <w:style w:type="paragraph" w:styleId="38">
    <w:name w:val="footer"/>
    <w:basedOn w:val="1"/>
    <w:next w:val="1"/>
    <w:qFormat/>
    <w:uiPriority w:val="0"/>
    <w:pPr>
      <w:tabs>
        <w:tab w:val="center" w:pos="4153"/>
        <w:tab w:val="right" w:pos="8306"/>
      </w:tabs>
      <w:snapToGrid w:val="0"/>
      <w:jc w:val="left"/>
    </w:pPr>
    <w:rPr>
      <w:sz w:val="18"/>
      <w:szCs w:val="18"/>
    </w:rPr>
  </w:style>
  <w:style w:type="paragraph" w:styleId="39">
    <w:name w:val="envelope return"/>
    <w:basedOn w:val="1"/>
    <w:qFormat/>
    <w:uiPriority w:val="0"/>
    <w:pPr>
      <w:snapToGrid w:val="0"/>
    </w:pPr>
    <w:rPr>
      <w:rFonts w:ascii="Arial" w:hAnsi="Arial"/>
    </w:rPr>
  </w:style>
  <w:style w:type="paragraph" w:styleId="4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1">
    <w:name w:val="Signature"/>
    <w:basedOn w:val="1"/>
    <w:link w:val="436"/>
    <w:qFormat/>
    <w:uiPriority w:val="0"/>
    <w:pPr>
      <w:spacing w:after="600" w:line="312" w:lineRule="atLeast"/>
      <w:jc w:val="center"/>
      <w:textAlignment w:val="baseline"/>
    </w:pPr>
    <w:rPr>
      <w:rFonts w:eastAsia="仿宋_GB2312"/>
      <w:kern w:val="0"/>
      <w:sz w:val="24"/>
      <w:szCs w:val="20"/>
    </w:rPr>
  </w:style>
  <w:style w:type="paragraph" w:styleId="42">
    <w:name w:val="toc 1"/>
    <w:basedOn w:val="1"/>
    <w:next w:val="1"/>
    <w:qFormat/>
    <w:uiPriority w:val="39"/>
  </w:style>
  <w:style w:type="paragraph" w:styleId="43">
    <w:name w:val="toc 4"/>
    <w:basedOn w:val="1"/>
    <w:next w:val="1"/>
    <w:qFormat/>
    <w:uiPriority w:val="0"/>
    <w:pPr>
      <w:ind w:left="1260" w:leftChars="600"/>
    </w:pPr>
  </w:style>
  <w:style w:type="paragraph" w:styleId="44">
    <w:name w:val="index heading"/>
    <w:basedOn w:val="1"/>
    <w:next w:val="45"/>
    <w:qFormat/>
    <w:uiPriority w:val="0"/>
    <w:pPr>
      <w:adjustRightInd/>
      <w:ind w:firstLine="200" w:firstLineChars="200"/>
    </w:pPr>
  </w:style>
  <w:style w:type="paragraph" w:styleId="45">
    <w:name w:val="index 1"/>
    <w:basedOn w:val="1"/>
    <w:next w:val="1"/>
    <w:qFormat/>
    <w:uiPriority w:val="0"/>
    <w:pPr>
      <w:adjustRightInd/>
      <w:spacing w:line="360" w:lineRule="auto"/>
      <w:ind w:firstLine="200" w:firstLineChars="200"/>
      <w:jc w:val="center"/>
    </w:pPr>
    <w:rPr>
      <w:sz w:val="24"/>
      <w:szCs w:val="20"/>
    </w:rPr>
  </w:style>
  <w:style w:type="paragraph" w:styleId="46">
    <w:name w:val="Subtitle"/>
    <w:link w:val="489"/>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7">
    <w:name w:val="List Number 5"/>
    <w:basedOn w:val="1"/>
    <w:qFormat/>
    <w:uiPriority w:val="0"/>
    <w:pPr>
      <w:tabs>
        <w:tab w:val="left" w:pos="902"/>
      </w:tabs>
      <w:adjustRightInd/>
      <w:spacing w:line="400" w:lineRule="exact"/>
      <w:ind w:left="902" w:hanging="420"/>
    </w:pPr>
    <w:rPr>
      <w:sz w:val="24"/>
      <w:szCs w:val="20"/>
    </w:rPr>
  </w:style>
  <w:style w:type="paragraph" w:styleId="48">
    <w:name w:val="List"/>
    <w:basedOn w:val="1"/>
    <w:qFormat/>
    <w:uiPriority w:val="0"/>
    <w:pPr>
      <w:ind w:left="200" w:hanging="200" w:hangingChars="200"/>
    </w:pPr>
  </w:style>
  <w:style w:type="paragraph" w:styleId="49">
    <w:name w:val="footnote text"/>
    <w:basedOn w:val="16"/>
    <w:link w:val="474"/>
    <w:qFormat/>
    <w:uiPriority w:val="0"/>
    <w:pPr>
      <w:adjustRightInd/>
      <w:snapToGrid/>
      <w:spacing w:before="60" w:after="60" w:line="300" w:lineRule="exact"/>
      <w:ind w:firstLine="0"/>
    </w:pPr>
    <w:rPr>
      <w:rFonts w:ascii="Times New Roman"/>
      <w:color w:val="0000FF"/>
      <w:kern w:val="0"/>
      <w:sz w:val="21"/>
    </w:rPr>
  </w:style>
  <w:style w:type="paragraph" w:styleId="50">
    <w:name w:val="toc 6"/>
    <w:basedOn w:val="1"/>
    <w:next w:val="1"/>
    <w:qFormat/>
    <w:uiPriority w:val="0"/>
    <w:pPr>
      <w:ind w:left="2100" w:leftChars="1000"/>
    </w:pPr>
  </w:style>
  <w:style w:type="paragraph" w:styleId="51">
    <w:name w:val="List 5"/>
    <w:basedOn w:val="1"/>
    <w:qFormat/>
    <w:uiPriority w:val="0"/>
    <w:pPr>
      <w:adjustRightInd/>
      <w:ind w:left="100" w:leftChars="800" w:hanging="200" w:hangingChars="200"/>
    </w:pPr>
  </w:style>
  <w:style w:type="paragraph" w:styleId="52">
    <w:name w:val="Body Text Indent 3"/>
    <w:basedOn w:val="1"/>
    <w:link w:val="589"/>
    <w:qFormat/>
    <w:uiPriority w:val="0"/>
    <w:pPr>
      <w:spacing w:line="360" w:lineRule="auto"/>
      <w:ind w:firstLine="420"/>
    </w:pPr>
    <w:rPr>
      <w:sz w:val="24"/>
      <w:szCs w:val="20"/>
    </w:rPr>
  </w:style>
  <w:style w:type="paragraph" w:styleId="53">
    <w:name w:val="toc 2"/>
    <w:basedOn w:val="1"/>
    <w:next w:val="1"/>
    <w:qFormat/>
    <w:uiPriority w:val="0"/>
    <w:pPr>
      <w:ind w:left="420" w:leftChars="200"/>
    </w:pPr>
  </w:style>
  <w:style w:type="paragraph" w:styleId="54">
    <w:name w:val="toc 9"/>
    <w:basedOn w:val="1"/>
    <w:next w:val="1"/>
    <w:qFormat/>
    <w:uiPriority w:val="0"/>
    <w:pPr>
      <w:ind w:left="3360" w:leftChars="1600"/>
    </w:pPr>
  </w:style>
  <w:style w:type="paragraph" w:styleId="55">
    <w:name w:val="Body Text 2"/>
    <w:basedOn w:val="1"/>
    <w:qFormat/>
    <w:uiPriority w:val="0"/>
    <w:pPr>
      <w:spacing w:after="120" w:line="480" w:lineRule="auto"/>
    </w:pPr>
  </w:style>
  <w:style w:type="paragraph" w:styleId="56">
    <w:name w:val="HTML Preformatted"/>
    <w:basedOn w:val="1"/>
    <w:link w:val="54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7">
    <w:name w:val="Normal (Web)"/>
    <w:basedOn w:val="1"/>
    <w:qFormat/>
    <w:uiPriority w:val="99"/>
    <w:pPr>
      <w:widowControl/>
      <w:spacing w:before="100" w:beforeAutospacing="1" w:after="100" w:afterAutospacing="1"/>
      <w:jc w:val="left"/>
    </w:pPr>
    <w:rPr>
      <w:rFonts w:ascii="宋体" w:hAnsi="宋体"/>
      <w:kern w:val="0"/>
      <w:sz w:val="24"/>
    </w:rPr>
  </w:style>
  <w:style w:type="paragraph" w:styleId="58">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59">
    <w:name w:val="annotation subject"/>
    <w:basedOn w:val="20"/>
    <w:next w:val="20"/>
    <w:semiHidden/>
    <w:qFormat/>
    <w:uiPriority w:val="0"/>
    <w:rPr>
      <w:b/>
      <w:bCs/>
    </w:rPr>
  </w:style>
  <w:style w:type="paragraph" w:styleId="60">
    <w:name w:val="Body Text First Indent"/>
    <w:basedOn w:val="24"/>
    <w:link w:val="546"/>
    <w:qFormat/>
    <w:uiPriority w:val="0"/>
    <w:pPr>
      <w:ind w:firstLine="420"/>
    </w:pPr>
    <w:rPr>
      <w:szCs w:val="20"/>
    </w:rPr>
  </w:style>
  <w:style w:type="paragraph" w:styleId="61">
    <w:name w:val="Body Text First Indent 2"/>
    <w:basedOn w:val="21"/>
    <w:next w:val="60"/>
    <w:link w:val="503"/>
    <w:qFormat/>
    <w:uiPriority w:val="0"/>
    <w:pPr>
      <w:adjustRightInd/>
      <w:spacing w:after="120" w:line="240" w:lineRule="auto"/>
      <w:ind w:left="420" w:leftChars="200" w:firstLine="210"/>
    </w:pPr>
    <w:rPr>
      <w:sz w:val="21"/>
    </w:rPr>
  </w:style>
  <w:style w:type="table" w:styleId="63">
    <w:name w:val="Table Grid"/>
    <w:basedOn w:val="62"/>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5">
    <w:name w:val="Strong"/>
    <w:qFormat/>
    <w:uiPriority w:val="22"/>
    <w:rPr>
      <w:b/>
      <w:bCs/>
    </w:rPr>
  </w:style>
  <w:style w:type="character" w:styleId="66">
    <w:name w:val="page number"/>
    <w:basedOn w:val="64"/>
    <w:qFormat/>
    <w:uiPriority w:val="0"/>
  </w:style>
  <w:style w:type="character" w:styleId="67">
    <w:name w:val="FollowedHyperlink"/>
    <w:qFormat/>
    <w:uiPriority w:val="0"/>
    <w:rPr>
      <w:rFonts w:ascii="Arial" w:hAnsi="Arial" w:eastAsia="黑体" w:cs="Arial"/>
      <w:snapToGrid w:val="0"/>
      <w:color w:val="000000"/>
      <w:kern w:val="0"/>
      <w:sz w:val="18"/>
      <w:szCs w:val="18"/>
      <w:u w:val="none"/>
    </w:rPr>
  </w:style>
  <w:style w:type="character" w:styleId="68">
    <w:name w:val="Emphasis"/>
    <w:qFormat/>
    <w:uiPriority w:val="0"/>
    <w:rPr>
      <w:color w:val="CC0033"/>
    </w:rPr>
  </w:style>
  <w:style w:type="character" w:styleId="69">
    <w:name w:val="line number"/>
    <w:basedOn w:val="64"/>
    <w:qFormat/>
    <w:uiPriority w:val="0"/>
  </w:style>
  <w:style w:type="character" w:styleId="70">
    <w:name w:val="Hyperlink"/>
    <w:qFormat/>
    <w:uiPriority w:val="99"/>
    <w:rPr>
      <w:rFonts w:ascii="Arial" w:hAnsi="Arial" w:eastAsia="黑体" w:cs="Arial"/>
      <w:snapToGrid w:val="0"/>
      <w:color w:val="000000"/>
      <w:kern w:val="0"/>
      <w:sz w:val="18"/>
      <w:szCs w:val="18"/>
      <w:u w:val="none"/>
    </w:rPr>
  </w:style>
  <w:style w:type="character" w:styleId="71">
    <w:name w:val="HTML Code"/>
    <w:qFormat/>
    <w:uiPriority w:val="0"/>
    <w:rPr>
      <w:rFonts w:ascii="黑体" w:hAnsi="Courier New" w:eastAsia="黑体" w:cs="楷体_GB2312"/>
      <w:sz w:val="20"/>
      <w:szCs w:val="20"/>
    </w:rPr>
  </w:style>
  <w:style w:type="character" w:styleId="72">
    <w:name w:val="annotation reference"/>
    <w:qFormat/>
    <w:uiPriority w:val="99"/>
    <w:rPr>
      <w:sz w:val="21"/>
      <w:szCs w:val="21"/>
    </w:rPr>
  </w:style>
  <w:style w:type="character" w:styleId="73">
    <w:name w:val="HTML Sample"/>
    <w:basedOn w:val="64"/>
    <w:qFormat/>
    <w:uiPriority w:val="0"/>
    <w:rPr>
      <w:rFonts w:ascii="Courier New" w:hAnsi="Courier New"/>
    </w:rPr>
  </w:style>
  <w:style w:type="paragraph" w:customStyle="1" w:styleId="74">
    <w:name w:val="Default"/>
    <w:link w:val="628"/>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75">
    <w:name w:val="样式1"/>
    <w:basedOn w:val="61"/>
    <w:next w:val="24"/>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6">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77">
    <w:name w:val="冯"/>
    <w:basedOn w:val="1"/>
    <w:link w:val="517"/>
    <w:qFormat/>
    <w:uiPriority w:val="0"/>
    <w:pPr>
      <w:widowControl/>
      <w:adjustRightInd/>
      <w:spacing w:line="360" w:lineRule="auto"/>
      <w:ind w:firstLine="480" w:firstLineChars="200"/>
    </w:pPr>
    <w:rPr>
      <w:rFonts w:ascii="宋体" w:hAnsi="宋体"/>
      <w:color w:val="000000"/>
      <w:kern w:val="0"/>
      <w:sz w:val="24"/>
    </w:rPr>
  </w:style>
  <w:style w:type="paragraph" w:customStyle="1" w:styleId="78">
    <w:name w:val="样式3"/>
    <w:basedOn w:val="79"/>
    <w:qFormat/>
    <w:uiPriority w:val="0"/>
    <w:pPr>
      <w:tabs>
        <w:tab w:val="left" w:pos="2790"/>
        <w:tab w:val="left" w:pos="4230"/>
      </w:tabs>
      <w:spacing w:before="312" w:beforeLines="100"/>
      <w:jc w:val="left"/>
    </w:pPr>
  </w:style>
  <w:style w:type="paragraph" w:customStyle="1" w:styleId="79">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80">
    <w:name w:val="P1"/>
    <w:basedOn w:val="1"/>
    <w:qFormat/>
    <w:uiPriority w:val="0"/>
    <w:pPr>
      <w:adjustRightInd/>
      <w:spacing w:line="288" w:lineRule="auto"/>
      <w:ind w:firstLine="425" w:firstLineChars="200"/>
    </w:pPr>
  </w:style>
  <w:style w:type="paragraph" w:customStyle="1" w:styleId="81">
    <w:name w:val="Char1 Char Char Char"/>
    <w:basedOn w:val="1"/>
    <w:qFormat/>
    <w:uiPriority w:val="0"/>
    <w:rPr>
      <w:rFonts w:ascii="Tahoma" w:hAnsi="Tahoma"/>
      <w:sz w:val="24"/>
      <w:szCs w:val="20"/>
    </w:rPr>
  </w:style>
  <w:style w:type="paragraph" w:customStyle="1" w:styleId="82">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83">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84">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85">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6">
    <w:name w:val="样式7"/>
    <w:basedOn w:val="87"/>
    <w:next w:val="1"/>
    <w:qFormat/>
    <w:uiPriority w:val="0"/>
    <w:pPr>
      <w:spacing w:after="156" w:afterLines="50"/>
      <w:jc w:val="left"/>
      <w:outlineLvl w:val="3"/>
    </w:pPr>
    <w:rPr>
      <w:sz w:val="24"/>
      <w:szCs w:val="24"/>
    </w:rPr>
  </w:style>
  <w:style w:type="paragraph" w:customStyle="1" w:styleId="87">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88">
    <w:name w:val="Bulleted List"/>
    <w:basedOn w:val="1"/>
    <w:qFormat/>
    <w:uiPriority w:val="0"/>
    <w:pPr>
      <w:numPr>
        <w:ilvl w:val="1"/>
        <w:numId w:val="4"/>
      </w:numPr>
      <w:adjustRightInd/>
    </w:pPr>
  </w:style>
  <w:style w:type="paragraph" w:customStyle="1" w:styleId="89">
    <w:name w:val="Char3"/>
    <w:basedOn w:val="1"/>
    <w:qFormat/>
    <w:uiPriority w:val="0"/>
    <w:pPr>
      <w:adjustRightInd/>
    </w:pPr>
    <w:rPr>
      <w:rFonts w:ascii="仿宋_GB2312" w:eastAsia="仿宋_GB2312"/>
      <w:b/>
      <w:sz w:val="32"/>
      <w:szCs w:val="32"/>
    </w:rPr>
  </w:style>
  <w:style w:type="paragraph" w:customStyle="1" w:styleId="90">
    <w:name w:val="Char Char1 Char Char Char Char Char Char"/>
    <w:basedOn w:val="1"/>
    <w:qFormat/>
    <w:uiPriority w:val="0"/>
    <w:rPr>
      <w:rFonts w:ascii="仿宋_GB2312" w:eastAsia="仿宋_GB2312"/>
      <w:b/>
      <w:sz w:val="32"/>
      <w:szCs w:val="20"/>
    </w:rPr>
  </w:style>
  <w:style w:type="paragraph" w:customStyle="1" w:styleId="91">
    <w:name w:val="文本正文 Char"/>
    <w:basedOn w:val="1"/>
    <w:qFormat/>
    <w:uiPriority w:val="0"/>
    <w:pPr>
      <w:spacing w:line="360" w:lineRule="auto"/>
      <w:ind w:firstLine="200" w:firstLineChars="200"/>
    </w:pPr>
    <w:rPr>
      <w:kern w:val="0"/>
      <w:sz w:val="24"/>
      <w:szCs w:val="20"/>
    </w:rPr>
  </w:style>
  <w:style w:type="paragraph" w:customStyle="1" w:styleId="92">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93">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94">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95">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96">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97">
    <w:name w:val="样式 标题 22h2L1 Heading 2H2sect 1.2H21sect 1.21H22sect 1.2..."/>
    <w:basedOn w:val="4"/>
    <w:next w:val="1"/>
    <w:qFormat/>
    <w:uiPriority w:val="0"/>
    <w:pPr>
      <w:numPr>
        <w:numId w:val="0"/>
      </w:numPr>
      <w:tabs>
        <w:tab w:val="left" w:pos="425"/>
      </w:tabs>
      <w:spacing w:before="260" w:after="260" w:line="415" w:lineRule="auto"/>
      <w:ind w:left="425" w:hanging="425"/>
    </w:pPr>
    <w:rPr>
      <w:rFonts w:ascii="微软雅黑" w:hAnsi="微软雅黑" w:eastAsia="微软雅黑"/>
      <w:lang w:val="en-US"/>
    </w:rPr>
  </w:style>
  <w:style w:type="paragraph" w:customStyle="1" w:styleId="98">
    <w:name w:val="正文首行缩进1"/>
    <w:basedOn w:val="24"/>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9">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100">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101">
    <w:name w:val="Char1"/>
    <w:basedOn w:val="1"/>
    <w:qFormat/>
    <w:uiPriority w:val="0"/>
    <w:rPr>
      <w:rFonts w:ascii="仿宋_GB2312" w:eastAsia="仿宋_GB2312"/>
      <w:b/>
      <w:sz w:val="32"/>
      <w:szCs w:val="32"/>
    </w:rPr>
  </w:style>
  <w:style w:type="paragraph" w:customStyle="1" w:styleId="102">
    <w:name w:val="CM14"/>
    <w:basedOn w:val="74"/>
    <w:next w:val="74"/>
    <w:qFormat/>
    <w:uiPriority w:val="0"/>
    <w:pPr>
      <w:spacing w:after="68"/>
    </w:pPr>
    <w:rPr>
      <w:rFonts w:ascii="FHLHE E+ Futura Bk" w:eastAsia="FHLHE E+ Futura Bk" w:cs="Times New Roman"/>
      <w:color w:val="auto"/>
    </w:rPr>
  </w:style>
  <w:style w:type="paragraph" w:customStyle="1" w:styleId="103">
    <w:name w:val="正文文字缩进2字"/>
    <w:basedOn w:val="24"/>
    <w:qFormat/>
    <w:uiPriority w:val="0"/>
    <w:pPr>
      <w:autoSpaceDE/>
      <w:autoSpaceDN/>
      <w:adjustRightInd/>
      <w:spacing w:before="60" w:after="60"/>
      <w:ind w:firstLine="200" w:firstLineChars="200"/>
    </w:pPr>
    <w:rPr>
      <w:rFonts w:ascii="Times New Roman"/>
      <w:szCs w:val="20"/>
      <w:lang w:val="en-US"/>
    </w:rPr>
  </w:style>
  <w:style w:type="paragraph" w:customStyle="1" w:styleId="104">
    <w:name w:val="正文 编号"/>
    <w:basedOn w:val="1"/>
    <w:qFormat/>
    <w:uiPriority w:val="0"/>
    <w:pPr>
      <w:widowControl/>
      <w:numPr>
        <w:ilvl w:val="0"/>
        <w:numId w:val="4"/>
      </w:numPr>
      <w:spacing w:after="120" w:line="440" w:lineRule="exact"/>
      <w:jc w:val="left"/>
    </w:pPr>
    <w:rPr>
      <w:rFonts w:ascii="仿宋_GB2312" w:hAnsi="仿宋_GB2312" w:eastAsia="仿宋_GB2312"/>
      <w:sz w:val="24"/>
      <w:szCs w:val="20"/>
    </w:rPr>
  </w:style>
  <w:style w:type="paragraph" w:customStyle="1" w:styleId="105">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106">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107">
    <w:name w:val="标书标题4"/>
    <w:basedOn w:val="6"/>
    <w:qFormat/>
    <w:uiPriority w:val="0"/>
    <w:pPr>
      <w:keepLines w:val="0"/>
      <w:numPr>
        <w:numId w:val="0"/>
      </w:numPr>
      <w:snapToGrid w:val="0"/>
      <w:spacing w:before="0" w:after="0" w:line="300" w:lineRule="auto"/>
    </w:pPr>
    <w:rPr>
      <w:rFonts w:ascii="Arial Narrow" w:hAnsi="Arial Narrow" w:eastAsia="仿宋_GB2312"/>
      <w:bCs w:val="0"/>
      <w:color w:val="000000"/>
      <w:kern w:val="0"/>
      <w:szCs w:val="32"/>
      <w:lang w:val="en-US"/>
    </w:rPr>
  </w:style>
  <w:style w:type="paragraph" w:customStyle="1" w:styleId="108">
    <w:name w:val="List Paragraph"/>
    <w:basedOn w:val="1"/>
    <w:qFormat/>
    <w:uiPriority w:val="0"/>
    <w:pPr>
      <w:spacing w:line="360" w:lineRule="auto"/>
      <w:ind w:firstLine="200" w:firstLineChars="200"/>
    </w:pPr>
    <w:rPr>
      <w:rFonts w:eastAsia="楷体_GB2312" w:cs="Lucida Sans"/>
      <w:sz w:val="24"/>
    </w:rPr>
  </w:style>
  <w:style w:type="paragraph" w:customStyle="1" w:styleId="109">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110">
    <w:name w:val="Char2 Char Char Char"/>
    <w:basedOn w:val="1"/>
    <w:qFormat/>
    <w:uiPriority w:val="0"/>
    <w:rPr>
      <w:rFonts w:ascii="仿宋_GB2312" w:eastAsia="仿宋_GB2312"/>
      <w:b/>
      <w:sz w:val="32"/>
      <w:szCs w:val="32"/>
    </w:rPr>
  </w:style>
  <w:style w:type="paragraph" w:customStyle="1" w:styleId="111">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12">
    <w:name w:val="样式 正文文本缩进 + 左侧:  2 字符 首行缩进:  2 字符"/>
    <w:basedOn w:val="21"/>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13">
    <w:name w:val="Char Char Char"/>
    <w:basedOn w:val="1"/>
    <w:qFormat/>
    <w:uiPriority w:val="0"/>
    <w:rPr>
      <w:rFonts w:ascii="Tahoma" w:hAnsi="Tahoma"/>
      <w:sz w:val="24"/>
      <w:szCs w:val="20"/>
    </w:rPr>
  </w:style>
  <w:style w:type="paragraph" w:customStyle="1" w:styleId="114">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115">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116">
    <w:name w:val="样式 正文缩进 + 首行缩进:  2 字符"/>
    <w:basedOn w:val="16"/>
    <w:qFormat/>
    <w:uiPriority w:val="0"/>
    <w:pPr>
      <w:widowControl w:val="0"/>
      <w:adjustRightInd/>
      <w:snapToGrid/>
      <w:spacing w:line="360" w:lineRule="auto"/>
      <w:ind w:firstLine="200" w:firstLineChars="200"/>
    </w:pPr>
    <w:rPr>
      <w:rFonts w:ascii="Times New Roman" w:cs="宋体"/>
      <w:color w:val="auto"/>
      <w:kern w:val="2"/>
      <w:sz w:val="24"/>
    </w:rPr>
  </w:style>
  <w:style w:type="paragraph" w:customStyle="1" w:styleId="117">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118">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19">
    <w:name w:val="浅色底纹 - 强调文字颜色 51"/>
    <w:semiHidden/>
    <w:qFormat/>
    <w:uiPriority w:val="0"/>
    <w:rPr>
      <w:rFonts w:ascii="Times New Roman" w:hAnsi="Times New Roman" w:eastAsia="宋体" w:cs="Times New Roman"/>
      <w:kern w:val="2"/>
      <w:sz w:val="21"/>
      <w:szCs w:val="24"/>
      <w:lang w:val="en-US" w:eastAsia="zh-CN" w:bidi="ar-SA"/>
    </w:rPr>
  </w:style>
  <w:style w:type="paragraph" w:customStyle="1" w:styleId="120">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121">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122">
    <w:name w:val="FA正文"/>
    <w:basedOn w:val="1"/>
    <w:qFormat/>
    <w:uiPriority w:val="0"/>
    <w:pPr>
      <w:spacing w:line="360" w:lineRule="auto"/>
      <w:ind w:firstLine="480" w:firstLineChars="200"/>
    </w:pPr>
    <w:rPr>
      <w:rFonts w:hAnsi="宋体"/>
      <w:sz w:val="24"/>
      <w:szCs w:val="20"/>
    </w:rPr>
  </w:style>
  <w:style w:type="paragraph" w:customStyle="1" w:styleId="123">
    <w:name w:val="MM Topic 4"/>
    <w:basedOn w:val="6"/>
    <w:qFormat/>
    <w:uiPriority w:val="0"/>
    <w:pPr>
      <w:numPr>
        <w:ilvl w:val="0"/>
        <w:numId w:val="0"/>
      </w:numPr>
      <w:tabs>
        <w:tab w:val="left" w:pos="2100"/>
      </w:tabs>
      <w:adjustRightInd/>
      <w:ind w:left="2100" w:hanging="420"/>
    </w:pPr>
    <w:rPr>
      <w:lang w:val="en-US"/>
    </w:rPr>
  </w:style>
  <w:style w:type="paragraph" w:customStyle="1" w:styleId="124">
    <w:name w:val="Char Char1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25">
    <w:name w:val="有符号正文"/>
    <w:basedOn w:val="1"/>
    <w:qFormat/>
    <w:uiPriority w:val="0"/>
    <w:pPr>
      <w:adjustRightInd/>
      <w:spacing w:line="400" w:lineRule="exact"/>
      <w:ind w:firstLine="200" w:firstLineChars="200"/>
    </w:pPr>
    <w:rPr>
      <w:rFonts w:ascii="Arial" w:hAnsi="Arial"/>
    </w:rPr>
  </w:style>
  <w:style w:type="paragraph" w:customStyle="1" w:styleId="126">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127">
    <w:name w:val="默认段落字体 Para Char"/>
    <w:basedOn w:val="1"/>
    <w:qFormat/>
    <w:uiPriority w:val="0"/>
    <w:rPr>
      <w:rFonts w:ascii="Tahoma" w:hAnsi="Tahoma"/>
      <w:sz w:val="24"/>
      <w:szCs w:val="20"/>
    </w:rPr>
  </w:style>
  <w:style w:type="paragraph" w:customStyle="1" w:styleId="128">
    <w:name w:val="Char1 Char Char Char2"/>
    <w:basedOn w:val="1"/>
    <w:qFormat/>
    <w:uiPriority w:val="0"/>
    <w:pPr>
      <w:adjustRightInd/>
      <w:ind w:firstLine="200" w:firstLineChars="200"/>
    </w:pPr>
    <w:rPr>
      <w:rFonts w:ascii="Tahoma" w:hAnsi="Tahoma"/>
      <w:sz w:val="24"/>
      <w:szCs w:val="20"/>
    </w:rPr>
  </w:style>
  <w:style w:type="paragraph" w:customStyle="1" w:styleId="129">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30">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131">
    <w:name w:val="注释"/>
    <w:basedOn w:val="1"/>
    <w:qFormat/>
    <w:uiPriority w:val="0"/>
    <w:pPr>
      <w:adjustRightInd/>
      <w:spacing w:line="360" w:lineRule="auto"/>
      <w:ind w:firstLine="480"/>
    </w:pPr>
    <w:rPr>
      <w:sz w:val="24"/>
    </w:rPr>
  </w:style>
  <w:style w:type="paragraph" w:customStyle="1" w:styleId="132">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33">
    <w:name w:val="Char1 Char Char Char Char Char Char Char Char Char"/>
    <w:basedOn w:val="1"/>
    <w:semiHidden/>
    <w:qFormat/>
    <w:uiPriority w:val="0"/>
    <w:pPr>
      <w:adjustRightInd/>
      <w:spacing w:before="240" w:after="120" w:line="288" w:lineRule="auto"/>
      <w:ind w:firstLine="200" w:firstLineChars="200"/>
      <w:jc w:val="left"/>
    </w:pPr>
    <w:rPr>
      <w:rFonts w:ascii="Tahoma" w:hAnsi="Tahoma"/>
      <w:sz w:val="24"/>
    </w:rPr>
  </w:style>
  <w:style w:type="paragraph" w:customStyle="1" w:styleId="134">
    <w:name w:val="trademark"/>
    <w:qFormat/>
    <w:uiPriority w:val="0"/>
    <w:pPr>
      <w:spacing w:after="60"/>
    </w:pPr>
    <w:rPr>
      <w:rFonts w:ascii="Futura Bk" w:hAnsi="Futura Bk" w:eastAsia="宋体" w:cs="Times New Roman"/>
      <w:sz w:val="15"/>
      <w:lang w:val="en-US" w:eastAsia="en-US" w:bidi="ar-SA"/>
    </w:rPr>
  </w:style>
  <w:style w:type="paragraph" w:customStyle="1" w:styleId="135">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136">
    <w:name w:val="EB_表格"/>
    <w:basedOn w:val="1"/>
    <w:qFormat/>
    <w:uiPriority w:val="0"/>
    <w:pPr>
      <w:adjustRightInd/>
      <w:spacing w:line="300" w:lineRule="auto"/>
      <w:jc w:val="center"/>
    </w:pPr>
  </w:style>
  <w:style w:type="paragraph" w:customStyle="1" w:styleId="137">
    <w:name w:val="Char Char Char1 Char"/>
    <w:basedOn w:val="1"/>
    <w:qFormat/>
    <w:uiPriority w:val="0"/>
    <w:rPr>
      <w:szCs w:val="20"/>
    </w:rPr>
  </w:style>
  <w:style w:type="paragraph" w:customStyle="1" w:styleId="138">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39">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140">
    <w:name w:val="章标题"/>
    <w:next w:val="141"/>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14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42">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143">
    <w:name w:val="标准有序列表（L1）"/>
    <w:basedOn w:val="16"/>
    <w:qFormat/>
    <w:uiPriority w:val="0"/>
    <w:pPr>
      <w:widowControl w:val="0"/>
      <w:tabs>
        <w:tab w:val="left" w:pos="0"/>
        <w:tab w:val="left" w:pos="992"/>
      </w:tabs>
      <w:adjustRightInd/>
      <w:snapToGrid/>
      <w:spacing w:line="360" w:lineRule="auto"/>
      <w:ind w:firstLine="0"/>
    </w:pPr>
    <w:rPr>
      <w:rFonts w:ascii="黑体" w:eastAsia="黑体"/>
      <w:kern w:val="2"/>
      <w:sz w:val="24"/>
    </w:rPr>
  </w:style>
  <w:style w:type="paragraph" w:customStyle="1" w:styleId="144">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145">
    <w:name w:val="表文字"/>
    <w:qFormat/>
    <w:uiPriority w:val="0"/>
    <w:rPr>
      <w:rFonts w:ascii="宋体" w:hAnsi="Times New Roman" w:eastAsia="宋体" w:cs="Times New Roman"/>
      <w:kern w:val="2"/>
      <w:lang w:val="en-US" w:eastAsia="zh-CN" w:bidi="ar-SA"/>
    </w:rPr>
  </w:style>
  <w:style w:type="paragraph" w:customStyle="1" w:styleId="146">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147">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48">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49">
    <w:name w:val="列表内容"/>
    <w:basedOn w:val="1"/>
    <w:next w:val="1"/>
    <w:qFormat/>
    <w:uiPriority w:val="0"/>
    <w:pPr>
      <w:widowControl/>
      <w:tabs>
        <w:tab w:val="left" w:pos="840"/>
      </w:tabs>
      <w:ind w:left="840" w:hanging="420"/>
      <w:jc w:val="left"/>
    </w:pPr>
    <w:rPr>
      <w:kern w:val="0"/>
      <w:sz w:val="18"/>
    </w:rPr>
  </w:style>
  <w:style w:type="paragraph" w:customStyle="1" w:styleId="150">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151">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52">
    <w:name w:val="body text bold"/>
    <w:basedOn w:val="24"/>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153">
    <w:name w:val="Char2 Char Char"/>
    <w:basedOn w:val="1"/>
    <w:qFormat/>
    <w:uiPriority w:val="0"/>
    <w:pPr>
      <w:adjustRightInd/>
    </w:pPr>
    <w:rPr>
      <w:rFonts w:ascii="Tahoma" w:hAnsi="Tahoma"/>
      <w:sz w:val="24"/>
      <w:szCs w:val="20"/>
    </w:rPr>
  </w:style>
  <w:style w:type="paragraph" w:customStyle="1" w:styleId="154">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155">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56">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157">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58">
    <w:name w:val="Char Char1 Char Char Char"/>
    <w:basedOn w:val="1"/>
    <w:qFormat/>
    <w:uiPriority w:val="0"/>
    <w:rPr>
      <w:rFonts w:ascii="仿宋_GB2312" w:eastAsia="仿宋_GB2312"/>
      <w:b/>
      <w:sz w:val="32"/>
      <w:szCs w:val="20"/>
    </w:rPr>
  </w:style>
  <w:style w:type="paragraph" w:customStyle="1" w:styleId="159">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160">
    <w:name w:val="WW-正文文字缩进 2"/>
    <w:basedOn w:val="1"/>
    <w:qFormat/>
    <w:uiPriority w:val="0"/>
    <w:pPr>
      <w:suppressAutoHyphens/>
      <w:adjustRightInd/>
      <w:ind w:firstLine="420"/>
    </w:pPr>
    <w:rPr>
      <w:kern w:val="1"/>
      <w:szCs w:val="20"/>
    </w:rPr>
  </w:style>
  <w:style w:type="paragraph" w:customStyle="1" w:styleId="161">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162">
    <w:name w:val="默认段落字体 Para Char Char Char Char"/>
    <w:basedOn w:val="1"/>
    <w:qFormat/>
    <w:uiPriority w:val="0"/>
    <w:pPr>
      <w:spacing w:line="360" w:lineRule="auto"/>
    </w:pPr>
    <w:rPr>
      <w:szCs w:val="20"/>
    </w:rPr>
  </w:style>
  <w:style w:type="paragraph" w:customStyle="1" w:styleId="163">
    <w:name w:val="Char Char11 Char Char Char"/>
    <w:basedOn w:val="1"/>
    <w:qFormat/>
    <w:uiPriority w:val="0"/>
    <w:pPr>
      <w:spacing w:line="360" w:lineRule="auto"/>
    </w:pPr>
    <w:rPr>
      <w:szCs w:val="20"/>
    </w:rPr>
  </w:style>
  <w:style w:type="paragraph" w:customStyle="1" w:styleId="164">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65">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166">
    <w:name w:val="左对齐表格文字"/>
    <w:basedOn w:val="1"/>
    <w:qFormat/>
    <w:uiPriority w:val="0"/>
    <w:pPr>
      <w:adjustRightInd/>
      <w:ind w:firstLine="200" w:firstLineChars="200"/>
      <w:jc w:val="right"/>
    </w:pPr>
  </w:style>
  <w:style w:type="paragraph" w:customStyle="1" w:styleId="167">
    <w:name w:val="Picture"/>
    <w:basedOn w:val="1"/>
    <w:next w:val="17"/>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68">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169">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170">
    <w:name w:val="无间隔1"/>
    <w:link w:val="532"/>
    <w:qFormat/>
    <w:uiPriority w:val="1"/>
    <w:rPr>
      <w:rFonts w:ascii="Calibri" w:hAnsi="Calibri" w:eastAsia="宋体" w:cs="Times New Roman"/>
      <w:sz w:val="22"/>
      <w:szCs w:val="22"/>
      <w:lang w:val="en-US" w:eastAsia="zh-CN" w:bidi="ar-SA"/>
    </w:rPr>
  </w:style>
  <w:style w:type="paragraph" w:customStyle="1" w:styleId="171">
    <w:name w:val="样式 样式 标题 4h4H4Fab-4T5Ref Heading 1rh1Heading sqlsect 1.2.3.... +..."/>
    <w:basedOn w:val="172"/>
    <w:link w:val="610"/>
    <w:qFormat/>
    <w:uiPriority w:val="0"/>
    <w:pPr>
      <w:tabs>
        <w:tab w:val="left" w:pos="864"/>
        <w:tab w:val="left" w:pos="2356"/>
      </w:tabs>
    </w:pPr>
  </w:style>
  <w:style w:type="paragraph" w:customStyle="1" w:styleId="172">
    <w:name w:val="样式 标题 4h4H4Fab-4T5Ref Heading 1rh1Heading sqlsect 1.2.3...."/>
    <w:basedOn w:val="6"/>
    <w:link w:val="560"/>
    <w:qFormat/>
    <w:uiPriority w:val="0"/>
    <w:pPr>
      <w:numPr>
        <w:numId w:val="0"/>
      </w:numPr>
      <w:tabs>
        <w:tab w:val="left" w:pos="2356"/>
      </w:tabs>
      <w:adjustRightInd/>
      <w:spacing w:line="360" w:lineRule="auto"/>
      <w:ind w:left="1984" w:leftChars="75" w:hanging="708" w:firstLineChars="200"/>
    </w:pPr>
    <w:rPr>
      <w:rFonts w:ascii="微软雅黑" w:hAnsi="微软雅黑" w:eastAsia="微软雅黑"/>
      <w:sz w:val="24"/>
    </w:rPr>
  </w:style>
  <w:style w:type="paragraph" w:customStyle="1" w:styleId="173">
    <w:name w:val="四级条标题"/>
    <w:basedOn w:val="174"/>
    <w:next w:val="141"/>
    <w:qFormat/>
    <w:uiPriority w:val="0"/>
    <w:pPr>
      <w:numPr>
        <w:ilvl w:val="5"/>
        <w:numId w:val="4"/>
      </w:numPr>
      <w:tabs>
        <w:tab w:val="left" w:pos="1680"/>
        <w:tab w:val="left" w:pos="2100"/>
        <w:tab w:val="left" w:pos="2520"/>
      </w:tabs>
      <w:outlineLvl w:val="5"/>
    </w:pPr>
  </w:style>
  <w:style w:type="paragraph" w:customStyle="1" w:styleId="174">
    <w:name w:val="三级条标题"/>
    <w:basedOn w:val="175"/>
    <w:next w:val="141"/>
    <w:qFormat/>
    <w:uiPriority w:val="0"/>
    <w:pPr>
      <w:numPr>
        <w:ilvl w:val="0"/>
        <w:numId w:val="0"/>
      </w:numPr>
      <w:tabs>
        <w:tab w:val="left" w:pos="1680"/>
        <w:tab w:val="left" w:pos="2100"/>
        <w:tab w:val="left" w:pos="2520"/>
      </w:tabs>
      <w:ind w:left="2520" w:hanging="420"/>
      <w:outlineLvl w:val="4"/>
    </w:pPr>
  </w:style>
  <w:style w:type="paragraph" w:customStyle="1" w:styleId="175">
    <w:name w:val="二级条标题"/>
    <w:basedOn w:val="176"/>
    <w:next w:val="141"/>
    <w:qFormat/>
    <w:uiPriority w:val="0"/>
    <w:pPr>
      <w:numPr>
        <w:ilvl w:val="3"/>
        <w:numId w:val="4"/>
      </w:numPr>
      <w:tabs>
        <w:tab w:val="left" w:pos="1680"/>
      </w:tabs>
      <w:ind w:left="0"/>
      <w:outlineLvl w:val="3"/>
    </w:pPr>
  </w:style>
  <w:style w:type="paragraph" w:customStyle="1" w:styleId="176">
    <w:name w:val="一级条标题"/>
    <w:basedOn w:val="140"/>
    <w:next w:val="141"/>
    <w:qFormat/>
    <w:uiPriority w:val="0"/>
    <w:pPr>
      <w:tabs>
        <w:tab w:val="left" w:pos="1680"/>
        <w:tab w:val="clear" w:pos="1260"/>
      </w:tabs>
      <w:spacing w:before="0" w:beforeLines="0" w:after="0" w:afterLines="0"/>
      <w:ind w:left="1680"/>
      <w:outlineLvl w:val="2"/>
    </w:pPr>
  </w:style>
  <w:style w:type="paragraph" w:customStyle="1" w:styleId="177">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78">
    <w:name w:val="标准小四"/>
    <w:basedOn w:val="1"/>
    <w:qFormat/>
    <w:uiPriority w:val="0"/>
    <w:pPr>
      <w:spacing w:line="360" w:lineRule="auto"/>
      <w:ind w:firstLine="480" w:firstLineChars="200"/>
    </w:pPr>
    <w:rPr>
      <w:rFonts w:ascii="Arial" w:hAnsi="Arial"/>
      <w:sz w:val="24"/>
      <w:szCs w:val="21"/>
    </w:rPr>
  </w:style>
  <w:style w:type="paragraph" w:customStyle="1" w:styleId="179">
    <w:name w:val="表格"/>
    <w:basedOn w:val="1"/>
    <w:qFormat/>
    <w:uiPriority w:val="0"/>
    <w:pPr>
      <w:snapToGrid w:val="0"/>
      <w:ind w:firstLine="42" w:firstLineChars="21"/>
    </w:pPr>
    <w:rPr>
      <w:rFonts w:ascii="宋体" w:hAnsi="宋体"/>
      <w:kern w:val="0"/>
      <w:sz w:val="20"/>
      <w:szCs w:val="20"/>
    </w:rPr>
  </w:style>
  <w:style w:type="paragraph" w:customStyle="1" w:styleId="180">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81">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82">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183">
    <w:name w:val="封面公司名"/>
    <w:qFormat/>
    <w:uiPriority w:val="0"/>
    <w:pPr>
      <w:jc w:val="center"/>
    </w:pPr>
    <w:rPr>
      <w:rFonts w:ascii="Arial" w:hAnsi="Arial" w:eastAsia="楷体_GB2312" w:cs="宋体"/>
      <w:bCs/>
      <w:kern w:val="2"/>
      <w:sz w:val="28"/>
      <w:lang w:val="en-US" w:eastAsia="zh-CN" w:bidi="ar-SA"/>
    </w:rPr>
  </w:style>
  <w:style w:type="paragraph" w:customStyle="1" w:styleId="184">
    <w:name w:val="Char2 Char Char Char1"/>
    <w:basedOn w:val="1"/>
    <w:qFormat/>
    <w:uiPriority w:val="0"/>
    <w:rPr>
      <w:rFonts w:ascii="仿宋_GB2312" w:eastAsia="仿宋_GB2312"/>
      <w:b/>
      <w:sz w:val="32"/>
      <w:szCs w:val="32"/>
    </w:rPr>
  </w:style>
  <w:style w:type="paragraph" w:customStyle="1" w:styleId="185">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6">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87">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188">
    <w:name w:val="Char2"/>
    <w:basedOn w:val="1"/>
    <w:qFormat/>
    <w:uiPriority w:val="0"/>
    <w:rPr>
      <w:rFonts w:ascii="仿宋_GB2312" w:eastAsia="仿宋_GB2312"/>
      <w:b/>
      <w:sz w:val="32"/>
      <w:szCs w:val="32"/>
    </w:rPr>
  </w:style>
  <w:style w:type="paragraph" w:customStyle="1" w:styleId="189">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90">
    <w:name w:val="小节"/>
    <w:basedOn w:val="5"/>
    <w:qFormat/>
    <w:uiPriority w:val="0"/>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191">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92">
    <w:name w:val="Char Char Char Char Char Char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193">
    <w:name w:val="!大节"/>
    <w:basedOn w:val="4"/>
    <w:qFormat/>
    <w:uiPriority w:val="0"/>
    <w:pPr>
      <w:numPr>
        <w:numId w:val="0"/>
      </w:numPr>
      <w:spacing w:before="260" w:after="260" w:line="415" w:lineRule="auto"/>
      <w:ind w:left="420" w:hanging="420"/>
    </w:pPr>
    <w:rPr>
      <w:rFonts w:ascii="Arial" w:hAnsi="Arial" w:eastAsia="微软雅黑"/>
      <w:lang w:val="en-US"/>
    </w:rPr>
  </w:style>
  <w:style w:type="paragraph" w:customStyle="1" w:styleId="194">
    <w:name w:val="Char Char4 Char Char"/>
    <w:basedOn w:val="1"/>
    <w:qFormat/>
    <w:uiPriority w:val="0"/>
    <w:pPr>
      <w:widowControl/>
      <w:adjustRightInd/>
      <w:spacing w:after="160" w:line="240" w:lineRule="exact"/>
      <w:jc w:val="left"/>
    </w:pPr>
  </w:style>
  <w:style w:type="paragraph" w:customStyle="1" w:styleId="195">
    <w:name w:val="Char2 Char Char1"/>
    <w:basedOn w:val="1"/>
    <w:qFormat/>
    <w:uiPriority w:val="0"/>
    <w:pPr>
      <w:adjustRightInd/>
    </w:pPr>
    <w:rPr>
      <w:rFonts w:ascii="Tahoma" w:hAnsi="Tahoma"/>
      <w:sz w:val="24"/>
      <w:szCs w:val="20"/>
    </w:rPr>
  </w:style>
  <w:style w:type="paragraph" w:customStyle="1" w:styleId="196">
    <w:name w:val="默认段落字体 Para Char Char Char Char Char Char Char"/>
    <w:basedOn w:val="1"/>
    <w:qFormat/>
    <w:uiPriority w:val="0"/>
    <w:rPr>
      <w:rFonts w:eastAsia="仿宋_GB2312"/>
      <w:sz w:val="28"/>
      <w:szCs w:val="20"/>
    </w:rPr>
  </w:style>
  <w:style w:type="paragraph" w:customStyle="1" w:styleId="197">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198">
    <w:name w:val="正文21"/>
    <w:basedOn w:val="1"/>
    <w:qFormat/>
    <w:uiPriority w:val="0"/>
    <w:pPr>
      <w:adjustRightInd/>
      <w:spacing w:before="156" w:line="360" w:lineRule="auto"/>
      <w:ind w:firstLine="510" w:firstLineChars="200"/>
    </w:pPr>
    <w:rPr>
      <w:sz w:val="24"/>
      <w:szCs w:val="20"/>
    </w:rPr>
  </w:style>
  <w:style w:type="paragraph" w:customStyle="1" w:styleId="199">
    <w:name w:val="标题4_自定义"/>
    <w:basedOn w:val="6"/>
    <w:qFormat/>
    <w:uiPriority w:val="0"/>
    <w:pPr>
      <w:numPr>
        <w:numId w:val="0"/>
      </w:numPr>
      <w:adjustRightInd/>
      <w:spacing w:before="0" w:after="0" w:line="360" w:lineRule="auto"/>
    </w:pPr>
    <w:rPr>
      <w:rFonts w:ascii="Verdana" w:eastAsia="Verdana"/>
      <w:sz w:val="21"/>
      <w:lang w:val="en-US"/>
    </w:rPr>
  </w:style>
  <w:style w:type="paragraph" w:customStyle="1" w:styleId="200">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201">
    <w:name w:val="标题五"/>
    <w:basedOn w:val="1"/>
    <w:qFormat/>
    <w:uiPriority w:val="0"/>
    <w:pPr>
      <w:adjustRightInd/>
      <w:spacing w:before="156" w:beforeLines="50" w:line="360" w:lineRule="auto"/>
    </w:pPr>
    <w:rPr>
      <w:b/>
      <w:sz w:val="24"/>
    </w:rPr>
  </w:style>
  <w:style w:type="paragraph" w:customStyle="1" w:styleId="202">
    <w:name w:val="样式 标题 3H3 + 两端对齐"/>
    <w:basedOn w:val="5"/>
    <w:qFormat/>
    <w:uiPriority w:val="0"/>
    <w:pPr>
      <w:keepLines w:val="0"/>
      <w:numPr>
        <w:numId w:val="0"/>
      </w:numPr>
      <w:spacing w:before="0" w:after="0" w:line="240" w:lineRule="auto"/>
      <w:jc w:val="left"/>
    </w:pPr>
    <w:rPr>
      <w:rFonts w:cs="宋体"/>
      <w:sz w:val="21"/>
      <w:szCs w:val="20"/>
    </w:rPr>
  </w:style>
  <w:style w:type="paragraph" w:customStyle="1" w:styleId="203">
    <w:name w:val="Char Char11"/>
    <w:basedOn w:val="1"/>
    <w:qFormat/>
    <w:uiPriority w:val="0"/>
    <w:pPr>
      <w:spacing w:line="360" w:lineRule="auto"/>
    </w:pPr>
    <w:rPr>
      <w:szCs w:val="20"/>
    </w:rPr>
  </w:style>
  <w:style w:type="paragraph" w:customStyle="1" w:styleId="204">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5">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206">
    <w:name w:val="样式 标题 1章节第一层h1H"/>
    <w:basedOn w:val="3"/>
    <w:qFormat/>
    <w:uiPriority w:val="0"/>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207">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08">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09">
    <w:name w:val="Char Char11 Char Char Char Char Char Char Char Char Char"/>
    <w:basedOn w:val="1"/>
    <w:qFormat/>
    <w:uiPriority w:val="0"/>
    <w:pPr>
      <w:spacing w:line="360" w:lineRule="auto"/>
    </w:pPr>
    <w:rPr>
      <w:szCs w:val="20"/>
    </w:rPr>
  </w:style>
  <w:style w:type="paragraph" w:customStyle="1" w:styleId="210">
    <w:name w:val="Char Char1 Char Char Char1"/>
    <w:basedOn w:val="1"/>
    <w:qFormat/>
    <w:uiPriority w:val="0"/>
    <w:rPr>
      <w:rFonts w:ascii="仿宋_GB2312" w:eastAsia="仿宋_GB2312"/>
      <w:b/>
      <w:sz w:val="32"/>
      <w:szCs w:val="32"/>
    </w:rPr>
  </w:style>
  <w:style w:type="paragraph" w:customStyle="1" w:styleId="211">
    <w:name w:val="样式 标题 4PIM 4H4h4bulletblbbH41H42H43H44H45H46H47H48...1"/>
    <w:basedOn w:val="6"/>
    <w:qFormat/>
    <w:uiPriority w:val="0"/>
    <w:pPr>
      <w:widowControl/>
      <w:jc w:val="left"/>
    </w:pPr>
    <w:rPr>
      <w:rFonts w:cs="宋体"/>
      <w:sz w:val="24"/>
      <w:szCs w:val="20"/>
    </w:rPr>
  </w:style>
  <w:style w:type="paragraph" w:customStyle="1" w:styleId="212">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213">
    <w:name w:val="表格标题2"/>
    <w:basedOn w:val="214"/>
    <w:qFormat/>
    <w:uiPriority w:val="0"/>
    <w:rPr>
      <w:b/>
    </w:rPr>
  </w:style>
  <w:style w:type="paragraph" w:customStyle="1" w:styleId="214">
    <w:name w:val="表格内文"/>
    <w:basedOn w:val="1"/>
    <w:qFormat/>
    <w:uiPriority w:val="0"/>
    <w:pPr>
      <w:adjustRightInd/>
      <w:spacing w:line="360" w:lineRule="auto"/>
    </w:pPr>
    <w:rPr>
      <w:rFonts w:ascii="宋体" w:hAnsi="宋体" w:cs="宋体"/>
      <w:color w:val="000000"/>
      <w:szCs w:val="20"/>
    </w:rPr>
  </w:style>
  <w:style w:type="paragraph" w:customStyle="1" w:styleId="215">
    <w:name w:val="Char Char Char Char Char Char Char"/>
    <w:basedOn w:val="1"/>
    <w:qFormat/>
    <w:uiPriority w:val="0"/>
    <w:rPr>
      <w:rFonts w:ascii="仿宋_GB2312" w:eastAsia="仿宋_GB2312"/>
      <w:b/>
      <w:sz w:val="32"/>
      <w:szCs w:val="32"/>
    </w:rPr>
  </w:style>
  <w:style w:type="paragraph" w:customStyle="1" w:styleId="216">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217">
    <w:name w:val="数字标题6"/>
    <w:basedOn w:val="8"/>
    <w:next w:val="1"/>
    <w:qFormat/>
    <w:uiPriority w:val="0"/>
    <w:pPr>
      <w:numPr>
        <w:numId w:val="5"/>
      </w:numPr>
      <w:tabs>
        <w:tab w:val="left" w:pos="480"/>
        <w:tab w:val="left" w:pos="1080"/>
      </w:tabs>
    </w:pPr>
    <w:rPr>
      <w:rFonts w:ascii="Times New Roman" w:hAnsi="Times New Roman" w:eastAsia="宋体"/>
      <w:i/>
    </w:rPr>
  </w:style>
  <w:style w:type="paragraph" w:customStyle="1" w:styleId="218">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19">
    <w:name w:val="列出段落2"/>
    <w:basedOn w:val="1"/>
    <w:qFormat/>
    <w:uiPriority w:val="0"/>
    <w:pPr>
      <w:adjustRightInd/>
      <w:ind w:firstLine="420" w:firstLineChars="200"/>
    </w:pPr>
    <w:rPr>
      <w:rFonts w:ascii="宋体" w:hAnsi="宋体"/>
      <w:sz w:val="24"/>
    </w:rPr>
  </w:style>
  <w:style w:type="paragraph" w:customStyle="1" w:styleId="220">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221">
    <w:name w:val="TOC 标题1"/>
    <w:basedOn w:val="3"/>
    <w:next w:val="1"/>
    <w:unhideWhenUsed/>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22">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223">
    <w:name w:val="正文 首行缩进:  2 字符 Char"/>
    <w:basedOn w:val="1"/>
    <w:qFormat/>
    <w:uiPriority w:val="0"/>
    <w:pPr>
      <w:adjustRightInd/>
      <w:spacing w:line="360" w:lineRule="auto"/>
      <w:ind w:firstLine="480"/>
    </w:pPr>
    <w:rPr>
      <w:rFonts w:cs="宋体"/>
      <w:sz w:val="24"/>
      <w:szCs w:val="20"/>
    </w:rPr>
  </w:style>
  <w:style w:type="paragraph" w:customStyle="1" w:styleId="224">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225">
    <w:name w:val="Table Text"/>
    <w:basedOn w:val="1"/>
    <w:qFormat/>
    <w:uiPriority w:val="0"/>
    <w:pPr>
      <w:widowControl/>
      <w:spacing w:before="60" w:after="60"/>
      <w:jc w:val="left"/>
    </w:pPr>
    <w:rPr>
      <w:kern w:val="0"/>
      <w:sz w:val="24"/>
    </w:rPr>
  </w:style>
  <w:style w:type="paragraph" w:customStyle="1" w:styleId="226">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227">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28">
    <w:name w:val="Char Char Char Char Char Char Char Char Char Char"/>
    <w:basedOn w:val="1"/>
    <w:qFormat/>
    <w:uiPriority w:val="0"/>
    <w:rPr>
      <w:rFonts w:ascii="仿宋_GB2312" w:eastAsia="仿宋_GB2312"/>
      <w:b/>
      <w:sz w:val="32"/>
      <w:szCs w:val="32"/>
    </w:rPr>
  </w:style>
  <w:style w:type="paragraph" w:customStyle="1" w:styleId="229">
    <w:name w:val="MM Title"/>
    <w:basedOn w:val="58"/>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30">
    <w:name w:val="正文文字表格居中"/>
    <w:basedOn w:val="1"/>
    <w:next w:val="55"/>
    <w:qFormat/>
    <w:uiPriority w:val="0"/>
    <w:pPr>
      <w:snapToGrid w:val="0"/>
      <w:spacing w:line="360" w:lineRule="auto"/>
    </w:pPr>
    <w:rPr>
      <w:rFonts w:ascii="宋体"/>
      <w:b/>
      <w:sz w:val="24"/>
      <w:szCs w:val="20"/>
    </w:rPr>
  </w:style>
  <w:style w:type="paragraph" w:customStyle="1" w:styleId="231">
    <w:name w:val="模板普通正文"/>
    <w:basedOn w:val="21"/>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232">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233">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234">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35">
    <w:name w:val="Char"/>
    <w:basedOn w:val="1"/>
    <w:qFormat/>
    <w:uiPriority w:val="0"/>
    <w:rPr>
      <w:rFonts w:ascii="仿宋_GB2312" w:eastAsia="仿宋_GB2312"/>
      <w:b/>
      <w:sz w:val="32"/>
      <w:szCs w:val="32"/>
    </w:rPr>
  </w:style>
  <w:style w:type="paragraph" w:customStyle="1" w:styleId="236">
    <w:name w:val="冯广丽"/>
    <w:basedOn w:val="1"/>
    <w:link w:val="473"/>
    <w:qFormat/>
    <w:uiPriority w:val="0"/>
    <w:pPr>
      <w:adjustRightInd/>
      <w:spacing w:line="360" w:lineRule="auto"/>
      <w:ind w:firstLine="480" w:firstLineChars="200"/>
    </w:pPr>
    <w:rPr>
      <w:rFonts w:ascii="宋体" w:hAnsi="宋体"/>
      <w:sz w:val="24"/>
      <w:szCs w:val="22"/>
    </w:rPr>
  </w:style>
  <w:style w:type="paragraph" w:customStyle="1" w:styleId="237">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238">
    <w:name w:val="Char31"/>
    <w:basedOn w:val="1"/>
    <w:qFormat/>
    <w:uiPriority w:val="0"/>
    <w:pPr>
      <w:adjustRightInd/>
      <w:ind w:firstLine="200" w:firstLineChars="200"/>
    </w:pPr>
    <w:rPr>
      <w:rFonts w:ascii="Tahoma" w:hAnsi="Tahoma"/>
      <w:sz w:val="24"/>
      <w:szCs w:val="20"/>
    </w:rPr>
  </w:style>
  <w:style w:type="paragraph" w:customStyle="1" w:styleId="239">
    <w:name w:val="Char Char11 Char Char Char1"/>
    <w:basedOn w:val="1"/>
    <w:qFormat/>
    <w:uiPriority w:val="0"/>
    <w:pPr>
      <w:spacing w:line="360" w:lineRule="auto"/>
    </w:pPr>
    <w:rPr>
      <w:szCs w:val="20"/>
    </w:rPr>
  </w:style>
  <w:style w:type="paragraph" w:customStyle="1" w:styleId="240">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241">
    <w:name w:val="_Style 236"/>
    <w:qFormat/>
    <w:uiPriority w:val="0"/>
    <w:rPr>
      <w:rFonts w:ascii="Times New Roman" w:hAnsi="Times New Roman" w:eastAsia="宋体" w:cs="Times New Roman"/>
      <w:kern w:val="2"/>
      <w:sz w:val="21"/>
      <w:lang w:val="en-US" w:eastAsia="zh-CN" w:bidi="ar-SA"/>
    </w:rPr>
  </w:style>
  <w:style w:type="paragraph" w:customStyle="1" w:styleId="242">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243">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44">
    <w:name w:val="正文文字缩进项目"/>
    <w:basedOn w:val="21"/>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45">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46">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247">
    <w:name w:val="文章标题"/>
    <w:next w:val="183"/>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248">
    <w:name w:val="4"/>
    <w:basedOn w:val="1"/>
    <w:next w:val="36"/>
    <w:qFormat/>
    <w:uiPriority w:val="0"/>
    <w:pPr>
      <w:spacing w:after="120" w:line="480" w:lineRule="auto"/>
      <w:ind w:left="420" w:leftChars="200"/>
    </w:pPr>
    <w:rPr>
      <w:sz w:val="24"/>
      <w:szCs w:val="20"/>
    </w:rPr>
  </w:style>
  <w:style w:type="paragraph" w:customStyle="1" w:styleId="249">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250">
    <w:name w:val="Char Char Char Char Char Char Char Char Char Char Char1 Char"/>
    <w:basedOn w:val="1"/>
    <w:qFormat/>
    <w:uiPriority w:val="0"/>
    <w:pPr>
      <w:adjustRightInd/>
    </w:pPr>
    <w:rPr>
      <w:rFonts w:ascii="Tahoma" w:hAnsi="Tahoma"/>
      <w:sz w:val="24"/>
    </w:rPr>
  </w:style>
  <w:style w:type="paragraph" w:customStyle="1" w:styleId="251">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252">
    <w:name w:val="标书表格字体格式"/>
    <w:next w:val="157"/>
    <w:qFormat/>
    <w:uiPriority w:val="0"/>
    <w:rPr>
      <w:rFonts w:ascii="Times New Roman" w:hAnsi="Times New Roman" w:eastAsia="宋体" w:cs="Times New Roman"/>
      <w:kern w:val="2"/>
      <w:sz w:val="21"/>
      <w:szCs w:val="24"/>
      <w:lang w:val="en-US" w:eastAsia="zh-CN" w:bidi="ar-SA"/>
    </w:rPr>
  </w:style>
  <w:style w:type="paragraph" w:customStyle="1" w:styleId="253">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254">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55">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256">
    <w:name w:val="带编号样式"/>
    <w:basedOn w:val="91"/>
    <w:qFormat/>
    <w:uiPriority w:val="0"/>
    <w:pPr>
      <w:tabs>
        <w:tab w:val="left" w:pos="840"/>
      </w:tabs>
      <w:snapToGrid w:val="0"/>
      <w:ind w:left="840" w:firstLine="0" w:firstLineChars="0"/>
    </w:pPr>
    <w:rPr>
      <w:rFonts w:ascii="仿宋_GB2312" w:eastAsia="仿宋_GB2312"/>
      <w:color w:val="000000"/>
    </w:rPr>
  </w:style>
  <w:style w:type="paragraph" w:customStyle="1" w:styleId="257">
    <w:name w:val="正文文字 2"/>
    <w:basedOn w:val="74"/>
    <w:next w:val="74"/>
    <w:qFormat/>
    <w:uiPriority w:val="0"/>
    <w:rPr>
      <w:rFonts w:ascii="宋体" w:eastAsia="宋体" w:cs="Times New Roman"/>
      <w:color w:val="auto"/>
    </w:rPr>
  </w:style>
  <w:style w:type="paragraph" w:customStyle="1" w:styleId="258">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59">
    <w:name w:val="样式 标题 3h33rd level3Heading 3 - oldH3l3CTheading 3Headin..."/>
    <w:basedOn w:val="5"/>
    <w:qFormat/>
    <w:uiPriority w:val="0"/>
    <w:pPr>
      <w:snapToGrid w:val="0"/>
      <w:ind w:left="0" w:firstLine="0"/>
      <w:jc w:val="left"/>
    </w:pPr>
    <w:rPr>
      <w:rFonts w:eastAsia="黑体" w:cs="宋体"/>
      <w:sz w:val="28"/>
      <w:szCs w:val="20"/>
    </w:rPr>
  </w:style>
  <w:style w:type="paragraph" w:customStyle="1" w:styleId="260">
    <w:name w:val="Char5"/>
    <w:basedOn w:val="1"/>
    <w:qFormat/>
    <w:uiPriority w:val="0"/>
    <w:rPr>
      <w:rFonts w:ascii="仿宋_GB2312" w:eastAsia="仿宋_GB2312"/>
      <w:b/>
      <w:sz w:val="32"/>
      <w:szCs w:val="32"/>
    </w:rPr>
  </w:style>
  <w:style w:type="paragraph" w:customStyle="1" w:styleId="261">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62">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3">
    <w:name w:val="Item List"/>
    <w:link w:val="478"/>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264">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65">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266">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7">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268">
    <w:name w:val="Char Char1 Char Char Char Char Char Char1"/>
    <w:basedOn w:val="1"/>
    <w:qFormat/>
    <w:uiPriority w:val="0"/>
    <w:rPr>
      <w:rFonts w:ascii="仿宋_GB2312" w:eastAsia="仿宋_GB2312"/>
      <w:b/>
      <w:sz w:val="32"/>
      <w:szCs w:val="20"/>
    </w:rPr>
  </w:style>
  <w:style w:type="paragraph" w:customStyle="1" w:styleId="269">
    <w:name w:val="Char Char Char Char Char Char Char Char Char Char Char Char1 Char"/>
    <w:basedOn w:val="1"/>
    <w:qFormat/>
    <w:uiPriority w:val="0"/>
    <w:rPr>
      <w:rFonts w:ascii="Tahoma" w:hAnsi="Tahoma" w:cs="仿宋_GB2312"/>
      <w:sz w:val="24"/>
      <w:szCs w:val="20"/>
    </w:rPr>
  </w:style>
  <w:style w:type="paragraph" w:customStyle="1" w:styleId="270">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271">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272">
    <w:name w:val="样式 标题 2标题2H2Heading 2 HiddenHeading 2 CCBSheading 22nd lev..."/>
    <w:basedOn w:val="4"/>
    <w:qFormat/>
    <w:uiPriority w:val="0"/>
    <w:pPr>
      <w:widowControl/>
      <w:spacing w:before="260" w:after="260" w:line="416" w:lineRule="auto"/>
      <w:ind w:left="0" w:firstLine="0"/>
    </w:pPr>
    <w:rPr>
      <w:rFonts w:ascii="Arial" w:hAnsi="Arial" w:eastAsia="黑体"/>
      <w:sz w:val="30"/>
      <w:szCs w:val="21"/>
    </w:rPr>
  </w:style>
  <w:style w:type="paragraph" w:customStyle="1" w:styleId="273">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74">
    <w:name w:val="样式 正文文本缩进 + 段前: 2 字符"/>
    <w:basedOn w:val="1"/>
    <w:qFormat/>
    <w:uiPriority w:val="0"/>
    <w:pPr>
      <w:adjustRightInd/>
      <w:ind w:left="420" w:leftChars="200"/>
      <w:jc w:val="left"/>
    </w:pPr>
    <w:rPr>
      <w:sz w:val="28"/>
      <w:szCs w:val="20"/>
      <w:lang w:eastAsia="zh-TW"/>
    </w:rPr>
  </w:style>
  <w:style w:type="paragraph" w:customStyle="1" w:styleId="275">
    <w:name w:val="Char1 Char Char Char3"/>
    <w:basedOn w:val="1"/>
    <w:qFormat/>
    <w:uiPriority w:val="0"/>
    <w:pPr>
      <w:adjustRightInd/>
      <w:ind w:firstLine="200" w:firstLineChars="200"/>
    </w:pPr>
    <w:rPr>
      <w:rFonts w:ascii="Tahoma" w:hAnsi="Tahoma"/>
      <w:sz w:val="24"/>
      <w:szCs w:val="20"/>
    </w:rPr>
  </w:style>
  <w:style w:type="paragraph" w:customStyle="1" w:styleId="276">
    <w:name w:val="_Style 271"/>
    <w:basedOn w:val="3"/>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77">
    <w:name w:val="Char Char Char Char Char Char Char Char Char Char Char Char1 Char1"/>
    <w:basedOn w:val="1"/>
    <w:qFormat/>
    <w:uiPriority w:val="0"/>
    <w:rPr>
      <w:rFonts w:ascii="Tahoma" w:hAnsi="Tahoma" w:cs="仿宋_GB2312"/>
      <w:sz w:val="24"/>
      <w:szCs w:val="20"/>
    </w:rPr>
  </w:style>
  <w:style w:type="paragraph" w:customStyle="1" w:styleId="278">
    <w:name w:val="Char Char1 Char1"/>
    <w:basedOn w:val="1"/>
    <w:qFormat/>
    <w:uiPriority w:val="0"/>
    <w:rPr>
      <w:rFonts w:ascii="仿宋_GB2312" w:eastAsia="仿宋_GB2312"/>
      <w:b/>
      <w:sz w:val="32"/>
      <w:szCs w:val="32"/>
    </w:rPr>
  </w:style>
  <w:style w:type="paragraph" w:customStyle="1" w:styleId="279">
    <w:name w:val="List Paragraph11"/>
    <w:basedOn w:val="1"/>
    <w:qFormat/>
    <w:uiPriority w:val="0"/>
    <w:pPr>
      <w:adjustRightInd/>
      <w:spacing w:line="360" w:lineRule="auto"/>
      <w:ind w:firstLine="420" w:firstLineChars="200"/>
    </w:pPr>
    <w:rPr>
      <w:rFonts w:ascii="Calibri" w:hAnsi="Calibri"/>
      <w:sz w:val="24"/>
      <w:szCs w:val="22"/>
    </w:rPr>
  </w:style>
  <w:style w:type="paragraph" w:customStyle="1" w:styleId="280">
    <w:name w:val="插图题注"/>
    <w:next w:val="1"/>
    <w:qFormat/>
    <w:uiPriority w:val="0"/>
    <w:pPr>
      <w:numPr>
        <w:ilvl w:val="7"/>
        <w:numId w:val="4"/>
      </w:numPr>
      <w:spacing w:after="312" w:afterLines="100"/>
      <w:ind w:left="1089" w:hanging="369"/>
      <w:jc w:val="center"/>
    </w:pPr>
    <w:rPr>
      <w:rFonts w:ascii="Arial" w:hAnsi="Arial" w:eastAsia="宋体" w:cs="Times New Roman"/>
      <w:sz w:val="18"/>
      <w:szCs w:val="18"/>
      <w:lang w:val="en-US" w:eastAsia="zh-CN" w:bidi="ar-SA"/>
    </w:rPr>
  </w:style>
  <w:style w:type="paragraph" w:customStyle="1" w:styleId="281">
    <w:name w:val="Bulleting First Indent 1"/>
    <w:basedOn w:val="60"/>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82">
    <w:name w:val="Char Char1"/>
    <w:basedOn w:val="1"/>
    <w:qFormat/>
    <w:uiPriority w:val="0"/>
    <w:pPr>
      <w:widowControl/>
      <w:spacing w:after="160" w:line="240" w:lineRule="exact"/>
      <w:jc w:val="left"/>
    </w:pPr>
    <w:rPr>
      <w:rFonts w:eastAsia="仿宋_GB2312"/>
      <w:sz w:val="28"/>
    </w:rPr>
  </w:style>
  <w:style w:type="paragraph" w:customStyle="1" w:styleId="283">
    <w:name w:val="单元格居中"/>
    <w:basedOn w:val="1"/>
    <w:qFormat/>
    <w:uiPriority w:val="0"/>
    <w:pPr>
      <w:adjustRightInd/>
      <w:spacing w:line="360" w:lineRule="auto"/>
      <w:jc w:val="center"/>
    </w:pPr>
    <w:rPr>
      <w:sz w:val="24"/>
    </w:rPr>
  </w:style>
  <w:style w:type="paragraph" w:customStyle="1" w:styleId="284">
    <w:name w:val="正文缩进1"/>
    <w:basedOn w:val="1"/>
    <w:next w:val="21"/>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85">
    <w:name w:val="样式 标题 1Level 1 HeadPIM 1Section Headh1l11Heading 0Datash..."/>
    <w:basedOn w:val="3"/>
    <w:qFormat/>
    <w:uiPriority w:val="0"/>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86">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287">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88">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289">
    <w:name w:val="MM Empty"/>
    <w:basedOn w:val="1"/>
    <w:qFormat/>
    <w:uiPriority w:val="0"/>
    <w:pPr>
      <w:adjustRightInd/>
    </w:pPr>
  </w:style>
  <w:style w:type="paragraph" w:customStyle="1" w:styleId="290">
    <w:name w:val="文档正文"/>
    <w:basedOn w:val="1"/>
    <w:qFormat/>
    <w:uiPriority w:val="0"/>
    <w:pPr>
      <w:spacing w:line="480" w:lineRule="atLeast"/>
      <w:ind w:firstLine="567"/>
      <w:textAlignment w:val="baseline"/>
    </w:pPr>
    <w:rPr>
      <w:kern w:val="0"/>
      <w:sz w:val="24"/>
      <w:szCs w:val="20"/>
    </w:rPr>
  </w:style>
  <w:style w:type="paragraph" w:customStyle="1" w:styleId="291">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92">
    <w:name w:val="Char Char1 Char Char1 Char Char1"/>
    <w:basedOn w:val="1"/>
    <w:qFormat/>
    <w:uiPriority w:val="0"/>
    <w:pPr>
      <w:tabs>
        <w:tab w:val="left" w:pos="840"/>
      </w:tabs>
      <w:ind w:left="840" w:hanging="420"/>
    </w:pPr>
    <w:rPr>
      <w:rFonts w:ascii="Tahoma" w:hAnsi="Tahoma"/>
      <w:sz w:val="24"/>
    </w:rPr>
  </w:style>
  <w:style w:type="paragraph" w:customStyle="1" w:styleId="293">
    <w:name w:val="样式 标题 2H2h2Underrubrik1prop2l2Chapter Titlesect 1.2DO NO..."/>
    <w:basedOn w:val="4"/>
    <w:qFormat/>
    <w:uiPriority w:val="0"/>
    <w:pPr>
      <w:numPr>
        <w:numId w:val="0"/>
      </w:numPr>
      <w:spacing w:before="120" w:after="120"/>
      <w:ind w:left="425" w:hanging="425"/>
    </w:pPr>
    <w:rPr>
      <w:rFonts w:ascii="微软雅黑" w:hAnsi="微软雅黑" w:eastAsia="微软雅黑" w:cs="宋体"/>
      <w:szCs w:val="20"/>
      <w:lang w:val="en-US"/>
    </w:rPr>
  </w:style>
  <w:style w:type="paragraph" w:customStyle="1" w:styleId="294">
    <w:name w:val="Char Char Char Char Char Char Char Char Char Char1"/>
    <w:basedOn w:val="1"/>
    <w:qFormat/>
    <w:uiPriority w:val="0"/>
    <w:rPr>
      <w:rFonts w:ascii="仿宋_GB2312" w:eastAsia="仿宋_GB2312"/>
      <w:b/>
      <w:sz w:val="32"/>
      <w:szCs w:val="32"/>
    </w:rPr>
  </w:style>
  <w:style w:type="paragraph" w:customStyle="1" w:styleId="295">
    <w:name w:val="gf正文1"/>
    <w:basedOn w:val="1"/>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296">
    <w:name w:val="默认段落字体 Para Char Char Char1 Char"/>
    <w:basedOn w:val="1"/>
    <w:qFormat/>
    <w:uiPriority w:val="0"/>
    <w:pPr>
      <w:spacing w:line="240" w:lineRule="atLeast"/>
      <w:ind w:left="420" w:firstLine="420"/>
    </w:pPr>
    <w:rPr>
      <w:sz w:val="24"/>
    </w:rPr>
  </w:style>
  <w:style w:type="paragraph" w:customStyle="1" w:styleId="297">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8">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99">
    <w:name w:val="Char1 Char Char Char5"/>
    <w:basedOn w:val="1"/>
    <w:qFormat/>
    <w:uiPriority w:val="0"/>
    <w:pPr>
      <w:adjustRightInd/>
      <w:ind w:firstLine="200" w:firstLineChars="200"/>
    </w:pPr>
    <w:rPr>
      <w:rFonts w:ascii="Tahoma" w:hAnsi="Tahoma"/>
      <w:sz w:val="24"/>
      <w:szCs w:val="20"/>
    </w:rPr>
  </w:style>
  <w:style w:type="paragraph" w:customStyle="1" w:styleId="300">
    <w:name w:val="Char Char Char Char Char Char Char1"/>
    <w:basedOn w:val="1"/>
    <w:qFormat/>
    <w:uiPriority w:val="0"/>
    <w:rPr>
      <w:rFonts w:ascii="仿宋_GB2312" w:eastAsia="仿宋_GB2312"/>
      <w:b/>
      <w:sz w:val="32"/>
      <w:szCs w:val="32"/>
    </w:rPr>
  </w:style>
  <w:style w:type="paragraph" w:customStyle="1" w:styleId="301">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302">
    <w:name w:val="正文表标题"/>
    <w:next w:val="141"/>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03">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304">
    <w:name w:val="四号　首行缩进"/>
    <w:basedOn w:val="1"/>
    <w:qFormat/>
    <w:uiPriority w:val="0"/>
    <w:pPr>
      <w:adjustRightInd/>
      <w:spacing w:line="360" w:lineRule="auto"/>
    </w:pPr>
    <w:rPr>
      <w:rFonts w:ascii="宋体" w:hAnsi="宋体"/>
      <w:szCs w:val="20"/>
    </w:rPr>
  </w:style>
  <w:style w:type="paragraph" w:customStyle="1" w:styleId="305">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306">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07">
    <w:name w:val="首行缩进"/>
    <w:basedOn w:val="1"/>
    <w:qFormat/>
    <w:uiPriority w:val="0"/>
    <w:pPr>
      <w:spacing w:line="360" w:lineRule="auto"/>
      <w:ind w:firstLine="480" w:firstLineChars="200"/>
    </w:pPr>
    <w:rPr>
      <w:rFonts w:ascii="宋体"/>
      <w:sz w:val="24"/>
      <w:szCs w:val="20"/>
    </w:rPr>
  </w:style>
  <w:style w:type="paragraph" w:customStyle="1" w:styleId="308">
    <w:name w:val="Char1 Char Char Char1"/>
    <w:basedOn w:val="1"/>
    <w:qFormat/>
    <w:uiPriority w:val="0"/>
    <w:pPr>
      <w:adjustRightInd/>
      <w:ind w:firstLine="200" w:firstLineChars="200"/>
    </w:pPr>
    <w:rPr>
      <w:rFonts w:ascii="Tahoma" w:hAnsi="Tahoma"/>
      <w:sz w:val="24"/>
      <w:szCs w:val="20"/>
    </w:rPr>
  </w:style>
  <w:style w:type="paragraph" w:customStyle="1" w:styleId="309">
    <w:name w:val="MM Topic 2"/>
    <w:basedOn w:val="4"/>
    <w:qFormat/>
    <w:uiPriority w:val="0"/>
    <w:pPr>
      <w:numPr>
        <w:numId w:val="0"/>
      </w:numPr>
      <w:tabs>
        <w:tab w:val="left" w:pos="860"/>
        <w:tab w:val="left" w:pos="1260"/>
      </w:tabs>
      <w:ind w:left="1260" w:hanging="420"/>
    </w:pPr>
    <w:rPr>
      <w:rFonts w:ascii="Arial" w:hAnsi="Arial" w:eastAsia="黑体"/>
      <w:lang w:val="en-US"/>
    </w:rPr>
  </w:style>
  <w:style w:type="paragraph" w:customStyle="1" w:styleId="310">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11">
    <w:name w:val="样式 样式2 + 左侧:  1 字符 右侧:  1 字符"/>
    <w:basedOn w:val="79"/>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12">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313">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4">
    <w:name w:val="哈哈正文"/>
    <w:basedOn w:val="1"/>
    <w:link w:val="498"/>
    <w:qFormat/>
    <w:uiPriority w:val="0"/>
    <w:pPr>
      <w:adjustRightInd/>
      <w:spacing w:line="360" w:lineRule="auto"/>
      <w:ind w:firstLine="200" w:firstLineChars="200"/>
    </w:pPr>
    <w:rPr>
      <w:rFonts w:ascii="宋体" w:hAnsi="宋体"/>
      <w:sz w:val="24"/>
      <w:szCs w:val="20"/>
    </w:rPr>
  </w:style>
  <w:style w:type="paragraph" w:customStyle="1" w:styleId="315">
    <w:name w:val="List Paragraph1"/>
    <w:basedOn w:val="1"/>
    <w:qFormat/>
    <w:uiPriority w:val="34"/>
    <w:pPr>
      <w:spacing w:line="360" w:lineRule="auto"/>
      <w:ind w:firstLine="200" w:firstLineChars="200"/>
    </w:pPr>
    <w:rPr>
      <w:rFonts w:eastAsia="楷体_GB2312" w:cs="Lucida Sans"/>
      <w:sz w:val="24"/>
    </w:rPr>
  </w:style>
  <w:style w:type="paragraph" w:customStyle="1" w:styleId="316">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317">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318">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319">
    <w:name w:val="Char Char11 Char Char Char Char Char Char Char Char Char1"/>
    <w:basedOn w:val="1"/>
    <w:qFormat/>
    <w:uiPriority w:val="0"/>
    <w:pPr>
      <w:spacing w:line="360" w:lineRule="auto"/>
    </w:pPr>
    <w:rPr>
      <w:szCs w:val="20"/>
    </w:rPr>
  </w:style>
  <w:style w:type="paragraph" w:customStyle="1" w:styleId="320">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1">
    <w:name w:val="正文 项目2"/>
    <w:basedOn w:val="322"/>
    <w:qFormat/>
    <w:uiPriority w:val="0"/>
    <w:pPr>
      <w:numPr>
        <w:ilvl w:val="0"/>
        <w:numId w:val="6"/>
      </w:numPr>
      <w:tabs>
        <w:tab w:val="left" w:pos="840"/>
      </w:tabs>
      <w:spacing w:after="0"/>
    </w:pPr>
  </w:style>
  <w:style w:type="paragraph" w:customStyle="1" w:styleId="322">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3">
    <w:name w:val="Char Char Char1 Char1"/>
    <w:basedOn w:val="1"/>
    <w:qFormat/>
    <w:uiPriority w:val="0"/>
    <w:rPr>
      <w:szCs w:val="20"/>
    </w:rPr>
  </w:style>
  <w:style w:type="paragraph" w:customStyle="1" w:styleId="324">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325">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326">
    <w:name w:val="封面"/>
    <w:basedOn w:val="1"/>
    <w:qFormat/>
    <w:uiPriority w:val="0"/>
    <w:pPr>
      <w:spacing w:line="360" w:lineRule="atLeast"/>
      <w:jc w:val="right"/>
      <w:textAlignment w:val="baseline"/>
    </w:pPr>
    <w:rPr>
      <w:rFonts w:ascii="Symbol" w:hAnsi="Symbol"/>
      <w:kern w:val="0"/>
      <w:szCs w:val="20"/>
    </w:rPr>
  </w:style>
  <w:style w:type="paragraph" w:customStyle="1" w:styleId="327">
    <w:name w:val="正文（缩进2汉字）"/>
    <w:basedOn w:val="1"/>
    <w:link w:val="587"/>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328">
    <w:name w:val="数字标题3"/>
    <w:basedOn w:val="5"/>
    <w:next w:val="1"/>
    <w:qFormat/>
    <w:uiPriority w:val="0"/>
    <w:pPr>
      <w:numPr>
        <w:numId w:val="0"/>
      </w:numPr>
      <w:spacing w:line="240" w:lineRule="auto"/>
    </w:pPr>
    <w:rPr>
      <w:sz w:val="28"/>
      <w:szCs w:val="28"/>
    </w:rPr>
  </w:style>
  <w:style w:type="paragraph" w:customStyle="1" w:styleId="329">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30">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331">
    <w:name w:val="正文（首行缩进2字符）"/>
    <w:basedOn w:val="1"/>
    <w:qFormat/>
    <w:uiPriority w:val="0"/>
    <w:pPr>
      <w:adjustRightInd/>
      <w:spacing w:line="360" w:lineRule="auto"/>
      <w:ind w:firstLine="480" w:firstLineChars="200"/>
    </w:pPr>
    <w:rPr>
      <w:sz w:val="24"/>
      <w:szCs w:val="20"/>
    </w:rPr>
  </w:style>
  <w:style w:type="paragraph" w:customStyle="1" w:styleId="332">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3">
    <w:name w:val="正文段"/>
    <w:basedOn w:val="1"/>
    <w:qFormat/>
    <w:uiPriority w:val="0"/>
    <w:pPr>
      <w:widowControl/>
      <w:snapToGrid w:val="0"/>
      <w:spacing w:after="156" w:afterLines="50"/>
      <w:ind w:firstLine="200" w:firstLineChars="200"/>
    </w:pPr>
    <w:rPr>
      <w:kern w:val="0"/>
      <w:sz w:val="24"/>
      <w:szCs w:val="20"/>
    </w:rPr>
  </w:style>
  <w:style w:type="paragraph" w:customStyle="1" w:styleId="334">
    <w:name w:val="Test2"/>
    <w:basedOn w:val="4"/>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35">
    <w:name w:val="数字标题2"/>
    <w:basedOn w:val="4"/>
    <w:next w:val="1"/>
    <w:qFormat/>
    <w:uiPriority w:val="0"/>
    <w:pPr>
      <w:numPr>
        <w:ilvl w:val="1"/>
        <w:numId w:val="5"/>
      </w:numPr>
    </w:pPr>
    <w:rPr>
      <w:rFonts w:ascii="Times New Roman" w:eastAsia="宋体"/>
      <w:i/>
      <w:sz w:val="36"/>
      <w:szCs w:val="36"/>
      <w:lang w:val="en-US"/>
    </w:rPr>
  </w:style>
  <w:style w:type="paragraph" w:customStyle="1" w:styleId="336">
    <w:name w:val="彩色列表 - 强调文字颜色 11"/>
    <w:basedOn w:val="1"/>
    <w:qFormat/>
    <w:uiPriority w:val="0"/>
    <w:pPr>
      <w:adjustRightInd/>
      <w:ind w:firstLine="420" w:firstLineChars="200"/>
    </w:pPr>
    <w:rPr>
      <w:rFonts w:ascii="Calibri" w:hAnsi="Calibri"/>
      <w:szCs w:val="22"/>
    </w:rPr>
  </w:style>
  <w:style w:type="paragraph" w:customStyle="1" w:styleId="337">
    <w:name w:val="数字标题4"/>
    <w:basedOn w:val="6"/>
    <w:qFormat/>
    <w:uiPriority w:val="0"/>
    <w:pPr>
      <w:numPr>
        <w:numId w:val="0"/>
      </w:numPr>
      <w:tabs>
        <w:tab w:val="left" w:pos="0"/>
      </w:tabs>
      <w:spacing w:before="0" w:after="0" w:line="360" w:lineRule="auto"/>
      <w:ind w:left="1"/>
    </w:pPr>
    <w:rPr>
      <w:rFonts w:eastAsia="仿宋_GB2312" w:cs="Arial"/>
      <w:b w:val="0"/>
      <w:bCs w:val="0"/>
      <w:color w:val="000000"/>
      <w:kern w:val="0"/>
      <w:sz w:val="24"/>
      <w:szCs w:val="24"/>
      <w:lang w:val="en-US"/>
    </w:rPr>
  </w:style>
  <w:style w:type="paragraph" w:customStyle="1" w:styleId="338">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339">
    <w:name w:val="样式1 + (中宋体"/>
    <w:basedOn w:val="75"/>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340">
    <w:name w:val="仿宋正文"/>
    <w:basedOn w:val="1"/>
    <w:link w:val="463"/>
    <w:qFormat/>
    <w:uiPriority w:val="0"/>
    <w:pPr>
      <w:adjustRightInd/>
      <w:spacing w:line="360" w:lineRule="auto"/>
      <w:ind w:firstLine="480" w:firstLineChars="200"/>
    </w:pPr>
    <w:rPr>
      <w:rFonts w:ascii="仿宋_GB2312" w:eastAsia="仿宋_GB2312"/>
      <w:sz w:val="24"/>
      <w:szCs w:val="20"/>
    </w:rPr>
  </w:style>
  <w:style w:type="paragraph" w:customStyle="1" w:styleId="341">
    <w:name w:val="正文（标题三）"/>
    <w:basedOn w:val="1"/>
    <w:qFormat/>
    <w:uiPriority w:val="0"/>
    <w:pPr>
      <w:spacing w:line="360" w:lineRule="auto"/>
      <w:ind w:firstLine="200" w:firstLineChars="200"/>
    </w:pPr>
    <w:rPr>
      <w:sz w:val="24"/>
    </w:rPr>
  </w:style>
  <w:style w:type="paragraph" w:customStyle="1" w:styleId="342">
    <w:name w:val="MM Topic 3"/>
    <w:basedOn w:val="5"/>
    <w:qFormat/>
    <w:uiPriority w:val="0"/>
    <w:pPr>
      <w:numPr>
        <w:numId w:val="4"/>
      </w:numPr>
      <w:tabs>
        <w:tab w:val="left" w:pos="840"/>
        <w:tab w:val="left" w:pos="1680"/>
      </w:tabs>
      <w:adjustRightInd/>
    </w:pPr>
  </w:style>
  <w:style w:type="paragraph" w:customStyle="1" w:styleId="343">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344">
    <w:name w:val="图中文字"/>
    <w:basedOn w:val="1"/>
    <w:qFormat/>
    <w:uiPriority w:val="0"/>
    <w:pPr>
      <w:snapToGrid w:val="0"/>
      <w:spacing w:line="0" w:lineRule="atLeast"/>
      <w:ind w:firstLine="200" w:firstLineChars="200"/>
      <w:jc w:val="center"/>
    </w:pPr>
    <w:rPr>
      <w:sz w:val="24"/>
      <w:szCs w:val="20"/>
    </w:rPr>
  </w:style>
  <w:style w:type="paragraph" w:customStyle="1" w:styleId="345">
    <w:name w:val="正文－恩普"/>
    <w:basedOn w:val="16"/>
    <w:qFormat/>
    <w:uiPriority w:val="0"/>
    <w:pPr>
      <w:adjustRightInd/>
      <w:snapToGrid/>
      <w:spacing w:before="100" w:beforeAutospacing="1" w:after="100" w:afterLines="50" w:afterAutospacing="1" w:line="360" w:lineRule="auto"/>
      <w:ind w:firstLine="480" w:firstLineChars="200"/>
      <w:jc w:val="left"/>
    </w:pPr>
    <w:rPr>
      <w:rFonts w:ascii="Times New Roman"/>
      <w:color w:val="auto"/>
      <w:kern w:val="0"/>
      <w:sz w:val="24"/>
    </w:rPr>
  </w:style>
  <w:style w:type="paragraph" w:customStyle="1" w:styleId="346">
    <w:name w:val="Char21"/>
    <w:basedOn w:val="1"/>
    <w:qFormat/>
    <w:uiPriority w:val="0"/>
    <w:pPr>
      <w:adjustRightInd/>
      <w:ind w:firstLine="200" w:firstLineChars="200"/>
    </w:pPr>
    <w:rPr>
      <w:rFonts w:ascii="仿宋_GB2312" w:eastAsia="仿宋_GB2312"/>
      <w:b/>
      <w:sz w:val="32"/>
      <w:szCs w:val="32"/>
    </w:rPr>
  </w:style>
  <w:style w:type="paragraph" w:customStyle="1" w:styleId="347">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48">
    <w:name w:val="标题4-dyf"/>
    <w:basedOn w:val="6"/>
    <w:link w:val="553"/>
    <w:qFormat/>
    <w:uiPriority w:val="0"/>
    <w:pPr>
      <w:numPr>
        <w:numId w:val="0"/>
      </w:numPr>
      <w:tabs>
        <w:tab w:val="left" w:pos="851"/>
      </w:tabs>
      <w:adjustRightInd/>
      <w:spacing w:line="376" w:lineRule="atLeast"/>
      <w:ind w:left="851" w:hanging="851"/>
    </w:pPr>
    <w:rPr>
      <w:rFonts w:ascii="Cambria" w:hAnsi="Cambria" w:eastAsia="宋体"/>
      <w:color w:val="000000"/>
      <w:sz w:val="21"/>
      <w:szCs w:val="21"/>
    </w:rPr>
  </w:style>
  <w:style w:type="paragraph" w:customStyle="1" w:styleId="349">
    <w:name w:val="Char1 Char Char Char4"/>
    <w:basedOn w:val="1"/>
    <w:qFormat/>
    <w:uiPriority w:val="0"/>
    <w:pPr>
      <w:adjustRightInd/>
      <w:ind w:firstLine="200" w:firstLineChars="200"/>
    </w:pPr>
    <w:rPr>
      <w:rFonts w:ascii="Tahoma" w:hAnsi="Tahoma"/>
      <w:sz w:val="24"/>
      <w:szCs w:val="20"/>
    </w:rPr>
  </w:style>
  <w:style w:type="paragraph" w:customStyle="1" w:styleId="350">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351">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352">
    <w:name w:val="Char23"/>
    <w:basedOn w:val="1"/>
    <w:qFormat/>
    <w:uiPriority w:val="0"/>
    <w:rPr>
      <w:rFonts w:ascii="仿宋_GB2312" w:eastAsia="仿宋_GB2312"/>
      <w:b/>
      <w:sz w:val="32"/>
      <w:szCs w:val="32"/>
    </w:rPr>
  </w:style>
  <w:style w:type="paragraph" w:customStyle="1" w:styleId="35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54">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55">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56">
    <w:name w:val="此正文"/>
    <w:basedOn w:val="1"/>
    <w:link w:val="441"/>
    <w:qFormat/>
    <w:uiPriority w:val="0"/>
    <w:pPr>
      <w:adjustRightInd/>
      <w:spacing w:line="360" w:lineRule="auto"/>
      <w:ind w:firstLine="200" w:firstLineChars="200"/>
    </w:pPr>
    <w:rPr>
      <w:sz w:val="24"/>
    </w:rPr>
  </w:style>
  <w:style w:type="paragraph" w:customStyle="1" w:styleId="357">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8">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359">
    <w:name w:val="Char3 Char Char Char"/>
    <w:basedOn w:val="1"/>
    <w:qFormat/>
    <w:uiPriority w:val="0"/>
    <w:pPr>
      <w:widowControl/>
      <w:adjustRightInd/>
      <w:spacing w:after="160" w:line="240" w:lineRule="exact"/>
      <w:jc w:val="left"/>
    </w:pPr>
    <w:rPr>
      <w:szCs w:val="20"/>
    </w:rPr>
  </w:style>
  <w:style w:type="paragraph" w:customStyle="1" w:styleId="360">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61">
    <w:name w:val="Normal0"/>
    <w:qFormat/>
    <w:uiPriority w:val="0"/>
    <w:rPr>
      <w:rFonts w:ascii="Times New Roman" w:hAnsi="Times New Roman" w:eastAsia="宋体" w:cs="Times New Roman"/>
      <w:lang w:val="en-US" w:eastAsia="en-US" w:bidi="ar-SA"/>
    </w:rPr>
  </w:style>
  <w:style w:type="paragraph" w:customStyle="1" w:styleId="362">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63">
    <w:name w:val="a1"/>
    <w:basedOn w:val="1"/>
    <w:qFormat/>
    <w:uiPriority w:val="0"/>
    <w:pPr>
      <w:widowControl/>
      <w:spacing w:line="300" w:lineRule="atLeast"/>
      <w:jc w:val="left"/>
    </w:pPr>
    <w:rPr>
      <w:rFonts w:ascii="宋体" w:hAnsi="宋体"/>
      <w:kern w:val="0"/>
      <w:sz w:val="18"/>
      <w:szCs w:val="20"/>
    </w:rPr>
  </w:style>
  <w:style w:type="paragraph" w:customStyle="1" w:styleId="364">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365">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366">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67">
    <w:name w:val="Thf"/>
    <w:basedOn w:val="94"/>
    <w:qFormat/>
    <w:uiPriority w:val="0"/>
    <w:pPr>
      <w:ind w:left="0"/>
    </w:pPr>
  </w:style>
  <w:style w:type="paragraph" w:customStyle="1" w:styleId="368">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69">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370">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71">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72">
    <w:name w:val="_Style 12"/>
    <w:basedOn w:val="19"/>
    <w:qFormat/>
    <w:uiPriority w:val="0"/>
    <w:pPr>
      <w:snapToGrid w:val="0"/>
      <w:spacing w:line="360" w:lineRule="auto"/>
    </w:pPr>
  </w:style>
  <w:style w:type="paragraph" w:customStyle="1" w:styleId="373">
    <w:name w:val="表格题注"/>
    <w:next w:val="1"/>
    <w:qFormat/>
    <w:uiPriority w:val="0"/>
    <w:pPr>
      <w:keepLines/>
      <w:numPr>
        <w:ilvl w:val="8"/>
        <w:numId w:val="4"/>
      </w:numPr>
      <w:spacing w:before="312" w:beforeLines="100"/>
      <w:ind w:left="1089" w:hanging="369"/>
      <w:jc w:val="center"/>
    </w:pPr>
    <w:rPr>
      <w:rFonts w:ascii="Arial" w:hAnsi="Arial" w:eastAsia="宋体" w:cs="Times New Roman"/>
      <w:sz w:val="18"/>
      <w:szCs w:val="18"/>
      <w:lang w:val="en-US" w:eastAsia="zh-CN" w:bidi="ar-SA"/>
    </w:rPr>
  </w:style>
  <w:style w:type="paragraph" w:customStyle="1" w:styleId="374">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375">
    <w:name w:val="标书标题2"/>
    <w:basedOn w:val="4"/>
    <w:qFormat/>
    <w:uiPriority w:val="0"/>
    <w:pPr>
      <w:keepLines w:val="0"/>
      <w:widowControl/>
      <w:numPr>
        <w:numId w:val="0"/>
      </w:numPr>
      <w:tabs>
        <w:tab w:val="left" w:pos="840"/>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376">
    <w:name w:val="Char Char"/>
    <w:basedOn w:val="1"/>
    <w:qFormat/>
    <w:uiPriority w:val="0"/>
    <w:pPr>
      <w:spacing w:line="360" w:lineRule="auto"/>
    </w:pPr>
    <w:rPr>
      <w:rFonts w:ascii="Tahoma" w:hAnsi="Tahoma"/>
      <w:sz w:val="24"/>
      <w:szCs w:val="20"/>
    </w:rPr>
  </w:style>
  <w:style w:type="paragraph" w:customStyle="1" w:styleId="377">
    <w:name w:val="列出段落1"/>
    <w:basedOn w:val="1"/>
    <w:qFormat/>
    <w:uiPriority w:val="34"/>
    <w:pPr>
      <w:adjustRightInd/>
      <w:spacing w:line="360" w:lineRule="auto"/>
      <w:ind w:firstLine="420" w:firstLineChars="200"/>
    </w:pPr>
    <w:rPr>
      <w:rFonts w:ascii="Calibri" w:hAnsi="Calibri"/>
      <w:sz w:val="24"/>
      <w:szCs w:val="22"/>
    </w:rPr>
  </w:style>
  <w:style w:type="paragraph" w:customStyle="1" w:styleId="378">
    <w:name w:val="样式 标题 1 + 黑色 段前: 0.5 行 段后: 0.5 行1"/>
    <w:basedOn w:val="3"/>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79">
    <w:name w:val="彩色列表 - 强调文字颜色 12"/>
    <w:basedOn w:val="1"/>
    <w:qFormat/>
    <w:uiPriority w:val="0"/>
    <w:pPr>
      <w:adjustRightInd/>
      <w:ind w:firstLine="420" w:firstLineChars="200"/>
    </w:pPr>
    <w:rPr>
      <w:rFonts w:ascii="Calibri" w:hAnsi="Calibri"/>
      <w:szCs w:val="22"/>
    </w:rPr>
  </w:style>
  <w:style w:type="paragraph" w:customStyle="1" w:styleId="380">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381">
    <w:name w:val="Char19"/>
    <w:basedOn w:val="1"/>
    <w:qFormat/>
    <w:uiPriority w:val="0"/>
    <w:pPr>
      <w:adjustRightInd/>
    </w:pPr>
    <w:rPr>
      <w:szCs w:val="20"/>
    </w:rPr>
  </w:style>
  <w:style w:type="paragraph" w:customStyle="1" w:styleId="382">
    <w:name w:val="CSS1级正文 Char"/>
    <w:basedOn w:val="24"/>
    <w:qFormat/>
    <w:uiPriority w:val="0"/>
    <w:pPr>
      <w:autoSpaceDE/>
      <w:autoSpaceDN/>
      <w:snapToGrid w:val="0"/>
      <w:ind w:firstLine="480" w:firstLineChars="200"/>
    </w:pPr>
    <w:rPr>
      <w:rFonts w:ascii="Times New Roman"/>
      <w:szCs w:val="24"/>
      <w:lang w:val="en-US"/>
    </w:rPr>
  </w:style>
  <w:style w:type="paragraph" w:customStyle="1" w:styleId="383">
    <w:name w:val="正文（首行缩进）"/>
    <w:basedOn w:val="21"/>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384">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385">
    <w:name w:val="表格（小）"/>
    <w:basedOn w:val="1"/>
    <w:qFormat/>
    <w:uiPriority w:val="0"/>
    <w:pPr>
      <w:adjustRightInd/>
      <w:snapToGrid w:val="0"/>
      <w:spacing w:line="300" w:lineRule="auto"/>
    </w:pPr>
    <w:rPr>
      <w:rFonts w:eastAsia="仿宋"/>
      <w:szCs w:val="21"/>
    </w:rPr>
  </w:style>
  <w:style w:type="paragraph" w:customStyle="1" w:styleId="386">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7">
    <w:name w:val="Char3 Char Char1"/>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88">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89">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90">
    <w:name w:val="Char Char Char Char2"/>
    <w:basedOn w:val="1"/>
    <w:qFormat/>
    <w:uiPriority w:val="0"/>
    <w:rPr>
      <w:rFonts w:ascii="Tahoma" w:hAnsi="Tahoma"/>
      <w:sz w:val="24"/>
      <w:szCs w:val="20"/>
    </w:rPr>
  </w:style>
  <w:style w:type="paragraph" w:customStyle="1" w:styleId="391">
    <w:name w:val="p0"/>
    <w:basedOn w:val="1"/>
    <w:qFormat/>
    <w:uiPriority w:val="0"/>
    <w:pPr>
      <w:widowControl/>
      <w:adjustRightInd/>
    </w:pPr>
    <w:rPr>
      <w:kern w:val="0"/>
      <w:szCs w:val="21"/>
    </w:rPr>
  </w:style>
  <w:style w:type="paragraph" w:customStyle="1" w:styleId="392">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93">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394">
    <w:name w:val="默认段落样式"/>
    <w:basedOn w:val="395"/>
    <w:qFormat/>
    <w:uiPriority w:val="0"/>
    <w:pPr>
      <w:spacing w:before="0"/>
      <w:ind w:firstLine="480"/>
      <w:outlineLvl w:val="2"/>
    </w:pPr>
    <w:rPr>
      <w:rFonts w:ascii="仿宋_GB2312" w:hAnsi="宋体" w:eastAsia="仿宋_GB2312"/>
      <w:color w:val="000000"/>
      <w:szCs w:val="24"/>
    </w:rPr>
  </w:style>
  <w:style w:type="paragraph" w:customStyle="1" w:styleId="395">
    <w:name w:val="正文2"/>
    <w:basedOn w:val="1"/>
    <w:link w:val="448"/>
    <w:qFormat/>
    <w:uiPriority w:val="0"/>
    <w:pPr>
      <w:spacing w:before="156" w:line="360" w:lineRule="auto"/>
      <w:ind w:firstLine="510" w:firstLineChars="200"/>
    </w:pPr>
    <w:rPr>
      <w:sz w:val="24"/>
      <w:szCs w:val="20"/>
    </w:rPr>
  </w:style>
  <w:style w:type="paragraph" w:customStyle="1" w:styleId="396">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397">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398">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99">
    <w:name w:val="bullet"/>
    <w:basedOn w:val="1"/>
    <w:qFormat/>
    <w:uiPriority w:val="0"/>
    <w:pPr>
      <w:tabs>
        <w:tab w:val="left" w:pos="840"/>
      </w:tabs>
      <w:adjustRightInd/>
      <w:ind w:left="840" w:hanging="420"/>
    </w:pPr>
  </w:style>
  <w:style w:type="paragraph" w:customStyle="1" w:styleId="400">
    <w:name w:val="五级条标题"/>
    <w:basedOn w:val="173"/>
    <w:next w:val="141"/>
    <w:qFormat/>
    <w:uiPriority w:val="0"/>
    <w:pPr>
      <w:numPr>
        <w:ilvl w:val="6"/>
      </w:numPr>
      <w:tabs>
        <w:tab w:val="clear" w:pos="2940"/>
      </w:tabs>
      <w:outlineLvl w:val="6"/>
    </w:pPr>
  </w:style>
  <w:style w:type="paragraph" w:customStyle="1" w:styleId="401">
    <w:name w:val="Char Char Char Char Char Char Char Char"/>
    <w:basedOn w:val="1"/>
    <w:qFormat/>
    <w:uiPriority w:val="0"/>
    <w:pPr>
      <w:tabs>
        <w:tab w:val="left" w:pos="360"/>
      </w:tabs>
    </w:pPr>
    <w:rPr>
      <w:sz w:val="24"/>
      <w:szCs w:val="20"/>
    </w:rPr>
  </w:style>
  <w:style w:type="paragraph" w:customStyle="1" w:styleId="402">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403">
    <w:name w:val="数字标题5"/>
    <w:basedOn w:val="7"/>
    <w:next w:val="1"/>
    <w:qFormat/>
    <w:uiPriority w:val="0"/>
    <w:pPr>
      <w:numPr>
        <w:numId w:val="5"/>
      </w:numPr>
      <w:tabs>
        <w:tab w:val="left" w:pos="480"/>
        <w:tab w:val="left" w:pos="1080"/>
      </w:tabs>
    </w:pPr>
  </w:style>
  <w:style w:type="paragraph" w:customStyle="1" w:styleId="404">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405">
    <w:name w:val="公文正文"/>
    <w:basedOn w:val="1"/>
    <w:qFormat/>
    <w:uiPriority w:val="0"/>
    <w:pPr>
      <w:adjustRightInd/>
      <w:spacing w:before="156" w:line="360" w:lineRule="auto"/>
      <w:ind w:firstLine="360" w:firstLineChars="200"/>
    </w:pPr>
    <w:rPr>
      <w:rFonts w:ascii="仿宋_GB2312" w:eastAsia="仿宋_GB2312"/>
      <w:sz w:val="24"/>
    </w:rPr>
  </w:style>
  <w:style w:type="paragraph" w:customStyle="1" w:styleId="406">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407">
    <w:name w:val="表格文字"/>
    <w:basedOn w:val="21"/>
    <w:qFormat/>
    <w:uiPriority w:val="0"/>
    <w:pPr>
      <w:adjustRightInd/>
      <w:ind w:firstLine="200" w:firstLineChars="200"/>
    </w:pPr>
    <w:rPr>
      <w:rFonts w:ascii="Arial" w:hAnsi="Arial"/>
      <w:spacing w:val="-5"/>
      <w:kern w:val="0"/>
      <w:sz w:val="24"/>
      <w:szCs w:val="20"/>
    </w:rPr>
  </w:style>
  <w:style w:type="paragraph" w:customStyle="1" w:styleId="408">
    <w:name w:val="0"/>
    <w:basedOn w:val="1"/>
    <w:qFormat/>
    <w:uiPriority w:val="0"/>
    <w:pPr>
      <w:widowControl/>
    </w:pPr>
    <w:rPr>
      <w:kern w:val="0"/>
      <w:sz w:val="24"/>
      <w:szCs w:val="20"/>
    </w:rPr>
  </w:style>
  <w:style w:type="paragraph" w:customStyle="1" w:styleId="409">
    <w:name w:val="Char1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10">
    <w:name w:val="b11_01b"/>
    <w:basedOn w:val="1"/>
    <w:next w:val="1"/>
    <w:link w:val="552"/>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11">
    <w:name w:val="MM Topic 5"/>
    <w:basedOn w:val="7"/>
    <w:qFormat/>
    <w:uiPriority w:val="0"/>
    <w:pPr>
      <w:numPr>
        <w:numId w:val="4"/>
      </w:numPr>
      <w:tabs>
        <w:tab w:val="left" w:pos="840"/>
        <w:tab w:val="left" w:pos="2520"/>
      </w:tabs>
      <w:adjustRightInd/>
    </w:pPr>
  </w:style>
  <w:style w:type="paragraph" w:customStyle="1" w:styleId="412">
    <w:name w:val="样式 标题 3标题 3 Char第二层条h33Bold Headbh章标题1小标题level_3PIM 3..."/>
    <w:basedOn w:val="5"/>
    <w:qFormat/>
    <w:uiPriority w:val="0"/>
    <w:pPr>
      <w:numPr>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413">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414">
    <w:name w:val="数字标题1"/>
    <w:basedOn w:val="3"/>
    <w:next w:val="1"/>
    <w:qFormat/>
    <w:uiPriority w:val="0"/>
    <w:pPr>
      <w:numPr>
        <w:numId w:val="5"/>
      </w:numPr>
      <w:tabs>
        <w:tab w:val="left" w:pos="480"/>
      </w:tabs>
    </w:pPr>
  </w:style>
  <w:style w:type="paragraph" w:customStyle="1" w:styleId="415">
    <w:name w:val="Char1 Char Char Char6"/>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16">
    <w:name w:val="标书标题3"/>
    <w:basedOn w:val="5"/>
    <w:qFormat/>
    <w:uiPriority w:val="0"/>
    <w:pPr>
      <w:keepLines w:val="0"/>
      <w:widowControl/>
      <w:numPr>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17">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18">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9">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20">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421">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22">
    <w:name w:val="MM Topic 1"/>
    <w:basedOn w:val="3"/>
    <w:qFormat/>
    <w:uiPriority w:val="0"/>
    <w:pPr>
      <w:numPr>
        <w:numId w:val="0"/>
      </w:numPr>
      <w:tabs>
        <w:tab w:val="left" w:pos="840"/>
      </w:tabs>
      <w:adjustRightInd/>
      <w:ind w:left="840" w:hanging="420"/>
    </w:pPr>
  </w:style>
  <w:style w:type="paragraph" w:customStyle="1" w:styleId="423">
    <w:name w:val="Char Char Char Char Char Char Char Char1"/>
    <w:basedOn w:val="1"/>
    <w:qFormat/>
    <w:uiPriority w:val="0"/>
    <w:pPr>
      <w:tabs>
        <w:tab w:val="left" w:pos="360"/>
      </w:tabs>
    </w:pPr>
    <w:rPr>
      <w:sz w:val="24"/>
      <w:szCs w:val="20"/>
    </w:rPr>
  </w:style>
  <w:style w:type="paragraph" w:customStyle="1" w:styleId="424">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425">
    <w:name w:val="Char3 Char Char Char1"/>
    <w:basedOn w:val="1"/>
    <w:qFormat/>
    <w:uiPriority w:val="0"/>
    <w:pPr>
      <w:widowControl/>
      <w:adjustRightInd/>
      <w:spacing w:after="160" w:line="240" w:lineRule="exact"/>
      <w:jc w:val="left"/>
    </w:pPr>
    <w:rPr>
      <w:szCs w:val="20"/>
    </w:rPr>
  </w:style>
  <w:style w:type="paragraph" w:customStyle="1" w:styleId="426">
    <w:name w:val="Char Char12"/>
    <w:basedOn w:val="1"/>
    <w:qFormat/>
    <w:uiPriority w:val="0"/>
    <w:pPr>
      <w:widowControl/>
      <w:spacing w:after="160" w:line="240" w:lineRule="exact"/>
      <w:jc w:val="left"/>
    </w:pPr>
    <w:rPr>
      <w:rFonts w:eastAsia="仿宋_GB2312"/>
      <w:sz w:val="28"/>
    </w:rPr>
  </w:style>
  <w:style w:type="paragraph" w:customStyle="1" w:styleId="427">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428">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29">
    <w:name w:val="正文文本 21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0">
    <w:name w:val="单元格左对齐"/>
    <w:basedOn w:val="1"/>
    <w:qFormat/>
    <w:uiPriority w:val="0"/>
    <w:pPr>
      <w:adjustRightInd/>
      <w:spacing w:line="360" w:lineRule="auto"/>
    </w:pPr>
    <w:rPr>
      <w:sz w:val="24"/>
    </w:rPr>
  </w:style>
  <w:style w:type="paragraph" w:customStyle="1" w:styleId="431">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432">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3">
    <w:name w:val="正文文本 Char"/>
    <w:qFormat/>
    <w:uiPriority w:val="0"/>
    <w:rPr>
      <w:rFonts w:eastAsia="宋体"/>
      <w:kern w:val="2"/>
      <w:sz w:val="24"/>
      <w:szCs w:val="24"/>
      <w:lang w:val="en-US" w:eastAsia="zh-CN" w:bidi="ar-SA"/>
    </w:rPr>
  </w:style>
  <w:style w:type="character" w:customStyle="1" w:styleId="434">
    <w:name w:val="myp1111"/>
    <w:qFormat/>
    <w:uiPriority w:val="0"/>
    <w:rPr>
      <w:rFonts w:hint="default" w:ascii="ˎ̥" w:hAnsi="ˎ̥"/>
      <w:color w:val="000000"/>
      <w:sz w:val="20"/>
      <w:szCs w:val="20"/>
      <w:u w:val="none"/>
    </w:rPr>
  </w:style>
  <w:style w:type="character" w:customStyle="1" w:styleId="435">
    <w:name w:val="mdeck"/>
    <w:qFormat/>
    <w:uiPriority w:val="0"/>
    <w:rPr>
      <w:rFonts w:ascii="仿宋_GB2312" w:eastAsia="微软雅黑"/>
      <w:b/>
      <w:kern w:val="2"/>
      <w:sz w:val="32"/>
      <w:szCs w:val="32"/>
      <w:lang w:val="en-US" w:eastAsia="zh-CN" w:bidi="ar-SA"/>
    </w:rPr>
  </w:style>
  <w:style w:type="character" w:customStyle="1" w:styleId="436">
    <w:name w:val="签名 Char"/>
    <w:link w:val="41"/>
    <w:qFormat/>
    <w:uiPriority w:val="0"/>
    <w:rPr>
      <w:rFonts w:eastAsia="仿宋_GB2312"/>
      <w:sz w:val="24"/>
    </w:rPr>
  </w:style>
  <w:style w:type="character" w:customStyle="1" w:styleId="437">
    <w:name w:val="tw4winMark"/>
    <w:qFormat/>
    <w:uiPriority w:val="0"/>
    <w:rPr>
      <w:rFonts w:ascii="Courier New" w:hAnsi="Courier New" w:cs="Courier New"/>
      <w:vanish/>
      <w:color w:val="800080"/>
      <w:sz w:val="24"/>
      <w:szCs w:val="24"/>
      <w:vertAlign w:val="subscript"/>
    </w:rPr>
  </w:style>
  <w:style w:type="character" w:customStyle="1" w:styleId="438">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439">
    <w:name w:val="Balloon Text Char"/>
    <w:semiHidden/>
    <w:qFormat/>
    <w:locked/>
    <w:uiPriority w:val="0"/>
    <w:rPr>
      <w:rFonts w:eastAsia="宋体"/>
      <w:kern w:val="2"/>
      <w:sz w:val="18"/>
      <w:szCs w:val="18"/>
      <w:lang w:val="en-US" w:eastAsia="zh-CN" w:bidi="ar-SA"/>
    </w:rPr>
  </w:style>
  <w:style w:type="character" w:customStyle="1" w:styleId="440">
    <w:name w:val="正文非缩进 Char"/>
    <w:qFormat/>
    <w:uiPriority w:val="0"/>
    <w:rPr>
      <w:rFonts w:ascii="宋体" w:eastAsia="宋体"/>
      <w:snapToGrid w:val="0"/>
      <w:color w:val="000000"/>
      <w:kern w:val="28"/>
      <w:sz w:val="28"/>
      <w:lang w:val="en-US" w:eastAsia="zh-CN" w:bidi="ar-SA"/>
    </w:rPr>
  </w:style>
  <w:style w:type="character" w:customStyle="1" w:styleId="441">
    <w:name w:val="此正文 Char"/>
    <w:link w:val="356"/>
    <w:qFormat/>
    <w:uiPriority w:val="0"/>
    <w:rPr>
      <w:kern w:val="2"/>
      <w:sz w:val="24"/>
      <w:szCs w:val="24"/>
    </w:rPr>
  </w:style>
  <w:style w:type="character" w:customStyle="1" w:styleId="442">
    <w:name w:val="Ò³Ã¼ Char Char"/>
    <w:qFormat/>
    <w:uiPriority w:val="0"/>
    <w:rPr>
      <w:rFonts w:eastAsia="宋体"/>
      <w:kern w:val="2"/>
      <w:sz w:val="18"/>
      <w:lang w:val="en-US" w:eastAsia="zh-CN" w:bidi="ar-SA"/>
    </w:rPr>
  </w:style>
  <w:style w:type="character" w:customStyle="1" w:styleId="443">
    <w:name w:val="style91"/>
    <w:qFormat/>
    <w:uiPriority w:val="0"/>
    <w:rPr>
      <w:color w:val="333333"/>
    </w:rPr>
  </w:style>
  <w:style w:type="character" w:customStyle="1" w:styleId="444">
    <w:name w:val="标书1 Char"/>
    <w:qFormat/>
    <w:uiPriority w:val="0"/>
    <w:rPr>
      <w:rFonts w:eastAsia="宋体"/>
      <w:b/>
      <w:bCs/>
      <w:kern w:val="44"/>
      <w:sz w:val="44"/>
      <w:szCs w:val="44"/>
      <w:lang w:val="en-US" w:eastAsia="zh-CN" w:bidi="ar-SA"/>
    </w:rPr>
  </w:style>
  <w:style w:type="character" w:customStyle="1" w:styleId="445">
    <w:name w:val="ca-131"/>
    <w:qFormat/>
    <w:uiPriority w:val="0"/>
    <w:rPr>
      <w:rFonts w:hint="eastAsia" w:ascii="仿宋_GB2312" w:eastAsia="仿宋_GB2312"/>
      <w:b/>
      <w:bCs/>
      <w:color w:val="000000"/>
      <w:spacing w:val="-20"/>
      <w:sz w:val="24"/>
      <w:szCs w:val="24"/>
    </w:rPr>
  </w:style>
  <w:style w:type="character" w:customStyle="1" w:styleId="446">
    <w:name w:val="标书正文格式 Char"/>
    <w:qFormat/>
    <w:uiPriority w:val="0"/>
    <w:rPr>
      <w:rFonts w:eastAsia="楷体_GB2312"/>
      <w:kern w:val="2"/>
      <w:sz w:val="24"/>
      <w:szCs w:val="24"/>
      <w:lang w:bidi="ar-SA"/>
    </w:rPr>
  </w:style>
  <w:style w:type="character" w:customStyle="1" w:styleId="447">
    <w:name w:val="Char Char6"/>
    <w:qFormat/>
    <w:uiPriority w:val="0"/>
    <w:rPr>
      <w:rFonts w:eastAsia="宋体"/>
      <w:kern w:val="2"/>
      <w:sz w:val="21"/>
      <w:szCs w:val="24"/>
      <w:lang w:val="en-US" w:eastAsia="zh-CN" w:bidi="ar-SA"/>
    </w:rPr>
  </w:style>
  <w:style w:type="character" w:customStyle="1" w:styleId="448">
    <w:name w:val="正文2 Char Char"/>
    <w:link w:val="395"/>
    <w:qFormat/>
    <w:uiPriority w:val="0"/>
    <w:rPr>
      <w:rFonts w:eastAsia="宋体"/>
      <w:kern w:val="2"/>
      <w:sz w:val="24"/>
      <w:lang w:val="en-US" w:eastAsia="zh-CN" w:bidi="ar-SA"/>
    </w:rPr>
  </w:style>
  <w:style w:type="character" w:customStyle="1" w:styleId="449">
    <w:name w:val="content"/>
    <w:qFormat/>
    <w:uiPriority w:val="0"/>
  </w:style>
  <w:style w:type="character" w:customStyle="1" w:styleId="450">
    <w:name w:val="正文文本 2 Char"/>
    <w:qFormat/>
    <w:uiPriority w:val="0"/>
    <w:rPr>
      <w:rFonts w:eastAsia="宋体"/>
      <w:kern w:val="2"/>
      <w:sz w:val="21"/>
      <w:szCs w:val="24"/>
      <w:lang w:val="en-US" w:eastAsia="zh-CN" w:bidi="ar-SA"/>
    </w:rPr>
  </w:style>
  <w:style w:type="character" w:customStyle="1" w:styleId="451">
    <w:name w:val="Heading 2 Hidden Char"/>
    <w:qFormat/>
    <w:uiPriority w:val="0"/>
    <w:rPr>
      <w:rFonts w:ascii="仿宋_GB2312" w:eastAsia="仿宋_GB2312"/>
      <w:b/>
      <w:bCs/>
      <w:kern w:val="2"/>
      <w:sz w:val="24"/>
      <w:szCs w:val="24"/>
      <w:lang w:val="zh-CN" w:eastAsia="zh-CN" w:bidi="ar-SA"/>
    </w:rPr>
  </w:style>
  <w:style w:type="character" w:customStyle="1" w:styleId="452">
    <w:name w:val="首行缩进 Char"/>
    <w:qFormat/>
    <w:uiPriority w:val="0"/>
    <w:rPr>
      <w:rFonts w:ascii="宋体" w:eastAsia="宋体"/>
      <w:kern w:val="2"/>
      <w:sz w:val="24"/>
      <w:lang w:val="en-US" w:eastAsia="zh-CN" w:bidi="ar-SA"/>
    </w:rPr>
  </w:style>
  <w:style w:type="character" w:customStyle="1" w:styleId="453">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454">
    <w:name w:val="普通文字 Char Char1"/>
    <w:qFormat/>
    <w:uiPriority w:val="0"/>
    <w:rPr>
      <w:rFonts w:ascii="宋体" w:hAnsi="Courier New"/>
      <w:kern w:val="2"/>
      <w:sz w:val="21"/>
    </w:rPr>
  </w:style>
  <w:style w:type="character" w:customStyle="1" w:styleId="455">
    <w:name w:val="Footer-Even Char"/>
    <w:qFormat/>
    <w:uiPriority w:val="0"/>
    <w:rPr>
      <w:rFonts w:eastAsia="宋体"/>
      <w:kern w:val="2"/>
      <w:sz w:val="18"/>
      <w:lang w:val="en-US" w:eastAsia="zh-CN" w:bidi="ar-SA"/>
    </w:rPr>
  </w:style>
  <w:style w:type="character" w:customStyle="1" w:styleId="456">
    <w:name w:val="dandyren_title1"/>
    <w:qFormat/>
    <w:uiPriority w:val="0"/>
    <w:rPr>
      <w:b/>
      <w:bCs/>
      <w:color w:val="FF6633"/>
      <w:sz w:val="18"/>
      <w:szCs w:val="18"/>
    </w:rPr>
  </w:style>
  <w:style w:type="character" w:customStyle="1" w:styleId="457">
    <w:name w:val="标题 3 Char2"/>
    <w:qFormat/>
    <w:uiPriority w:val="0"/>
    <w:rPr>
      <w:rFonts w:eastAsia="宋体"/>
      <w:b/>
      <w:bCs/>
      <w:kern w:val="2"/>
      <w:sz w:val="32"/>
      <w:szCs w:val="32"/>
      <w:lang w:val="en-US" w:eastAsia="zh-CN" w:bidi="ar-SA"/>
    </w:rPr>
  </w:style>
  <w:style w:type="character" w:customStyle="1" w:styleId="458">
    <w:name w:val="gray6"/>
    <w:basedOn w:val="64"/>
    <w:qFormat/>
    <w:uiPriority w:val="0"/>
  </w:style>
  <w:style w:type="character" w:customStyle="1" w:styleId="459">
    <w:name w:val="标准正文格式 Char"/>
    <w:qFormat/>
    <w:uiPriority w:val="0"/>
    <w:rPr>
      <w:rFonts w:ascii="宋体" w:eastAsia="仿宋_GB2312" w:cs="宋体"/>
      <w:color w:val="000000"/>
      <w:sz w:val="24"/>
      <w:lang w:val="en-US" w:eastAsia="zh-CN" w:bidi="ar-SA"/>
    </w:rPr>
  </w:style>
  <w:style w:type="character" w:customStyle="1" w:styleId="460">
    <w:name w:val="Char Char3"/>
    <w:qFormat/>
    <w:uiPriority w:val="0"/>
    <w:rPr>
      <w:rFonts w:eastAsia="宋体"/>
      <w:kern w:val="2"/>
      <w:sz w:val="21"/>
      <w:szCs w:val="24"/>
      <w:lang w:val="en-US" w:eastAsia="zh-CN" w:bidi="ar-SA"/>
    </w:rPr>
  </w:style>
  <w:style w:type="character" w:customStyle="1" w:styleId="461">
    <w:name w:val="px14"/>
    <w:qFormat/>
    <w:uiPriority w:val="0"/>
    <w:rPr>
      <w:rFonts w:ascii="仿宋_GB2312" w:eastAsia="微软雅黑" w:cs="Times New Roman"/>
      <w:b/>
      <w:kern w:val="2"/>
      <w:sz w:val="32"/>
      <w:szCs w:val="32"/>
      <w:lang w:val="en-US" w:eastAsia="zh-CN" w:bidi="ar-SA"/>
    </w:rPr>
  </w:style>
  <w:style w:type="character" w:customStyle="1" w:styleId="462">
    <w:name w:val="txt"/>
    <w:qFormat/>
    <w:uiPriority w:val="0"/>
    <w:rPr>
      <w:rFonts w:ascii="仿宋_GB2312" w:eastAsia="微软雅黑"/>
      <w:b/>
      <w:kern w:val="2"/>
      <w:sz w:val="32"/>
      <w:szCs w:val="32"/>
      <w:lang w:val="en-US" w:eastAsia="zh-CN" w:bidi="ar-SA"/>
    </w:rPr>
  </w:style>
  <w:style w:type="character" w:customStyle="1" w:styleId="463">
    <w:name w:val="仿宋正文 Char"/>
    <w:link w:val="340"/>
    <w:qFormat/>
    <w:uiPriority w:val="0"/>
    <w:rPr>
      <w:rFonts w:ascii="仿宋_GB2312" w:eastAsia="仿宋_GB2312"/>
      <w:kern w:val="2"/>
      <w:sz w:val="24"/>
      <w:lang w:val="en-US" w:eastAsia="zh-CN" w:bidi="ar-SA"/>
    </w:rPr>
  </w:style>
  <w:style w:type="character" w:customStyle="1" w:styleId="464">
    <w:name w:val="Comment Text Char"/>
    <w:semiHidden/>
    <w:qFormat/>
    <w:locked/>
    <w:uiPriority w:val="0"/>
    <w:rPr>
      <w:rFonts w:ascii="宋体" w:hAnsi="宋体" w:eastAsia="宋体"/>
      <w:kern w:val="2"/>
      <w:sz w:val="24"/>
      <w:lang w:val="en-US" w:eastAsia="zh-CN" w:bidi="ar-SA"/>
    </w:rPr>
  </w:style>
  <w:style w:type="character" w:customStyle="1" w:styleId="465">
    <w:name w:val="tw4winExternal"/>
    <w:qFormat/>
    <w:uiPriority w:val="0"/>
    <w:rPr>
      <w:rFonts w:ascii="Courier New" w:hAnsi="Courier New" w:cs="Courier New"/>
      <w:color w:val="808080"/>
    </w:rPr>
  </w:style>
  <w:style w:type="character" w:customStyle="1" w:styleId="466">
    <w:name w:val="Char Char10"/>
    <w:semiHidden/>
    <w:qFormat/>
    <w:uiPriority w:val="0"/>
    <w:rPr>
      <w:rFonts w:ascii="宋体" w:hAnsi="宋体"/>
      <w:kern w:val="2"/>
      <w:sz w:val="21"/>
      <w:szCs w:val="24"/>
    </w:rPr>
  </w:style>
  <w:style w:type="character" w:customStyle="1" w:styleId="467">
    <w:name w:val="Bold"/>
    <w:qFormat/>
    <w:uiPriority w:val="0"/>
    <w:rPr>
      <w:rFonts w:ascii="Arial" w:hAnsi="Arial" w:eastAsia="黑体" w:cs="Times New Roman"/>
      <w:b/>
      <w:kern w:val="2"/>
      <w:sz w:val="32"/>
      <w:szCs w:val="32"/>
      <w:lang w:val="en-US" w:eastAsia="zh-CN" w:bidi="ar-SA"/>
    </w:rPr>
  </w:style>
  <w:style w:type="character" w:customStyle="1" w:styleId="468">
    <w:name w:val="Font Style82"/>
    <w:qFormat/>
    <w:uiPriority w:val="99"/>
    <w:rPr>
      <w:rFonts w:ascii="宋体" w:eastAsia="宋体" w:cs="宋体"/>
      <w:color w:val="000000"/>
      <w:sz w:val="14"/>
      <w:szCs w:val="14"/>
    </w:rPr>
  </w:style>
  <w:style w:type="character" w:customStyle="1" w:styleId="469">
    <w:name w:val="标题 2 Char"/>
    <w:qFormat/>
    <w:uiPriority w:val="0"/>
    <w:rPr>
      <w:rFonts w:ascii="Arial" w:hAnsi="Arial" w:eastAsia="黑体"/>
      <w:b/>
      <w:kern w:val="2"/>
      <w:sz w:val="32"/>
      <w:lang w:val="en-US" w:eastAsia="zh-CN"/>
    </w:rPr>
  </w:style>
  <w:style w:type="character" w:customStyle="1" w:styleId="470">
    <w:name w:val="h3 Char"/>
    <w:qFormat/>
    <w:uiPriority w:val="0"/>
    <w:rPr>
      <w:rFonts w:eastAsia="宋体"/>
      <w:b/>
      <w:kern w:val="2"/>
      <w:sz w:val="32"/>
      <w:lang w:val="en-US" w:eastAsia="zh-CN" w:bidi="ar-SA"/>
    </w:rPr>
  </w:style>
  <w:style w:type="character" w:customStyle="1" w:styleId="471">
    <w:name w:val="页眉 Char1"/>
    <w:qFormat/>
    <w:uiPriority w:val="0"/>
    <w:rPr>
      <w:rFonts w:eastAsia="宋体"/>
      <w:kern w:val="2"/>
      <w:sz w:val="18"/>
      <w:szCs w:val="18"/>
      <w:lang w:val="en-US" w:eastAsia="zh-CN" w:bidi="ar-SA"/>
    </w:rPr>
  </w:style>
  <w:style w:type="character" w:customStyle="1" w:styleId="472">
    <w:name w:val="标题 8 Char"/>
    <w:link w:val="10"/>
    <w:qFormat/>
    <w:uiPriority w:val="0"/>
    <w:rPr>
      <w:rFonts w:ascii="Arial" w:hAnsi="Arial" w:eastAsia="黑体"/>
      <w:kern w:val="2"/>
      <w:sz w:val="24"/>
      <w:szCs w:val="24"/>
    </w:rPr>
  </w:style>
  <w:style w:type="character" w:customStyle="1" w:styleId="473">
    <w:name w:val="冯广丽 Char"/>
    <w:link w:val="236"/>
    <w:qFormat/>
    <w:uiPriority w:val="0"/>
    <w:rPr>
      <w:rFonts w:ascii="宋体" w:hAnsi="宋体"/>
      <w:kern w:val="2"/>
      <w:sz w:val="24"/>
      <w:szCs w:val="22"/>
    </w:rPr>
  </w:style>
  <w:style w:type="character" w:customStyle="1" w:styleId="474">
    <w:name w:val="脚注文本 Char"/>
    <w:link w:val="49"/>
    <w:qFormat/>
    <w:uiPriority w:val="0"/>
    <w:rPr>
      <w:color w:val="0000FF"/>
      <w:sz w:val="21"/>
    </w:rPr>
  </w:style>
  <w:style w:type="character" w:customStyle="1" w:styleId="475">
    <w:name w:val="font12gray1"/>
    <w:qFormat/>
    <w:uiPriority w:val="0"/>
    <w:rPr>
      <w:rFonts w:ascii="仿宋_GB2312" w:eastAsia="微软雅黑"/>
      <w:b/>
      <w:spacing w:val="300"/>
      <w:kern w:val="2"/>
      <w:sz w:val="18"/>
      <w:szCs w:val="18"/>
      <w:lang w:val="en-US" w:eastAsia="zh-CN" w:bidi="ar-SA"/>
    </w:rPr>
  </w:style>
  <w:style w:type="character" w:customStyle="1" w:styleId="476">
    <w:name w:val="正文文本缩进 Char1"/>
    <w:link w:val="21"/>
    <w:qFormat/>
    <w:uiPriority w:val="0"/>
    <w:rPr>
      <w:rFonts w:ascii="宋体" w:hAnsi="宋体"/>
      <w:kern w:val="2"/>
      <w:sz w:val="24"/>
      <w:szCs w:val="24"/>
    </w:rPr>
  </w:style>
  <w:style w:type="character" w:customStyle="1" w:styleId="477">
    <w:name w:val="方案正文 Char"/>
    <w:qFormat/>
    <w:uiPriority w:val="0"/>
    <w:rPr>
      <w:rFonts w:ascii="仿宋_GB2312" w:eastAsia="仿宋_GB2312"/>
      <w:b/>
      <w:color w:val="000000"/>
      <w:kern w:val="2"/>
      <w:sz w:val="24"/>
      <w:lang w:val="en-US" w:eastAsia="zh-CN" w:bidi="ar-SA"/>
    </w:rPr>
  </w:style>
  <w:style w:type="character" w:customStyle="1" w:styleId="478">
    <w:name w:val="Item List Char"/>
    <w:link w:val="263"/>
    <w:qFormat/>
    <w:uiPriority w:val="0"/>
    <w:rPr>
      <w:rFonts w:ascii="Arial"/>
      <w:bCs/>
      <w:sz w:val="21"/>
      <w:szCs w:val="21"/>
      <w:lang w:val="en-US" w:eastAsia="zh-CN" w:bidi="ar-SA"/>
    </w:rPr>
  </w:style>
  <w:style w:type="character" w:customStyle="1" w:styleId="479">
    <w:name w:val="Normal Indent Char Char"/>
    <w:qFormat/>
    <w:uiPriority w:val="0"/>
    <w:rPr>
      <w:rFonts w:eastAsia="宋体"/>
      <w:kern w:val="2"/>
      <w:sz w:val="21"/>
      <w:lang w:val="en-US" w:eastAsia="zh-CN" w:bidi="ar-SA"/>
    </w:rPr>
  </w:style>
  <w:style w:type="character" w:customStyle="1" w:styleId="480">
    <w:name w:val="t21"/>
    <w:qFormat/>
    <w:uiPriority w:val="0"/>
    <w:rPr>
      <w:rFonts w:ascii="仿宋_GB2312" w:eastAsia="微软雅黑"/>
      <w:b/>
      <w:kern w:val="2"/>
      <w:sz w:val="23"/>
      <w:szCs w:val="23"/>
      <w:lang w:val="en-US" w:eastAsia="zh-CN" w:bidi="ar-SA"/>
    </w:rPr>
  </w:style>
  <w:style w:type="character" w:customStyle="1" w:styleId="481">
    <w:name w:val="Char Char121"/>
    <w:qFormat/>
    <w:uiPriority w:val="0"/>
    <w:rPr>
      <w:rFonts w:ascii="仿宋_GB2312" w:eastAsia="仿宋_GB2312"/>
      <w:b/>
      <w:bCs/>
      <w:kern w:val="2"/>
      <w:sz w:val="24"/>
      <w:szCs w:val="24"/>
      <w:lang w:val="zh-CN" w:eastAsia="zh-CN" w:bidi="ar-SA"/>
    </w:rPr>
  </w:style>
  <w:style w:type="character" w:customStyle="1" w:styleId="482">
    <w:name w:val="标题 7 Char"/>
    <w:link w:val="9"/>
    <w:qFormat/>
    <w:uiPriority w:val="0"/>
    <w:rPr>
      <w:b/>
      <w:bCs/>
      <w:kern w:val="2"/>
      <w:sz w:val="24"/>
      <w:szCs w:val="24"/>
    </w:rPr>
  </w:style>
  <w:style w:type="character" w:customStyle="1" w:styleId="483">
    <w:name w:val="称呼 Char"/>
    <w:link w:val="22"/>
    <w:qFormat/>
    <w:uiPriority w:val="0"/>
    <w:rPr>
      <w:rFonts w:ascii="仿宋_GB2312" w:eastAsia="仿宋_GB2312"/>
      <w:kern w:val="2"/>
      <w:sz w:val="28"/>
    </w:rPr>
  </w:style>
  <w:style w:type="character" w:customStyle="1" w:styleId="484">
    <w:name w:val="正文 项目 Char"/>
    <w:qFormat/>
    <w:uiPriority w:val="0"/>
    <w:rPr>
      <w:rFonts w:ascii="仿宋_GB2312" w:hAnsi="仿宋_GB2312" w:eastAsia="仿宋_GB2312"/>
      <w:kern w:val="2"/>
      <w:sz w:val="24"/>
      <w:lang w:bidi="ar-SA"/>
    </w:rPr>
  </w:style>
  <w:style w:type="character" w:customStyle="1" w:styleId="485">
    <w:name w:val="普通文字 Char1"/>
    <w:qFormat/>
    <w:uiPriority w:val="0"/>
    <w:rPr>
      <w:rFonts w:ascii="宋体" w:hAnsi="Courier New" w:eastAsia="宋体"/>
      <w:kern w:val="2"/>
      <w:sz w:val="21"/>
      <w:lang w:val="en-US" w:eastAsia="zh-CN"/>
    </w:rPr>
  </w:style>
  <w:style w:type="character" w:customStyle="1" w:styleId="486">
    <w:name w:val="正文1 Char1"/>
    <w:qFormat/>
    <w:uiPriority w:val="0"/>
    <w:rPr>
      <w:rFonts w:ascii="仿宋_GB2312" w:hAnsi="Courier New" w:eastAsia="仿宋_GB2312"/>
      <w:kern w:val="28"/>
      <w:sz w:val="24"/>
      <w:szCs w:val="24"/>
    </w:rPr>
  </w:style>
  <w:style w:type="character" w:customStyle="1" w:styleId="487">
    <w:name w:val="hei16b1"/>
    <w:qFormat/>
    <w:uiPriority w:val="0"/>
    <w:rPr>
      <w:rFonts w:hint="default" w:ascii="Arial" w:hAnsi="Arial" w:cs="Arial"/>
      <w:b/>
      <w:bCs/>
      <w:color w:val="000000"/>
      <w:sz w:val="24"/>
      <w:szCs w:val="24"/>
    </w:rPr>
  </w:style>
  <w:style w:type="character" w:customStyle="1" w:styleId="488">
    <w:name w:val="c7 style3"/>
    <w:qFormat/>
    <w:uiPriority w:val="0"/>
  </w:style>
  <w:style w:type="character" w:customStyle="1" w:styleId="489">
    <w:name w:val="副标题 Char"/>
    <w:link w:val="46"/>
    <w:qFormat/>
    <w:uiPriority w:val="0"/>
    <w:rPr>
      <w:rFonts w:ascii="Arial" w:hAnsi="Arial" w:eastAsia="隶书"/>
      <w:b/>
      <w:bCs/>
      <w:kern w:val="28"/>
      <w:sz w:val="44"/>
      <w:szCs w:val="32"/>
      <w:lang w:val="en-US" w:eastAsia="zh-CN" w:bidi="ar-SA"/>
    </w:rPr>
  </w:style>
  <w:style w:type="character" w:customStyle="1" w:styleId="490">
    <w:name w:val="纯文本 Char"/>
    <w:link w:val="32"/>
    <w:qFormat/>
    <w:uiPriority w:val="0"/>
    <w:rPr>
      <w:rFonts w:ascii="宋体" w:hAnsi="Courier New" w:eastAsia="宋体" w:cs="Arial"/>
      <w:snapToGrid w:val="0"/>
      <w:kern w:val="2"/>
      <w:sz w:val="21"/>
      <w:szCs w:val="21"/>
      <w:lang w:val="en-US" w:eastAsia="zh-CN" w:bidi="ar-SA"/>
    </w:rPr>
  </w:style>
  <w:style w:type="character" w:customStyle="1" w:styleId="491">
    <w:name w:val="表正文 Char1"/>
    <w:qFormat/>
    <w:uiPriority w:val="0"/>
    <w:rPr>
      <w:rFonts w:ascii="宋体" w:eastAsia="宋体"/>
      <w:snapToGrid w:val="0"/>
      <w:color w:val="000000"/>
      <w:kern w:val="28"/>
      <w:sz w:val="28"/>
    </w:rPr>
  </w:style>
  <w:style w:type="character" w:customStyle="1" w:styleId="492">
    <w:name w:val="Char Char5"/>
    <w:qFormat/>
    <w:uiPriority w:val="0"/>
    <w:rPr>
      <w:rFonts w:ascii="宋体" w:hAnsi="Courier New" w:eastAsia="宋体"/>
      <w:kern w:val="2"/>
      <w:sz w:val="21"/>
      <w:lang w:val="en-US" w:eastAsia="zh-CN"/>
    </w:rPr>
  </w:style>
  <w:style w:type="character" w:customStyle="1" w:styleId="493">
    <w:name w:val="标题 1 Char Char"/>
    <w:qFormat/>
    <w:uiPriority w:val="0"/>
    <w:rPr>
      <w:rFonts w:hint="eastAsia" w:ascii="宋体" w:hAnsi="宋体" w:eastAsia="宋体"/>
      <w:b/>
      <w:spacing w:val="-2"/>
      <w:sz w:val="24"/>
      <w:lang w:val="en-US" w:eastAsia="zh-CN" w:bidi="ar-SA"/>
    </w:rPr>
  </w:style>
  <w:style w:type="character" w:customStyle="1" w:styleId="494">
    <w:name w:val="Char Char4"/>
    <w:qFormat/>
    <w:uiPriority w:val="0"/>
    <w:rPr>
      <w:rFonts w:eastAsia="宋体"/>
      <w:b/>
      <w:sz w:val="24"/>
      <w:lang w:val="en-GB" w:eastAsia="zh-CN" w:bidi="ar-SA"/>
    </w:rPr>
  </w:style>
  <w:style w:type="character" w:customStyle="1" w:styleId="495">
    <w:name w:val="zbggmain style9"/>
    <w:qFormat/>
    <w:uiPriority w:val="0"/>
  </w:style>
  <w:style w:type="character" w:customStyle="1" w:styleId="496">
    <w:name w:val="Header Char"/>
    <w:semiHidden/>
    <w:qFormat/>
    <w:locked/>
    <w:uiPriority w:val="0"/>
    <w:rPr>
      <w:rFonts w:eastAsia="宋体"/>
      <w:kern w:val="2"/>
      <w:sz w:val="18"/>
      <w:szCs w:val="18"/>
      <w:lang w:val="en-US" w:eastAsia="zh-CN" w:bidi="ar-SA"/>
    </w:rPr>
  </w:style>
  <w:style w:type="character" w:customStyle="1" w:styleId="497">
    <w:name w:val="样式 宋体"/>
    <w:qFormat/>
    <w:uiPriority w:val="0"/>
    <w:rPr>
      <w:rFonts w:ascii="宋体" w:hAnsi="宋体"/>
      <w:sz w:val="24"/>
    </w:rPr>
  </w:style>
  <w:style w:type="character" w:customStyle="1" w:styleId="498">
    <w:name w:val="哈哈正文 Char"/>
    <w:link w:val="314"/>
    <w:qFormat/>
    <w:uiPriority w:val="0"/>
    <w:rPr>
      <w:rFonts w:ascii="宋体" w:hAnsi="宋体" w:eastAsia="宋体"/>
      <w:kern w:val="2"/>
      <w:sz w:val="24"/>
      <w:lang w:bidi="ar-SA"/>
    </w:rPr>
  </w:style>
  <w:style w:type="character" w:customStyle="1" w:styleId="499">
    <w:name w:val="标题 Char"/>
    <w:qFormat/>
    <w:uiPriority w:val="0"/>
    <w:rPr>
      <w:rFonts w:eastAsia="宋体"/>
      <w:b/>
      <w:sz w:val="24"/>
      <w:lang w:val="en-GB" w:eastAsia="zh-CN" w:bidi="ar-SA"/>
    </w:rPr>
  </w:style>
  <w:style w:type="character" w:customStyle="1" w:styleId="500">
    <w:name w:val="纯文本 Char Char Char"/>
    <w:qFormat/>
    <w:uiPriority w:val="0"/>
    <w:rPr>
      <w:rFonts w:ascii="宋体" w:hAnsi="Courier New" w:eastAsia="宋体"/>
      <w:kern w:val="2"/>
      <w:sz w:val="21"/>
      <w:lang w:val="en-US" w:eastAsia="zh-CN" w:bidi="ar-SA"/>
    </w:rPr>
  </w:style>
  <w:style w:type="character" w:customStyle="1" w:styleId="501">
    <w:name w:val="正文 编号 Char"/>
    <w:qFormat/>
    <w:uiPriority w:val="0"/>
    <w:rPr>
      <w:rFonts w:ascii="仿宋_GB2312" w:hAnsi="仿宋_GB2312" w:eastAsia="仿宋_GB2312"/>
      <w:kern w:val="2"/>
      <w:sz w:val="24"/>
      <w:lang w:bidi="ar-SA"/>
    </w:rPr>
  </w:style>
  <w:style w:type="character" w:customStyle="1" w:styleId="502">
    <w:name w:val="插图说明 Char"/>
    <w:qFormat/>
    <w:uiPriority w:val="0"/>
    <w:rPr>
      <w:rFonts w:eastAsia="黑体"/>
      <w:sz w:val="24"/>
      <w:lang w:val="en-US" w:eastAsia="zh-CN"/>
    </w:rPr>
  </w:style>
  <w:style w:type="character" w:customStyle="1" w:styleId="503">
    <w:name w:val="正文首行缩进 2 Char"/>
    <w:link w:val="61"/>
    <w:qFormat/>
    <w:uiPriority w:val="0"/>
    <w:rPr>
      <w:rFonts w:ascii="宋体" w:hAnsi="宋体"/>
      <w:kern w:val="2"/>
      <w:sz w:val="21"/>
      <w:szCs w:val="24"/>
    </w:rPr>
  </w:style>
  <w:style w:type="character" w:customStyle="1" w:styleId="504">
    <w:name w:val="正文文本缩进 2 Char"/>
    <w:link w:val="36"/>
    <w:qFormat/>
    <w:uiPriority w:val="0"/>
    <w:rPr>
      <w:rFonts w:ascii="宋体"/>
      <w:sz w:val="28"/>
    </w:rPr>
  </w:style>
  <w:style w:type="character" w:customStyle="1" w:styleId="505">
    <w:name w:val="公文正文 Char"/>
    <w:qFormat/>
    <w:uiPriority w:val="0"/>
    <w:rPr>
      <w:rFonts w:ascii="仿宋_GB2312" w:eastAsia="仿宋_GB2312"/>
      <w:kern w:val="2"/>
      <w:sz w:val="24"/>
      <w:szCs w:val="24"/>
      <w:lang w:val="en-US" w:eastAsia="zh-CN" w:bidi="ar-SA"/>
    </w:rPr>
  </w:style>
  <w:style w:type="character" w:customStyle="1" w:styleId="506">
    <w:name w:val="Char Char41"/>
    <w:qFormat/>
    <w:uiPriority w:val="0"/>
    <w:rPr>
      <w:rFonts w:eastAsia="宋体"/>
      <w:b/>
      <w:sz w:val="24"/>
      <w:lang w:val="en-GB" w:eastAsia="zh-CN" w:bidi="ar-SA"/>
    </w:rPr>
  </w:style>
  <w:style w:type="character" w:customStyle="1" w:styleId="507">
    <w:name w:val="unnamed31"/>
    <w:qFormat/>
    <w:uiPriority w:val="0"/>
    <w:rPr>
      <w:rFonts w:ascii="Tahoma" w:hAnsi="Tahoma" w:eastAsia="宋体"/>
      <w:b/>
      <w:kern w:val="2"/>
      <w:sz w:val="24"/>
      <w:szCs w:val="32"/>
      <w:u w:val="none"/>
      <w:lang w:val="en-US" w:eastAsia="zh-CN" w:bidi="ar-SA"/>
    </w:rPr>
  </w:style>
  <w:style w:type="character" w:customStyle="1" w:styleId="508">
    <w:name w:val="Char Char91"/>
    <w:qFormat/>
    <w:uiPriority w:val="0"/>
    <w:rPr>
      <w:rFonts w:eastAsia="宋体"/>
      <w:kern w:val="2"/>
      <w:sz w:val="18"/>
      <w:szCs w:val="18"/>
      <w:lang w:val="en-US" w:eastAsia="zh-CN" w:bidi="ar-SA"/>
    </w:rPr>
  </w:style>
  <w:style w:type="character" w:customStyle="1" w:styleId="509">
    <w:name w:val="Footer-Even Char1"/>
    <w:qFormat/>
    <w:uiPriority w:val="0"/>
    <w:rPr>
      <w:rFonts w:eastAsia="宋体"/>
      <w:kern w:val="2"/>
      <w:sz w:val="18"/>
      <w:szCs w:val="18"/>
      <w:lang w:val="en-US" w:eastAsia="zh-CN" w:bidi="ar-SA"/>
    </w:rPr>
  </w:style>
  <w:style w:type="character" w:customStyle="1" w:styleId="510">
    <w:name w:val="gf正文1 Char"/>
    <w:qFormat/>
    <w:uiPriority w:val="0"/>
    <w:rPr>
      <w:rFonts w:ascii="宋体" w:hAnsi="宋体" w:eastAsia="宋体" w:cs="宋体"/>
      <w:kern w:val="2"/>
      <w:sz w:val="24"/>
      <w:szCs w:val="24"/>
      <w:lang w:val="en-US" w:eastAsia="zh-CN" w:bidi="ar-SA"/>
    </w:rPr>
  </w:style>
  <w:style w:type="character" w:customStyle="1" w:styleId="511">
    <w:name w:val="javascript"/>
    <w:qFormat/>
    <w:uiPriority w:val="0"/>
  </w:style>
  <w:style w:type="character" w:customStyle="1" w:styleId="512">
    <w:name w:val="列出段落 Char"/>
    <w:qFormat/>
    <w:uiPriority w:val="34"/>
    <w:rPr>
      <w:rFonts w:eastAsia="楷体_GB2312" w:cs="Lucida Sans"/>
      <w:kern w:val="2"/>
      <w:sz w:val="24"/>
      <w:szCs w:val="24"/>
      <w:lang w:val="en-US" w:eastAsia="zh-CN" w:bidi="ar-SA"/>
    </w:rPr>
  </w:style>
  <w:style w:type="character" w:customStyle="1" w:styleId="513">
    <w:name w:val="正文文本 Char1"/>
    <w:link w:val="24"/>
    <w:qFormat/>
    <w:uiPriority w:val="0"/>
    <w:rPr>
      <w:rFonts w:ascii="宋体" w:hAnsi="Arial" w:eastAsia="宋体" w:cs="Arial"/>
      <w:snapToGrid w:val="0"/>
      <w:kern w:val="2"/>
      <w:sz w:val="24"/>
      <w:szCs w:val="21"/>
      <w:lang w:val="zh-CN" w:eastAsia="zh-CN" w:bidi="ar-SA"/>
    </w:rPr>
  </w:style>
  <w:style w:type="character" w:customStyle="1" w:styleId="514">
    <w:name w:val="标书表格字体格式 Char"/>
    <w:qFormat/>
    <w:uiPriority w:val="0"/>
    <w:rPr>
      <w:kern w:val="2"/>
      <w:sz w:val="21"/>
      <w:szCs w:val="24"/>
      <w:lang w:bidi="ar-SA"/>
    </w:rPr>
  </w:style>
  <w:style w:type="character" w:customStyle="1" w:styleId="515">
    <w:name w:val="普通文字 Char3"/>
    <w:qFormat/>
    <w:uiPriority w:val="0"/>
    <w:rPr>
      <w:rFonts w:ascii="宋体" w:hAnsi="Courier New" w:eastAsia="宋体"/>
      <w:kern w:val="2"/>
      <w:sz w:val="21"/>
      <w:lang w:val="en-US" w:eastAsia="zh-CN" w:bidi="ar-SA"/>
    </w:rPr>
  </w:style>
  <w:style w:type="character" w:customStyle="1" w:styleId="516">
    <w:name w:val="h Char Char1"/>
    <w:qFormat/>
    <w:uiPriority w:val="0"/>
    <w:rPr>
      <w:rFonts w:eastAsia="宋体"/>
      <w:kern w:val="2"/>
      <w:sz w:val="18"/>
      <w:szCs w:val="18"/>
      <w:lang w:val="en-US" w:eastAsia="zh-CN" w:bidi="ar-SA"/>
    </w:rPr>
  </w:style>
  <w:style w:type="character" w:customStyle="1" w:styleId="517">
    <w:name w:val="冯 Char"/>
    <w:link w:val="77"/>
    <w:qFormat/>
    <w:uiPriority w:val="0"/>
    <w:rPr>
      <w:rFonts w:ascii="宋体" w:hAnsi="宋体"/>
      <w:color w:val="000000"/>
      <w:sz w:val="24"/>
      <w:szCs w:val="24"/>
    </w:rPr>
  </w:style>
  <w:style w:type="character" w:customStyle="1" w:styleId="518">
    <w:name w:val="highlight1"/>
    <w:qFormat/>
    <w:uiPriority w:val="0"/>
    <w:rPr>
      <w:rFonts w:ascii="仿宋_GB2312" w:eastAsia="微软雅黑"/>
      <w:b/>
      <w:kern w:val="2"/>
      <w:sz w:val="23"/>
      <w:szCs w:val="23"/>
      <w:lang w:val="en-US" w:eastAsia="zh-CN" w:bidi="ar-SA"/>
    </w:rPr>
  </w:style>
  <w:style w:type="character" w:customStyle="1" w:styleId="519">
    <w:name w:val="样式6 Char"/>
    <w:qFormat/>
    <w:uiPriority w:val="0"/>
    <w:rPr>
      <w:rFonts w:ascii="仿宋_GB2312" w:hAnsi="宋体" w:eastAsia="仿宋_GB2312"/>
      <w:b/>
      <w:bCs/>
      <w:kern w:val="2"/>
      <w:sz w:val="24"/>
      <w:szCs w:val="24"/>
      <w:lang w:val="en-US" w:eastAsia="zh-CN" w:bidi="ar-SA"/>
    </w:rPr>
  </w:style>
  <w:style w:type="character" w:customStyle="1" w:styleId="520">
    <w:name w:val="标题 9 Char"/>
    <w:link w:val="11"/>
    <w:qFormat/>
    <w:uiPriority w:val="0"/>
    <w:rPr>
      <w:rFonts w:ascii="Arial" w:hAnsi="Arial" w:eastAsia="黑体"/>
      <w:kern w:val="2"/>
      <w:sz w:val="21"/>
      <w:szCs w:val="21"/>
    </w:rPr>
  </w:style>
  <w:style w:type="character" w:customStyle="1" w:styleId="521">
    <w:name w:val="md"/>
    <w:basedOn w:val="64"/>
    <w:qFormat/>
    <w:uiPriority w:val="0"/>
  </w:style>
  <w:style w:type="character" w:customStyle="1" w:styleId="522">
    <w:name w:val="myp11"/>
    <w:qFormat/>
    <w:uiPriority w:val="0"/>
    <w:rPr>
      <w:rFonts w:ascii="仿宋_GB2312" w:eastAsia="微软雅黑"/>
      <w:b/>
      <w:kern w:val="2"/>
      <w:sz w:val="32"/>
      <w:szCs w:val="32"/>
      <w:lang w:val="en-US" w:eastAsia="zh-CN" w:bidi="ar-SA"/>
    </w:rPr>
  </w:style>
  <w:style w:type="character" w:customStyle="1" w:styleId="523">
    <w:name w:val="Ò³Ã¼ Char Char1"/>
    <w:qFormat/>
    <w:uiPriority w:val="0"/>
    <w:rPr>
      <w:rFonts w:eastAsia="宋体"/>
      <w:kern w:val="2"/>
      <w:sz w:val="18"/>
      <w:szCs w:val="18"/>
      <w:lang w:val="en-US" w:eastAsia="zh-CN" w:bidi="ar-SA"/>
    </w:rPr>
  </w:style>
  <w:style w:type="character" w:customStyle="1" w:styleId="524">
    <w:name w:val="tw4winTerm"/>
    <w:qFormat/>
    <w:uiPriority w:val="0"/>
    <w:rPr>
      <w:color w:val="0000FF"/>
    </w:rPr>
  </w:style>
  <w:style w:type="character" w:customStyle="1" w:styleId="525">
    <w:name w:val="表格 Char Char"/>
    <w:qFormat/>
    <w:uiPriority w:val="0"/>
    <w:rPr>
      <w:rFonts w:ascii="宋体" w:hAnsi="宋体" w:eastAsia="宋体"/>
      <w:lang w:bidi="ar-SA"/>
    </w:rPr>
  </w:style>
  <w:style w:type="character" w:customStyle="1" w:styleId="526">
    <w:name w:val="样式8 Char"/>
    <w:qFormat/>
    <w:uiPriority w:val="0"/>
    <w:rPr>
      <w:rFonts w:ascii="仿宋_GB2312" w:hAnsi="宋体" w:eastAsia="仿宋_GB2312"/>
      <w:b/>
      <w:bCs/>
      <w:kern w:val="2"/>
      <w:sz w:val="24"/>
      <w:szCs w:val="24"/>
    </w:rPr>
  </w:style>
  <w:style w:type="character" w:customStyle="1" w:styleId="527">
    <w:name w:val="样式5 Char"/>
    <w:qFormat/>
    <w:uiPriority w:val="0"/>
    <w:rPr>
      <w:rFonts w:ascii="仿宋_GB2312" w:hAnsi="仿宋" w:eastAsia="仿宋_GB2312"/>
      <w:kern w:val="2"/>
      <w:sz w:val="24"/>
      <w:szCs w:val="24"/>
    </w:rPr>
  </w:style>
  <w:style w:type="character" w:customStyle="1" w:styleId="528">
    <w:name w:val="页脚 Char1"/>
    <w:qFormat/>
    <w:uiPriority w:val="0"/>
    <w:rPr>
      <w:rFonts w:eastAsia="宋体"/>
      <w:kern w:val="2"/>
      <w:sz w:val="18"/>
      <w:szCs w:val="18"/>
      <w:lang w:val="en-US" w:eastAsia="zh-CN" w:bidi="ar-SA"/>
    </w:rPr>
  </w:style>
  <w:style w:type="character" w:customStyle="1" w:styleId="529">
    <w:name w:val="tw4winJump"/>
    <w:qFormat/>
    <w:uiPriority w:val="0"/>
    <w:rPr>
      <w:rFonts w:ascii="Courier New" w:hAnsi="Courier New" w:cs="Courier New"/>
      <w:color w:val="008080"/>
    </w:rPr>
  </w:style>
  <w:style w:type="character" w:customStyle="1" w:styleId="530">
    <w:name w:val="批注文字 Char"/>
    <w:qFormat/>
    <w:uiPriority w:val="99"/>
    <w:rPr>
      <w:kern w:val="2"/>
      <w:sz w:val="21"/>
      <w:szCs w:val="24"/>
    </w:rPr>
  </w:style>
  <w:style w:type="character" w:customStyle="1" w:styleId="531">
    <w:name w:val="Char Char122"/>
    <w:qFormat/>
    <w:uiPriority w:val="0"/>
    <w:rPr>
      <w:rFonts w:ascii="仿宋_GB2312" w:eastAsia="仿宋_GB2312"/>
      <w:b/>
      <w:bCs/>
      <w:kern w:val="2"/>
      <w:sz w:val="24"/>
      <w:szCs w:val="24"/>
      <w:lang w:val="zh-CN" w:eastAsia="zh-CN" w:bidi="ar-SA"/>
    </w:rPr>
  </w:style>
  <w:style w:type="character" w:customStyle="1" w:styleId="532">
    <w:name w:val="No Spacing Char"/>
    <w:link w:val="170"/>
    <w:qFormat/>
    <w:uiPriority w:val="1"/>
    <w:rPr>
      <w:rFonts w:ascii="Calibri" w:hAnsi="Calibri"/>
      <w:sz w:val="22"/>
      <w:szCs w:val="22"/>
      <w:lang w:val="en-US" w:eastAsia="zh-CN" w:bidi="ar-SA"/>
    </w:rPr>
  </w:style>
  <w:style w:type="character" w:customStyle="1" w:styleId="533">
    <w:name w:val="Char Char21"/>
    <w:qFormat/>
    <w:uiPriority w:val="0"/>
    <w:rPr>
      <w:rFonts w:ascii="宋体" w:hAnsi="Courier New" w:eastAsia="宋体"/>
      <w:kern w:val="2"/>
      <w:sz w:val="21"/>
      <w:lang w:val="en-US" w:eastAsia="zh-CN" w:bidi="ar-SA"/>
    </w:rPr>
  </w:style>
  <w:style w:type="character" w:customStyle="1" w:styleId="534">
    <w:name w:val="Char Char8"/>
    <w:qFormat/>
    <w:uiPriority w:val="0"/>
    <w:rPr>
      <w:rFonts w:eastAsia="宋体"/>
      <w:b/>
      <w:sz w:val="24"/>
      <w:lang w:val="en-GB" w:eastAsia="zh-CN"/>
    </w:rPr>
  </w:style>
  <w:style w:type="character" w:customStyle="1" w:styleId="535">
    <w:name w:val="font21"/>
    <w:qFormat/>
    <w:uiPriority w:val="0"/>
    <w:rPr>
      <w:rFonts w:hint="eastAsia" w:ascii="宋体" w:hAnsi="宋体" w:eastAsia="宋体"/>
      <w:kern w:val="2"/>
      <w:sz w:val="28"/>
      <w:szCs w:val="28"/>
      <w:lang w:val="en-US" w:eastAsia="zh-CN" w:bidi="ar-SA"/>
    </w:rPr>
  </w:style>
  <w:style w:type="character" w:customStyle="1" w:styleId="536">
    <w:name w:val="正文2 Char"/>
    <w:qFormat/>
    <w:uiPriority w:val="0"/>
    <w:rPr>
      <w:rFonts w:eastAsia="宋体"/>
      <w:kern w:val="2"/>
      <w:sz w:val="24"/>
      <w:lang w:val="en-US" w:eastAsia="zh-CN" w:bidi="ar-SA"/>
    </w:rPr>
  </w:style>
  <w:style w:type="character" w:customStyle="1" w:styleId="537">
    <w:name w:val="big1"/>
    <w:qFormat/>
    <w:uiPriority w:val="0"/>
    <w:rPr>
      <w:rFonts w:hint="eastAsia" w:ascii="宋体" w:hAnsi="宋体" w:eastAsia="宋体"/>
      <w:color w:val="333333"/>
      <w:sz w:val="22"/>
      <w:szCs w:val="22"/>
    </w:rPr>
  </w:style>
  <w:style w:type="character" w:customStyle="1" w:styleId="538">
    <w:name w:val="Body Text(ch) Char Char"/>
    <w:qFormat/>
    <w:uiPriority w:val="0"/>
    <w:rPr>
      <w:rFonts w:ascii="宋体"/>
      <w:kern w:val="2"/>
      <w:sz w:val="24"/>
      <w:szCs w:val="21"/>
      <w:lang w:val="zh-CN"/>
    </w:rPr>
  </w:style>
  <w:style w:type="character" w:customStyle="1" w:styleId="539">
    <w:name w:val="blue1"/>
    <w:basedOn w:val="64"/>
    <w:qFormat/>
    <w:uiPriority w:val="0"/>
  </w:style>
  <w:style w:type="character" w:customStyle="1" w:styleId="540">
    <w:name w:val="正文 项目2 Char"/>
    <w:basedOn w:val="484"/>
    <w:qFormat/>
    <w:uiPriority w:val="0"/>
    <w:rPr>
      <w:rFonts w:ascii="仿宋_GB2312" w:hAnsi="仿宋_GB2312" w:eastAsia="仿宋_GB2312"/>
      <w:kern w:val="2"/>
      <w:sz w:val="24"/>
      <w:lang w:bidi="ar-SA"/>
    </w:rPr>
  </w:style>
  <w:style w:type="character" w:customStyle="1" w:styleId="541">
    <w:name w:val="solutionfonts"/>
    <w:qFormat/>
    <w:uiPriority w:val="0"/>
  </w:style>
  <w:style w:type="character" w:customStyle="1" w:styleId="542">
    <w:name w:val="Char Char81"/>
    <w:qFormat/>
    <w:uiPriority w:val="0"/>
    <w:rPr>
      <w:rFonts w:eastAsia="宋体"/>
      <w:b/>
      <w:sz w:val="24"/>
      <w:lang w:val="en-GB" w:eastAsia="zh-CN"/>
    </w:rPr>
  </w:style>
  <w:style w:type="character" w:customStyle="1" w:styleId="543">
    <w:name w:val="Char Char2"/>
    <w:qFormat/>
    <w:uiPriority w:val="0"/>
    <w:rPr>
      <w:rFonts w:eastAsia="宋体"/>
      <w:b/>
      <w:bCs/>
      <w:kern w:val="2"/>
      <w:sz w:val="21"/>
      <w:szCs w:val="24"/>
      <w:lang w:val="en-US" w:eastAsia="zh-CN" w:bidi="ar-SA"/>
    </w:rPr>
  </w:style>
  <w:style w:type="character" w:customStyle="1" w:styleId="544">
    <w:name w:val="HTML 预设格式 Char"/>
    <w:link w:val="56"/>
    <w:qFormat/>
    <w:uiPriority w:val="0"/>
    <w:rPr>
      <w:rFonts w:ascii="黑体" w:hAnsi="Courier New" w:eastAsia="黑体"/>
    </w:rPr>
  </w:style>
  <w:style w:type="character" w:customStyle="1" w:styleId="545">
    <w:name w:val="Heading 7 Char"/>
    <w:qFormat/>
    <w:locked/>
    <w:uiPriority w:val="0"/>
    <w:rPr>
      <w:rFonts w:ascii="宋体" w:hAnsi="宋体" w:eastAsia="宋体"/>
      <w:b/>
      <w:bCs/>
      <w:kern w:val="2"/>
      <w:sz w:val="24"/>
      <w:szCs w:val="24"/>
      <w:lang w:val="en-US" w:eastAsia="zh-CN" w:bidi="ar-SA"/>
    </w:rPr>
  </w:style>
  <w:style w:type="character" w:customStyle="1" w:styleId="546">
    <w:name w:val="正文首行缩进 Char"/>
    <w:link w:val="60"/>
    <w:qFormat/>
    <w:uiPriority w:val="0"/>
    <w:rPr>
      <w:rFonts w:ascii="宋体"/>
      <w:kern w:val="2"/>
      <w:sz w:val="24"/>
      <w:lang w:val="zh-CN"/>
    </w:rPr>
  </w:style>
  <w:style w:type="character" w:customStyle="1" w:styleId="547">
    <w:name w:val="标题 2 Char Char"/>
    <w:qFormat/>
    <w:uiPriority w:val="0"/>
    <w:rPr>
      <w:rFonts w:ascii="楷体_GB2312" w:hAnsi="Arial" w:eastAsia="楷体_GB2312"/>
      <w:b/>
      <w:bCs/>
      <w:kern w:val="2"/>
      <w:sz w:val="24"/>
      <w:szCs w:val="32"/>
      <w:lang w:val="en-US" w:eastAsia="zh-CN" w:bidi="ar-SA"/>
    </w:rPr>
  </w:style>
  <w:style w:type="character" w:customStyle="1" w:styleId="548">
    <w:name w:val="pt141"/>
    <w:qFormat/>
    <w:uiPriority w:val="0"/>
    <w:rPr>
      <w:color w:val="330066"/>
      <w:sz w:val="22"/>
      <w:szCs w:val="22"/>
    </w:rPr>
  </w:style>
  <w:style w:type="character" w:customStyle="1" w:styleId="549">
    <w:name w:val="h Char Char"/>
    <w:qFormat/>
    <w:uiPriority w:val="0"/>
    <w:rPr>
      <w:rFonts w:eastAsia="宋体"/>
      <w:kern w:val="2"/>
      <w:sz w:val="18"/>
      <w:lang w:val="en-US" w:eastAsia="zh-CN" w:bidi="ar-SA"/>
    </w:rPr>
  </w:style>
  <w:style w:type="character" w:customStyle="1" w:styleId="550">
    <w:name w:val="标题 1 Char"/>
    <w:link w:val="3"/>
    <w:qFormat/>
    <w:uiPriority w:val="0"/>
    <w:rPr>
      <w:b/>
      <w:bCs/>
      <w:kern w:val="44"/>
      <w:sz w:val="44"/>
      <w:szCs w:val="44"/>
    </w:rPr>
  </w:style>
  <w:style w:type="character" w:customStyle="1" w:styleId="551">
    <w:name w:val="页眉 Char"/>
    <w:qFormat/>
    <w:uiPriority w:val="0"/>
    <w:rPr>
      <w:rFonts w:eastAsia="仿宋_GB2312"/>
      <w:kern w:val="2"/>
      <w:sz w:val="18"/>
      <w:lang w:val="en-US" w:eastAsia="zh-CN"/>
    </w:rPr>
  </w:style>
  <w:style w:type="character" w:customStyle="1" w:styleId="552">
    <w:name w:val="b11_01b Char"/>
    <w:link w:val="410"/>
    <w:qFormat/>
    <w:uiPriority w:val="0"/>
    <w:rPr>
      <w:rFonts w:ascii="Verdana" w:hAnsi="Verdana"/>
      <w:b/>
      <w:bCs/>
      <w:color w:val="4A82CA"/>
      <w:sz w:val="17"/>
      <w:szCs w:val="17"/>
    </w:rPr>
  </w:style>
  <w:style w:type="character" w:customStyle="1" w:styleId="553">
    <w:name w:val="标题4-dyf Char"/>
    <w:link w:val="348"/>
    <w:qFormat/>
    <w:uiPriority w:val="0"/>
    <w:rPr>
      <w:rFonts w:ascii="Cambria" w:hAnsi="Cambria"/>
      <w:b/>
      <w:bCs/>
      <w:color w:val="000000"/>
      <w:kern w:val="2"/>
      <w:sz w:val="21"/>
      <w:szCs w:val="21"/>
    </w:rPr>
  </w:style>
  <w:style w:type="character" w:customStyle="1" w:styleId="554">
    <w:name w:val="批注主题 Char"/>
    <w:qFormat/>
    <w:uiPriority w:val="0"/>
    <w:rPr>
      <w:rFonts w:eastAsia="宋体"/>
      <w:b/>
      <w:bCs/>
      <w:kern w:val="2"/>
      <w:sz w:val="21"/>
      <w:szCs w:val="24"/>
      <w:lang w:val="en-US" w:eastAsia="zh-CN" w:bidi="ar-SA"/>
    </w:rPr>
  </w:style>
  <w:style w:type="character" w:customStyle="1" w:styleId="555">
    <w:name w:val="标题 3 Char1"/>
    <w:qFormat/>
    <w:uiPriority w:val="0"/>
    <w:rPr>
      <w:rFonts w:hint="eastAsia" w:ascii="华文中宋" w:hAnsi="华文中宋" w:eastAsia="华文中宋"/>
      <w:b/>
      <w:bCs/>
      <w:kern w:val="2"/>
      <w:sz w:val="32"/>
      <w:szCs w:val="32"/>
      <w:lang w:val="en-US" w:eastAsia="zh-CN" w:bidi="ar-SA"/>
    </w:rPr>
  </w:style>
  <w:style w:type="character" w:customStyle="1" w:styleId="556">
    <w:name w:val="正文首行缩进两字 Char"/>
    <w:qFormat/>
    <w:uiPriority w:val="0"/>
    <w:rPr>
      <w:sz w:val="24"/>
      <w:szCs w:val="24"/>
      <w:lang w:val="en-US" w:eastAsia="zh-CN" w:bidi="ar-SA"/>
    </w:rPr>
  </w:style>
  <w:style w:type="character" w:customStyle="1" w:styleId="557">
    <w:name w:val="Char Char51"/>
    <w:qFormat/>
    <w:uiPriority w:val="0"/>
    <w:rPr>
      <w:rFonts w:ascii="宋体" w:hAnsi="Courier New" w:eastAsia="宋体"/>
      <w:kern w:val="2"/>
      <w:sz w:val="21"/>
      <w:lang w:val="en-US" w:eastAsia="zh-CN"/>
    </w:rPr>
  </w:style>
  <w:style w:type="character" w:customStyle="1" w:styleId="558">
    <w:name w:val="带编号样式 Char"/>
    <w:qFormat/>
    <w:uiPriority w:val="0"/>
    <w:rPr>
      <w:rFonts w:ascii="仿宋_GB2312" w:eastAsia="仿宋_GB2312"/>
      <w:color w:val="000000"/>
      <w:sz w:val="24"/>
      <w:lang w:bidi="ar-SA"/>
    </w:rPr>
  </w:style>
  <w:style w:type="character" w:customStyle="1" w:styleId="559">
    <w:name w:val="样式4 Char"/>
    <w:qFormat/>
    <w:uiPriority w:val="0"/>
    <w:rPr>
      <w:rFonts w:ascii="仿宋_GB2312" w:hAnsi="仿宋" w:eastAsia="仿宋_GB2312"/>
      <w:b/>
      <w:kern w:val="2"/>
      <w:sz w:val="32"/>
      <w:szCs w:val="32"/>
      <w:lang w:bidi="ar-SA"/>
    </w:rPr>
  </w:style>
  <w:style w:type="character" w:customStyle="1" w:styleId="560">
    <w:name w:val="样式 标题 4h4H4Fab-4T5Ref Heading 1rh1Heading sqlsect 1.2.3.... Char"/>
    <w:link w:val="172"/>
    <w:qFormat/>
    <w:uiPriority w:val="0"/>
    <w:rPr>
      <w:rFonts w:ascii="微软雅黑" w:hAnsi="微软雅黑" w:eastAsia="微软雅黑"/>
      <w:b/>
      <w:bCs/>
      <w:kern w:val="2"/>
      <w:sz w:val="24"/>
      <w:szCs w:val="28"/>
    </w:rPr>
  </w:style>
  <w:style w:type="character" w:customStyle="1" w:styleId="561">
    <w:name w:val="PI Char"/>
    <w:qFormat/>
    <w:uiPriority w:val="0"/>
    <w:rPr>
      <w:rFonts w:ascii="宋体" w:hAnsi="宋体" w:eastAsia="宋体"/>
      <w:kern w:val="2"/>
      <w:sz w:val="24"/>
      <w:szCs w:val="24"/>
      <w:lang w:val="en-US" w:eastAsia="zh-CN" w:bidi="ar-SA"/>
    </w:rPr>
  </w:style>
  <w:style w:type="character" w:customStyle="1" w:styleId="562">
    <w:name w:val="Char Char111"/>
    <w:qFormat/>
    <w:locked/>
    <w:uiPriority w:val="0"/>
    <w:rPr>
      <w:rFonts w:ascii="宋体" w:hAnsi="宋体" w:eastAsia="宋体"/>
      <w:b/>
      <w:kern w:val="2"/>
      <w:sz w:val="24"/>
      <w:szCs w:val="24"/>
      <w:lang w:val="en-US" w:eastAsia="zh-CN" w:bidi="ar-SA"/>
    </w:rPr>
  </w:style>
  <w:style w:type="character" w:customStyle="1" w:styleId="563">
    <w:name w:val="Document Map Char"/>
    <w:semiHidden/>
    <w:qFormat/>
    <w:locked/>
    <w:uiPriority w:val="0"/>
    <w:rPr>
      <w:rFonts w:eastAsia="宋体"/>
      <w:kern w:val="2"/>
      <w:sz w:val="21"/>
      <w:szCs w:val="24"/>
      <w:lang w:val="en-US" w:eastAsia="zh-CN" w:bidi="ar-SA"/>
    </w:rPr>
  </w:style>
  <w:style w:type="character" w:customStyle="1" w:styleId="564">
    <w:name w:val="正文文本缩进 Char"/>
    <w:qFormat/>
    <w:uiPriority w:val="0"/>
    <w:rPr>
      <w:rFonts w:ascii="宋体" w:hAnsi="宋体"/>
      <w:kern w:val="2"/>
      <w:sz w:val="24"/>
      <w:szCs w:val="24"/>
    </w:rPr>
  </w:style>
  <w:style w:type="character" w:customStyle="1" w:styleId="565">
    <w:name w:val="文本正文 Char Char"/>
    <w:qFormat/>
    <w:locked/>
    <w:uiPriority w:val="0"/>
    <w:rPr>
      <w:sz w:val="24"/>
      <w:lang w:bidi="ar-SA"/>
    </w:rPr>
  </w:style>
  <w:style w:type="character" w:customStyle="1" w:styleId="566">
    <w:name w:val="样式7 Char"/>
    <w:qFormat/>
    <w:uiPriority w:val="0"/>
    <w:rPr>
      <w:rFonts w:ascii="仿宋_GB2312" w:hAnsi="仿宋" w:eastAsia="仿宋_GB2312"/>
      <w:b/>
      <w:kern w:val="2"/>
      <w:sz w:val="24"/>
      <w:szCs w:val="24"/>
    </w:rPr>
  </w:style>
  <w:style w:type="character" w:customStyle="1" w:styleId="567">
    <w:name w:val="样式3 Char"/>
    <w:basedOn w:val="568"/>
    <w:qFormat/>
    <w:uiPriority w:val="0"/>
    <w:rPr>
      <w:rFonts w:ascii="仿宋_GB2312" w:hAnsi="仿宋" w:eastAsia="仿宋_GB2312" w:cs="仿宋_GB2312"/>
      <w:sz w:val="32"/>
      <w:szCs w:val="30"/>
      <w:lang w:val="zh-CN"/>
    </w:rPr>
  </w:style>
  <w:style w:type="character" w:customStyle="1" w:styleId="568">
    <w:name w:val="样式2 Char"/>
    <w:qFormat/>
    <w:uiPriority w:val="0"/>
    <w:rPr>
      <w:rFonts w:ascii="仿宋_GB2312" w:hAnsi="仿宋" w:eastAsia="仿宋_GB2312" w:cs="仿宋_GB2312"/>
      <w:b/>
      <w:bCs/>
      <w:sz w:val="32"/>
      <w:szCs w:val="30"/>
      <w:lang w:val="zh-CN"/>
    </w:rPr>
  </w:style>
  <w:style w:type="character" w:customStyle="1" w:styleId="569">
    <w:name w:val="二级标题 Char Char"/>
    <w:qFormat/>
    <w:uiPriority w:val="0"/>
    <w:rPr>
      <w:rFonts w:ascii="宋体" w:hAnsi="宋体" w:eastAsia="宋体"/>
      <w:b/>
      <w:snapToGrid w:val="0"/>
      <w:kern w:val="2"/>
      <w:sz w:val="24"/>
      <w:szCs w:val="24"/>
      <w:lang w:val="en-US" w:eastAsia="zh-CN" w:bidi="ar-SA"/>
    </w:rPr>
  </w:style>
  <w:style w:type="character" w:customStyle="1" w:styleId="570">
    <w:name w:val="Table Text Char1"/>
    <w:qFormat/>
    <w:uiPriority w:val="0"/>
    <w:rPr>
      <w:rFonts w:eastAsia="宋体"/>
      <w:sz w:val="24"/>
      <w:szCs w:val="24"/>
      <w:lang w:val="en-US" w:eastAsia="zh-CN" w:bidi="ar-SA"/>
    </w:rPr>
  </w:style>
  <w:style w:type="character" w:customStyle="1" w:styleId="571">
    <w:name w:val="shadow11"/>
    <w:qFormat/>
    <w:uiPriority w:val="0"/>
    <w:rPr>
      <w:color w:val="000000"/>
      <w:sz w:val="21"/>
    </w:rPr>
  </w:style>
  <w:style w:type="character" w:customStyle="1" w:styleId="572">
    <w:name w:val="HTML 地址 Char"/>
    <w:link w:val="29"/>
    <w:qFormat/>
    <w:uiPriority w:val="0"/>
    <w:rPr>
      <w:rFonts w:ascii="宋体" w:hAnsi="宋体"/>
      <w:i/>
      <w:iCs/>
      <w:sz w:val="24"/>
      <w:szCs w:val="24"/>
    </w:rPr>
  </w:style>
  <w:style w:type="character" w:customStyle="1" w:styleId="573">
    <w:name w:val="Char Char22"/>
    <w:qFormat/>
    <w:uiPriority w:val="0"/>
    <w:rPr>
      <w:rFonts w:eastAsia="宋体"/>
      <w:b/>
      <w:bCs/>
      <w:kern w:val="2"/>
      <w:sz w:val="21"/>
      <w:szCs w:val="24"/>
      <w:lang w:val="en-US" w:eastAsia="zh-CN" w:bidi="ar-SA"/>
    </w:rPr>
  </w:style>
  <w:style w:type="character" w:customStyle="1" w:styleId="574">
    <w:name w:val="标题 5 Char"/>
    <w:link w:val="7"/>
    <w:qFormat/>
    <w:uiPriority w:val="0"/>
    <w:rPr>
      <w:b/>
      <w:bCs/>
      <w:kern w:val="2"/>
      <w:sz w:val="28"/>
      <w:szCs w:val="28"/>
    </w:rPr>
  </w:style>
  <w:style w:type="character" w:customStyle="1" w:styleId="575">
    <w:name w:val="h3 Char1"/>
    <w:qFormat/>
    <w:uiPriority w:val="0"/>
    <w:rPr>
      <w:rFonts w:eastAsia="宋体"/>
      <w:b/>
      <w:bCs/>
      <w:kern w:val="2"/>
      <w:sz w:val="32"/>
      <w:szCs w:val="32"/>
      <w:lang w:bidi="ar-SA"/>
    </w:rPr>
  </w:style>
  <w:style w:type="character" w:customStyle="1" w:styleId="576">
    <w:name w:val="FA正文 Char Char"/>
    <w:qFormat/>
    <w:uiPriority w:val="0"/>
    <w:rPr>
      <w:rFonts w:hAnsi="宋体"/>
      <w:kern w:val="2"/>
      <w:sz w:val="24"/>
      <w:lang w:bidi="ar-SA"/>
    </w:rPr>
  </w:style>
  <w:style w:type="character" w:customStyle="1" w:styleId="577">
    <w:name w:val="Char Char7"/>
    <w:semiHidden/>
    <w:qFormat/>
    <w:uiPriority w:val="0"/>
    <w:rPr>
      <w:rFonts w:eastAsia="宋体"/>
      <w:kern w:val="2"/>
      <w:sz w:val="21"/>
      <w:szCs w:val="24"/>
      <w:lang w:val="en-US" w:eastAsia="zh-CN" w:bidi="ar-SA"/>
    </w:rPr>
  </w:style>
  <w:style w:type="character" w:customStyle="1" w:styleId="578">
    <w:name w:val="hui"/>
    <w:basedOn w:val="64"/>
    <w:qFormat/>
    <w:uiPriority w:val="0"/>
  </w:style>
  <w:style w:type="character" w:customStyle="1" w:styleId="579">
    <w:name w:val="正文缩进 Char"/>
    <w:qFormat/>
    <w:uiPriority w:val="0"/>
    <w:rPr>
      <w:rFonts w:eastAsia="宋体"/>
      <w:kern w:val="2"/>
      <w:sz w:val="21"/>
      <w:lang w:val="en-US" w:eastAsia="zh-CN"/>
    </w:rPr>
  </w:style>
  <w:style w:type="character" w:customStyle="1" w:styleId="580">
    <w:name w:val="正文1 Char"/>
    <w:qFormat/>
    <w:uiPriority w:val="0"/>
    <w:rPr>
      <w:rFonts w:ascii="宋体" w:eastAsia="宋体"/>
      <w:snapToGrid w:val="0"/>
      <w:color w:val="000000"/>
      <w:kern w:val="28"/>
      <w:sz w:val="28"/>
      <w:lang w:val="en-US" w:eastAsia="zh-CN" w:bidi="ar-SA"/>
    </w:rPr>
  </w:style>
  <w:style w:type="character" w:customStyle="1" w:styleId="581">
    <w:name w:val="Char Char61"/>
    <w:qFormat/>
    <w:uiPriority w:val="0"/>
    <w:rPr>
      <w:rFonts w:eastAsia="宋体"/>
      <w:kern w:val="2"/>
      <w:sz w:val="21"/>
      <w:szCs w:val="24"/>
      <w:lang w:val="en-US" w:eastAsia="zh-CN" w:bidi="ar-SA"/>
    </w:rPr>
  </w:style>
  <w:style w:type="character" w:customStyle="1" w:styleId="582">
    <w:name w:val="正文文本 3 Char"/>
    <w:link w:val="23"/>
    <w:qFormat/>
    <w:uiPriority w:val="0"/>
    <w:rPr>
      <w:kern w:val="2"/>
      <w:sz w:val="21"/>
    </w:rPr>
  </w:style>
  <w:style w:type="character" w:customStyle="1" w:styleId="583">
    <w:name w:val="message1"/>
    <w:qFormat/>
    <w:uiPriority w:val="0"/>
    <w:rPr>
      <w:rFonts w:hint="default" w:ascii="Tahoma" w:hAnsi="Tahoma" w:cs="Tahoma"/>
      <w:sz w:val="18"/>
      <w:szCs w:val="18"/>
    </w:rPr>
  </w:style>
  <w:style w:type="character" w:customStyle="1" w:styleId="584">
    <w:name w:val="DO_NOT_TRANSLATE"/>
    <w:qFormat/>
    <w:uiPriority w:val="0"/>
    <w:rPr>
      <w:rFonts w:ascii="Courier New" w:hAnsi="Courier New" w:cs="Courier New"/>
      <w:color w:val="800000"/>
    </w:rPr>
  </w:style>
  <w:style w:type="character" w:customStyle="1" w:styleId="585">
    <w:name w:val="unnamed11"/>
    <w:qFormat/>
    <w:uiPriority w:val="0"/>
    <w:rPr>
      <w:sz w:val="20"/>
      <w:szCs w:val="20"/>
    </w:rPr>
  </w:style>
  <w:style w:type="character" w:customStyle="1" w:styleId="586">
    <w:name w:val="tw4winInternal"/>
    <w:qFormat/>
    <w:uiPriority w:val="0"/>
    <w:rPr>
      <w:rFonts w:ascii="Courier New" w:hAnsi="Courier New" w:cs="Courier New"/>
      <w:color w:val="FF0000"/>
    </w:rPr>
  </w:style>
  <w:style w:type="character" w:customStyle="1" w:styleId="587">
    <w:name w:val="正文（缩进2汉字） Char"/>
    <w:link w:val="327"/>
    <w:qFormat/>
    <w:uiPriority w:val="0"/>
    <w:rPr>
      <w:rFonts w:ascii="宋体"/>
    </w:rPr>
  </w:style>
  <w:style w:type="character" w:customStyle="1" w:styleId="588">
    <w:name w:val="页脚 Char"/>
    <w:qFormat/>
    <w:uiPriority w:val="0"/>
    <w:rPr>
      <w:rFonts w:eastAsia="仿宋_GB2312"/>
      <w:kern w:val="2"/>
      <w:sz w:val="18"/>
      <w:lang w:val="en-US" w:eastAsia="zh-CN"/>
    </w:rPr>
  </w:style>
  <w:style w:type="character" w:customStyle="1" w:styleId="589">
    <w:name w:val="正文文本缩进 3 Char"/>
    <w:link w:val="52"/>
    <w:qFormat/>
    <w:uiPriority w:val="0"/>
    <w:rPr>
      <w:kern w:val="2"/>
      <w:sz w:val="24"/>
    </w:rPr>
  </w:style>
  <w:style w:type="character" w:customStyle="1" w:styleId="590">
    <w:name w:val="正文缩进 Char1"/>
    <w:qFormat/>
    <w:uiPriority w:val="0"/>
    <w:rPr>
      <w:rFonts w:ascii="宋体" w:eastAsia="宋体"/>
      <w:snapToGrid w:val="0"/>
      <w:color w:val="000000"/>
      <w:kern w:val="28"/>
      <w:sz w:val="28"/>
      <w:lang w:val="en-US" w:eastAsia="zh-CN" w:bidi="ar-SA"/>
    </w:rPr>
  </w:style>
  <w:style w:type="character" w:customStyle="1" w:styleId="591">
    <w:name w:val="style36"/>
    <w:basedOn w:val="64"/>
    <w:qFormat/>
    <w:uiPriority w:val="0"/>
  </w:style>
  <w:style w:type="character" w:customStyle="1" w:styleId="592">
    <w:name w:val="hui3"/>
    <w:qFormat/>
    <w:uiPriority w:val="0"/>
    <w:rPr>
      <w:color w:val="333333"/>
    </w:rPr>
  </w:style>
  <w:style w:type="character" w:customStyle="1" w:styleId="593">
    <w:name w:val="apple-converted-space"/>
    <w:qFormat/>
    <w:uiPriority w:val="0"/>
  </w:style>
  <w:style w:type="character" w:customStyle="1" w:styleId="594">
    <w:name w:val="文档结构图 Char"/>
    <w:qFormat/>
    <w:uiPriority w:val="0"/>
    <w:rPr>
      <w:rFonts w:eastAsia="宋体"/>
      <w:kern w:val="2"/>
      <w:sz w:val="21"/>
      <w:szCs w:val="24"/>
      <w:lang w:val="en-US" w:eastAsia="zh-CN" w:bidi="ar-SA"/>
    </w:rPr>
  </w:style>
  <w:style w:type="character" w:customStyle="1" w:styleId="595">
    <w:name w:val="正文非缩进 Char3"/>
    <w:qFormat/>
    <w:uiPriority w:val="0"/>
    <w:rPr>
      <w:rFonts w:ascii="宋体" w:eastAsia="宋体"/>
      <w:snapToGrid w:val="0"/>
      <w:color w:val="000000"/>
      <w:kern w:val="28"/>
      <w:sz w:val="28"/>
      <w:lang w:val="en-US" w:eastAsia="zh-CN" w:bidi="ar-SA"/>
    </w:rPr>
  </w:style>
  <w:style w:type="character" w:customStyle="1" w:styleId="596">
    <w:name w:val="dectext1"/>
    <w:qFormat/>
    <w:uiPriority w:val="0"/>
    <w:rPr>
      <w:rFonts w:ascii="宋体" w:hAnsi="宋体" w:eastAsia="宋体"/>
      <w:color w:val="333333"/>
      <w:sz w:val="21"/>
      <w:szCs w:val="21"/>
      <w:u w:val="none"/>
    </w:rPr>
  </w:style>
  <w:style w:type="character" w:customStyle="1" w:styleId="597">
    <w:name w:val="副标题 Char1"/>
    <w:qFormat/>
    <w:uiPriority w:val="0"/>
    <w:rPr>
      <w:rFonts w:ascii="Cambria" w:hAnsi="Cambria" w:eastAsia="宋体" w:cs="Times New Roman"/>
      <w:b/>
      <w:bCs/>
      <w:snapToGrid w:val="0"/>
      <w:kern w:val="28"/>
      <w:sz w:val="32"/>
      <w:szCs w:val="32"/>
    </w:rPr>
  </w:style>
  <w:style w:type="character" w:customStyle="1" w:styleId="598">
    <w:name w:val="f141"/>
    <w:qFormat/>
    <w:uiPriority w:val="0"/>
    <w:rPr>
      <w:rFonts w:ascii="Tahoma" w:hAnsi="Tahoma" w:eastAsia="宋体"/>
      <w:b/>
      <w:kern w:val="2"/>
      <w:sz w:val="21"/>
      <w:szCs w:val="21"/>
      <w:lang w:val="en-US" w:eastAsia="zh-CN" w:bidi="ar-SA"/>
    </w:rPr>
  </w:style>
  <w:style w:type="character" w:customStyle="1" w:styleId="599">
    <w:name w:val="日期 Char"/>
    <w:link w:val="35"/>
    <w:qFormat/>
    <w:uiPriority w:val="0"/>
    <w:rPr>
      <w:rFonts w:ascii="宋体"/>
      <w:kern w:val="2"/>
      <w:sz w:val="24"/>
      <w:szCs w:val="21"/>
      <w:lang w:val="zh-CN"/>
    </w:rPr>
  </w:style>
  <w:style w:type="character" w:customStyle="1" w:styleId="600">
    <w:name w:val="标题 4 Char"/>
    <w:link w:val="6"/>
    <w:qFormat/>
    <w:uiPriority w:val="0"/>
    <w:rPr>
      <w:rFonts w:ascii="Arial" w:hAnsi="Arial" w:eastAsia="黑体"/>
      <w:b/>
      <w:bCs/>
      <w:kern w:val="2"/>
      <w:sz w:val="28"/>
      <w:szCs w:val="28"/>
      <w:lang w:val="zh-CN"/>
    </w:rPr>
  </w:style>
  <w:style w:type="character" w:customStyle="1" w:styleId="601">
    <w:name w:val="链接"/>
    <w:qFormat/>
    <w:uiPriority w:val="0"/>
    <w:rPr>
      <w:color w:val="0000FF"/>
      <w:sz w:val="21"/>
      <w:szCs w:val="21"/>
      <w:u w:val="single"/>
    </w:rPr>
  </w:style>
  <w:style w:type="character" w:customStyle="1" w:styleId="602">
    <w:name w:val="正文首行缩进 Char Char Char Char Char Char"/>
    <w:qFormat/>
    <w:uiPriority w:val="0"/>
    <w:rPr>
      <w:rFonts w:ascii="宋体" w:eastAsia="宋体"/>
      <w:kern w:val="2"/>
      <w:sz w:val="24"/>
      <w:lang w:val="zh-CN" w:bidi="ar-SA"/>
    </w:rPr>
  </w:style>
  <w:style w:type="character" w:customStyle="1" w:styleId="603">
    <w:name w:val="tw4winError"/>
    <w:qFormat/>
    <w:uiPriority w:val="0"/>
    <w:rPr>
      <w:rFonts w:ascii="Courier New" w:hAnsi="Courier New" w:cs="Courier New"/>
      <w:color w:val="00FF00"/>
      <w:sz w:val="40"/>
      <w:szCs w:val="40"/>
    </w:rPr>
  </w:style>
  <w:style w:type="character" w:customStyle="1" w:styleId="604">
    <w:name w:val="Used by Word for text of Help footnotes Char Char"/>
    <w:semiHidden/>
    <w:qFormat/>
    <w:uiPriority w:val="0"/>
    <w:rPr>
      <w:rFonts w:ascii="Times New Roman" w:hAnsi="Times New Roman" w:eastAsia="宋体" w:cs="Times New Roman"/>
      <w:sz w:val="20"/>
      <w:szCs w:val="20"/>
    </w:rPr>
  </w:style>
  <w:style w:type="character" w:customStyle="1" w:styleId="605">
    <w:name w:val="Char Char31"/>
    <w:semiHidden/>
    <w:qFormat/>
    <w:uiPriority w:val="0"/>
    <w:rPr>
      <w:rFonts w:ascii="Times New Roman" w:hAnsi="Times New Roman" w:eastAsia="宋体" w:cs="Times New Roman"/>
      <w:b/>
      <w:kern w:val="2"/>
      <w:sz w:val="32"/>
      <w:szCs w:val="24"/>
      <w:lang w:val="en-US" w:eastAsia="zh-CN" w:bidi="ar-SA"/>
    </w:rPr>
  </w:style>
  <w:style w:type="character" w:customStyle="1" w:styleId="606">
    <w:name w:val="表正文 Char"/>
    <w:qFormat/>
    <w:uiPriority w:val="0"/>
    <w:rPr>
      <w:rFonts w:ascii="宋体" w:eastAsia="宋体"/>
      <w:snapToGrid w:val="0"/>
      <w:color w:val="000000"/>
      <w:kern w:val="28"/>
      <w:sz w:val="28"/>
      <w:lang w:val="en-US" w:eastAsia="zh-CN" w:bidi="ar-SA"/>
    </w:rPr>
  </w:style>
  <w:style w:type="character" w:customStyle="1" w:styleId="607">
    <w:name w:val="普通文字 Char1 Char"/>
    <w:qFormat/>
    <w:uiPriority w:val="0"/>
    <w:rPr>
      <w:rFonts w:ascii="宋体" w:hAnsi="Courier New" w:eastAsia="宋体"/>
      <w:kern w:val="2"/>
      <w:sz w:val="21"/>
      <w:szCs w:val="24"/>
      <w:lang w:val="en-US" w:eastAsia="zh-CN" w:bidi="ar-SA"/>
    </w:rPr>
  </w:style>
  <w:style w:type="character" w:customStyle="1" w:styleId="608">
    <w:name w:val="pt9"/>
    <w:qFormat/>
    <w:uiPriority w:val="0"/>
    <w:rPr>
      <w:rFonts w:ascii="仿宋_GB2312" w:eastAsia="微软雅黑"/>
      <w:b/>
      <w:kern w:val="2"/>
      <w:sz w:val="32"/>
      <w:szCs w:val="32"/>
      <w:lang w:val="en-US" w:eastAsia="zh-CN" w:bidi="ar-SA"/>
    </w:rPr>
  </w:style>
  <w:style w:type="character" w:customStyle="1" w:styleId="609">
    <w:name w:val="large1"/>
    <w:qFormat/>
    <w:uiPriority w:val="0"/>
    <w:rPr>
      <w:rFonts w:hint="eastAsia" w:ascii="宋体" w:hAnsi="宋体" w:eastAsia="宋体"/>
      <w:sz w:val="21"/>
      <w:szCs w:val="21"/>
    </w:rPr>
  </w:style>
  <w:style w:type="character" w:customStyle="1" w:styleId="610">
    <w:name w:val="样式 样式 标题 4h4H4Fab-4T5Ref Heading 1rh1Heading sqlsect 1.2.3.... +... Char"/>
    <w:link w:val="171"/>
    <w:qFormat/>
    <w:uiPriority w:val="0"/>
    <w:rPr>
      <w:rFonts w:ascii="微软雅黑" w:hAnsi="微软雅黑" w:eastAsia="微软雅黑"/>
      <w:b/>
      <w:bCs/>
      <w:kern w:val="2"/>
      <w:sz w:val="24"/>
      <w:szCs w:val="28"/>
    </w:rPr>
  </w:style>
  <w:style w:type="character" w:customStyle="1" w:styleId="611">
    <w:name w:val="标题 4 Char1"/>
    <w:semiHidden/>
    <w:qFormat/>
    <w:uiPriority w:val="9"/>
    <w:rPr>
      <w:rFonts w:ascii="Cambria" w:hAnsi="Cambria" w:eastAsia="宋体" w:cs="Times New Roman"/>
      <w:b/>
      <w:bCs/>
      <w:kern w:val="2"/>
      <w:sz w:val="28"/>
      <w:szCs w:val="28"/>
    </w:rPr>
  </w:style>
  <w:style w:type="character" w:customStyle="1" w:styleId="612">
    <w:name w:val="tw4winPopup"/>
    <w:qFormat/>
    <w:uiPriority w:val="0"/>
    <w:rPr>
      <w:rFonts w:ascii="Courier New" w:hAnsi="Courier New" w:cs="Courier New"/>
      <w:color w:val="008000"/>
    </w:rPr>
  </w:style>
  <w:style w:type="character" w:customStyle="1" w:styleId="613">
    <w:name w:val="标题 6 Char"/>
    <w:link w:val="8"/>
    <w:qFormat/>
    <w:uiPriority w:val="0"/>
    <w:rPr>
      <w:rFonts w:ascii="Arial" w:hAnsi="Arial" w:eastAsia="黑体"/>
      <w:b/>
      <w:bCs/>
      <w:kern w:val="2"/>
      <w:sz w:val="24"/>
      <w:szCs w:val="24"/>
    </w:rPr>
  </w:style>
  <w:style w:type="character" w:customStyle="1" w:styleId="614">
    <w:name w:val="正文缩进 Char2"/>
    <w:link w:val="16"/>
    <w:qFormat/>
    <w:uiPriority w:val="0"/>
    <w:rPr>
      <w:rFonts w:ascii="宋体" w:eastAsia="宋体"/>
      <w:snapToGrid w:val="0"/>
      <w:color w:val="000000"/>
      <w:kern w:val="28"/>
      <w:sz w:val="28"/>
      <w:lang w:val="en-US" w:eastAsia="zh-CN" w:bidi="ar-SA"/>
    </w:rPr>
  </w:style>
  <w:style w:type="character" w:customStyle="1" w:styleId="615">
    <w:name w:val="批注文字 Char1"/>
    <w:link w:val="20"/>
    <w:qFormat/>
    <w:uiPriority w:val="99"/>
    <w:rPr>
      <w:kern w:val="2"/>
      <w:sz w:val="21"/>
      <w:szCs w:val="24"/>
    </w:rPr>
  </w:style>
  <w:style w:type="character" w:customStyle="1" w:styleId="616">
    <w:name w:val="批注框文本 Char"/>
    <w:link w:val="37"/>
    <w:semiHidden/>
    <w:qFormat/>
    <w:uiPriority w:val="0"/>
    <w:rPr>
      <w:kern w:val="2"/>
      <w:sz w:val="18"/>
      <w:szCs w:val="18"/>
    </w:rPr>
  </w:style>
  <w:style w:type="character" w:customStyle="1" w:styleId="617">
    <w:name w:val="Footer Char"/>
    <w:qFormat/>
    <w:locked/>
    <w:uiPriority w:val="0"/>
    <w:rPr>
      <w:rFonts w:eastAsia="宋体"/>
      <w:kern w:val="2"/>
      <w:sz w:val="18"/>
      <w:lang w:val="en-US" w:eastAsia="zh-CN" w:bidi="ar-SA"/>
    </w:rPr>
  </w:style>
  <w:style w:type="paragraph" w:customStyle="1" w:styleId="618">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19">
    <w:name w:val="索引 11"/>
    <w:basedOn w:val="1"/>
    <w:next w:val="1"/>
    <w:qFormat/>
    <w:uiPriority w:val="0"/>
    <w:pPr>
      <w:adjustRightInd/>
      <w:spacing w:line="360" w:lineRule="auto"/>
    </w:pPr>
    <w:rPr>
      <w:rFonts w:ascii="仿宋_GB2312" w:eastAsia="仿宋_GB2312"/>
      <w:sz w:val="24"/>
      <w:szCs w:val="20"/>
    </w:rPr>
  </w:style>
  <w:style w:type="paragraph" w:customStyle="1" w:styleId="620">
    <w:name w:val="Char Char28"/>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621">
    <w:name w:val="纯文本_0_0"/>
    <w:basedOn w:val="1"/>
    <w:link w:val="622"/>
    <w:qFormat/>
    <w:uiPriority w:val="0"/>
    <w:pPr>
      <w:adjustRightInd/>
    </w:pPr>
    <w:rPr>
      <w:rFonts w:ascii="宋体" w:hAnsi="Courier New"/>
      <w:szCs w:val="21"/>
    </w:rPr>
  </w:style>
  <w:style w:type="character" w:customStyle="1" w:styleId="622">
    <w:name w:val="纯文本 Char_0"/>
    <w:link w:val="621"/>
    <w:qFormat/>
    <w:uiPriority w:val="0"/>
    <w:rPr>
      <w:rFonts w:ascii="宋体" w:hAnsi="Courier New"/>
      <w:kern w:val="2"/>
      <w:sz w:val="21"/>
      <w:szCs w:val="21"/>
      <w:lang w:val="en-US" w:eastAsia="zh-CN"/>
    </w:rPr>
  </w:style>
  <w:style w:type="character" w:customStyle="1" w:styleId="623">
    <w:name w:val="纯文本 Char1"/>
    <w:link w:val="624"/>
    <w:qFormat/>
    <w:uiPriority w:val="0"/>
    <w:rPr>
      <w:rFonts w:ascii="宋体" w:hAnsi="Courier New"/>
    </w:rPr>
  </w:style>
  <w:style w:type="paragraph" w:customStyle="1" w:styleId="624">
    <w:name w:val="纯文本1"/>
    <w:basedOn w:val="1"/>
    <w:link w:val="623"/>
    <w:qFormat/>
    <w:uiPriority w:val="0"/>
    <w:pPr>
      <w:adjustRightInd/>
    </w:pPr>
    <w:rPr>
      <w:rFonts w:ascii="宋体" w:hAnsi="Courier New"/>
      <w:kern w:val="0"/>
      <w:sz w:val="20"/>
      <w:szCs w:val="20"/>
    </w:rPr>
  </w:style>
  <w:style w:type="paragraph" w:customStyle="1" w:styleId="625">
    <w:name w:val="Char Char Char Char Char Char Char2"/>
    <w:basedOn w:val="1"/>
    <w:qFormat/>
    <w:uiPriority w:val="0"/>
    <w:rPr>
      <w:rFonts w:ascii="仿宋_GB2312" w:eastAsia="仿宋_GB2312"/>
      <w:b/>
      <w:sz w:val="32"/>
      <w:szCs w:val="32"/>
    </w:rPr>
  </w:style>
  <w:style w:type="paragraph" w:customStyle="1" w:styleId="626">
    <w:name w:val="Char Char1 Char Char Char Char Char Char2"/>
    <w:basedOn w:val="1"/>
    <w:qFormat/>
    <w:uiPriority w:val="0"/>
    <w:rPr>
      <w:rFonts w:ascii="仿宋_GB2312" w:eastAsia="仿宋_GB2312"/>
      <w:b/>
      <w:sz w:val="32"/>
      <w:szCs w:val="20"/>
    </w:rPr>
  </w:style>
  <w:style w:type="paragraph" w:customStyle="1" w:styleId="627">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628">
    <w:name w:val="Default Char"/>
    <w:link w:val="74"/>
    <w:qFormat/>
    <w:uiPriority w:val="0"/>
    <w:rPr>
      <w:rFonts w:ascii="仿宋_GB2312" w:eastAsia="仿宋_GB2312" w:cs="仿宋_GB2312"/>
      <w:color w:val="000000"/>
      <w:sz w:val="24"/>
      <w:szCs w:val="24"/>
    </w:rPr>
  </w:style>
  <w:style w:type="paragraph" w:customStyle="1" w:styleId="629">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630">
    <w:name w:val="font61"/>
    <w:basedOn w:val="64"/>
    <w:qFormat/>
    <w:uiPriority w:val="0"/>
    <w:rPr>
      <w:rFonts w:hint="eastAsia" w:ascii="仿宋" w:hAnsi="仿宋" w:eastAsia="仿宋" w:cs="仿宋"/>
      <w:snapToGrid w:val="0"/>
      <w:color w:val="000000"/>
      <w:kern w:val="0"/>
      <w:sz w:val="20"/>
      <w:szCs w:val="20"/>
      <w:u w:val="none"/>
    </w:rPr>
  </w:style>
  <w:style w:type="character" w:customStyle="1" w:styleId="631">
    <w:name w:val="font11"/>
    <w:basedOn w:val="64"/>
    <w:qFormat/>
    <w:uiPriority w:val="0"/>
    <w:rPr>
      <w:rFonts w:hint="default" w:ascii="Times New Roman" w:hAnsi="Times New Roman" w:eastAsia="黑体" w:cs="Times New Roman"/>
      <w:snapToGrid w:val="0"/>
      <w:color w:val="000000"/>
      <w:kern w:val="0"/>
      <w:sz w:val="22"/>
      <w:szCs w:val="22"/>
      <w:u w:val="none"/>
    </w:rPr>
  </w:style>
  <w:style w:type="paragraph" w:customStyle="1" w:styleId="632">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633">
    <w:name w:val="*正文 Char"/>
    <w:link w:val="634"/>
    <w:qFormat/>
    <w:locked/>
    <w:uiPriority w:val="0"/>
    <w:rPr>
      <w:rFonts w:ascii="宋体" w:hAnsi="宋体"/>
      <w:sz w:val="24"/>
    </w:rPr>
  </w:style>
  <w:style w:type="paragraph" w:customStyle="1" w:styleId="634">
    <w:name w:val="*正文"/>
    <w:basedOn w:val="1"/>
    <w:link w:val="633"/>
    <w:qFormat/>
    <w:uiPriority w:val="0"/>
    <w:pPr>
      <w:snapToGrid w:val="0"/>
      <w:spacing w:line="360" w:lineRule="auto"/>
      <w:ind w:firstLine="482"/>
      <w:jc w:val="left"/>
    </w:pPr>
    <w:rPr>
      <w:rFonts w:ascii="宋体" w:hAnsi="宋体"/>
      <w:kern w:val="0"/>
      <w:sz w:val="24"/>
      <w:szCs w:val="20"/>
    </w:rPr>
  </w:style>
  <w:style w:type="character" w:customStyle="1" w:styleId="635">
    <w:name w:val="正文文本缩进 Char3"/>
    <w:qFormat/>
    <w:uiPriority w:val="0"/>
    <w:rPr>
      <w:rFonts w:ascii="宋体" w:hAnsi="宋体"/>
      <w:kern w:val="2"/>
      <w:sz w:val="24"/>
      <w:szCs w:val="24"/>
    </w:rPr>
  </w:style>
  <w:style w:type="table" w:customStyle="1" w:styleId="636">
    <w:name w:val="网格型1"/>
    <w:basedOn w:val="62"/>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37">
    <w:name w:val="网格型2"/>
    <w:basedOn w:val="62"/>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38">
    <w:name w:val="_Style 6"/>
    <w:basedOn w:val="1"/>
    <w:qFormat/>
    <w:uiPriority w:val="34"/>
    <w:pPr>
      <w:adjustRightInd/>
      <w:ind w:firstLine="420" w:firstLineChars="200"/>
    </w:pPr>
    <w:rPr>
      <w:rFonts w:eastAsia="仿宋_GB2312"/>
      <w:sz w:val="28"/>
    </w:rPr>
  </w:style>
  <w:style w:type="table" w:customStyle="1" w:styleId="639">
    <w:name w:val="Table Normal"/>
    <w:unhideWhenUsed/>
    <w:qFormat/>
    <w:uiPriority w:val="0"/>
    <w:tblPr>
      <w:tblCellMar>
        <w:top w:w="0" w:type="dxa"/>
        <w:left w:w="0" w:type="dxa"/>
        <w:bottom w:w="0" w:type="dxa"/>
        <w:right w:w="0" w:type="dxa"/>
      </w:tblCellMar>
    </w:tblPr>
  </w:style>
  <w:style w:type="paragraph" w:customStyle="1" w:styleId="640">
    <w:name w:val="Table Paragraph"/>
    <w:basedOn w:val="1"/>
    <w:unhideWhenUsed/>
    <w:qFormat/>
    <w:uiPriority w:val="1"/>
    <w:rPr>
      <w:rFonts w:hint="default"/>
      <w:sz w:val="24"/>
    </w:rPr>
  </w:style>
  <w:style w:type="table" w:customStyle="1" w:styleId="641">
    <w:name w:val="Normal Table_file_679_file_685_file_342_file_351_file_1856_file_1865"/>
    <w:semiHidden/>
    <w:qFormat/>
    <w:uiPriority w:val="0"/>
    <w:rPr>
      <w:rFonts w:ascii="Times New Roman" w:hAnsi="Times New Roman" w:eastAsia="宋体" w:cs="Times New Roman"/>
      <w:kern w:val="0"/>
      <w:sz w:val="20"/>
      <w:szCs w:val="20"/>
    </w:rPr>
    <w:tblPr>
      <w:tblCellMar>
        <w:top w:w="0" w:type="dxa"/>
        <w:left w:w="108" w:type="dxa"/>
        <w:bottom w:w="0" w:type="dxa"/>
        <w:right w:w="108" w:type="dxa"/>
      </w:tblCellMar>
    </w:tblPr>
  </w:style>
  <w:style w:type="paragraph" w:customStyle="1" w:styleId="642">
    <w:name w:val="Plain Text_file_679_file_685_file_342_file_351_file_1856_file_1865"/>
    <w:basedOn w:val="643"/>
    <w:qFormat/>
    <w:uiPriority w:val="0"/>
    <w:rPr>
      <w:rFonts w:ascii="宋体" w:hAnsi="Courier New" w:cs="Courier New"/>
      <w:szCs w:val="21"/>
    </w:rPr>
  </w:style>
  <w:style w:type="paragraph" w:customStyle="1" w:styleId="643">
    <w:name w:val="Normal_file_342_file_351_file_1856_file_1865"/>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杭州市国内经济合作办公室</Company>
  <Pages>106</Pages>
  <Words>4909</Words>
  <Characters>5557</Characters>
  <Lines>380</Lines>
  <Paragraphs>107</Paragraphs>
  <TotalTime>7</TotalTime>
  <ScaleCrop>false</ScaleCrop>
  <LinksUpToDate>false</LinksUpToDate>
  <CharactersWithSpaces>5593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2015-04-28T09:52:00Z</dcterms:created>
  <dc:creator>北海市政府采购中心</dc:creator>
  <cp:lastModifiedBy>L</cp:lastModifiedBy>
  <cp:lastPrinted>2021-10-23T18:37:00Z</cp:lastPrinted>
  <dcterms:modified xsi:type="dcterms:W3CDTF">2026-07-31T05:06:24Z</dcterms:modified>
  <dc:title>北海市政府采购中心</dc:title>
  <cp:revision>748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F30A174EC9864CDA8933F3A4F2A0505A_13</vt:lpwstr>
  </property>
  <property fmtid="{D5CDD505-2E9C-101B-9397-08002B2CF9AE}" pid="4" name="KSOTemplateDocerSaveRecord">
    <vt:lpwstr>eyJoZGlkIjoiZDUzYmU5MzQwMjY5MTlhZGU4ZDQ3NmM4ZGI0OTljN2QiLCJ1c2VySWQiOiI0MDc1ODAxMDMifQ==</vt:lpwstr>
  </property>
</Properties>
</file>