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008F22FE">
      <w:pPr>
        <w:spacing w:line="360" w:lineRule="auto"/>
        <w:jc w:val="center"/>
        <w:rPr>
          <w:rFonts w:hint="eastAsia" w:ascii="宋体" w:hAnsi="宋体" w:eastAsia="宋体" w:cs="宋体"/>
          <w:b/>
          <w:i/>
          <w:iCs/>
          <w:snapToGrid w:val="0"/>
          <w:color w:val="auto"/>
          <w:kern w:val="0"/>
          <w:sz w:val="30"/>
          <w:szCs w:val="30"/>
        </w:rPr>
      </w:pPr>
      <w:r>
        <w:rPr>
          <w:rFonts w:hint="eastAsia" w:ascii="宋体" w:hAnsi="宋体" w:eastAsia="宋体" w:cs="宋体"/>
          <w:b/>
          <w:snapToGrid w:val="0"/>
          <w:color w:val="auto"/>
          <w:kern w:val="0"/>
          <w:sz w:val="30"/>
          <w:szCs w:val="30"/>
        </w:rPr>
        <w:t>设计总说明</w:t>
      </w:r>
    </w:p>
    <w:p w14:paraId="272C54A0">
      <w:pPr>
        <w:pStyle w:val="3"/>
        <w:numPr>
          <w:ilvl w:val="0"/>
          <w:numId w:val="2"/>
        </w:numPr>
        <w:spacing w:before="0" w:after="0" w:line="360" w:lineRule="auto"/>
        <w:ind w:firstLine="482" w:firstLineChars="200"/>
        <w:jc w:val="left"/>
        <w:rPr>
          <w:rFonts w:hint="eastAsia" w:ascii="宋体" w:hAnsi="宋体" w:eastAsia="宋体" w:cs="宋体"/>
          <w:i w:val="0"/>
          <w:iCs w:val="0"/>
          <w:color w:val="auto"/>
        </w:rPr>
      </w:pPr>
      <w:r>
        <w:rPr>
          <w:rFonts w:hint="eastAsia" w:ascii="宋体" w:hAnsi="宋体" w:eastAsia="宋体" w:cs="宋体"/>
          <w:i w:val="0"/>
          <w:iCs w:val="0"/>
          <w:color w:val="auto"/>
          <w:sz w:val="24"/>
          <w:szCs w:val="24"/>
        </w:rPr>
        <w:t>工程概况</w:t>
      </w:r>
    </w:p>
    <w:p w14:paraId="4FDBAC7F">
      <w:pPr>
        <w:spacing w:line="360" w:lineRule="auto"/>
        <w:ind w:firstLine="480" w:firstLineChars="200"/>
        <w:jc w:val="left"/>
        <w:rPr>
          <w:rFonts w:hint="eastAsia" w:ascii="宋体" w:hAnsi="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本项目位于桂林市七星区</w:t>
      </w:r>
      <w:r>
        <w:rPr>
          <w:rFonts w:hint="eastAsia" w:ascii="宋体" w:hAnsi="宋体" w:cs="宋体"/>
          <w:snapToGrid w:val="0"/>
          <w:color w:val="auto"/>
          <w:kern w:val="0"/>
          <w:sz w:val="24"/>
          <w:szCs w:val="24"/>
          <w:lang w:val="en-US" w:eastAsia="zh-CN"/>
        </w:rPr>
        <w:t>毛</w:t>
      </w:r>
      <w:r>
        <w:rPr>
          <w:rFonts w:hint="eastAsia" w:ascii="宋体" w:hAnsi="宋体" w:eastAsia="宋体" w:cs="宋体"/>
          <w:snapToGrid w:val="0"/>
          <w:color w:val="auto"/>
          <w:kern w:val="0"/>
          <w:sz w:val="24"/>
          <w:szCs w:val="24"/>
          <w:lang w:val="en-US" w:eastAsia="zh-CN"/>
        </w:rPr>
        <w:t>家村，村屯内道路四通八达，交通便利，具备良好的施工条件。</w:t>
      </w:r>
      <w:r>
        <w:rPr>
          <w:rFonts w:hint="eastAsia" w:ascii="宋体" w:hAnsi="宋体" w:eastAsia="宋体" w:cs="宋体"/>
          <w:color w:val="auto"/>
          <w:sz w:val="24"/>
          <w:szCs w:val="22"/>
          <w:highlight w:val="none"/>
          <w:lang w:val="zh-CN"/>
        </w:rPr>
        <w:t>建设农村</w:t>
      </w:r>
      <w:r>
        <w:rPr>
          <w:rFonts w:hint="eastAsia" w:ascii="宋体" w:hAnsi="宋体" w:eastAsia="宋体" w:cs="宋体"/>
          <w:color w:val="auto"/>
          <w:sz w:val="24"/>
          <w:szCs w:val="22"/>
          <w:highlight w:val="none"/>
          <w:lang w:val="en-US" w:eastAsia="zh-CN"/>
        </w:rPr>
        <w:t>地埋分散</w:t>
      </w:r>
      <w:r>
        <w:rPr>
          <w:rFonts w:hint="eastAsia" w:ascii="宋体" w:hAnsi="宋体" w:eastAsia="宋体" w:cs="宋体"/>
          <w:color w:val="auto"/>
          <w:sz w:val="24"/>
          <w:szCs w:val="22"/>
          <w:highlight w:val="none"/>
          <w:lang w:eastAsia="zh-CN"/>
        </w:rPr>
        <w:t>式污水处理站</w:t>
      </w:r>
      <w:r>
        <w:rPr>
          <w:rFonts w:hint="eastAsia" w:ascii="宋体" w:hAnsi="宋体" w:cs="宋体"/>
          <w:color w:val="auto"/>
          <w:sz w:val="24"/>
          <w:szCs w:val="22"/>
          <w:highlight w:val="none"/>
          <w:lang w:val="en-US" w:eastAsia="zh-CN"/>
        </w:rPr>
        <w:t>1</w:t>
      </w:r>
      <w:r>
        <w:rPr>
          <w:rFonts w:hint="eastAsia" w:ascii="宋体" w:hAnsi="宋体" w:eastAsia="宋体" w:cs="宋体"/>
          <w:color w:val="auto"/>
          <w:sz w:val="24"/>
          <w:szCs w:val="22"/>
          <w:highlight w:val="none"/>
          <w:lang w:val="zh-CN"/>
        </w:rPr>
        <w:t>座，处理规模为</w:t>
      </w:r>
      <w:r>
        <w:rPr>
          <w:rFonts w:hint="eastAsia" w:ascii="宋体" w:hAnsi="宋体" w:cs="宋体"/>
          <w:color w:val="auto"/>
          <w:sz w:val="24"/>
          <w:szCs w:val="22"/>
          <w:highlight w:val="none"/>
          <w:lang w:val="en-US" w:eastAsia="zh-CN"/>
        </w:rPr>
        <w:t>30</w:t>
      </w:r>
      <w:r>
        <w:rPr>
          <w:rFonts w:hint="eastAsia" w:ascii="宋体" w:hAnsi="宋体" w:eastAsia="宋体" w:cs="宋体"/>
          <w:color w:val="auto"/>
          <w:sz w:val="24"/>
          <w:szCs w:val="22"/>
          <w:highlight w:val="none"/>
        </w:rPr>
        <w:t>m</w:t>
      </w:r>
      <w:r>
        <w:rPr>
          <w:rFonts w:hint="eastAsia" w:ascii="宋体" w:hAnsi="宋体" w:eastAsia="宋体" w:cs="宋体"/>
          <w:color w:val="auto"/>
          <w:sz w:val="24"/>
          <w:szCs w:val="22"/>
          <w:highlight w:val="none"/>
          <w:vertAlign w:val="superscript"/>
        </w:rPr>
        <w:t>3</w:t>
      </w:r>
      <w:r>
        <w:rPr>
          <w:rFonts w:hint="eastAsia" w:ascii="宋体" w:hAnsi="宋体" w:eastAsia="宋体" w:cs="宋体"/>
          <w:color w:val="auto"/>
          <w:sz w:val="24"/>
          <w:szCs w:val="22"/>
          <w:highlight w:val="none"/>
        </w:rPr>
        <w:t>/d</w:t>
      </w:r>
      <w:r>
        <w:rPr>
          <w:rFonts w:hint="eastAsia" w:ascii="宋体" w:hAnsi="宋体" w:eastAsia="宋体" w:cs="宋体"/>
          <w:color w:val="auto"/>
          <w:sz w:val="24"/>
          <w:szCs w:val="22"/>
          <w:highlight w:val="none"/>
          <w:lang w:eastAsia="zh-CN"/>
        </w:rPr>
        <w:t>，</w:t>
      </w:r>
      <w:r>
        <w:rPr>
          <w:rFonts w:hint="eastAsia" w:ascii="宋体" w:hAnsi="宋体" w:eastAsia="宋体" w:cs="宋体"/>
          <w:snapToGrid w:val="0"/>
          <w:color w:val="auto"/>
          <w:kern w:val="0"/>
          <w:sz w:val="24"/>
          <w:szCs w:val="24"/>
          <w:lang w:val="en-US" w:eastAsia="zh-CN"/>
        </w:rPr>
        <w:t>采用的工艺为</w:t>
      </w:r>
      <w:r>
        <w:rPr>
          <w:rFonts w:hint="eastAsia" w:ascii="宋体" w:hAnsi="宋体" w:eastAsia="宋体" w:cs="宋体"/>
          <w:color w:val="auto"/>
          <w:sz w:val="24"/>
          <w:szCs w:val="22"/>
          <w:highlight w:val="none"/>
        </w:rPr>
        <w:t>FBBR固定床生物膜工艺</w:t>
      </w:r>
      <w:r>
        <w:rPr>
          <w:rFonts w:hint="eastAsia" w:ascii="宋体" w:hAnsi="宋体" w:eastAsia="宋体" w:cs="宋体"/>
          <w:color w:val="auto"/>
          <w:sz w:val="24"/>
          <w:szCs w:val="22"/>
          <w:highlight w:val="none"/>
          <w:lang w:val="en-US" w:eastAsia="zh-CN"/>
        </w:rPr>
        <w:t>。</w:t>
      </w:r>
      <w:r>
        <w:rPr>
          <w:rFonts w:hint="eastAsia" w:ascii="宋体" w:hAnsi="宋体" w:eastAsia="宋体" w:cs="宋体"/>
          <w:snapToGrid w:val="0"/>
          <w:color w:val="auto"/>
          <w:kern w:val="0"/>
          <w:sz w:val="24"/>
          <w:szCs w:val="24"/>
          <w:lang w:val="en-US" w:eastAsia="zh-CN"/>
        </w:rPr>
        <w:t>受益户数约</w:t>
      </w:r>
      <w:r>
        <w:rPr>
          <w:rFonts w:hint="eastAsia" w:ascii="宋体" w:hAnsi="宋体" w:cs="宋体"/>
          <w:snapToGrid w:val="0"/>
          <w:color w:val="auto"/>
          <w:kern w:val="0"/>
          <w:sz w:val="24"/>
          <w:szCs w:val="24"/>
          <w:lang w:val="en-US" w:eastAsia="zh-CN"/>
        </w:rPr>
        <w:t>60</w:t>
      </w:r>
      <w:r>
        <w:rPr>
          <w:rFonts w:hint="eastAsia" w:ascii="宋体" w:hAnsi="宋体" w:eastAsia="宋体" w:cs="宋体"/>
          <w:snapToGrid w:val="0"/>
          <w:color w:val="auto"/>
          <w:kern w:val="0"/>
          <w:sz w:val="24"/>
          <w:szCs w:val="24"/>
          <w:lang w:val="en-US" w:eastAsia="zh-CN"/>
        </w:rPr>
        <w:t>户，受益人口约</w:t>
      </w:r>
      <w:r>
        <w:rPr>
          <w:rFonts w:hint="eastAsia" w:ascii="宋体" w:hAnsi="宋体" w:cs="宋体"/>
          <w:snapToGrid w:val="0"/>
          <w:color w:val="auto"/>
          <w:kern w:val="0"/>
          <w:sz w:val="24"/>
          <w:szCs w:val="24"/>
          <w:lang w:val="en-US" w:eastAsia="zh-CN"/>
        </w:rPr>
        <w:t>280</w:t>
      </w:r>
      <w:r>
        <w:rPr>
          <w:rFonts w:hint="eastAsia" w:ascii="宋体" w:hAnsi="宋体" w:eastAsia="宋体" w:cs="宋体"/>
          <w:snapToGrid w:val="0"/>
          <w:color w:val="auto"/>
          <w:kern w:val="0"/>
          <w:sz w:val="24"/>
          <w:szCs w:val="24"/>
          <w:lang w:val="en-US" w:eastAsia="zh-CN"/>
        </w:rPr>
        <w:t>人。</w:t>
      </w:r>
    </w:p>
    <w:p w14:paraId="15782DD7">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设计依据及参考资料</w:t>
      </w:r>
    </w:p>
    <w:p w14:paraId="1C138C08">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《室外排水设计标准》（GB 50014-2021）；</w:t>
      </w:r>
    </w:p>
    <w:p w14:paraId="1681D36B">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《镇（乡）村排水工程技术规范》（CJJ 124-2008）；</w:t>
      </w:r>
    </w:p>
    <w:p w14:paraId="4007117C">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《给水排水管道工程施工及验收规范》（GB 50268-2008）；</w:t>
      </w:r>
    </w:p>
    <w:p w14:paraId="278212E8">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《给水排水工程管道结构设计规范》（GB 50332-2002）；</w:t>
      </w:r>
    </w:p>
    <w:p w14:paraId="046251FD">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《给水排水构筑物工程施工及验收规范》（GB 50141-2008）；</w:t>
      </w:r>
    </w:p>
    <w:p w14:paraId="2F40D71D">
      <w:pPr>
        <w:pStyle w:val="71"/>
        <w:numPr>
          <w:ilvl w:val="0"/>
          <w:numId w:val="3"/>
        </w:numPr>
        <w:snapToGrid/>
        <w:ind w:firstLine="480"/>
        <w:rPr>
          <w:rFonts w:hint="eastAsia" w:ascii="宋体" w:hAnsi="宋体" w:eastAsia="宋体" w:cs="宋体"/>
          <w:color w:val="auto"/>
        </w:rPr>
      </w:pPr>
      <w:r>
        <w:rPr>
          <w:rFonts w:hint="eastAsia" w:ascii="宋体" w:hAnsi="宋体" w:eastAsia="宋体" w:cs="宋体"/>
          <w:color w:val="auto"/>
        </w:rPr>
        <w:t>《城市排水工程规划规范》（GB 50318-2017）；</w:t>
      </w:r>
    </w:p>
    <w:p w14:paraId="65A6B6BB">
      <w:pPr>
        <w:pStyle w:val="71"/>
        <w:snapToGrid/>
        <w:ind w:firstLine="480"/>
        <w:jc w:val="left"/>
        <w:rPr>
          <w:rFonts w:hint="eastAsia" w:ascii="宋体" w:hAnsi="宋体" w:eastAsia="宋体" w:cs="宋体"/>
          <w:color w:val="auto"/>
        </w:rPr>
      </w:pPr>
      <w:r>
        <w:rPr>
          <w:rFonts w:hint="eastAsia" w:ascii="宋体" w:hAnsi="宋体" w:eastAsia="宋体" w:cs="宋体"/>
          <w:color w:val="auto"/>
        </w:rPr>
        <w:t>8、《室外给水排水和燃气热力工程抗震设计规范》（GB 50032-2003）；</w:t>
      </w:r>
    </w:p>
    <w:p w14:paraId="51525AA6">
      <w:pPr>
        <w:pStyle w:val="71"/>
        <w:snapToGrid/>
        <w:ind w:firstLine="480"/>
        <w:jc w:val="left"/>
        <w:rPr>
          <w:rFonts w:hint="eastAsia" w:ascii="宋体" w:hAnsi="宋体" w:eastAsia="宋体" w:cs="宋体"/>
          <w:color w:val="auto"/>
        </w:rPr>
      </w:pPr>
      <w:r>
        <w:rPr>
          <w:rFonts w:hint="eastAsia" w:ascii="宋体" w:hAnsi="宋体" w:eastAsia="宋体" w:cs="宋体"/>
          <w:color w:val="auto"/>
        </w:rPr>
        <w:t>9、《民用建筑节水设计标准》（GB 50555-2010）；</w:t>
      </w:r>
    </w:p>
    <w:p w14:paraId="43C80CB4">
      <w:pPr>
        <w:pStyle w:val="71"/>
        <w:snapToGrid/>
        <w:ind w:firstLine="480"/>
        <w:jc w:val="left"/>
        <w:rPr>
          <w:rFonts w:hint="eastAsia" w:ascii="宋体" w:hAnsi="宋体" w:eastAsia="宋体" w:cs="宋体"/>
          <w:color w:val="auto"/>
        </w:rPr>
      </w:pPr>
      <w:r>
        <w:rPr>
          <w:rFonts w:hint="eastAsia" w:ascii="宋体" w:hAnsi="宋体" w:eastAsia="宋体" w:cs="宋体"/>
          <w:color w:val="auto"/>
        </w:rPr>
        <w:t>10、《建筑给水排水设计</w:t>
      </w:r>
      <w:r>
        <w:rPr>
          <w:rFonts w:hint="eastAsia" w:ascii="宋体" w:hAnsi="宋体" w:eastAsia="宋体" w:cs="宋体"/>
          <w:color w:val="auto"/>
          <w:lang w:val="en-US" w:eastAsia="zh-CN"/>
        </w:rPr>
        <w:t>标准</w:t>
      </w:r>
      <w:r>
        <w:rPr>
          <w:rFonts w:hint="eastAsia" w:ascii="宋体" w:hAnsi="宋体" w:eastAsia="宋体" w:cs="宋体"/>
          <w:color w:val="auto"/>
        </w:rPr>
        <w:t>》（GB 50015-2019）；</w:t>
      </w:r>
    </w:p>
    <w:p w14:paraId="784F5CEB">
      <w:pPr>
        <w:pStyle w:val="71"/>
        <w:snapToGrid/>
        <w:ind w:firstLine="480"/>
        <w:jc w:val="left"/>
        <w:rPr>
          <w:rFonts w:hint="eastAsia" w:ascii="宋体" w:hAnsi="宋体" w:eastAsia="宋体" w:cs="宋体"/>
          <w:color w:val="auto"/>
        </w:rPr>
      </w:pPr>
      <w:r>
        <w:rPr>
          <w:rFonts w:hint="eastAsia" w:ascii="宋体" w:hAnsi="宋体" w:eastAsia="宋体" w:cs="宋体"/>
          <w:color w:val="auto"/>
          <w:lang w:val="en-US" w:eastAsia="zh-CN"/>
        </w:rPr>
        <w:t>11、《</w:t>
      </w:r>
      <w:r>
        <w:rPr>
          <w:rFonts w:hint="eastAsia" w:ascii="宋体" w:hAnsi="宋体" w:eastAsia="宋体" w:cs="宋体"/>
          <w:color w:val="auto"/>
        </w:rPr>
        <w:t>农村生活污水处理设施水污染物排放标准</w:t>
      </w:r>
      <w:r>
        <w:rPr>
          <w:rFonts w:hint="eastAsia" w:ascii="宋体" w:hAnsi="宋体" w:eastAsia="宋体" w:cs="宋体"/>
          <w:color w:val="auto"/>
          <w:lang w:val="en-US" w:eastAsia="zh-CN"/>
        </w:rPr>
        <w:t>》（</w:t>
      </w:r>
      <w:r>
        <w:rPr>
          <w:rFonts w:hint="eastAsia" w:ascii="宋体" w:hAnsi="宋体" w:eastAsia="宋体" w:cs="宋体"/>
          <w:color w:val="auto"/>
        </w:rPr>
        <w:t>DB45_2413-2021</w:t>
      </w:r>
      <w:r>
        <w:rPr>
          <w:rFonts w:hint="eastAsia" w:ascii="宋体" w:hAnsi="宋体" w:eastAsia="宋体" w:cs="宋体"/>
          <w:color w:val="auto"/>
          <w:lang w:val="en-US" w:eastAsia="zh-CN"/>
        </w:rPr>
        <w:t>）</w:t>
      </w:r>
    </w:p>
    <w:p w14:paraId="3D661CCF">
      <w:pPr>
        <w:pStyle w:val="71"/>
        <w:snapToGrid/>
        <w:ind w:firstLine="480"/>
        <w:jc w:val="left"/>
        <w:rPr>
          <w:rFonts w:hint="eastAsia" w:ascii="宋体" w:hAnsi="宋体" w:eastAsia="宋体" w:cs="宋体"/>
          <w:color w:val="auto"/>
        </w:rPr>
      </w:pPr>
      <w:r>
        <w:rPr>
          <w:rFonts w:hint="eastAsia" w:ascii="宋体" w:hAnsi="宋体" w:eastAsia="宋体" w:cs="宋体"/>
          <w:color w:val="auto"/>
        </w:rPr>
        <w:t>12、《市政公用工程设计文件编制深度规定》（2013年版）；</w:t>
      </w:r>
    </w:p>
    <w:p w14:paraId="1A9B046C">
      <w:pPr>
        <w:pStyle w:val="71"/>
        <w:snapToGrid/>
        <w:ind w:firstLine="480"/>
        <w:jc w:val="left"/>
        <w:rPr>
          <w:rFonts w:hint="eastAsia" w:ascii="宋体" w:hAnsi="宋体" w:eastAsia="宋体" w:cs="宋体"/>
          <w:snapToGrid w:val="0"/>
          <w:color w:val="auto"/>
          <w:kern w:val="0"/>
        </w:rPr>
      </w:pPr>
      <w:r>
        <w:rPr>
          <w:rFonts w:hint="eastAsia" w:ascii="宋体" w:hAnsi="宋体" w:eastAsia="宋体" w:cs="宋体"/>
          <w:color w:val="auto"/>
        </w:rPr>
        <w:t>13、</w:t>
      </w:r>
      <w:r>
        <w:rPr>
          <w:rFonts w:hint="eastAsia" w:ascii="宋体" w:hAnsi="宋体" w:eastAsia="宋体" w:cs="宋体"/>
          <w:snapToGrid w:val="0"/>
          <w:color w:val="auto"/>
          <w:kern w:val="0"/>
        </w:rPr>
        <w:t>《检查井盖》(GB/T23858-2009)；</w:t>
      </w:r>
    </w:p>
    <w:p w14:paraId="6D5AB0C0">
      <w:pPr>
        <w:pStyle w:val="71"/>
        <w:snapToGrid/>
        <w:ind w:firstLine="480"/>
        <w:jc w:val="left"/>
        <w:rPr>
          <w:rFonts w:hint="eastAsia" w:ascii="宋体" w:hAnsi="宋体" w:eastAsia="宋体" w:cs="宋体"/>
          <w:snapToGrid w:val="0"/>
          <w:color w:val="auto"/>
          <w:kern w:val="0"/>
        </w:rPr>
      </w:pPr>
      <w:r>
        <w:rPr>
          <w:rFonts w:hint="eastAsia" w:ascii="宋体" w:hAnsi="宋体" w:eastAsia="宋体" w:cs="宋体"/>
          <w:snapToGrid w:val="0"/>
          <w:color w:val="auto"/>
          <w:kern w:val="0"/>
        </w:rPr>
        <w:t>14、《铸铁检查井盖》(CJ/T511-2017)；</w:t>
      </w:r>
    </w:p>
    <w:p w14:paraId="24F8A651">
      <w:pPr>
        <w:pStyle w:val="71"/>
        <w:snapToGrid/>
        <w:ind w:firstLine="480"/>
        <w:rPr>
          <w:rFonts w:hint="eastAsia" w:ascii="宋体" w:hAnsi="宋体" w:eastAsia="宋体" w:cs="宋体"/>
          <w:color w:val="auto"/>
        </w:rPr>
      </w:pPr>
      <w:r>
        <w:rPr>
          <w:rFonts w:hint="eastAsia" w:ascii="宋体" w:hAnsi="宋体" w:eastAsia="宋体" w:cs="宋体"/>
          <w:color w:val="auto"/>
        </w:rPr>
        <w:t>15、《市政排水管道工程及附属设施》（06MS201）；</w:t>
      </w:r>
    </w:p>
    <w:p w14:paraId="447166D5">
      <w:pPr>
        <w:pStyle w:val="71"/>
        <w:snapToGrid/>
        <w:ind w:firstLine="480"/>
        <w:rPr>
          <w:rFonts w:hint="eastAsia" w:ascii="宋体" w:hAnsi="宋体" w:eastAsia="宋体" w:cs="宋体"/>
          <w:color w:val="auto"/>
        </w:rPr>
      </w:pPr>
      <w:r>
        <w:rPr>
          <w:rFonts w:hint="eastAsia" w:ascii="宋体" w:hAnsi="宋体" w:eastAsia="宋体" w:cs="宋体"/>
          <w:color w:val="auto"/>
        </w:rPr>
        <w:t>16、《钢筋混凝土及砖砌排水检查井》（20S515）；</w:t>
      </w:r>
    </w:p>
    <w:p w14:paraId="6A347B24">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17、《小城镇污水处理建设标准》建标148-2010；</w:t>
      </w:r>
    </w:p>
    <w:p w14:paraId="7E02FCFA">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18、《国家电网公司380/220V架空配电线路典型设计（2014版）》；</w:t>
      </w:r>
    </w:p>
    <w:p w14:paraId="3819BD60">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19、《低压配电系统设计规范》 GB50052-2024；</w:t>
      </w:r>
    </w:p>
    <w:p w14:paraId="40F7D591">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20、《交流电气装置的接地设计规范》 GB50065-2018；</w:t>
      </w:r>
    </w:p>
    <w:p w14:paraId="36D96A00">
      <w:pPr>
        <w:pStyle w:val="71"/>
        <w:snapToGrid/>
        <w:ind w:firstLine="480"/>
        <w:rPr>
          <w:rFonts w:hint="eastAsia" w:ascii="宋体" w:hAnsi="宋体" w:eastAsia="宋体" w:cs="宋体"/>
          <w:color w:val="auto"/>
          <w:highlight w:val="none"/>
        </w:rPr>
      </w:pPr>
      <w:r>
        <w:rPr>
          <w:rFonts w:hint="eastAsia" w:ascii="宋体" w:hAnsi="宋体" w:eastAsia="宋体" w:cs="宋体"/>
          <w:color w:val="auto"/>
          <w:highlight w:val="none"/>
        </w:rPr>
        <w:t>21、《建筑物防雷设计规范》GB50057-2022；</w:t>
      </w:r>
    </w:p>
    <w:p w14:paraId="32878D59">
      <w:pPr>
        <w:pStyle w:val="71"/>
        <w:snapToGrid/>
        <w:ind w:firstLine="480"/>
        <w:rPr>
          <w:rFonts w:hint="eastAsia" w:ascii="宋体" w:hAnsi="宋体" w:eastAsia="宋体" w:cs="宋体"/>
          <w:color w:val="auto"/>
          <w:highlight w:val="none"/>
          <w:lang w:eastAsia="zh-CN"/>
        </w:rPr>
      </w:pPr>
      <w:r>
        <w:rPr>
          <w:rFonts w:hint="eastAsia" w:ascii="宋体" w:hAnsi="宋体" w:eastAsia="宋体" w:cs="宋体"/>
          <w:color w:val="auto"/>
          <w:highlight w:val="none"/>
        </w:rPr>
        <w:t>22、《电力工程电缆设计标准》GB50217-2022</w:t>
      </w:r>
      <w:r>
        <w:rPr>
          <w:rFonts w:hint="eastAsia" w:ascii="宋体" w:hAnsi="宋体" w:eastAsia="宋体" w:cs="宋体"/>
          <w:color w:val="auto"/>
          <w:highlight w:val="none"/>
          <w:lang w:eastAsia="zh-CN"/>
        </w:rPr>
        <w:t>；</w:t>
      </w:r>
    </w:p>
    <w:p w14:paraId="7D1F4D23">
      <w:pPr>
        <w:pStyle w:val="71"/>
        <w:snapToGrid/>
        <w:ind w:firstLine="480"/>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23</w:t>
      </w:r>
      <w:r>
        <w:rPr>
          <w:rFonts w:hint="eastAsia" w:ascii="宋体" w:hAnsi="宋体" w:eastAsia="宋体" w:cs="宋体"/>
          <w:color w:val="auto"/>
          <w:highlight w:val="none"/>
        </w:rPr>
        <w:t>、《建筑与市政工程抗震通用规范》（GB55002-2021）。</w:t>
      </w:r>
    </w:p>
    <w:p w14:paraId="28BB5244">
      <w:pPr>
        <w:pStyle w:val="3"/>
        <w:numPr>
          <w:ilvl w:val="0"/>
          <w:numId w:val="2"/>
        </w:numPr>
        <w:spacing w:before="0" w:after="0" w:line="360" w:lineRule="auto"/>
        <w:ind w:firstLine="482"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一体化污水处理站设计</w:t>
      </w:r>
    </w:p>
    <w:p w14:paraId="513B3DBB">
      <w:pPr>
        <w:pStyle w:val="3"/>
        <w:numPr>
          <w:ilvl w:val="0"/>
          <w:numId w:val="0"/>
        </w:numPr>
        <w:spacing w:before="0" w:after="0" w:line="360" w:lineRule="auto"/>
        <w:ind w:left="482" w:leftChars="0"/>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（一）工艺设计</w:t>
      </w:r>
    </w:p>
    <w:p w14:paraId="3E8727D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1、设计规模</w:t>
      </w:r>
    </w:p>
    <w:p w14:paraId="495A16F0">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bookmarkStart w:id="0" w:name="_GoBack"/>
      <w:bookmarkEnd w:id="0"/>
      <w:r>
        <w:rPr>
          <w:rFonts w:hint="eastAsia" w:ascii="宋体" w:hAnsi="宋体" w:eastAsia="宋体" w:cs="宋体"/>
          <w:snapToGrid w:val="0"/>
          <w:color w:val="auto"/>
          <w:kern w:val="0"/>
          <w:sz w:val="24"/>
          <w:szCs w:val="24"/>
          <w:highlight w:val="none"/>
          <w:lang w:val="en-US" w:eastAsia="zh-CN"/>
        </w:rPr>
        <w:t>本项目污水处理站设计处理规模为</w:t>
      </w: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0m3/d。</w:t>
      </w:r>
    </w:p>
    <w:p w14:paraId="567E649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2、工艺流程</w:t>
      </w:r>
    </w:p>
    <w:p w14:paraId="6F61038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本工程采用两微智能污水一体化处理设备，利用生长于填料表面的微生物同步达到去除COD，脱氮除磷的效果，出水水质达到广西壮族自治区《农村生活污水处理设施水污染物排放标准》（DB45_2413-2021）中的一级标准。</w:t>
      </w:r>
    </w:p>
    <w:p w14:paraId="523145D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生活污水→格栅井→调节池→一体化设备→回用水池→达标排放。</w:t>
      </w:r>
    </w:p>
    <w:p w14:paraId="41643C6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3、设计进出水水质</w:t>
      </w:r>
    </w:p>
    <w:p w14:paraId="2E94BA4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出水水质达到广西壮族自治区《农村生活污水处理设施水污染物排放标准》（DB45_2413-2021）中的一级标准。</w:t>
      </w:r>
    </w:p>
    <w:tbl>
      <w:tblPr>
        <w:tblStyle w:val="51"/>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88"/>
        <w:gridCol w:w="1587"/>
        <w:gridCol w:w="1514"/>
        <w:gridCol w:w="1648"/>
        <w:gridCol w:w="1758"/>
        <w:gridCol w:w="1783"/>
      </w:tblGrid>
      <w:tr w14:paraId="4E521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4" w:hRule="atLeast"/>
          <w:tblHeader/>
          <w:jc w:val="center"/>
        </w:trPr>
        <w:tc>
          <w:tcPr>
            <w:tcW w:w="927" w:type="pct"/>
            <w:noWrap w:val="0"/>
            <w:vAlign w:val="center"/>
          </w:tcPr>
          <w:p w14:paraId="24C91AD8">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指标</w:t>
            </w:r>
          </w:p>
        </w:tc>
        <w:tc>
          <w:tcPr>
            <w:tcW w:w="779" w:type="pct"/>
            <w:noWrap w:val="0"/>
            <w:vAlign w:val="center"/>
          </w:tcPr>
          <w:p w14:paraId="4F3F0327">
            <w:pPr>
              <w:pStyle w:val="114"/>
              <w:rPr>
                <w:rFonts w:hint="eastAsia" w:ascii="宋体" w:hAnsi="宋体" w:eastAsia="宋体" w:cs="宋体"/>
                <w:color w:val="auto"/>
                <w:sz w:val="24"/>
                <w:szCs w:val="24"/>
                <w:highlight w:val="none"/>
                <w:vertAlign w:val="subscript"/>
              </w:rPr>
            </w:pPr>
            <w:r>
              <w:rPr>
                <w:rFonts w:hint="eastAsia" w:ascii="宋体" w:hAnsi="宋体" w:eastAsia="宋体" w:cs="宋体"/>
                <w:color w:val="auto"/>
                <w:sz w:val="24"/>
                <w:szCs w:val="24"/>
                <w:highlight w:val="none"/>
              </w:rPr>
              <w:t>COD</w:t>
            </w:r>
            <w:r>
              <w:rPr>
                <w:rFonts w:hint="eastAsia" w:ascii="宋体" w:hAnsi="宋体" w:eastAsia="宋体" w:cs="宋体"/>
                <w:color w:val="auto"/>
                <w:sz w:val="24"/>
                <w:szCs w:val="24"/>
                <w:highlight w:val="none"/>
                <w:vertAlign w:val="subscript"/>
              </w:rPr>
              <w:t>cr</w:t>
            </w:r>
          </w:p>
          <w:p w14:paraId="21B331E1">
            <w:pPr>
              <w:pStyle w:val="114"/>
              <w:rPr>
                <w:rFonts w:hint="eastAsia" w:ascii="宋体" w:hAnsi="宋体" w:eastAsia="宋体" w:cs="宋体"/>
                <w:color w:val="auto"/>
                <w:sz w:val="24"/>
                <w:szCs w:val="24"/>
                <w:highlight w:val="none"/>
                <w:vertAlign w:val="subscript"/>
              </w:rPr>
            </w:pPr>
            <w:r>
              <w:rPr>
                <w:rFonts w:hint="eastAsia" w:ascii="宋体" w:hAnsi="宋体" w:eastAsia="宋体" w:cs="宋体"/>
                <w:color w:val="auto"/>
                <w:sz w:val="24"/>
                <w:szCs w:val="24"/>
                <w:highlight w:val="none"/>
              </w:rPr>
              <w:t>(mg/L)</w:t>
            </w:r>
          </w:p>
        </w:tc>
        <w:tc>
          <w:tcPr>
            <w:tcW w:w="743" w:type="pct"/>
            <w:noWrap w:val="0"/>
            <w:vAlign w:val="center"/>
          </w:tcPr>
          <w:p w14:paraId="65F50E2B">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SS</w:t>
            </w:r>
          </w:p>
          <w:p w14:paraId="7EC40BBA">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09" w:type="pct"/>
            <w:noWrap w:val="0"/>
            <w:vAlign w:val="center"/>
          </w:tcPr>
          <w:p w14:paraId="5E28693C">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NH</w:t>
            </w:r>
            <w:r>
              <w:rPr>
                <w:rFonts w:hint="eastAsia" w:ascii="宋体" w:hAnsi="宋体" w:eastAsia="宋体" w:cs="宋体"/>
                <w:color w:val="auto"/>
                <w:sz w:val="24"/>
                <w:szCs w:val="24"/>
                <w:highlight w:val="none"/>
                <w:vertAlign w:val="subscript"/>
              </w:rPr>
              <w:t>3</w:t>
            </w:r>
            <w:r>
              <w:rPr>
                <w:rFonts w:hint="eastAsia" w:ascii="宋体" w:hAnsi="宋体" w:eastAsia="宋体" w:cs="宋体"/>
                <w:color w:val="auto"/>
                <w:sz w:val="24"/>
                <w:szCs w:val="24"/>
                <w:highlight w:val="none"/>
              </w:rPr>
              <w:t>-N</w:t>
            </w:r>
          </w:p>
          <w:p w14:paraId="34319FAF">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63" w:type="pct"/>
            <w:noWrap w:val="0"/>
            <w:vAlign w:val="center"/>
          </w:tcPr>
          <w:p w14:paraId="4E87AD4E">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TN</w:t>
            </w:r>
          </w:p>
          <w:p w14:paraId="27DAD68E">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(mg/L)</w:t>
            </w:r>
          </w:p>
        </w:tc>
        <w:tc>
          <w:tcPr>
            <w:tcW w:w="875" w:type="pct"/>
            <w:noWrap w:val="0"/>
            <w:vAlign w:val="center"/>
          </w:tcPr>
          <w:p w14:paraId="58D297B3">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TP</w:t>
            </w:r>
          </w:p>
          <w:p w14:paraId="71763562">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(mg/L)</w:t>
            </w:r>
          </w:p>
        </w:tc>
      </w:tr>
      <w:tr w14:paraId="2CB94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7" w:type="pct"/>
            <w:noWrap w:val="0"/>
            <w:vAlign w:val="center"/>
          </w:tcPr>
          <w:p w14:paraId="1BC23608">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进水水质</w:t>
            </w:r>
          </w:p>
        </w:tc>
        <w:tc>
          <w:tcPr>
            <w:tcW w:w="779" w:type="pct"/>
            <w:noWrap w:val="0"/>
            <w:vAlign w:val="center"/>
          </w:tcPr>
          <w:p w14:paraId="1CBBC39B">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250</w:t>
            </w:r>
          </w:p>
        </w:tc>
        <w:tc>
          <w:tcPr>
            <w:tcW w:w="743" w:type="pct"/>
            <w:noWrap w:val="0"/>
            <w:vAlign w:val="center"/>
          </w:tcPr>
          <w:p w14:paraId="7C860E6A">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16</w:t>
            </w:r>
          </w:p>
        </w:tc>
        <w:tc>
          <w:tcPr>
            <w:tcW w:w="809" w:type="pct"/>
            <w:noWrap w:val="0"/>
            <w:vAlign w:val="center"/>
          </w:tcPr>
          <w:p w14:paraId="0107E9B6">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40</w:t>
            </w:r>
          </w:p>
        </w:tc>
        <w:tc>
          <w:tcPr>
            <w:tcW w:w="863" w:type="pct"/>
            <w:noWrap w:val="0"/>
            <w:vAlign w:val="center"/>
          </w:tcPr>
          <w:p w14:paraId="56088644">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w:t>
            </w:r>
          </w:p>
        </w:tc>
        <w:tc>
          <w:tcPr>
            <w:tcW w:w="875" w:type="pct"/>
            <w:noWrap w:val="0"/>
            <w:vAlign w:val="center"/>
          </w:tcPr>
          <w:p w14:paraId="26A9E973">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4</w:t>
            </w:r>
          </w:p>
        </w:tc>
      </w:tr>
      <w:tr w14:paraId="6880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927" w:type="pct"/>
            <w:noWrap w:val="0"/>
            <w:vAlign w:val="center"/>
          </w:tcPr>
          <w:p w14:paraId="4FC239C6">
            <w:pPr>
              <w:pStyle w:val="114"/>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出水水质</w:t>
            </w:r>
          </w:p>
        </w:tc>
        <w:tc>
          <w:tcPr>
            <w:tcW w:w="779" w:type="pct"/>
            <w:noWrap w:val="0"/>
            <w:vAlign w:val="center"/>
          </w:tcPr>
          <w:p w14:paraId="7787AAFE">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60</w:t>
            </w:r>
          </w:p>
        </w:tc>
        <w:tc>
          <w:tcPr>
            <w:tcW w:w="743" w:type="pct"/>
            <w:noWrap w:val="0"/>
            <w:vAlign w:val="center"/>
          </w:tcPr>
          <w:p w14:paraId="26706FD4">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p>
        </w:tc>
        <w:tc>
          <w:tcPr>
            <w:tcW w:w="809" w:type="pct"/>
            <w:noWrap w:val="0"/>
            <w:vAlign w:val="center"/>
          </w:tcPr>
          <w:p w14:paraId="43CE3444">
            <w:pPr>
              <w:pStyle w:val="114"/>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8（15）</w:t>
            </w:r>
          </w:p>
        </w:tc>
        <w:tc>
          <w:tcPr>
            <w:tcW w:w="863" w:type="pct"/>
            <w:noWrap w:val="0"/>
            <w:vAlign w:val="center"/>
          </w:tcPr>
          <w:p w14:paraId="0322890A">
            <w:pPr>
              <w:pStyle w:val="114"/>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20</w:t>
            </w:r>
          </w:p>
        </w:tc>
        <w:tc>
          <w:tcPr>
            <w:tcW w:w="875" w:type="pct"/>
            <w:noWrap w:val="0"/>
            <w:vAlign w:val="center"/>
          </w:tcPr>
          <w:p w14:paraId="283D6CBF">
            <w:pPr>
              <w:pStyle w:val="114"/>
              <w:ind w:firstLine="0" w:firstLineChars="0"/>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1.5</w:t>
            </w:r>
          </w:p>
        </w:tc>
      </w:tr>
    </w:tbl>
    <w:p w14:paraId="0AB1358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括号外的数值为水温＞12 ℃的控制指标，括号内的数值为水温≤12 ℃的控制指标。</w:t>
      </w:r>
    </w:p>
    <w:p w14:paraId="6F997265">
      <w:pPr>
        <w:numPr>
          <w:ilvl w:val="0"/>
          <w:numId w:val="0"/>
        </w:numPr>
        <w:spacing w:line="360" w:lineRule="auto"/>
        <w:ind w:leftChars="200"/>
        <w:jc w:val="left"/>
        <w:rPr>
          <w:rFonts w:hint="eastAsia" w:ascii="宋体" w:hAnsi="宋体" w:eastAsia="宋体" w:cs="宋体"/>
          <w:b/>
          <w:bCs/>
          <w:snapToGrid w:val="0"/>
          <w:color w:val="auto"/>
          <w:kern w:val="0"/>
          <w:sz w:val="24"/>
          <w:szCs w:val="24"/>
          <w:highlight w:val="none"/>
        </w:rPr>
      </w:pPr>
      <w:r>
        <w:rPr>
          <w:rFonts w:hint="eastAsia" w:ascii="宋体" w:hAnsi="宋体" w:cs="宋体"/>
          <w:b/>
          <w:bCs/>
          <w:snapToGrid w:val="0"/>
          <w:color w:val="auto"/>
          <w:kern w:val="0"/>
          <w:sz w:val="24"/>
          <w:szCs w:val="24"/>
          <w:highlight w:val="none"/>
          <w:lang w:val="en-US" w:eastAsia="zh-CN"/>
        </w:rPr>
        <w:t>4、</w:t>
      </w:r>
      <w:r>
        <w:rPr>
          <w:rFonts w:hint="eastAsia" w:ascii="宋体" w:hAnsi="宋体" w:eastAsia="宋体" w:cs="宋体"/>
          <w:b/>
          <w:bCs/>
          <w:snapToGrid w:val="0"/>
          <w:color w:val="auto"/>
          <w:kern w:val="0"/>
          <w:sz w:val="24"/>
          <w:szCs w:val="24"/>
          <w:highlight w:val="none"/>
          <w:lang w:val="en-US" w:eastAsia="zh-CN"/>
        </w:rPr>
        <w:t>工艺</w:t>
      </w:r>
      <w:r>
        <w:rPr>
          <w:rFonts w:hint="eastAsia" w:ascii="宋体" w:hAnsi="宋体" w:eastAsia="宋体" w:cs="宋体"/>
          <w:b/>
          <w:bCs/>
          <w:snapToGrid w:val="0"/>
          <w:color w:val="auto"/>
          <w:kern w:val="0"/>
          <w:sz w:val="24"/>
          <w:szCs w:val="24"/>
          <w:highlight w:val="none"/>
        </w:rPr>
        <w:t>设计</w:t>
      </w:r>
    </w:p>
    <w:p w14:paraId="7F3432C9">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（1）</w:t>
      </w:r>
      <w:r>
        <w:rPr>
          <w:rFonts w:hint="eastAsia" w:ascii="宋体" w:hAnsi="宋体" w:eastAsia="宋体" w:cs="宋体"/>
          <w:b/>
          <w:bCs/>
          <w:snapToGrid w:val="0"/>
          <w:color w:val="auto"/>
          <w:kern w:val="0"/>
          <w:sz w:val="24"/>
          <w:szCs w:val="24"/>
          <w:highlight w:val="none"/>
          <w:lang w:val="en-US" w:eastAsia="zh-CN"/>
        </w:rPr>
        <w:t>格栅井及调节池</w:t>
      </w:r>
    </w:p>
    <w:p w14:paraId="01E8862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设计功能：拦截污水中的杂物、渣滓；</w:t>
      </w:r>
    </w:p>
    <w:p w14:paraId="18B8011D">
      <w:pPr>
        <w:spacing w:line="360" w:lineRule="auto"/>
        <w:ind w:firstLine="480" w:firstLineChars="200"/>
        <w:jc w:val="left"/>
        <w:rPr>
          <w:rFonts w:hint="eastAsia" w:ascii="宋体" w:hAnsi="宋体" w:eastAsia="宋体" w:cs="宋体"/>
          <w:snapToGrid w:val="0"/>
          <w:color w:val="auto"/>
          <w:kern w:val="0"/>
          <w:sz w:val="24"/>
          <w:szCs w:val="24"/>
          <w:highlight w:val="none"/>
          <w:lang w:eastAsia="zh-CN"/>
        </w:rPr>
      </w:pP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格栅设计流量：Q平均=</w:t>
      </w:r>
      <w:r>
        <w:rPr>
          <w:rFonts w:hint="eastAsia" w:ascii="宋体" w:hAnsi="宋体" w:eastAsia="宋体" w:cs="宋体"/>
          <w:snapToGrid w:val="0"/>
          <w:color w:val="auto"/>
          <w:kern w:val="0"/>
          <w:sz w:val="24"/>
          <w:szCs w:val="24"/>
          <w:highlight w:val="none"/>
          <w:lang w:val="en-US" w:eastAsia="zh-CN"/>
        </w:rPr>
        <w:t>2.5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/h，变化系数Kz=2.</w:t>
      </w:r>
      <w:r>
        <w:rPr>
          <w:rFonts w:hint="eastAsia" w:ascii="宋体" w:hAnsi="宋体" w:eastAsia="宋体" w:cs="宋体"/>
          <w:snapToGrid w:val="0"/>
          <w:color w:val="auto"/>
          <w:kern w:val="0"/>
          <w:sz w:val="24"/>
          <w:szCs w:val="24"/>
          <w:highlight w:val="none"/>
          <w:lang w:val="en-US" w:eastAsia="zh-CN"/>
        </w:rPr>
        <w:t>7</w:t>
      </w:r>
      <w:r>
        <w:rPr>
          <w:rFonts w:hint="eastAsia" w:ascii="宋体" w:hAnsi="宋体" w:eastAsia="宋体" w:cs="宋体"/>
          <w:snapToGrid w:val="0"/>
          <w:color w:val="auto"/>
          <w:kern w:val="0"/>
          <w:sz w:val="24"/>
          <w:szCs w:val="24"/>
          <w:highlight w:val="none"/>
        </w:rPr>
        <w:t>，Qmax=</w:t>
      </w:r>
      <w:r>
        <w:rPr>
          <w:rFonts w:hint="eastAsia" w:ascii="宋体" w:hAnsi="宋体" w:eastAsia="宋体" w:cs="宋体"/>
          <w:snapToGrid w:val="0"/>
          <w:color w:val="auto"/>
          <w:kern w:val="0"/>
          <w:sz w:val="24"/>
          <w:szCs w:val="24"/>
          <w:highlight w:val="none"/>
          <w:lang w:val="en-US" w:eastAsia="zh-CN"/>
        </w:rPr>
        <w:t>6.75</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/h</w:t>
      </w:r>
      <w:r>
        <w:rPr>
          <w:rFonts w:hint="eastAsia" w:ascii="宋体" w:hAnsi="宋体" w:eastAsia="宋体" w:cs="宋体"/>
          <w:snapToGrid w:val="0"/>
          <w:color w:val="auto"/>
          <w:kern w:val="0"/>
          <w:sz w:val="24"/>
          <w:szCs w:val="24"/>
          <w:highlight w:val="none"/>
          <w:lang w:eastAsia="zh-CN"/>
        </w:rPr>
        <w:t>。</w:t>
      </w:r>
    </w:p>
    <w:p w14:paraId="26353C0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主要设备材料：</w:t>
      </w:r>
    </w:p>
    <w:p w14:paraId="609471D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不锈钢平面格栅，1套，尺寸</w:t>
      </w:r>
      <w:r>
        <w:rPr>
          <w:rFonts w:hint="eastAsia" w:ascii="宋体" w:hAnsi="宋体" w:cs="宋体"/>
          <w:snapToGrid w:val="0"/>
          <w:color w:val="auto"/>
          <w:kern w:val="0"/>
          <w:sz w:val="24"/>
          <w:szCs w:val="24"/>
          <w:highlight w:val="none"/>
          <w:lang w:val="en-US" w:eastAsia="zh-CN"/>
        </w:rPr>
        <w:t>80</w:t>
      </w:r>
      <w:r>
        <w:rPr>
          <w:rFonts w:hint="eastAsia" w:ascii="宋体" w:hAnsi="宋体" w:eastAsia="宋体" w:cs="宋体"/>
          <w:snapToGrid w:val="0"/>
          <w:color w:val="auto"/>
          <w:kern w:val="0"/>
          <w:sz w:val="24"/>
          <w:szCs w:val="24"/>
          <w:highlight w:val="none"/>
          <w:lang w:val="en-US" w:eastAsia="zh-CN"/>
        </w:rPr>
        <w:t>0×700；</w:t>
      </w:r>
    </w:p>
    <w:p w14:paraId="6B7B858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潜污泵，</w:t>
      </w: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lang w:val="en-US" w:eastAsia="zh-CN"/>
        </w:rPr>
        <w:t>台，流量</w:t>
      </w:r>
      <w:r>
        <w:rPr>
          <w:rFonts w:hint="eastAsia" w:ascii="宋体" w:hAnsi="宋体" w:cs="宋体"/>
          <w:snapToGrid w:val="0"/>
          <w:color w:val="auto"/>
          <w:kern w:val="0"/>
          <w:sz w:val="24"/>
          <w:szCs w:val="24"/>
          <w:highlight w:val="none"/>
          <w:lang w:val="en-US" w:eastAsia="zh-CN"/>
        </w:rPr>
        <w:t>1.5</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/h，扬程</w:t>
      </w:r>
      <w:r>
        <w:rPr>
          <w:rFonts w:hint="eastAsia" w:ascii="宋体" w:hAnsi="宋体" w:cs="宋体"/>
          <w:snapToGrid w:val="0"/>
          <w:color w:val="auto"/>
          <w:kern w:val="0"/>
          <w:sz w:val="24"/>
          <w:szCs w:val="24"/>
          <w:highlight w:val="none"/>
          <w:lang w:val="en-US" w:eastAsia="zh-CN"/>
        </w:rPr>
        <w:t>12</w:t>
      </w:r>
      <w:r>
        <w:rPr>
          <w:rFonts w:hint="eastAsia" w:ascii="宋体" w:hAnsi="宋体" w:eastAsia="宋体" w:cs="宋体"/>
          <w:snapToGrid w:val="0"/>
          <w:color w:val="auto"/>
          <w:kern w:val="0"/>
          <w:sz w:val="24"/>
          <w:szCs w:val="24"/>
          <w:highlight w:val="none"/>
          <w:lang w:val="en-US" w:eastAsia="zh-CN"/>
        </w:rPr>
        <w:t>m，功率</w:t>
      </w:r>
      <w:r>
        <w:rPr>
          <w:rFonts w:hint="eastAsia" w:ascii="宋体" w:hAnsi="宋体" w:cs="宋体"/>
          <w:snapToGrid w:val="0"/>
          <w:color w:val="auto"/>
          <w:kern w:val="0"/>
          <w:sz w:val="24"/>
          <w:szCs w:val="24"/>
          <w:highlight w:val="none"/>
          <w:lang w:val="en-US" w:eastAsia="zh-CN"/>
        </w:rPr>
        <w:t>25</w:t>
      </w:r>
      <w:r>
        <w:rPr>
          <w:rFonts w:hint="eastAsia" w:ascii="宋体" w:hAnsi="宋体" w:eastAsia="宋体" w:cs="宋体"/>
          <w:snapToGrid w:val="0"/>
          <w:color w:val="auto"/>
          <w:kern w:val="0"/>
          <w:sz w:val="24"/>
          <w:szCs w:val="24"/>
          <w:highlight w:val="none"/>
          <w:lang w:val="en-US" w:eastAsia="zh-CN"/>
        </w:rPr>
        <w:t>0W。</w:t>
      </w:r>
    </w:p>
    <w:p w14:paraId="01674E3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浮球液位计0~5m，4~20mA。</w:t>
      </w:r>
    </w:p>
    <w:p w14:paraId="7C4D1110">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rPr>
      </w:pPr>
      <w:r>
        <w:rPr>
          <w:rFonts w:hint="eastAsia" w:ascii="宋体" w:hAnsi="宋体" w:cs="宋体"/>
          <w:b/>
          <w:bCs/>
          <w:snapToGrid w:val="0"/>
          <w:color w:val="auto"/>
          <w:kern w:val="0"/>
          <w:sz w:val="24"/>
          <w:szCs w:val="24"/>
          <w:highlight w:val="none"/>
          <w:lang w:val="en-US" w:eastAsia="zh-CN"/>
        </w:rPr>
        <w:t>（2）</w:t>
      </w:r>
      <w:r>
        <w:rPr>
          <w:rFonts w:hint="eastAsia" w:ascii="宋体" w:hAnsi="宋体" w:eastAsia="宋体" w:cs="宋体"/>
          <w:b/>
          <w:bCs/>
          <w:snapToGrid w:val="0"/>
          <w:color w:val="auto"/>
          <w:kern w:val="0"/>
          <w:sz w:val="24"/>
          <w:szCs w:val="24"/>
          <w:highlight w:val="none"/>
          <w:lang w:val="en-US" w:eastAsia="zh-CN"/>
        </w:rPr>
        <w:t>两微智能污水一体化处理设备</w:t>
      </w:r>
    </w:p>
    <w:p w14:paraId="06FEE4F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rPr>
        <w:t>设计功能：去除各类污染物、固液分离。</w:t>
      </w:r>
    </w:p>
    <w:p w14:paraId="42CB7E6B">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rPr>
        <w:t>设备规格：直径</w:t>
      </w:r>
      <w:r>
        <w:rPr>
          <w:rFonts w:hint="eastAsia" w:ascii="宋体" w:hAnsi="宋体" w:eastAsia="宋体" w:cs="宋体"/>
          <w:snapToGrid w:val="0"/>
          <w:color w:val="auto"/>
          <w:kern w:val="0"/>
          <w:sz w:val="24"/>
          <w:szCs w:val="24"/>
          <w:highlight w:val="none"/>
          <w:lang w:val="en-US" w:eastAsia="zh-CN"/>
        </w:rPr>
        <w:t>1.82</w:t>
      </w:r>
      <w:r>
        <w:rPr>
          <w:rFonts w:hint="eastAsia" w:ascii="宋体" w:hAnsi="宋体" w:eastAsia="宋体" w:cs="宋体"/>
          <w:snapToGrid w:val="0"/>
          <w:color w:val="auto"/>
          <w:kern w:val="0"/>
          <w:sz w:val="24"/>
          <w:szCs w:val="24"/>
          <w:highlight w:val="none"/>
        </w:rPr>
        <w:t>m，高2.</w:t>
      </w:r>
      <w:r>
        <w:rPr>
          <w:rFonts w:hint="eastAsia" w:ascii="宋体" w:hAnsi="宋体" w:eastAsia="宋体" w:cs="宋体"/>
          <w:snapToGrid w:val="0"/>
          <w:color w:val="auto"/>
          <w:kern w:val="0"/>
          <w:sz w:val="24"/>
          <w:szCs w:val="24"/>
          <w:highlight w:val="none"/>
          <w:lang w:val="en-US" w:eastAsia="zh-CN"/>
        </w:rPr>
        <w:t>45</w:t>
      </w:r>
      <w:r>
        <w:rPr>
          <w:rFonts w:hint="eastAsia" w:ascii="宋体" w:hAnsi="宋体" w:eastAsia="宋体" w:cs="宋体"/>
          <w:snapToGrid w:val="0"/>
          <w:color w:val="auto"/>
          <w:kern w:val="0"/>
          <w:sz w:val="24"/>
          <w:szCs w:val="24"/>
          <w:highlight w:val="none"/>
        </w:rPr>
        <w:t>m，</w:t>
      </w: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套</w:t>
      </w:r>
      <w:r>
        <w:rPr>
          <w:rFonts w:hint="eastAsia" w:ascii="宋体" w:hAnsi="宋体" w:eastAsia="宋体" w:cs="宋体"/>
          <w:snapToGrid w:val="0"/>
          <w:color w:val="auto"/>
          <w:kern w:val="0"/>
          <w:sz w:val="24"/>
          <w:szCs w:val="24"/>
          <w:highlight w:val="none"/>
        </w:rPr>
        <w:t>。</w:t>
      </w:r>
    </w:p>
    <w:p w14:paraId="792D9518">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设备材质：滚塑，PE。</w:t>
      </w:r>
    </w:p>
    <w:p w14:paraId="3EF936C5">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4)</w:t>
      </w:r>
      <w:r>
        <w:rPr>
          <w:rFonts w:hint="eastAsia" w:ascii="宋体" w:hAnsi="宋体" w:eastAsia="宋体" w:cs="宋体"/>
          <w:snapToGrid w:val="0"/>
          <w:color w:val="auto"/>
          <w:kern w:val="0"/>
          <w:sz w:val="24"/>
          <w:szCs w:val="24"/>
          <w:highlight w:val="none"/>
        </w:rPr>
        <w:t>设计参数：</w:t>
      </w:r>
    </w:p>
    <w:p w14:paraId="34257F67">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表面有机负荷：5</w:t>
      </w:r>
      <w:r>
        <w:rPr>
          <w:rFonts w:hint="eastAsia" w:ascii="宋体" w:hAnsi="宋体" w:eastAsia="宋体" w:cs="宋体"/>
          <w:snapToGrid w:val="0"/>
          <w:color w:val="auto"/>
          <w:kern w:val="0"/>
          <w:sz w:val="24"/>
          <w:szCs w:val="24"/>
          <w:highlight w:val="none"/>
        </w:rPr>
        <w:t>gBOD/</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·d</w:t>
      </w:r>
    </w:p>
    <w:p w14:paraId="6B6D5EA3">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表面硝化负荷：0.5</w:t>
      </w:r>
      <w:r>
        <w:rPr>
          <w:rFonts w:hint="eastAsia" w:ascii="宋体" w:hAnsi="宋体" w:eastAsia="宋体" w:cs="宋体"/>
          <w:snapToGrid w:val="0"/>
          <w:color w:val="auto"/>
          <w:kern w:val="0"/>
          <w:sz w:val="24"/>
          <w:szCs w:val="24"/>
          <w:highlight w:val="none"/>
        </w:rPr>
        <w:t>gNH3-Ng/</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·d</w:t>
      </w:r>
    </w:p>
    <w:p w14:paraId="207A851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填料比表面积：≥260m</w:t>
      </w:r>
      <w:r>
        <w:rPr>
          <w:rFonts w:hint="eastAsia" w:ascii="宋体" w:hAnsi="宋体" w:eastAsia="宋体" w:cs="宋体"/>
          <w:snapToGrid w:val="0"/>
          <w:color w:val="auto"/>
          <w:kern w:val="0"/>
          <w:sz w:val="24"/>
          <w:szCs w:val="24"/>
          <w:highlight w:val="none"/>
          <w:vertAlign w:val="superscript"/>
          <w:lang w:val="en-US" w:eastAsia="zh-CN"/>
        </w:rPr>
        <w:t>2</w:t>
      </w: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m3</w:t>
      </w:r>
    </w:p>
    <w:p w14:paraId="15C7E5B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④</w:t>
      </w:r>
      <w:r>
        <w:rPr>
          <w:rFonts w:hint="eastAsia" w:ascii="宋体" w:hAnsi="宋体" w:eastAsia="宋体" w:cs="宋体"/>
          <w:snapToGrid w:val="0"/>
          <w:color w:val="auto"/>
          <w:kern w:val="0"/>
          <w:sz w:val="24"/>
          <w:szCs w:val="24"/>
          <w:highlight w:val="none"/>
          <w:lang w:val="en-US" w:eastAsia="zh-CN"/>
        </w:rPr>
        <w:t>有效容积：28m</w:t>
      </w:r>
      <w:r>
        <w:rPr>
          <w:rFonts w:hint="eastAsia" w:ascii="宋体" w:hAnsi="宋体" w:eastAsia="宋体" w:cs="宋体"/>
          <w:snapToGrid w:val="0"/>
          <w:color w:val="auto"/>
          <w:kern w:val="0"/>
          <w:sz w:val="24"/>
          <w:szCs w:val="24"/>
          <w:highlight w:val="none"/>
          <w:vertAlign w:val="superscript"/>
          <w:lang w:val="en-US" w:eastAsia="zh-CN"/>
        </w:rPr>
        <w:t>3</w:t>
      </w:r>
    </w:p>
    <w:p w14:paraId="7604EC3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⑤</w:t>
      </w:r>
      <w:r>
        <w:rPr>
          <w:rFonts w:hint="eastAsia" w:ascii="宋体" w:hAnsi="宋体" w:eastAsia="宋体" w:cs="宋体"/>
          <w:snapToGrid w:val="0"/>
          <w:color w:val="auto"/>
          <w:kern w:val="0"/>
          <w:sz w:val="24"/>
          <w:szCs w:val="24"/>
          <w:highlight w:val="none"/>
          <w:lang w:val="en-US" w:eastAsia="zh-CN"/>
        </w:rPr>
        <w:t>总停留时间：11.2h</w:t>
      </w:r>
    </w:p>
    <w:p w14:paraId="05C062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5)</w:t>
      </w:r>
      <w:r>
        <w:rPr>
          <w:rFonts w:hint="eastAsia" w:ascii="宋体" w:hAnsi="宋体" w:eastAsia="宋体" w:cs="宋体"/>
          <w:snapToGrid w:val="0"/>
          <w:color w:val="auto"/>
          <w:kern w:val="0"/>
          <w:sz w:val="24"/>
          <w:szCs w:val="24"/>
          <w:highlight w:val="none"/>
          <w:lang w:val="en-US" w:eastAsia="zh-CN"/>
        </w:rPr>
        <w:t>主要设备材料：</w:t>
      </w:r>
    </w:p>
    <w:p w14:paraId="30E6C682">
      <w:pPr>
        <w:spacing w:line="360" w:lineRule="auto"/>
        <w:ind w:firstLine="480" w:firstLineChars="200"/>
        <w:jc w:val="left"/>
        <w:rPr>
          <w:rFonts w:hint="default"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VFG填料及支架，曝气盘及支架等附件</w:t>
      </w:r>
      <w:r>
        <w:rPr>
          <w:rFonts w:hint="eastAsia" w:ascii="宋体" w:hAnsi="宋体" w:cs="宋体"/>
          <w:snapToGrid w:val="0"/>
          <w:color w:val="auto"/>
          <w:kern w:val="0"/>
          <w:sz w:val="24"/>
          <w:szCs w:val="24"/>
          <w:highlight w:val="none"/>
          <w:lang w:val="en-US" w:eastAsia="zh-CN"/>
        </w:rPr>
        <w:t>;</w:t>
      </w:r>
    </w:p>
    <w:p w14:paraId="6CA5F0A1">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rPr>
        <w:t>风机：风量</w:t>
      </w:r>
      <w:r>
        <w:rPr>
          <w:rFonts w:hint="eastAsia" w:ascii="宋体" w:hAnsi="宋体" w:eastAsia="宋体" w:cs="宋体"/>
          <w:snapToGrid w:val="0"/>
          <w:color w:val="auto"/>
          <w:kern w:val="0"/>
          <w:sz w:val="24"/>
          <w:szCs w:val="24"/>
          <w:highlight w:val="none"/>
          <w:lang w:val="en-US" w:eastAsia="zh-CN"/>
        </w:rPr>
        <w:t>60</w:t>
      </w:r>
      <w:r>
        <w:rPr>
          <w:rFonts w:hint="eastAsia" w:ascii="宋体" w:hAnsi="宋体" w:eastAsia="宋体" w:cs="宋体"/>
          <w:snapToGrid w:val="0"/>
          <w:color w:val="auto"/>
          <w:kern w:val="0"/>
          <w:sz w:val="24"/>
          <w:szCs w:val="24"/>
          <w:highlight w:val="none"/>
        </w:rPr>
        <w:t>L/min，</w:t>
      </w:r>
      <w:r>
        <w:rPr>
          <w:rFonts w:hint="eastAsia" w:ascii="宋体" w:hAnsi="宋体" w:eastAsia="宋体" w:cs="宋体"/>
          <w:snapToGrid w:val="0"/>
          <w:color w:val="auto"/>
          <w:kern w:val="0"/>
          <w:sz w:val="24"/>
          <w:szCs w:val="24"/>
          <w:highlight w:val="none"/>
          <w:lang w:val="en-US" w:eastAsia="zh-CN"/>
        </w:rPr>
        <w:t>14.7</w:t>
      </w:r>
      <w:r>
        <w:rPr>
          <w:rFonts w:hint="eastAsia" w:ascii="宋体" w:hAnsi="宋体" w:eastAsia="宋体" w:cs="宋体"/>
          <w:snapToGrid w:val="0"/>
          <w:color w:val="auto"/>
          <w:kern w:val="0"/>
          <w:sz w:val="24"/>
          <w:szCs w:val="24"/>
          <w:highlight w:val="none"/>
        </w:rPr>
        <w:t>kPa，</w:t>
      </w:r>
      <w:r>
        <w:rPr>
          <w:rFonts w:hint="eastAsia" w:ascii="宋体" w:hAnsi="宋体" w:eastAsia="宋体" w:cs="宋体"/>
          <w:snapToGrid w:val="0"/>
          <w:color w:val="auto"/>
          <w:kern w:val="0"/>
          <w:sz w:val="24"/>
          <w:szCs w:val="24"/>
          <w:highlight w:val="none"/>
          <w:lang w:val="en-US" w:eastAsia="zh-CN"/>
        </w:rPr>
        <w:t>40</w:t>
      </w:r>
      <w:r>
        <w:rPr>
          <w:rFonts w:hint="eastAsia" w:ascii="宋体" w:hAnsi="宋体" w:eastAsia="宋体" w:cs="宋体"/>
          <w:snapToGrid w:val="0"/>
          <w:color w:val="auto"/>
          <w:kern w:val="0"/>
          <w:sz w:val="24"/>
          <w:szCs w:val="24"/>
          <w:highlight w:val="none"/>
        </w:rPr>
        <w:t>W，</w:t>
      </w:r>
      <w:r>
        <w:rPr>
          <w:rFonts w:hint="eastAsia" w:ascii="宋体" w:hAnsi="宋体" w:cs="宋体"/>
          <w:snapToGrid w:val="0"/>
          <w:color w:val="auto"/>
          <w:kern w:val="0"/>
          <w:sz w:val="24"/>
          <w:szCs w:val="24"/>
          <w:highlight w:val="none"/>
          <w:lang w:val="en-US" w:eastAsia="zh-CN"/>
        </w:rPr>
        <w:t>3</w:t>
      </w:r>
      <w:r>
        <w:rPr>
          <w:rFonts w:hint="eastAsia" w:ascii="宋体" w:hAnsi="宋体" w:eastAsia="宋体" w:cs="宋体"/>
          <w:snapToGrid w:val="0"/>
          <w:color w:val="auto"/>
          <w:kern w:val="0"/>
          <w:sz w:val="24"/>
          <w:szCs w:val="24"/>
          <w:highlight w:val="none"/>
          <w:lang w:val="en-US" w:eastAsia="zh-CN"/>
        </w:rPr>
        <w:t>台</w:t>
      </w:r>
      <w:r>
        <w:rPr>
          <w:rFonts w:hint="eastAsia" w:ascii="宋体" w:hAnsi="宋体" w:eastAsia="宋体" w:cs="宋体"/>
          <w:snapToGrid w:val="0"/>
          <w:color w:val="auto"/>
          <w:kern w:val="0"/>
          <w:sz w:val="24"/>
          <w:szCs w:val="24"/>
          <w:highlight w:val="none"/>
        </w:rPr>
        <w:t>。</w:t>
      </w:r>
    </w:p>
    <w:p w14:paraId="5E116E8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详细设备参数、技术性能（以单个智水宝为</w:t>
      </w:r>
      <w:r>
        <w:rPr>
          <w:rFonts w:hint="eastAsia" w:ascii="宋体" w:hAnsi="宋体" w:cs="宋体"/>
          <w:snapToGrid w:val="0"/>
          <w:color w:val="auto"/>
          <w:kern w:val="0"/>
          <w:sz w:val="24"/>
          <w:szCs w:val="24"/>
          <w:highlight w:val="none"/>
          <w:lang w:val="en-US" w:eastAsia="zh-CN"/>
        </w:rPr>
        <w:t>例</w:t>
      </w:r>
      <w:r>
        <w:rPr>
          <w:rFonts w:hint="eastAsia" w:ascii="宋体" w:hAnsi="宋体" w:eastAsia="宋体" w:cs="宋体"/>
          <w:snapToGrid w:val="0"/>
          <w:color w:val="auto"/>
          <w:kern w:val="0"/>
          <w:sz w:val="24"/>
          <w:szCs w:val="24"/>
          <w:highlight w:val="none"/>
          <w:lang w:val="en-US" w:eastAsia="zh-CN"/>
        </w:rPr>
        <w:t>）：</w:t>
      </w:r>
    </w:p>
    <w:p w14:paraId="07DE97D8">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安装方式：地埋式；</w:t>
      </w:r>
    </w:p>
    <w:p w14:paraId="339642D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COD处理负荷不小于3kg COD/m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d，最大日处理量不低于10m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/d。</w:t>
      </w:r>
    </w:p>
    <w:p w14:paraId="370708AA">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设备采用竖罐，直径1820mm，高度2500mm，容积5m3，为满足不同的埋深，配备检修口直径800mm，高度分别为300mm、480mm和1100mm的加高检修口，上述误差控制在±2%内；</w:t>
      </w:r>
    </w:p>
    <w:p w14:paraId="2B82250E">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为确保强度，桶体加强筋包括8道立筋，6道横筋，顶上具有16道筋，与桶体一体成型。</w:t>
      </w:r>
    </w:p>
    <w:p w14:paraId="59AEBF5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6)</w:t>
      </w:r>
      <w:r>
        <w:rPr>
          <w:rFonts w:hint="eastAsia" w:ascii="宋体" w:hAnsi="宋体" w:eastAsia="宋体" w:cs="宋体"/>
          <w:snapToGrid w:val="0"/>
          <w:color w:val="auto"/>
          <w:kern w:val="0"/>
          <w:sz w:val="24"/>
          <w:szCs w:val="24"/>
          <w:highlight w:val="none"/>
          <w:lang w:val="en-US" w:eastAsia="zh-CN"/>
        </w:rPr>
        <w:t>固定床生物膜工艺</w:t>
      </w:r>
    </w:p>
    <w:p w14:paraId="764DA60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固定床生物膜工艺内的填料（FBBR填料）以固定状态填充于生物反应器内，填料填充体积占反应器总体积超过80%。</w:t>
      </w:r>
    </w:p>
    <w:p w14:paraId="0067E45E">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FBBR填料由多块波纹板片螺杆串装而成的弯曲导流规整填料；每块波纹板片粘接后每层填料顶部/底部构成菱形孔隙，中部如漏斗般逐渐收缩；层与层之间交叉叠放，使得菱形管腔通道中心竖直对着下一层通道的交叉点。</w:t>
      </w:r>
    </w:p>
    <w:p w14:paraId="47808B3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填料材质为PVC。</w:t>
      </w:r>
    </w:p>
    <w:p w14:paraId="700C888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④</w:t>
      </w:r>
      <w:r>
        <w:rPr>
          <w:rFonts w:hint="eastAsia" w:ascii="宋体" w:hAnsi="宋体" w:eastAsia="宋体" w:cs="宋体"/>
          <w:snapToGrid w:val="0"/>
          <w:color w:val="auto"/>
          <w:kern w:val="0"/>
          <w:sz w:val="24"/>
          <w:szCs w:val="24"/>
          <w:highlight w:val="none"/>
          <w:lang w:val="en-US" w:eastAsia="zh-CN"/>
        </w:rPr>
        <w:t>单块FBBR填料尺寸长度1200mm，宽度600mm，高度100mm，误差控制在±2%内。</w:t>
      </w:r>
    </w:p>
    <w:p w14:paraId="282671C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⑤</w:t>
      </w:r>
      <w:r>
        <w:rPr>
          <w:rFonts w:hint="eastAsia" w:ascii="宋体" w:hAnsi="宋体" w:eastAsia="宋体" w:cs="宋体"/>
          <w:snapToGrid w:val="0"/>
          <w:color w:val="auto"/>
          <w:kern w:val="0"/>
          <w:sz w:val="24"/>
          <w:szCs w:val="24"/>
          <w:highlight w:val="none"/>
          <w:lang w:val="en-US" w:eastAsia="zh-CN"/>
        </w:rPr>
        <w:t>95%以上的微生物以附着形式生长，调试时无需投加活性污泥。</w:t>
      </w:r>
    </w:p>
    <w:p w14:paraId="44E1DC53">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⑥</w:t>
      </w:r>
      <w:r>
        <w:rPr>
          <w:rFonts w:hint="eastAsia" w:ascii="宋体" w:hAnsi="宋体" w:eastAsia="宋体" w:cs="宋体"/>
          <w:snapToGrid w:val="0"/>
          <w:color w:val="auto"/>
          <w:kern w:val="0"/>
          <w:sz w:val="24"/>
          <w:szCs w:val="24"/>
          <w:highlight w:val="none"/>
          <w:lang w:val="en-US" w:eastAsia="zh-CN"/>
        </w:rPr>
        <w:t>采用间歇曝气和精确曝气方式，根据溶解氧上下限控制曝气量</w:t>
      </w:r>
      <w:r>
        <w:rPr>
          <w:rFonts w:hint="eastAsia" w:ascii="宋体" w:hAnsi="宋体" w:cs="宋体"/>
          <w:snapToGrid w:val="0"/>
          <w:color w:val="auto"/>
          <w:kern w:val="0"/>
          <w:sz w:val="24"/>
          <w:szCs w:val="24"/>
          <w:highlight w:val="none"/>
          <w:lang w:val="en-US" w:eastAsia="zh-CN"/>
        </w:rPr>
        <w:t>。</w:t>
      </w:r>
    </w:p>
    <w:p w14:paraId="29B9165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好氧池间歇曝气的方式可实现同步硝化反硝化过程，无需二沉池、内回流泵和外回流泵。</w:t>
      </w:r>
    </w:p>
    <w:p w14:paraId="4A3228B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采用微孔曝气管，气孔密度大于2500个/m，气泡直径1±0.1mm（池底），标准氧转移效率大于40%，标准氧转移速率大于等于0.5kg/h，理论动力效率大于等于5kg/kw.h，服务面积0.2~0.4m2，阻力损失小于2500Pa，壁厚0.4~0.5mm，带自清洗功能，支持不停产更换，使用寿命大于10年</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能长期维持曝气的均匀性和较高的氧利用率（大于40%）。</w:t>
      </w:r>
    </w:p>
    <w:p w14:paraId="5F893623">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⑦</w:t>
      </w:r>
      <w:r>
        <w:rPr>
          <w:rFonts w:hint="eastAsia" w:ascii="宋体" w:hAnsi="宋体" w:eastAsia="宋体" w:cs="宋体"/>
          <w:snapToGrid w:val="0"/>
          <w:color w:val="auto"/>
          <w:kern w:val="0"/>
          <w:sz w:val="24"/>
          <w:szCs w:val="24"/>
          <w:highlight w:val="none"/>
          <w:lang w:val="en-US" w:eastAsia="zh-CN"/>
        </w:rPr>
        <w:t>保证出水水质主要指标达到广西壮族自治区《农村生活污水处理设施水污染物排放标准》（DB45</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2413-2021）中的一级标准。</w:t>
      </w:r>
    </w:p>
    <w:p w14:paraId="79DB27F1">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⑧</w:t>
      </w:r>
      <w:r>
        <w:rPr>
          <w:rFonts w:hint="eastAsia" w:ascii="宋体" w:hAnsi="宋体" w:eastAsia="宋体" w:cs="宋体"/>
          <w:snapToGrid w:val="0"/>
          <w:color w:val="auto"/>
          <w:kern w:val="0"/>
          <w:sz w:val="24"/>
          <w:szCs w:val="24"/>
          <w:highlight w:val="none"/>
          <w:lang w:val="en-US" w:eastAsia="zh-CN"/>
        </w:rPr>
        <w:t>保证桶体的质量，生产材质为线性低密度聚乙烯</w:t>
      </w:r>
      <w:r>
        <w:rPr>
          <w:rFonts w:hint="eastAsia" w:ascii="宋体" w:hAnsi="宋体" w:cs="宋体"/>
          <w:snapToGrid w:val="0"/>
          <w:color w:val="auto"/>
          <w:kern w:val="0"/>
          <w:sz w:val="24"/>
          <w:szCs w:val="24"/>
          <w:highlight w:val="none"/>
          <w:lang w:val="en-US" w:eastAsia="zh-CN"/>
        </w:rPr>
        <w:t>，</w:t>
      </w:r>
      <w:r>
        <w:rPr>
          <w:rFonts w:hint="eastAsia" w:ascii="宋体" w:hAnsi="宋体" w:eastAsia="宋体" w:cs="宋体"/>
          <w:snapToGrid w:val="0"/>
          <w:color w:val="auto"/>
          <w:kern w:val="0"/>
          <w:sz w:val="24"/>
          <w:szCs w:val="24"/>
          <w:highlight w:val="none"/>
          <w:lang w:val="en-US" w:eastAsia="zh-CN"/>
        </w:rPr>
        <w:t>生产工艺为滚塑PE。</w:t>
      </w:r>
    </w:p>
    <w:p w14:paraId="07B1A3EC">
      <w:pPr>
        <w:spacing w:line="360" w:lineRule="auto"/>
        <w:ind w:firstLine="482" w:firstLineChars="200"/>
        <w:jc w:val="left"/>
        <w:rPr>
          <w:rFonts w:hint="eastAsia" w:ascii="宋体" w:hAnsi="宋体" w:eastAsia="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（3）</w:t>
      </w:r>
      <w:r>
        <w:rPr>
          <w:rFonts w:hint="eastAsia" w:ascii="宋体" w:hAnsi="宋体" w:eastAsia="宋体" w:cs="宋体"/>
          <w:b/>
          <w:bCs/>
          <w:snapToGrid w:val="0"/>
          <w:color w:val="auto"/>
          <w:kern w:val="0"/>
          <w:sz w:val="24"/>
          <w:szCs w:val="24"/>
          <w:highlight w:val="none"/>
          <w:lang w:val="en-US" w:eastAsia="zh-CN"/>
        </w:rPr>
        <w:t>回用水池</w:t>
      </w:r>
    </w:p>
    <w:p w14:paraId="11C7F425">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设计功能：</w:t>
      </w:r>
      <w:r>
        <w:rPr>
          <w:rFonts w:hint="eastAsia" w:ascii="宋体" w:hAnsi="宋体" w:eastAsia="宋体" w:cs="宋体"/>
          <w:snapToGrid w:val="0"/>
          <w:color w:val="auto"/>
          <w:kern w:val="0"/>
          <w:sz w:val="24"/>
          <w:szCs w:val="24"/>
          <w:highlight w:val="none"/>
          <w:lang w:val="en-US" w:eastAsia="zh-CN"/>
        </w:rPr>
        <w:t>暂存清水供回用</w:t>
      </w:r>
      <w:r>
        <w:rPr>
          <w:rFonts w:hint="eastAsia" w:ascii="宋体" w:hAnsi="宋体" w:eastAsia="宋体" w:cs="宋体"/>
          <w:snapToGrid w:val="0"/>
          <w:color w:val="auto"/>
          <w:kern w:val="0"/>
          <w:sz w:val="24"/>
          <w:szCs w:val="24"/>
          <w:highlight w:val="none"/>
        </w:rPr>
        <w:t>和出水计量。</w:t>
      </w:r>
    </w:p>
    <w:p w14:paraId="2F0FC5C0">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设计</w:t>
      </w:r>
      <w:r>
        <w:rPr>
          <w:rFonts w:hint="eastAsia" w:ascii="宋体" w:hAnsi="宋体" w:eastAsia="宋体" w:cs="宋体"/>
          <w:snapToGrid w:val="0"/>
          <w:color w:val="auto"/>
          <w:kern w:val="0"/>
          <w:sz w:val="24"/>
          <w:szCs w:val="24"/>
          <w:highlight w:val="none"/>
          <w:lang w:val="en-US" w:eastAsia="zh-CN"/>
        </w:rPr>
        <w:t>规模</w:t>
      </w:r>
      <w:r>
        <w:rPr>
          <w:rFonts w:hint="eastAsia" w:ascii="宋体" w:hAnsi="宋体" w:eastAsia="宋体" w:cs="宋体"/>
          <w:snapToGrid w:val="0"/>
          <w:color w:val="auto"/>
          <w:kern w:val="0"/>
          <w:sz w:val="24"/>
          <w:szCs w:val="24"/>
          <w:highlight w:val="none"/>
        </w:rPr>
        <w:t>：Q=</w:t>
      </w:r>
      <w:r>
        <w:rPr>
          <w:rFonts w:hint="eastAsia" w:ascii="宋体" w:hAnsi="宋体" w:cs="宋体"/>
          <w:snapToGrid w:val="0"/>
          <w:color w:val="auto"/>
          <w:kern w:val="0"/>
          <w:sz w:val="24"/>
          <w:szCs w:val="24"/>
          <w:highlight w:val="none"/>
          <w:lang w:val="en-US" w:eastAsia="zh-CN"/>
        </w:rPr>
        <w:t>30</w:t>
      </w:r>
      <w:r>
        <w:rPr>
          <w:rFonts w:hint="eastAsia" w:ascii="宋体" w:hAnsi="宋体" w:eastAsia="宋体" w:cs="宋体"/>
          <w:snapToGrid w:val="0"/>
          <w:color w:val="auto"/>
          <w:kern w:val="0"/>
          <w:sz w:val="24"/>
          <w:szCs w:val="24"/>
          <w:highlight w:val="none"/>
        </w:rPr>
        <w:t>m</w:t>
      </w:r>
      <w:r>
        <w:rPr>
          <w:rFonts w:hint="eastAsia" w:ascii="宋体" w:hAnsi="宋体" w:eastAsia="宋体" w:cs="宋体"/>
          <w:snapToGrid w:val="0"/>
          <w:color w:val="auto"/>
          <w:kern w:val="0"/>
          <w:sz w:val="24"/>
          <w:szCs w:val="24"/>
          <w:highlight w:val="none"/>
          <w:vertAlign w:val="superscript"/>
        </w:rPr>
        <w:t>3</w:t>
      </w:r>
      <w:r>
        <w:rPr>
          <w:rFonts w:hint="eastAsia" w:ascii="宋体" w:hAnsi="宋体" w:eastAsia="宋体" w:cs="宋体"/>
          <w:snapToGrid w:val="0"/>
          <w:color w:val="auto"/>
          <w:kern w:val="0"/>
          <w:sz w:val="24"/>
          <w:szCs w:val="24"/>
          <w:highlight w:val="none"/>
        </w:rPr>
        <w:t>/</w:t>
      </w:r>
      <w:r>
        <w:rPr>
          <w:rFonts w:hint="eastAsia" w:ascii="宋体" w:hAnsi="宋体" w:eastAsia="宋体" w:cs="宋体"/>
          <w:snapToGrid w:val="0"/>
          <w:color w:val="auto"/>
          <w:kern w:val="0"/>
          <w:sz w:val="24"/>
          <w:szCs w:val="24"/>
          <w:highlight w:val="none"/>
          <w:lang w:val="en-US" w:eastAsia="zh-CN"/>
        </w:rPr>
        <w:t>d</w:t>
      </w:r>
      <w:r>
        <w:rPr>
          <w:rFonts w:hint="eastAsia" w:ascii="宋体" w:hAnsi="宋体" w:eastAsia="宋体" w:cs="宋体"/>
          <w:snapToGrid w:val="0"/>
          <w:color w:val="auto"/>
          <w:kern w:val="0"/>
          <w:sz w:val="24"/>
          <w:szCs w:val="24"/>
          <w:highlight w:val="none"/>
        </w:rPr>
        <w:t>。</w:t>
      </w:r>
    </w:p>
    <w:p w14:paraId="5859A326">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清水井容积：</w:t>
      </w:r>
      <w:r>
        <w:rPr>
          <w:rFonts w:hint="eastAsia" w:ascii="宋体" w:hAnsi="宋体" w:cs="宋体"/>
          <w:snapToGrid w:val="0"/>
          <w:color w:val="auto"/>
          <w:kern w:val="0"/>
          <w:sz w:val="24"/>
          <w:szCs w:val="24"/>
          <w:highlight w:val="none"/>
          <w:lang w:val="en-US" w:eastAsia="zh-CN"/>
        </w:rPr>
        <w:t>2</w:t>
      </w:r>
      <w:r>
        <w:rPr>
          <w:rFonts w:hint="eastAsia" w:ascii="宋体" w:hAnsi="宋体" w:eastAsia="宋体" w:cs="宋体"/>
          <w:snapToGrid w:val="0"/>
          <w:color w:val="auto"/>
          <w:kern w:val="0"/>
          <w:sz w:val="24"/>
          <w:szCs w:val="24"/>
          <w:highlight w:val="none"/>
          <w:lang w:val="en-US" w:eastAsia="zh-CN"/>
        </w:rPr>
        <w:t>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w:t>
      </w:r>
    </w:p>
    <w:p w14:paraId="6421A81D">
      <w:pPr>
        <w:spacing w:line="360" w:lineRule="auto"/>
        <w:ind w:firstLine="480" w:firstLineChars="200"/>
        <w:jc w:val="left"/>
        <w:rPr>
          <w:rFonts w:hint="eastAsia" w:ascii="宋体" w:hAnsi="宋体" w:eastAsia="宋体" w:cs="宋体"/>
          <w:snapToGrid w:val="0"/>
          <w:color w:val="auto"/>
          <w:kern w:val="0"/>
          <w:sz w:val="24"/>
          <w:szCs w:val="24"/>
          <w:highlight w:val="none"/>
        </w:rPr>
      </w:pPr>
      <w:r>
        <w:rPr>
          <w:rFonts w:hint="eastAsia" w:ascii="宋体" w:hAnsi="宋体" w:eastAsia="宋体" w:cs="宋体"/>
          <w:snapToGrid w:val="0"/>
          <w:color w:val="auto"/>
          <w:kern w:val="0"/>
          <w:sz w:val="24"/>
          <w:szCs w:val="24"/>
          <w:highlight w:val="none"/>
        </w:rPr>
        <w:t>主要设备：</w:t>
      </w:r>
    </w:p>
    <w:p w14:paraId="2DA4380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①</w:t>
      </w:r>
      <w:r>
        <w:rPr>
          <w:rFonts w:hint="eastAsia" w:ascii="宋体" w:hAnsi="宋体" w:eastAsia="宋体" w:cs="宋体"/>
          <w:snapToGrid w:val="0"/>
          <w:color w:val="auto"/>
          <w:kern w:val="0"/>
          <w:sz w:val="24"/>
          <w:szCs w:val="24"/>
          <w:highlight w:val="none"/>
          <w:lang w:val="en-US" w:eastAsia="zh-CN"/>
        </w:rPr>
        <w:t>潜污泵，1台，流量</w:t>
      </w:r>
      <w:r>
        <w:rPr>
          <w:rFonts w:hint="eastAsia" w:ascii="宋体" w:hAnsi="宋体" w:cs="宋体"/>
          <w:snapToGrid w:val="0"/>
          <w:color w:val="auto"/>
          <w:kern w:val="0"/>
          <w:sz w:val="24"/>
          <w:szCs w:val="24"/>
          <w:highlight w:val="none"/>
          <w:lang w:val="en-US" w:eastAsia="zh-CN"/>
        </w:rPr>
        <w:t>1.</w:t>
      </w:r>
      <w:r>
        <w:rPr>
          <w:rFonts w:hint="eastAsia" w:ascii="宋体" w:hAnsi="宋体" w:eastAsia="宋体" w:cs="宋体"/>
          <w:snapToGrid w:val="0"/>
          <w:color w:val="auto"/>
          <w:kern w:val="0"/>
          <w:sz w:val="24"/>
          <w:szCs w:val="24"/>
          <w:highlight w:val="none"/>
          <w:lang w:val="en-US" w:eastAsia="zh-CN"/>
        </w:rPr>
        <w:t>5m</w:t>
      </w:r>
      <w:r>
        <w:rPr>
          <w:rFonts w:hint="eastAsia" w:ascii="宋体" w:hAnsi="宋体" w:eastAsia="宋体" w:cs="宋体"/>
          <w:snapToGrid w:val="0"/>
          <w:color w:val="auto"/>
          <w:kern w:val="0"/>
          <w:sz w:val="24"/>
          <w:szCs w:val="24"/>
          <w:highlight w:val="none"/>
          <w:vertAlign w:val="superscript"/>
          <w:lang w:val="en-US" w:eastAsia="zh-CN"/>
        </w:rPr>
        <w:t>3</w:t>
      </w:r>
      <w:r>
        <w:rPr>
          <w:rFonts w:hint="eastAsia" w:ascii="宋体" w:hAnsi="宋体" w:eastAsia="宋体" w:cs="宋体"/>
          <w:snapToGrid w:val="0"/>
          <w:color w:val="auto"/>
          <w:kern w:val="0"/>
          <w:sz w:val="24"/>
          <w:szCs w:val="24"/>
          <w:highlight w:val="none"/>
          <w:lang w:val="en-US" w:eastAsia="zh-CN"/>
        </w:rPr>
        <w:t>/h，扬程</w:t>
      </w:r>
      <w:r>
        <w:rPr>
          <w:rFonts w:hint="eastAsia" w:ascii="宋体" w:hAnsi="宋体" w:cs="宋体"/>
          <w:snapToGrid w:val="0"/>
          <w:color w:val="auto"/>
          <w:kern w:val="0"/>
          <w:sz w:val="24"/>
          <w:szCs w:val="24"/>
          <w:highlight w:val="none"/>
          <w:lang w:val="en-US" w:eastAsia="zh-CN"/>
        </w:rPr>
        <w:t>12</w:t>
      </w:r>
      <w:r>
        <w:rPr>
          <w:rFonts w:hint="eastAsia" w:ascii="宋体" w:hAnsi="宋体" w:eastAsia="宋体" w:cs="宋体"/>
          <w:snapToGrid w:val="0"/>
          <w:color w:val="auto"/>
          <w:kern w:val="0"/>
          <w:sz w:val="24"/>
          <w:szCs w:val="24"/>
          <w:highlight w:val="none"/>
          <w:lang w:val="en-US" w:eastAsia="zh-CN"/>
        </w:rPr>
        <w:t>m，功率</w:t>
      </w:r>
      <w:r>
        <w:rPr>
          <w:rFonts w:hint="eastAsia" w:ascii="宋体" w:hAnsi="宋体" w:cs="宋体"/>
          <w:snapToGrid w:val="0"/>
          <w:color w:val="auto"/>
          <w:kern w:val="0"/>
          <w:sz w:val="24"/>
          <w:szCs w:val="24"/>
          <w:highlight w:val="none"/>
          <w:lang w:val="en-US" w:eastAsia="zh-CN"/>
        </w:rPr>
        <w:t>25</w:t>
      </w:r>
      <w:r>
        <w:rPr>
          <w:rFonts w:hint="eastAsia" w:ascii="宋体" w:hAnsi="宋体" w:eastAsia="宋体" w:cs="宋体"/>
          <w:snapToGrid w:val="0"/>
          <w:color w:val="auto"/>
          <w:kern w:val="0"/>
          <w:sz w:val="24"/>
          <w:szCs w:val="24"/>
          <w:highlight w:val="none"/>
          <w:lang w:val="en-US" w:eastAsia="zh-CN"/>
        </w:rPr>
        <w:t>0W。</w:t>
      </w:r>
    </w:p>
    <w:p w14:paraId="55BACE2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②</w:t>
      </w:r>
      <w:r>
        <w:rPr>
          <w:rFonts w:hint="eastAsia" w:ascii="宋体" w:hAnsi="宋体" w:eastAsia="宋体" w:cs="宋体"/>
          <w:snapToGrid w:val="0"/>
          <w:color w:val="auto"/>
          <w:kern w:val="0"/>
          <w:sz w:val="24"/>
          <w:szCs w:val="24"/>
          <w:highlight w:val="none"/>
          <w:lang w:val="en-US" w:eastAsia="zh-CN"/>
        </w:rPr>
        <w:t>浮球液位计0~5m，4~20mA。</w:t>
      </w:r>
    </w:p>
    <w:p w14:paraId="2FB1756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cs="宋体"/>
          <w:snapToGrid w:val="0"/>
          <w:color w:val="auto"/>
          <w:kern w:val="0"/>
          <w:sz w:val="24"/>
          <w:szCs w:val="24"/>
          <w:highlight w:val="none"/>
          <w:lang w:val="en-US" w:eastAsia="zh-CN"/>
        </w:rPr>
        <w:t>③</w:t>
      </w:r>
      <w:r>
        <w:rPr>
          <w:rFonts w:hint="eastAsia" w:ascii="宋体" w:hAnsi="宋体" w:eastAsia="宋体" w:cs="宋体"/>
          <w:snapToGrid w:val="0"/>
          <w:color w:val="auto"/>
          <w:kern w:val="0"/>
          <w:sz w:val="24"/>
          <w:szCs w:val="24"/>
          <w:highlight w:val="none"/>
          <w:lang w:val="en-US" w:eastAsia="zh-CN"/>
        </w:rPr>
        <w:t>电磁流量计，DN25,PN1.6MPa。</w:t>
      </w:r>
    </w:p>
    <w:p w14:paraId="75F0FC4F">
      <w:pPr>
        <w:spacing w:line="360" w:lineRule="auto"/>
        <w:ind w:firstLine="482" w:firstLineChars="200"/>
        <w:jc w:val="left"/>
        <w:rPr>
          <w:rFonts w:hint="eastAsia" w:ascii="宋体" w:hAnsi="宋体" w:cs="宋体"/>
          <w:b/>
          <w:bCs/>
          <w:snapToGrid w:val="0"/>
          <w:color w:val="auto"/>
          <w:kern w:val="0"/>
          <w:sz w:val="24"/>
          <w:szCs w:val="24"/>
          <w:highlight w:val="none"/>
          <w:lang w:val="en-US" w:eastAsia="zh-CN"/>
        </w:rPr>
      </w:pPr>
      <w:r>
        <w:rPr>
          <w:rFonts w:hint="eastAsia" w:ascii="宋体" w:hAnsi="宋体" w:cs="宋体"/>
          <w:b/>
          <w:bCs/>
          <w:snapToGrid w:val="0"/>
          <w:color w:val="auto"/>
          <w:kern w:val="0"/>
          <w:sz w:val="24"/>
          <w:szCs w:val="24"/>
          <w:highlight w:val="none"/>
          <w:lang w:val="en-US" w:eastAsia="zh-CN"/>
        </w:rPr>
        <w:t>（4）其他</w:t>
      </w:r>
    </w:p>
    <w:p w14:paraId="5C4591ED">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配电箱、控制柜、阀门阀件、管道等附件。</w:t>
      </w:r>
    </w:p>
    <w:p w14:paraId="463A9DCB">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智慧管家控制柜：</w:t>
      </w:r>
    </w:p>
    <w:p w14:paraId="1709E144">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尺寸1760×600×400mm，误差控制在±2%以内；</w:t>
      </w:r>
    </w:p>
    <w:p w14:paraId="2FD0F282">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主要功能：</w:t>
      </w:r>
    </w:p>
    <w:p w14:paraId="53763EC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1）可远程上传数据，配合农村污水智能巡维系统实现远程控制功能；</w:t>
      </w:r>
    </w:p>
    <w:p w14:paraId="7F2F872D">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2）自动精准曝气，可实现间歇曝气、常曝气、按照溶解氧自动调节曝气；</w:t>
      </w:r>
    </w:p>
    <w:p w14:paraId="19D034FC">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3）进水具备时间和液位双重控制功能；</w:t>
      </w:r>
    </w:p>
    <w:p w14:paraId="671832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4）出水具备液位控制功能；</w:t>
      </w:r>
    </w:p>
    <w:p w14:paraId="30FA6235">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配备12寸触摸屏4G网关等硬件；</w:t>
      </w:r>
    </w:p>
    <w:p w14:paraId="2EC56C87">
      <w:pPr>
        <w:spacing w:line="360" w:lineRule="auto"/>
        <w:ind w:firstLine="480" w:firstLineChars="200"/>
        <w:jc w:val="left"/>
        <w:rPr>
          <w:rFonts w:hint="eastAsia" w:ascii="宋体" w:hAnsi="宋体" w:eastAsia="宋体" w:cs="宋体"/>
          <w:snapToGrid w:val="0"/>
          <w:color w:val="auto"/>
          <w:kern w:val="0"/>
          <w:sz w:val="24"/>
          <w:szCs w:val="24"/>
          <w:highlight w:val="none"/>
          <w:lang w:val="en-US" w:eastAsia="zh-CN"/>
        </w:rPr>
      </w:pPr>
      <w:r>
        <w:rPr>
          <w:rFonts w:hint="eastAsia" w:ascii="宋体" w:hAnsi="宋体" w:eastAsia="宋体" w:cs="宋体"/>
          <w:snapToGrid w:val="0"/>
          <w:color w:val="auto"/>
          <w:kern w:val="0"/>
          <w:sz w:val="24"/>
          <w:szCs w:val="24"/>
          <w:highlight w:val="none"/>
          <w:lang w:val="en-US" w:eastAsia="zh-CN"/>
        </w:rPr>
        <w:t>电柜内可同时放置多台曝气风机。</w:t>
      </w:r>
    </w:p>
    <w:p w14:paraId="1E0CA2F9">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highlight w:val="none"/>
        </w:rPr>
      </w:pPr>
      <w:r>
        <w:rPr>
          <w:rFonts w:hint="eastAsia" w:ascii="宋体" w:hAnsi="宋体" w:cs="宋体"/>
          <w:b/>
          <w:bCs/>
          <w:color w:val="auto"/>
          <w:sz w:val="24"/>
          <w:szCs w:val="24"/>
          <w:highlight w:val="none"/>
          <w:lang w:val="en-US" w:eastAsia="zh-CN"/>
        </w:rPr>
        <w:t>5、</w:t>
      </w:r>
      <w:r>
        <w:rPr>
          <w:rFonts w:hint="eastAsia" w:ascii="宋体" w:hAnsi="宋体" w:eastAsia="宋体" w:cs="宋体"/>
          <w:b/>
          <w:bCs/>
          <w:color w:val="auto"/>
          <w:sz w:val="24"/>
          <w:szCs w:val="24"/>
          <w:highlight w:val="none"/>
          <w:lang w:val="en-US" w:eastAsia="zh-CN"/>
        </w:rPr>
        <w:t>工艺</w:t>
      </w:r>
      <w:r>
        <w:rPr>
          <w:rFonts w:hint="eastAsia" w:ascii="宋体" w:hAnsi="宋体" w:eastAsia="宋体" w:cs="宋体"/>
          <w:b/>
          <w:bCs/>
          <w:color w:val="auto"/>
          <w:sz w:val="24"/>
          <w:szCs w:val="24"/>
          <w:highlight w:val="none"/>
        </w:rPr>
        <w:t>管道</w:t>
      </w:r>
    </w:p>
    <w:p w14:paraId="1B1276D1">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管材与接口：</w:t>
      </w:r>
      <w:r>
        <w:rPr>
          <w:rFonts w:hint="eastAsia" w:ascii="宋体" w:hAnsi="宋体" w:eastAsia="宋体" w:cs="宋体"/>
          <w:color w:val="auto"/>
          <w:sz w:val="24"/>
          <w:szCs w:val="24"/>
        </w:rPr>
        <w:t>本工程</w:t>
      </w:r>
      <w:r>
        <w:rPr>
          <w:rFonts w:hint="eastAsia" w:ascii="宋体" w:hAnsi="宋体" w:eastAsia="宋体" w:cs="宋体"/>
          <w:color w:val="auto"/>
          <w:sz w:val="24"/>
          <w:szCs w:val="24"/>
          <w:lang w:val="en-US" w:eastAsia="zh-CN"/>
        </w:rPr>
        <w:t>工艺管道采用压力性PVC给水管，厂家配套的管件连接</w:t>
      </w:r>
      <w:r>
        <w:rPr>
          <w:rFonts w:hint="eastAsia" w:ascii="宋体" w:hAnsi="宋体" w:eastAsia="宋体" w:cs="宋体"/>
          <w:color w:val="auto"/>
          <w:sz w:val="24"/>
          <w:szCs w:val="24"/>
        </w:rPr>
        <w:t>。塑料管与金属管及管路附件的连接采用法兰连接。</w:t>
      </w:r>
    </w:p>
    <w:p w14:paraId="61BF1B3C">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管道基础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一般采用大开挖埋设</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参见管道沟槽开挖与回填大样图</w:t>
      </w:r>
      <w:r>
        <w:rPr>
          <w:rFonts w:hint="eastAsia" w:ascii="宋体" w:hAnsi="宋体" w:eastAsia="宋体" w:cs="宋体"/>
          <w:color w:val="auto"/>
          <w:sz w:val="24"/>
          <w:szCs w:val="24"/>
        </w:rPr>
        <w:t>，如遇不良地基,需另按要求进行地基处理后再做管基施工,需通知设计人员到现场协调处理。</w:t>
      </w:r>
    </w:p>
    <w:p w14:paraId="7CBB103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管道防腐</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本工程工艺管道采用PVC材质，不需进行特殊防腐处理。</w:t>
      </w:r>
    </w:p>
    <w:p w14:paraId="3D7A12EC">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6、</w:t>
      </w:r>
      <w:r>
        <w:rPr>
          <w:rFonts w:hint="eastAsia" w:ascii="宋体" w:hAnsi="宋体" w:eastAsia="宋体" w:cs="宋体"/>
          <w:b/>
          <w:bCs/>
          <w:color w:val="auto"/>
          <w:sz w:val="24"/>
          <w:szCs w:val="24"/>
        </w:rPr>
        <w:t>抗震设计</w:t>
      </w:r>
    </w:p>
    <w:p w14:paraId="1EDFC65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为防止地震时工艺设备及给排水管道系统失效或跌落造成人员伤亡及财产损失，根据《建筑抗震设计规范》（GB50011-2010）（2016年版）第1.0.2条、第3.7.1条及《建筑机电工程抗震设计规范》（GB50981－2014）第1.0.4条等强制性条文，应对工艺设备及管线系统进行抗震加固。</w:t>
      </w:r>
    </w:p>
    <w:p w14:paraId="12CD4F82">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对直径≥DN65的管道设置抗震支吊架，与混凝土、钢结构等须采取可靠的锚固形式，具体深化设计由设备安装单位完成。抗震支吊架的设置原则为：刚性管道侧向抗震支撑最大设计间距12米，纵向抗震支撑最大设计间距24米，柔性管道上述参数减半，为保证抗震系统的整体安全性，对长度低于300mm的吊杆，也建议进行适当的补强，最终间距根据现场实际情况确定，其他未尽事宜必须满足《建筑机电工程抗震设计》 GB 50981-2014及《室外给水排水和燃气热力工程抗震设计规范》 GB 50032-2003的相关要求。</w:t>
      </w:r>
    </w:p>
    <w:p w14:paraId="435A28CD">
      <w:pPr>
        <w:keepNext w:val="0"/>
        <w:keepLines w:val="0"/>
        <w:pageBreakBefore w:val="0"/>
        <w:widowControl w:val="0"/>
        <w:kinsoku/>
        <w:wordWrap/>
        <w:overflowPunct/>
        <w:topLinePunct w:val="0"/>
        <w:autoSpaceDE/>
        <w:autoSpaceDN/>
        <w:bidi w:val="0"/>
        <w:adjustRightInd/>
        <w:snapToGrid/>
        <w:spacing w:beforeLines="0" w:afterLines="0" w:line="360" w:lineRule="auto"/>
        <w:ind w:firstLine="482" w:firstLineChars="200"/>
        <w:textAlignment w:val="auto"/>
        <w:rPr>
          <w:rFonts w:hint="eastAsia" w:ascii="宋体" w:hAnsi="宋体" w:eastAsia="宋体" w:cs="宋体"/>
          <w:b/>
          <w:bCs/>
          <w:color w:val="auto"/>
          <w:sz w:val="24"/>
          <w:szCs w:val="24"/>
        </w:rPr>
      </w:pPr>
      <w:r>
        <w:rPr>
          <w:rFonts w:hint="eastAsia" w:ascii="宋体" w:hAnsi="宋体" w:cs="宋体"/>
          <w:b/>
          <w:bCs/>
          <w:color w:val="auto"/>
          <w:sz w:val="24"/>
          <w:szCs w:val="24"/>
          <w:lang w:val="en-US" w:eastAsia="zh-CN"/>
        </w:rPr>
        <w:t>7、</w:t>
      </w:r>
      <w:r>
        <w:rPr>
          <w:rFonts w:hint="eastAsia" w:ascii="宋体" w:hAnsi="宋体" w:eastAsia="宋体" w:cs="宋体"/>
          <w:b/>
          <w:bCs/>
          <w:color w:val="auto"/>
          <w:sz w:val="24"/>
          <w:szCs w:val="24"/>
        </w:rPr>
        <w:t>运行管理要求及安全措施</w:t>
      </w:r>
    </w:p>
    <w:p w14:paraId="5E6B9C9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（1）</w:t>
      </w:r>
      <w:r>
        <w:rPr>
          <w:rFonts w:hint="eastAsia" w:ascii="宋体" w:hAnsi="宋体" w:eastAsia="宋体" w:cs="宋体"/>
          <w:color w:val="auto"/>
          <w:sz w:val="24"/>
          <w:szCs w:val="24"/>
        </w:rPr>
        <w:t>考虑到格栅渠、</w:t>
      </w:r>
      <w:r>
        <w:rPr>
          <w:rFonts w:hint="eastAsia" w:ascii="宋体" w:hAnsi="宋体" w:eastAsia="宋体" w:cs="宋体"/>
          <w:color w:val="auto"/>
          <w:sz w:val="24"/>
          <w:szCs w:val="24"/>
          <w:lang w:val="en-US" w:eastAsia="zh-CN"/>
        </w:rPr>
        <w:t>提升井</w:t>
      </w:r>
      <w:r>
        <w:rPr>
          <w:rFonts w:hint="eastAsia" w:ascii="宋体" w:hAnsi="宋体" w:eastAsia="宋体" w:cs="宋体"/>
          <w:color w:val="auto"/>
          <w:sz w:val="24"/>
          <w:szCs w:val="24"/>
        </w:rPr>
        <w:t>的操作条件和确保操作人员安全，</w:t>
      </w:r>
      <w:r>
        <w:rPr>
          <w:rFonts w:hint="eastAsia" w:ascii="宋体" w:hAnsi="宋体" w:eastAsia="宋体" w:cs="宋体"/>
          <w:color w:val="auto"/>
          <w:sz w:val="24"/>
          <w:szCs w:val="24"/>
          <w:lang w:val="en-US" w:eastAsia="zh-CN"/>
        </w:rPr>
        <w:t>在下井检修时应采用</w:t>
      </w:r>
      <w:r>
        <w:rPr>
          <w:rFonts w:hint="eastAsia" w:ascii="宋体" w:hAnsi="宋体" w:eastAsia="宋体" w:cs="宋体"/>
          <w:color w:val="auto"/>
          <w:sz w:val="24"/>
          <w:szCs w:val="24"/>
        </w:rPr>
        <w:t>移动式</w:t>
      </w:r>
      <w:r>
        <w:rPr>
          <w:rFonts w:hint="eastAsia" w:ascii="宋体" w:hAnsi="宋体" w:eastAsia="宋体" w:cs="宋体"/>
          <w:color w:val="auto"/>
          <w:sz w:val="24"/>
          <w:szCs w:val="24"/>
          <w:lang w:val="en-US" w:eastAsia="zh-CN"/>
        </w:rPr>
        <w:t>通风</w:t>
      </w:r>
      <w:r>
        <w:rPr>
          <w:rFonts w:hint="eastAsia" w:ascii="宋体" w:hAnsi="宋体" w:eastAsia="宋体" w:cs="宋体"/>
          <w:color w:val="auto"/>
          <w:sz w:val="24"/>
          <w:szCs w:val="24"/>
        </w:rPr>
        <w:t>设备</w:t>
      </w:r>
      <w:r>
        <w:rPr>
          <w:rFonts w:hint="eastAsia" w:ascii="宋体" w:hAnsi="宋体" w:eastAsia="宋体" w:cs="宋体"/>
          <w:color w:val="auto"/>
          <w:sz w:val="24"/>
          <w:szCs w:val="24"/>
          <w:lang w:val="en-US" w:eastAsia="zh-CN"/>
        </w:rPr>
        <w:t>并携带</w:t>
      </w:r>
      <w:r>
        <w:rPr>
          <w:rFonts w:hint="eastAsia" w:ascii="宋体" w:hAnsi="宋体" w:eastAsia="宋体" w:cs="宋体"/>
          <w:color w:val="auto"/>
          <w:sz w:val="24"/>
          <w:szCs w:val="24"/>
        </w:rPr>
        <w:t>便携式有害气体检测和报警装置，</w:t>
      </w:r>
      <w:r>
        <w:rPr>
          <w:rFonts w:hint="eastAsia" w:ascii="宋体" w:hAnsi="宋体" w:eastAsia="宋体" w:cs="宋体"/>
          <w:color w:val="auto"/>
          <w:sz w:val="24"/>
          <w:szCs w:val="24"/>
          <w:lang w:val="en-US" w:eastAsia="zh-CN"/>
        </w:rPr>
        <w:t>确保安全的前提下下井操作</w:t>
      </w:r>
      <w:r>
        <w:rPr>
          <w:rFonts w:hint="eastAsia" w:ascii="宋体" w:hAnsi="宋体" w:eastAsia="宋体" w:cs="宋体"/>
          <w:color w:val="auto"/>
          <w:sz w:val="24"/>
          <w:szCs w:val="24"/>
        </w:rPr>
        <w:t>。</w:t>
      </w:r>
    </w:p>
    <w:p w14:paraId="4F60C28F">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处理站试运行前，应加强上岗前的教育，进行人员培训，了解设计意图，熟悉设备性能，学习、遵照操作管理规程操作。</w:t>
      </w:r>
    </w:p>
    <w:p w14:paraId="045F4C99">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处理站运行管理除按设计说明书中相关要求外，还应执行《城镇污水处理厂运行、维护及安全技术规程》CJJ60-2011中有关规定。</w:t>
      </w:r>
    </w:p>
    <w:p w14:paraId="175E45D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污水处理站运行前应由技术人员编制水厂操作管理规程。由于本处理站核心处理工艺为一体化设备，应请该设备厂家参与操作管理规程的编制。</w:t>
      </w:r>
    </w:p>
    <w:p w14:paraId="1F0AE7C5">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（5）</w:t>
      </w:r>
      <w:r>
        <w:rPr>
          <w:rFonts w:hint="eastAsia" w:ascii="宋体" w:hAnsi="宋体" w:eastAsia="宋体" w:cs="宋体"/>
          <w:color w:val="auto"/>
          <w:sz w:val="24"/>
          <w:szCs w:val="24"/>
        </w:rPr>
        <w:t>设备操作管理应严格遵守供货方有关的安装、调试、使用说明中的要求。</w:t>
      </w:r>
    </w:p>
    <w:p w14:paraId="6B60C1BE">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（6）</w:t>
      </w:r>
      <w:r>
        <w:rPr>
          <w:rFonts w:hint="eastAsia" w:ascii="宋体" w:hAnsi="宋体" w:eastAsia="宋体" w:cs="宋体"/>
          <w:color w:val="auto"/>
          <w:sz w:val="24"/>
          <w:szCs w:val="24"/>
        </w:rPr>
        <w:t>所有管道施工安装时应在适当位置（地坪、池壁上、拐弯处及三通处）采用管卡。</w:t>
      </w:r>
    </w:p>
    <w:p w14:paraId="28755403">
      <w:pPr>
        <w:keepNext w:val="0"/>
        <w:keepLines w:val="0"/>
        <w:pageBreakBefore w:val="0"/>
        <w:widowControl w:val="0"/>
        <w:kinsoku/>
        <w:wordWrap/>
        <w:overflowPunct/>
        <w:topLinePunct w:val="0"/>
        <w:autoSpaceDE/>
        <w:autoSpaceDN/>
        <w:bidi w:val="0"/>
        <w:adjustRightInd/>
        <w:snapToGrid/>
        <w:spacing w:beforeLines="0" w:afterLines="0" w:line="360" w:lineRule="auto"/>
        <w:ind w:firstLine="480" w:firstLineChars="200"/>
        <w:textAlignment w:val="auto"/>
        <w:rPr>
          <w:rFonts w:hint="eastAsia" w:ascii="宋体" w:hAnsi="宋体" w:eastAsia="宋体" w:cs="宋体"/>
          <w:color w:val="auto"/>
          <w:sz w:val="24"/>
          <w:szCs w:val="24"/>
        </w:rPr>
      </w:pPr>
      <w:r>
        <w:rPr>
          <w:rFonts w:hint="eastAsia" w:ascii="宋体" w:hAnsi="宋体" w:cs="宋体"/>
          <w:color w:val="auto"/>
          <w:sz w:val="24"/>
          <w:szCs w:val="24"/>
          <w:lang w:val="en-US" w:eastAsia="zh-CN"/>
        </w:rPr>
        <w:t>（7）</w:t>
      </w:r>
      <w:r>
        <w:rPr>
          <w:rFonts w:hint="eastAsia" w:ascii="宋体" w:hAnsi="宋体" w:eastAsia="宋体" w:cs="宋体"/>
          <w:color w:val="auto"/>
          <w:sz w:val="24"/>
          <w:szCs w:val="24"/>
        </w:rPr>
        <w:t>所有设备基础应待定货核实后，方可进行施工。</w:t>
      </w:r>
    </w:p>
    <w:p w14:paraId="3050DD2C">
      <w:pPr>
        <w:pStyle w:val="3"/>
        <w:keepNext/>
        <w:keepLines/>
        <w:pageBreakBefore w:val="0"/>
        <w:widowControl w:val="0"/>
        <w:kinsoku/>
        <w:wordWrap/>
        <w:overflowPunct/>
        <w:topLinePunct w:val="0"/>
        <w:autoSpaceDE/>
        <w:autoSpaceDN/>
        <w:bidi w:val="0"/>
        <w:adjustRightInd/>
        <w:snapToGrid/>
        <w:spacing w:before="0" w:after="0" w:line="360" w:lineRule="auto"/>
        <w:ind w:firstLine="482"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电气</w:t>
      </w:r>
      <w:r>
        <w:rPr>
          <w:rFonts w:hint="eastAsia" w:ascii="宋体" w:hAnsi="宋体" w:eastAsia="宋体" w:cs="宋体"/>
          <w:color w:val="auto"/>
          <w:sz w:val="24"/>
          <w:szCs w:val="24"/>
          <w:lang w:val="en-US" w:eastAsia="zh-CN"/>
        </w:rPr>
        <w:t>设计</w:t>
      </w:r>
    </w:p>
    <w:p w14:paraId="7944324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负荷计算</w:t>
      </w:r>
    </w:p>
    <w:p w14:paraId="08A41B35">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本次设计范围内污水处理站日处理量小于</w:t>
      </w:r>
      <w:r>
        <w:rPr>
          <w:rFonts w:hint="eastAsia" w:ascii="宋体" w:hAnsi="宋体" w:eastAsia="宋体" w:cs="宋体"/>
          <w:snapToGrid w:val="0"/>
          <w:color w:val="auto"/>
          <w:kern w:val="0"/>
          <w:lang w:val="en-US" w:eastAsia="zh-CN"/>
        </w:rPr>
        <w:t>等于</w:t>
      </w:r>
      <w:r>
        <w:rPr>
          <w:rFonts w:hint="eastAsia" w:ascii="宋体" w:hAnsi="宋体" w:cs="宋体"/>
          <w:snapToGrid w:val="0"/>
          <w:color w:val="auto"/>
          <w:kern w:val="0"/>
          <w:lang w:val="en-US" w:eastAsia="zh-CN"/>
        </w:rPr>
        <w:t>50</w:t>
      </w:r>
      <w:r>
        <w:rPr>
          <w:rFonts w:hint="eastAsia" w:ascii="宋体" w:hAnsi="宋体" w:eastAsia="宋体" w:cs="宋体"/>
          <w:snapToGrid w:val="0"/>
          <w:color w:val="auto"/>
          <w:kern w:val="0"/>
        </w:rPr>
        <w:t>m</w:t>
      </w:r>
      <w:r>
        <w:rPr>
          <w:rFonts w:hint="eastAsia" w:ascii="宋体" w:hAnsi="宋体" w:eastAsia="宋体" w:cs="宋体"/>
          <w:snapToGrid w:val="0"/>
          <w:color w:val="auto"/>
          <w:kern w:val="0"/>
          <w:vertAlign w:val="superscript"/>
        </w:rPr>
        <w:t>3</w:t>
      </w:r>
      <w:r>
        <w:rPr>
          <w:rFonts w:hint="eastAsia" w:ascii="宋体" w:hAnsi="宋体" w:eastAsia="宋体" w:cs="宋体"/>
          <w:snapToGrid w:val="0"/>
          <w:color w:val="auto"/>
          <w:kern w:val="0"/>
        </w:rPr>
        <w:t>/d, 根据《小城镇污水处理建设标准》，负荷等级均为三级负荷。负荷计算表详见下表：</w:t>
      </w:r>
    </w:p>
    <w:p w14:paraId="552F9CE5">
      <w:pPr>
        <w:pStyle w:val="71"/>
        <w:snapToGrid/>
        <w:ind w:firstLine="0" w:firstLineChars="0"/>
        <w:jc w:val="center"/>
        <w:rPr>
          <w:rFonts w:hint="eastAsia" w:ascii="宋体" w:hAnsi="宋体" w:eastAsia="宋体" w:cs="宋体"/>
          <w:b/>
          <w:bCs/>
          <w:snapToGrid w:val="0"/>
          <w:color w:val="auto"/>
          <w:kern w:val="0"/>
        </w:rPr>
      </w:pPr>
    </w:p>
    <w:p w14:paraId="775D4D2D">
      <w:pPr>
        <w:pStyle w:val="71"/>
        <w:snapToGrid/>
        <w:ind w:firstLine="0" w:firstLineChars="0"/>
        <w:jc w:val="center"/>
        <w:rPr>
          <w:rFonts w:hint="eastAsia" w:ascii="宋体" w:hAnsi="宋体" w:eastAsia="宋体" w:cs="宋体"/>
          <w:b/>
          <w:bCs/>
          <w:snapToGrid w:val="0"/>
          <w:color w:val="auto"/>
          <w:kern w:val="0"/>
        </w:rPr>
      </w:pPr>
    </w:p>
    <w:p w14:paraId="7F301C6B">
      <w:pPr>
        <w:pStyle w:val="71"/>
        <w:snapToGrid/>
        <w:ind w:firstLine="0" w:firstLineChars="0"/>
        <w:jc w:val="center"/>
        <w:rPr>
          <w:rFonts w:hint="eastAsia" w:ascii="宋体" w:hAnsi="宋体" w:eastAsia="宋体" w:cs="宋体"/>
          <w:b/>
          <w:bCs/>
          <w:snapToGrid w:val="0"/>
          <w:color w:val="auto"/>
          <w:kern w:val="0"/>
        </w:rPr>
      </w:pPr>
    </w:p>
    <w:p w14:paraId="5083F129">
      <w:pPr>
        <w:pStyle w:val="71"/>
        <w:snapToGrid/>
        <w:ind w:firstLine="0" w:firstLineChars="0"/>
        <w:jc w:val="center"/>
        <w:rPr>
          <w:rFonts w:hint="eastAsia" w:ascii="宋体" w:hAnsi="宋体" w:eastAsia="宋体" w:cs="宋体"/>
          <w:b/>
          <w:bCs/>
          <w:snapToGrid w:val="0"/>
          <w:color w:val="auto"/>
          <w:kern w:val="0"/>
        </w:rPr>
      </w:pPr>
      <w:r>
        <w:rPr>
          <w:rFonts w:hint="eastAsia" w:ascii="宋体" w:hAnsi="宋体" w:eastAsia="宋体" w:cs="宋体"/>
          <w:b/>
          <w:bCs/>
          <w:snapToGrid w:val="0"/>
          <w:color w:val="auto"/>
          <w:kern w:val="0"/>
        </w:rPr>
        <w:t>负荷计算表</w:t>
      </w:r>
    </w:p>
    <w:tbl>
      <w:tblPr>
        <w:tblStyle w:val="52"/>
        <w:tblW w:w="422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8"/>
        <w:gridCol w:w="3443"/>
        <w:gridCol w:w="3923"/>
      </w:tblGrid>
      <w:tr w14:paraId="1311D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19" w:type="pct"/>
          </w:tcPr>
          <w:p w14:paraId="394EB9E4">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序号</w:t>
            </w:r>
          </w:p>
        </w:tc>
        <w:tc>
          <w:tcPr>
            <w:tcW w:w="2000" w:type="pct"/>
          </w:tcPr>
          <w:p w14:paraId="5DEDF99D">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污水处理站规模</w:t>
            </w:r>
          </w:p>
        </w:tc>
        <w:tc>
          <w:tcPr>
            <w:tcW w:w="2279" w:type="pct"/>
          </w:tcPr>
          <w:p w14:paraId="1727CBFE">
            <w:pPr>
              <w:pStyle w:val="71"/>
              <w:snapToGrid/>
              <w:ind w:firstLine="0" w:firstLineChars="0"/>
              <w:jc w:val="center"/>
              <w:rPr>
                <w:rFonts w:hint="eastAsia" w:ascii="宋体" w:hAnsi="宋体" w:eastAsia="宋体" w:cs="宋体"/>
                <w:snapToGrid w:val="0"/>
                <w:color w:val="auto"/>
                <w:kern w:val="0"/>
              </w:rPr>
            </w:pPr>
            <w:r>
              <w:rPr>
                <w:rFonts w:hint="eastAsia" w:ascii="宋体" w:hAnsi="宋体" w:eastAsia="宋体" w:cs="宋体"/>
                <w:snapToGrid w:val="0"/>
                <w:color w:val="auto"/>
                <w:kern w:val="0"/>
              </w:rPr>
              <w:t>用电负荷</w:t>
            </w:r>
          </w:p>
        </w:tc>
      </w:tr>
      <w:tr w14:paraId="13042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pct"/>
          </w:tcPr>
          <w:p w14:paraId="0E16C30B">
            <w:pPr>
              <w:pStyle w:val="71"/>
              <w:snapToGrid/>
              <w:ind w:firstLine="0" w:firstLineChars="0"/>
              <w:jc w:val="center"/>
              <w:rPr>
                <w:rFonts w:hint="eastAsia" w:ascii="宋体" w:hAnsi="宋体" w:eastAsia="宋体" w:cs="宋体"/>
                <w:snapToGrid w:val="0"/>
                <w:color w:val="auto"/>
                <w:kern w:val="0"/>
                <w:lang w:eastAsia="zh-CN"/>
              </w:rPr>
            </w:pPr>
            <w:r>
              <w:rPr>
                <w:rFonts w:hint="eastAsia" w:ascii="宋体" w:hAnsi="宋体" w:eastAsia="宋体" w:cs="宋体"/>
                <w:snapToGrid w:val="0"/>
                <w:color w:val="auto"/>
                <w:kern w:val="0"/>
                <w:lang w:val="en-US" w:eastAsia="zh-CN"/>
              </w:rPr>
              <w:t>1</w:t>
            </w:r>
          </w:p>
        </w:tc>
        <w:tc>
          <w:tcPr>
            <w:tcW w:w="2000" w:type="pct"/>
          </w:tcPr>
          <w:p w14:paraId="38E11FF6">
            <w:pPr>
              <w:pStyle w:val="71"/>
              <w:snapToGrid/>
              <w:ind w:firstLine="0" w:firstLineChars="0"/>
              <w:jc w:val="center"/>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lang w:val="en-US" w:eastAsia="zh-CN"/>
              </w:rPr>
              <w:t>0</w:t>
            </w:r>
            <w:r>
              <w:rPr>
                <w:rFonts w:hint="eastAsia" w:ascii="宋体" w:hAnsi="宋体" w:eastAsia="宋体" w:cs="宋体"/>
                <w:snapToGrid w:val="0"/>
                <w:color w:val="auto"/>
                <w:kern w:val="0"/>
              </w:rPr>
              <w:t>m</w:t>
            </w:r>
            <w:r>
              <w:rPr>
                <w:rFonts w:hint="eastAsia" w:ascii="宋体" w:hAnsi="宋体" w:eastAsia="宋体" w:cs="宋体"/>
                <w:snapToGrid w:val="0"/>
                <w:color w:val="auto"/>
                <w:kern w:val="0"/>
                <w:vertAlign w:val="superscript"/>
              </w:rPr>
              <w:t>3</w:t>
            </w:r>
          </w:p>
        </w:tc>
        <w:tc>
          <w:tcPr>
            <w:tcW w:w="2279" w:type="pct"/>
          </w:tcPr>
          <w:p w14:paraId="18AFBF19">
            <w:pPr>
              <w:pStyle w:val="71"/>
              <w:snapToGrid/>
              <w:ind w:firstLine="0" w:firstLineChars="0"/>
              <w:jc w:val="center"/>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0.87</w:t>
            </w:r>
            <w:r>
              <w:rPr>
                <w:rFonts w:hint="eastAsia" w:ascii="宋体" w:hAnsi="宋体" w:eastAsia="宋体" w:cs="宋体"/>
                <w:snapToGrid w:val="0"/>
                <w:color w:val="auto"/>
                <w:kern w:val="0"/>
              </w:rPr>
              <w:t>kW</w:t>
            </w:r>
          </w:p>
        </w:tc>
      </w:tr>
    </w:tbl>
    <w:p w14:paraId="7754B50E">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供电电源</w:t>
      </w:r>
    </w:p>
    <w:p w14:paraId="76A3F0C4">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经过现场调查，本次设计污水处理站所处位置农村电网丰富，均能就近接入220V农村电网。</w:t>
      </w:r>
    </w:p>
    <w:p w14:paraId="76F9C575">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供电设计</w:t>
      </w:r>
    </w:p>
    <w:p w14:paraId="6CC022EE">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本次设计项目均为一体化处理设备，成套设备包含工艺设备、设备控制柜、设备内部连接管道及线缆等附件均由工艺设备厂家成套提供并集成于</w:t>
      </w:r>
      <w:r>
        <w:rPr>
          <w:rFonts w:hint="eastAsia" w:ascii="宋体" w:hAnsi="宋体" w:eastAsia="宋体" w:cs="宋体"/>
          <w:snapToGrid w:val="0"/>
          <w:color w:val="auto"/>
          <w:kern w:val="0"/>
          <w:lang w:val="en-US" w:eastAsia="zh-CN"/>
        </w:rPr>
        <w:t>设备</w:t>
      </w:r>
      <w:r>
        <w:rPr>
          <w:rFonts w:hint="eastAsia" w:ascii="宋体" w:hAnsi="宋体" w:eastAsia="宋体" w:cs="宋体"/>
          <w:snapToGrid w:val="0"/>
          <w:color w:val="auto"/>
          <w:kern w:val="0"/>
        </w:rPr>
        <w:t>外壳内。本次设计仅需考虑外部电源接入。采用架空线路就近接入农村电网。</w:t>
      </w:r>
    </w:p>
    <w:p w14:paraId="73DC3D4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防雷接地</w:t>
      </w:r>
    </w:p>
    <w:p w14:paraId="1A734A1F">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（1）项目防雷接地、工作接地、保护接地、控制系统接地采用共用接地体方式，要求共用接地体接地电阻值不大于</w:t>
      </w:r>
      <w:r>
        <w:rPr>
          <w:rFonts w:hint="eastAsia" w:ascii="宋体" w:hAnsi="宋体" w:eastAsia="宋体" w:cs="宋体"/>
          <w:snapToGrid w:val="0"/>
          <w:color w:val="auto"/>
          <w:kern w:val="0"/>
          <w:lang w:val="en-US" w:eastAsia="zh-CN"/>
        </w:rPr>
        <w:t>4</w:t>
      </w:r>
      <w:r>
        <w:rPr>
          <w:rFonts w:hint="eastAsia" w:ascii="宋体" w:hAnsi="宋体" w:eastAsia="宋体" w:cs="宋体"/>
          <w:snapToGrid w:val="0"/>
          <w:color w:val="auto"/>
          <w:kern w:val="0"/>
        </w:rPr>
        <w:t>欧姆，并于成套设备内采用等电位联接。</w:t>
      </w:r>
    </w:p>
    <w:p w14:paraId="4441F300">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 xml:space="preserve">（2）低压配电系统采用TN-S接地形式，N线与PE线在变电所分开后不再合并。两线应以不同颜色区分，线路敷设时两线不得混接或错接。所有正常不带电，而当绝缘破坏有可能呈现电压的电气设备金属外壳、金属支架、电缆金属外皮、穿线钢管等均应可靠接PE线保护。 </w:t>
      </w:r>
    </w:p>
    <w:p w14:paraId="61B274D7">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（3）处理站所有外露金属管道、金属器件均应与箱体接地网可靠连接。</w:t>
      </w:r>
    </w:p>
    <w:p w14:paraId="1E13DD5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5、</w:t>
      </w:r>
      <w:r>
        <w:rPr>
          <w:rFonts w:hint="eastAsia" w:ascii="宋体" w:hAnsi="宋体" w:eastAsia="宋体" w:cs="宋体"/>
          <w:snapToGrid w:val="0"/>
          <w:color w:val="auto"/>
          <w:kern w:val="0"/>
        </w:rPr>
        <w:t>电气抗震</w:t>
      </w:r>
    </w:p>
    <w:p w14:paraId="2EF4C1AF">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1</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配电箱（柜）的安装：</w:t>
      </w:r>
    </w:p>
    <w:p w14:paraId="6C28D22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配电箱（柜）的安装螺栓或焊接强度应满足抗震要求；当底部安装螺栓或焊接强度不够时，应将顶部与进行连接；</w:t>
      </w:r>
    </w:p>
    <w:p w14:paraId="1C549CF9">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当配电箱（柜）非靠墙落地安装时，根部应采用金属膨胀螺栓或焊接的固定方式。壁式安装的配电箱与墙壁之间应采用金属膨胀螺栓连接；</w:t>
      </w:r>
    </w:p>
    <w:p w14:paraId="0F088220">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配电箱（柜）内的元器件应考虑与支承结构间的相互作用，元器件之间采用软连接，接线处应做防震处理；</w:t>
      </w:r>
    </w:p>
    <w:p w14:paraId="4C750188">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配电箱（柜）面上的仪表应与柜体组装牢固。</w:t>
      </w:r>
    </w:p>
    <w:p w14:paraId="736F3F51">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2</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配电导体应符合下列规定：</w:t>
      </w:r>
    </w:p>
    <w:p w14:paraId="4C2A62D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采用电缆或电线；</w:t>
      </w:r>
    </w:p>
    <w:p w14:paraId="5A84320F">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在电缆桥架、电缆槽盒内敷设的缆线在引进、引出和转弯处，应在长度上留有余量；</w:t>
      </w:r>
    </w:p>
    <w:p w14:paraId="00B90CA4">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接地线应采取防止地震时被切断的措施。</w:t>
      </w:r>
    </w:p>
    <w:p w14:paraId="5E18B95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3</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电气管路敷设时应符合下列规定：</w:t>
      </w:r>
    </w:p>
    <w:p w14:paraId="3DAAAEA3">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线路采用金属导管、刚性塑料导管、电缆梯架或电缆槽盒敷设时，应使用刚性托架或支架固定，不宜使用吊架。当必须使用吊架时，应安装横向防晃吊架；</w:t>
      </w:r>
    </w:p>
    <w:p w14:paraId="3F0E43AA">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当金属导管、刚性塑料导管、电缆梯架或电缆槽盒穿越防火分区时，其缝隙应采用柔性防火封堵材料封堵，并应在贯穿部位附近设置抗震支撑；</w:t>
      </w:r>
    </w:p>
    <w:p w14:paraId="20126FF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金属导管、刚性塑料导管的直线段部分每隔30m应设置伸缩节。</w:t>
      </w:r>
    </w:p>
    <w:p w14:paraId="6B37DEE0">
      <w:pPr>
        <w:pStyle w:val="71"/>
        <w:snapToGrid/>
        <w:ind w:firstLine="480"/>
        <w:rPr>
          <w:rFonts w:hint="eastAsia" w:ascii="宋体" w:hAnsi="宋体" w:eastAsia="宋体" w:cs="宋体"/>
          <w:b/>
          <w:bCs/>
          <w:snapToGrid w:val="0"/>
          <w:color w:val="auto"/>
          <w:kern w:val="0"/>
        </w:rPr>
      </w:pPr>
      <w:r>
        <w:rPr>
          <w:rFonts w:hint="eastAsia" w:ascii="宋体" w:hAnsi="宋体" w:cs="宋体"/>
          <w:b/>
          <w:bCs/>
          <w:snapToGrid w:val="0"/>
          <w:color w:val="auto"/>
          <w:kern w:val="0"/>
          <w:lang w:val="en-US" w:eastAsia="zh-CN"/>
        </w:rPr>
        <w:t>6、</w:t>
      </w:r>
      <w:r>
        <w:rPr>
          <w:rFonts w:hint="eastAsia" w:ascii="宋体" w:hAnsi="宋体" w:eastAsia="宋体" w:cs="宋体"/>
          <w:b/>
          <w:bCs/>
          <w:snapToGrid w:val="0"/>
          <w:color w:val="auto"/>
          <w:kern w:val="0"/>
        </w:rPr>
        <w:t>其他</w:t>
      </w:r>
    </w:p>
    <w:p w14:paraId="18350DD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1</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凡与施工有关而又未说明之处，参见国家标准图集施工，或与设计院协商解决。</w:t>
      </w:r>
    </w:p>
    <w:p w14:paraId="29754CE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2</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施工时电气安装人员应与土建施工密切配合，做好电气管线的预埋，有关箱体的预留孔洞以及接地等工作。</w:t>
      </w:r>
    </w:p>
    <w:p w14:paraId="11BB394D">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3</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电气设备及管线的安装应符合国家现行的电气装置安装工程施工及验收规范。</w:t>
      </w:r>
    </w:p>
    <w:p w14:paraId="59599832">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4</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在厂家深化设计及提供的配套系统和施工时应严格执行《城镇给水排水技术规范》GB50788-2012第7.1、7.3、7.4节对电气专业、自控系统的要求。</w:t>
      </w:r>
    </w:p>
    <w:p w14:paraId="710BC2C6">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5</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厂家提供配电电气设备及系统时以及施工时还应严格执行CJJ 120-2018，第4、5章中相应的电气和自动控制系统要求。</w:t>
      </w:r>
    </w:p>
    <w:p w14:paraId="70AA9A1E">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6</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本工程应满足GB51348-2019，3.2.1、3.2.8、3.3.4、4.10.1、8.1.6、9.4.5、11.8.8、12.4.10、12.4.14、12.5.8、14.4.3、14.9.4条的要求。</w:t>
      </w:r>
    </w:p>
    <w:p w14:paraId="07DE0655">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7</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在施工时应严格执行GB50303-2015、GB50617-2010等施工及验收规范的要求。</w:t>
      </w:r>
    </w:p>
    <w:p w14:paraId="09DA197D">
      <w:pPr>
        <w:pStyle w:val="71"/>
        <w:snapToGrid/>
        <w:ind w:firstLine="480"/>
        <w:rPr>
          <w:rFonts w:hint="eastAsia" w:ascii="宋体" w:hAnsi="宋体" w:eastAsia="宋体" w:cs="宋体"/>
          <w:snapToGrid w:val="0"/>
          <w:color w:val="auto"/>
          <w:kern w:val="0"/>
          <w:lang w:eastAsia="zh-CN"/>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8</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本工程在厂家深化设计及提供的配套系统和施工时应严格执行《城镇给水排水技术规范》GB50788-2012第7.1、7.3、7.4节</w:t>
      </w:r>
      <w:r>
        <w:rPr>
          <w:rFonts w:hint="eastAsia" w:ascii="宋体" w:hAnsi="宋体" w:eastAsia="宋体" w:cs="宋体"/>
          <w:snapToGrid w:val="0"/>
          <w:color w:val="auto"/>
          <w:kern w:val="0"/>
          <w:lang w:eastAsia="zh-CN"/>
        </w:rPr>
        <w:t>。</w:t>
      </w:r>
    </w:p>
    <w:p w14:paraId="1E5EED35">
      <w:pPr>
        <w:pStyle w:val="71"/>
        <w:snapToGrid/>
        <w:ind w:firstLine="48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五、抗震论证专项说明</w:t>
      </w:r>
    </w:p>
    <w:p w14:paraId="698CBBA8">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一</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场地条件判断：根据地勘资料本项目所在地无不良地质构造，无液化土和软土地基等不良地质情况，适宜排水管道</w:t>
      </w:r>
      <w:r>
        <w:rPr>
          <w:rFonts w:hint="eastAsia" w:ascii="宋体" w:hAnsi="宋体" w:eastAsia="宋体" w:cs="宋体"/>
          <w:snapToGrid w:val="0"/>
          <w:color w:val="auto"/>
          <w:kern w:val="0"/>
          <w:lang w:val="en-US" w:eastAsia="zh-CN"/>
        </w:rPr>
        <w:t>及污水站的</w:t>
      </w:r>
      <w:r>
        <w:rPr>
          <w:rFonts w:hint="eastAsia" w:ascii="宋体" w:hAnsi="宋体" w:eastAsia="宋体" w:cs="宋体"/>
          <w:snapToGrid w:val="0"/>
          <w:color w:val="auto"/>
          <w:kern w:val="0"/>
        </w:rPr>
        <w:t>建设。</w:t>
      </w:r>
    </w:p>
    <w:p w14:paraId="34E15320">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eastAsia="zh-CN"/>
        </w:rPr>
        <w:t>（</w:t>
      </w:r>
      <w:r>
        <w:rPr>
          <w:rFonts w:hint="eastAsia" w:ascii="宋体" w:hAnsi="宋体" w:cs="宋体"/>
          <w:snapToGrid w:val="0"/>
          <w:color w:val="auto"/>
          <w:kern w:val="0"/>
          <w:lang w:val="en-US" w:eastAsia="zh-CN"/>
        </w:rPr>
        <w:t>二</w:t>
      </w:r>
      <w:r>
        <w:rPr>
          <w:rFonts w:hint="eastAsia" w:ascii="宋体" w:hAnsi="宋体" w:cs="宋体"/>
          <w:snapToGrid w:val="0"/>
          <w:color w:val="auto"/>
          <w:kern w:val="0"/>
          <w:lang w:eastAsia="zh-CN"/>
        </w:rPr>
        <w:t>）</w:t>
      </w:r>
      <w:r>
        <w:rPr>
          <w:rFonts w:hint="eastAsia" w:ascii="宋体" w:hAnsi="宋体" w:eastAsia="宋体" w:cs="宋体"/>
          <w:snapToGrid w:val="0"/>
          <w:color w:val="auto"/>
          <w:kern w:val="0"/>
        </w:rPr>
        <w:t>本项目排水工程主要采用的管道结构及构造措施</w:t>
      </w:r>
    </w:p>
    <w:p w14:paraId="682BF23C">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1、</w:t>
      </w:r>
      <w:r>
        <w:rPr>
          <w:rFonts w:hint="eastAsia" w:ascii="宋体" w:hAnsi="宋体" w:eastAsia="宋体" w:cs="宋体"/>
          <w:snapToGrid w:val="0"/>
          <w:color w:val="auto"/>
          <w:kern w:val="0"/>
        </w:rPr>
        <w:t>本项目埋地污水管主要采用承插口连接，采用柔性接口方式，基础采用</w:t>
      </w:r>
      <w:r>
        <w:rPr>
          <w:rFonts w:hint="eastAsia" w:ascii="宋体" w:hAnsi="宋体" w:eastAsia="宋体" w:cs="宋体"/>
          <w:snapToGrid w:val="0"/>
          <w:color w:val="auto"/>
          <w:kern w:val="0"/>
          <w:lang w:val="en-US" w:eastAsia="zh-CN"/>
        </w:rPr>
        <w:t>中粗砂</w:t>
      </w:r>
      <w:r>
        <w:rPr>
          <w:rFonts w:hint="eastAsia" w:ascii="宋体" w:hAnsi="宋体" w:eastAsia="宋体" w:cs="宋体"/>
          <w:snapToGrid w:val="0"/>
          <w:color w:val="auto"/>
          <w:kern w:val="0"/>
        </w:rPr>
        <w:t>基础，附属构筑物为砖砌检查井。</w:t>
      </w:r>
    </w:p>
    <w:p w14:paraId="364B3A1C">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2、</w:t>
      </w:r>
      <w:r>
        <w:rPr>
          <w:rFonts w:hint="eastAsia" w:ascii="宋体" w:hAnsi="宋体" w:eastAsia="宋体" w:cs="宋体"/>
          <w:snapToGrid w:val="0"/>
          <w:color w:val="auto"/>
          <w:kern w:val="0"/>
        </w:rPr>
        <w:t>结构设计基准期：50年；结构设计使用年限：50年；结构设计安全等级：二级；结构重要性系数：1.0；地震烈度：依据《中国地震动峰值加速度区划图》（GB18306-2015），项目所在地的抗震设防烈度为6度，基本地震加速度为0.05g；抗震设防分类：标准设防类。</w:t>
      </w:r>
    </w:p>
    <w:p w14:paraId="3EBDEBD7">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3、</w:t>
      </w:r>
      <w:r>
        <w:rPr>
          <w:rFonts w:hint="eastAsia" w:ascii="宋体" w:hAnsi="宋体" w:eastAsia="宋体" w:cs="宋体"/>
          <w:snapToGrid w:val="0"/>
          <w:color w:val="auto"/>
          <w:kern w:val="0"/>
        </w:rPr>
        <w:t>天然地基上的埋地管道，可不进行地基和基础的抗震验算；管道及检查井的选择满足设防烈度为6度，设计基本加速度峰值0.05g的地区使用。</w:t>
      </w:r>
    </w:p>
    <w:p w14:paraId="790BDAF6">
      <w:pPr>
        <w:pStyle w:val="71"/>
        <w:snapToGrid/>
        <w:ind w:firstLine="480"/>
        <w:rPr>
          <w:rFonts w:hint="eastAsia" w:ascii="宋体" w:hAnsi="宋体" w:eastAsia="宋体" w:cs="宋体"/>
          <w:snapToGrid w:val="0"/>
          <w:color w:val="auto"/>
          <w:kern w:val="0"/>
        </w:rPr>
      </w:pPr>
      <w:r>
        <w:rPr>
          <w:rFonts w:hint="eastAsia" w:ascii="宋体" w:hAnsi="宋体" w:cs="宋体"/>
          <w:snapToGrid w:val="0"/>
          <w:color w:val="auto"/>
          <w:kern w:val="0"/>
          <w:lang w:val="en-US" w:eastAsia="zh-CN"/>
        </w:rPr>
        <w:t>4、</w:t>
      </w:r>
      <w:r>
        <w:rPr>
          <w:rFonts w:hint="eastAsia" w:ascii="宋体" w:hAnsi="宋体" w:eastAsia="宋体" w:cs="宋体"/>
          <w:snapToGrid w:val="0"/>
          <w:color w:val="auto"/>
          <w:kern w:val="0"/>
        </w:rPr>
        <w:t>根据《室外给水排水和燃气热力工程抗震设计规范》(GB 50032</w:t>
      </w:r>
      <w:r>
        <w:rPr>
          <w:rFonts w:hint="eastAsia" w:ascii="宋体" w:hAnsi="宋体" w:eastAsia="宋体" w:cs="宋体"/>
          <w:snapToGrid w:val="0"/>
          <w:color w:val="auto"/>
          <w:kern w:val="0"/>
          <w:lang w:val="en-US" w:eastAsia="zh-CN"/>
        </w:rPr>
        <w:t>-</w:t>
      </w:r>
      <w:r>
        <w:rPr>
          <w:rFonts w:hint="eastAsia" w:ascii="宋体" w:hAnsi="宋体" w:eastAsia="宋体" w:cs="宋体"/>
          <w:snapToGrid w:val="0"/>
          <w:color w:val="auto"/>
          <w:kern w:val="0"/>
        </w:rPr>
        <w:t>2003)中10.1.4条的规定及抗震论证分析，本工程不对管道结构及检查井进行抗震验算。</w:t>
      </w:r>
    </w:p>
    <w:p w14:paraId="121C377F">
      <w:pPr>
        <w:pStyle w:val="71"/>
        <w:snapToGrid/>
        <w:ind w:firstLine="480"/>
        <w:rPr>
          <w:rFonts w:hint="eastAsia" w:ascii="宋体" w:hAnsi="宋体" w:eastAsia="宋体" w:cs="宋体"/>
          <w:b/>
          <w:bCs/>
          <w:color w:val="auto"/>
          <w:kern w:val="2"/>
          <w:sz w:val="24"/>
          <w:szCs w:val="24"/>
          <w:lang w:val="en-US" w:eastAsia="zh-CN" w:bidi="ar-SA"/>
        </w:rPr>
      </w:pPr>
      <w:r>
        <w:rPr>
          <w:rFonts w:hint="eastAsia" w:ascii="宋体" w:hAnsi="宋体" w:eastAsia="宋体" w:cs="宋体"/>
          <w:b/>
          <w:bCs/>
          <w:color w:val="auto"/>
          <w:kern w:val="2"/>
          <w:sz w:val="24"/>
          <w:szCs w:val="24"/>
          <w:lang w:val="en-US" w:eastAsia="zh-CN" w:bidi="ar-SA"/>
        </w:rPr>
        <w:t>六、“危大工·程”专项说明</w:t>
      </w:r>
    </w:p>
    <w:p w14:paraId="0F5AC6C0">
      <w:pPr>
        <w:pStyle w:val="71"/>
        <w:snapToGrid/>
        <w:ind w:firstLine="480"/>
        <w:rPr>
          <w:rFonts w:hint="eastAsia" w:ascii="宋体" w:hAnsi="宋体" w:eastAsia="宋体" w:cs="宋体"/>
          <w:snapToGrid w:val="0"/>
          <w:color w:val="auto"/>
          <w:kern w:val="0"/>
        </w:rPr>
      </w:pPr>
      <w:r>
        <w:rPr>
          <w:rFonts w:hint="eastAsia" w:ascii="宋体" w:hAnsi="宋体" w:eastAsia="宋体" w:cs="宋体"/>
          <w:snapToGrid w:val="0"/>
          <w:color w:val="auto"/>
          <w:kern w:val="0"/>
        </w:rPr>
        <w:t>根据2018年2月12日第37次部常务会议通过的《危险性较大的分部分项工程安全管理规定》（自2018年6月1日起施行），本项目涉及危险性较大的分部分项工程（简称“危大工程”）主要情况参见下表，施工单位在投标时应根据施工场地范围内的工程水文地质条件、周围环境及地下管线等构（建）筑的情况补充完善“危大工程”清单并明确相应的安全管理措施。</w:t>
      </w:r>
    </w:p>
    <w:tbl>
      <w:tblPr>
        <w:tblStyle w:val="51"/>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84"/>
        <w:gridCol w:w="3119"/>
        <w:gridCol w:w="2836"/>
        <w:gridCol w:w="2693"/>
      </w:tblGrid>
      <w:tr w14:paraId="39F3B9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84" w:type="dxa"/>
          </w:tcPr>
          <w:p w14:paraId="01B5F30F">
            <w:pPr>
              <w:pStyle w:val="115"/>
              <w:spacing w:before="175"/>
              <w:ind w:left="165"/>
              <w:rPr>
                <w:rFonts w:hint="eastAsia" w:ascii="宋体" w:hAnsi="宋体" w:eastAsia="宋体" w:cs="宋体"/>
                <w:b/>
                <w:color w:val="auto"/>
                <w:sz w:val="21"/>
              </w:rPr>
            </w:pPr>
            <w:r>
              <w:rPr>
                <w:rFonts w:hint="eastAsia" w:ascii="宋体" w:hAnsi="宋体" w:eastAsia="宋体" w:cs="宋体"/>
                <w:b/>
                <w:color w:val="auto"/>
                <w:sz w:val="21"/>
              </w:rPr>
              <w:t>危险性分类</w:t>
            </w:r>
          </w:p>
        </w:tc>
        <w:tc>
          <w:tcPr>
            <w:tcW w:w="3119" w:type="dxa"/>
          </w:tcPr>
          <w:p w14:paraId="799A9D22">
            <w:pPr>
              <w:pStyle w:val="115"/>
              <w:spacing w:before="175"/>
              <w:ind w:left="718"/>
              <w:rPr>
                <w:rFonts w:hint="eastAsia" w:ascii="宋体" w:hAnsi="宋体" w:eastAsia="宋体" w:cs="宋体"/>
                <w:b/>
                <w:color w:val="auto"/>
                <w:sz w:val="21"/>
              </w:rPr>
            </w:pPr>
            <w:r>
              <w:rPr>
                <w:rFonts w:hint="eastAsia" w:ascii="宋体" w:hAnsi="宋体" w:eastAsia="宋体" w:cs="宋体"/>
                <w:b/>
                <w:color w:val="auto"/>
                <w:sz w:val="21"/>
              </w:rPr>
              <w:t>分部分项工程范围</w:t>
            </w:r>
          </w:p>
        </w:tc>
        <w:tc>
          <w:tcPr>
            <w:tcW w:w="2836" w:type="dxa"/>
          </w:tcPr>
          <w:p w14:paraId="640CF5B4">
            <w:pPr>
              <w:pStyle w:val="115"/>
              <w:spacing w:before="175"/>
              <w:ind w:left="470"/>
              <w:rPr>
                <w:rFonts w:hint="eastAsia" w:ascii="宋体" w:hAnsi="宋体" w:eastAsia="宋体" w:cs="宋体"/>
                <w:b/>
                <w:color w:val="auto"/>
                <w:sz w:val="21"/>
              </w:rPr>
            </w:pPr>
            <w:r>
              <w:rPr>
                <w:rFonts w:hint="eastAsia" w:ascii="宋体" w:hAnsi="宋体" w:eastAsia="宋体" w:cs="宋体"/>
                <w:b/>
                <w:color w:val="auto"/>
                <w:sz w:val="21"/>
              </w:rPr>
              <w:t>对应本工程范围识别</w:t>
            </w:r>
          </w:p>
        </w:tc>
        <w:tc>
          <w:tcPr>
            <w:tcW w:w="2693" w:type="dxa"/>
          </w:tcPr>
          <w:p w14:paraId="3EC4EF43">
            <w:pPr>
              <w:pStyle w:val="115"/>
              <w:spacing w:before="19"/>
              <w:ind w:left="165" w:right="155"/>
              <w:jc w:val="center"/>
              <w:rPr>
                <w:rFonts w:hint="eastAsia" w:ascii="宋体" w:hAnsi="宋体" w:eastAsia="宋体" w:cs="宋体"/>
                <w:b/>
                <w:color w:val="auto"/>
                <w:sz w:val="21"/>
              </w:rPr>
            </w:pPr>
            <w:r>
              <w:rPr>
                <w:rFonts w:hint="eastAsia" w:ascii="宋体" w:hAnsi="宋体" w:eastAsia="宋体" w:cs="宋体"/>
                <w:b/>
                <w:color w:val="auto"/>
                <w:sz w:val="21"/>
              </w:rPr>
              <w:t>对工程周边环境安全和工</w:t>
            </w:r>
          </w:p>
          <w:p w14:paraId="61C99744">
            <w:pPr>
              <w:pStyle w:val="115"/>
              <w:spacing w:before="43"/>
              <w:ind w:left="165" w:right="155"/>
              <w:jc w:val="center"/>
              <w:rPr>
                <w:rFonts w:hint="eastAsia" w:ascii="宋体" w:hAnsi="宋体" w:eastAsia="宋体" w:cs="宋体"/>
                <w:b/>
                <w:color w:val="auto"/>
                <w:sz w:val="21"/>
              </w:rPr>
            </w:pPr>
            <w:r>
              <w:rPr>
                <w:rFonts w:hint="eastAsia" w:ascii="宋体" w:hAnsi="宋体" w:eastAsia="宋体" w:cs="宋体"/>
                <w:b/>
                <w:color w:val="auto"/>
                <w:sz w:val="21"/>
              </w:rPr>
              <w:t>程施工安全的意见</w:t>
            </w:r>
          </w:p>
        </w:tc>
      </w:tr>
      <w:tr w14:paraId="16EFC7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99" w:hRule="atLeast"/>
        </w:trPr>
        <w:tc>
          <w:tcPr>
            <w:tcW w:w="1384" w:type="dxa"/>
            <w:vMerge w:val="restart"/>
          </w:tcPr>
          <w:p w14:paraId="696C0BD0">
            <w:pPr>
              <w:pStyle w:val="115"/>
              <w:rPr>
                <w:rFonts w:hint="eastAsia" w:ascii="宋体" w:hAnsi="宋体" w:eastAsia="宋体" w:cs="宋体"/>
                <w:color w:val="auto"/>
                <w:sz w:val="20"/>
              </w:rPr>
            </w:pPr>
          </w:p>
          <w:p w14:paraId="143A39B8">
            <w:pPr>
              <w:pStyle w:val="115"/>
              <w:rPr>
                <w:rFonts w:hint="eastAsia" w:ascii="宋体" w:hAnsi="宋体" w:eastAsia="宋体" w:cs="宋体"/>
                <w:color w:val="auto"/>
                <w:sz w:val="20"/>
              </w:rPr>
            </w:pPr>
          </w:p>
          <w:p w14:paraId="1400E83F">
            <w:pPr>
              <w:pStyle w:val="115"/>
              <w:rPr>
                <w:rFonts w:hint="eastAsia" w:ascii="宋体" w:hAnsi="宋体" w:eastAsia="宋体" w:cs="宋体"/>
                <w:color w:val="auto"/>
                <w:sz w:val="20"/>
              </w:rPr>
            </w:pPr>
          </w:p>
          <w:p w14:paraId="750E4CC0">
            <w:pPr>
              <w:pStyle w:val="115"/>
              <w:spacing w:before="1"/>
              <w:rPr>
                <w:rFonts w:hint="eastAsia" w:ascii="宋体" w:hAnsi="宋体" w:eastAsia="宋体" w:cs="宋体"/>
                <w:color w:val="auto"/>
                <w:sz w:val="29"/>
              </w:rPr>
            </w:pPr>
          </w:p>
          <w:p w14:paraId="301C5718">
            <w:pPr>
              <w:pStyle w:val="115"/>
              <w:spacing w:before="1" w:line="278" w:lineRule="auto"/>
              <w:ind w:left="165" w:right="151"/>
              <w:jc w:val="both"/>
              <w:rPr>
                <w:rFonts w:hint="eastAsia" w:ascii="宋体" w:hAnsi="宋体" w:eastAsia="宋体" w:cs="宋体"/>
                <w:b/>
                <w:color w:val="auto"/>
                <w:sz w:val="21"/>
              </w:rPr>
            </w:pPr>
            <w:r>
              <w:rPr>
                <w:rFonts w:hint="eastAsia" w:ascii="宋体" w:hAnsi="宋体" w:eastAsia="宋体" w:cs="宋体"/>
                <w:b/>
                <w:color w:val="auto"/>
                <w:sz w:val="21"/>
              </w:rPr>
              <w:t>危险性较大的分部分项工程范围</w:t>
            </w:r>
          </w:p>
        </w:tc>
        <w:tc>
          <w:tcPr>
            <w:tcW w:w="3119" w:type="dxa"/>
          </w:tcPr>
          <w:p w14:paraId="5CF59CAA">
            <w:pPr>
              <w:pStyle w:val="115"/>
              <w:spacing w:before="9"/>
              <w:rPr>
                <w:rFonts w:hint="eastAsia" w:ascii="宋体" w:hAnsi="宋体" w:eastAsia="宋体" w:cs="宋体"/>
                <w:color w:val="auto"/>
                <w:sz w:val="15"/>
              </w:rPr>
            </w:pPr>
          </w:p>
          <w:p w14:paraId="2DA1CEB8">
            <w:pPr>
              <w:pStyle w:val="115"/>
              <w:rPr>
                <w:rFonts w:hint="eastAsia" w:ascii="宋体" w:hAnsi="宋体" w:eastAsia="宋体" w:cs="宋体"/>
                <w:color w:val="auto"/>
                <w:sz w:val="21"/>
              </w:rPr>
            </w:pPr>
            <w:r>
              <w:rPr>
                <w:rFonts w:hint="eastAsia" w:ascii="宋体" w:hAnsi="宋体" w:eastAsia="宋体" w:cs="宋体"/>
                <w:color w:val="auto"/>
                <w:sz w:val="21"/>
              </w:rPr>
              <w:t>土方开挖工程</w:t>
            </w:r>
          </w:p>
          <w:p w14:paraId="4229371A">
            <w:pPr>
              <w:pStyle w:val="115"/>
              <w:spacing w:before="43" w:line="278" w:lineRule="auto"/>
              <w:ind w:right="165"/>
              <w:rPr>
                <w:rFonts w:hint="eastAsia" w:ascii="宋体" w:hAnsi="宋体" w:eastAsia="宋体" w:cs="宋体"/>
                <w:color w:val="auto"/>
                <w:sz w:val="21"/>
              </w:rPr>
            </w:pPr>
            <w:r>
              <w:rPr>
                <w:rFonts w:hint="eastAsia" w:ascii="宋体" w:hAnsi="宋体" w:eastAsia="宋体" w:cs="宋体"/>
                <w:color w:val="auto"/>
                <w:spacing w:val="-8"/>
                <w:sz w:val="21"/>
              </w:rPr>
              <w:t xml:space="preserve">开挖深度超过 </w:t>
            </w:r>
            <w:r>
              <w:rPr>
                <w:rFonts w:hint="eastAsia" w:ascii="宋体" w:hAnsi="宋体" w:eastAsia="宋体" w:cs="宋体"/>
                <w:color w:val="auto"/>
                <w:sz w:val="21"/>
              </w:rPr>
              <w:t>3m（</w:t>
            </w:r>
            <w:r>
              <w:rPr>
                <w:rFonts w:hint="eastAsia" w:ascii="宋体" w:hAnsi="宋体" w:eastAsia="宋体" w:cs="宋体"/>
                <w:color w:val="auto"/>
                <w:spacing w:val="-27"/>
                <w:sz w:val="21"/>
              </w:rPr>
              <w:t xml:space="preserve">含 </w:t>
            </w:r>
            <w:r>
              <w:rPr>
                <w:rFonts w:hint="eastAsia" w:ascii="宋体" w:hAnsi="宋体" w:eastAsia="宋体" w:cs="宋体"/>
                <w:color w:val="auto"/>
                <w:sz w:val="21"/>
              </w:rPr>
              <w:t>3m）</w:t>
            </w:r>
            <w:r>
              <w:rPr>
                <w:rFonts w:hint="eastAsia" w:ascii="宋体" w:hAnsi="宋体" w:eastAsia="宋体" w:cs="宋体"/>
                <w:color w:val="auto"/>
                <w:spacing w:val="-8"/>
                <w:sz w:val="21"/>
              </w:rPr>
              <w:t>的基</w:t>
            </w:r>
            <w:r>
              <w:rPr>
                <w:rFonts w:hint="eastAsia" w:ascii="宋体" w:hAnsi="宋体" w:eastAsia="宋体" w:cs="宋体"/>
                <w:color w:val="auto"/>
                <w:sz w:val="21"/>
              </w:rPr>
              <w:t>坑（槽）的土方开挖工程。</w:t>
            </w:r>
          </w:p>
        </w:tc>
        <w:tc>
          <w:tcPr>
            <w:tcW w:w="2836" w:type="dxa"/>
          </w:tcPr>
          <w:p w14:paraId="59F437B3">
            <w:pPr>
              <w:pStyle w:val="115"/>
              <w:spacing w:before="9"/>
              <w:rPr>
                <w:rFonts w:hint="eastAsia" w:ascii="宋体" w:hAnsi="宋体" w:eastAsia="宋体" w:cs="宋体"/>
                <w:color w:val="auto"/>
                <w:sz w:val="15"/>
              </w:rPr>
            </w:pPr>
          </w:p>
          <w:p w14:paraId="50B94A29">
            <w:pPr>
              <w:pStyle w:val="115"/>
              <w:spacing w:line="278" w:lineRule="auto"/>
              <w:ind w:left="107" w:right="-15"/>
              <w:rPr>
                <w:rFonts w:hint="eastAsia" w:ascii="宋体" w:hAnsi="宋体" w:eastAsia="宋体" w:cs="宋体"/>
                <w:color w:val="auto"/>
                <w:sz w:val="21"/>
              </w:rPr>
            </w:pPr>
            <w:r>
              <w:rPr>
                <w:rFonts w:hint="eastAsia" w:ascii="宋体" w:hAnsi="宋体" w:eastAsia="宋体" w:cs="宋体"/>
                <w:color w:val="auto"/>
                <w:spacing w:val="-6"/>
                <w:sz w:val="21"/>
                <w:lang w:val="en-US" w:eastAsia="zh-CN"/>
              </w:rPr>
              <w:t>污水处理站</w:t>
            </w:r>
            <w:r>
              <w:rPr>
                <w:rFonts w:hint="eastAsia" w:ascii="宋体" w:hAnsi="宋体" w:eastAsia="宋体" w:cs="宋体"/>
                <w:color w:val="auto"/>
                <w:spacing w:val="-6"/>
                <w:sz w:val="21"/>
              </w:rPr>
              <w:t xml:space="preserve">基坑开挖深度大于 </w:t>
            </w:r>
            <w:r>
              <w:rPr>
                <w:rFonts w:hint="eastAsia" w:ascii="宋体" w:hAnsi="宋体" w:eastAsia="宋体" w:cs="宋体"/>
                <w:color w:val="auto"/>
                <w:sz w:val="21"/>
              </w:rPr>
              <w:t>3</w:t>
            </w:r>
            <w:r>
              <w:rPr>
                <w:rFonts w:hint="eastAsia" w:ascii="宋体" w:hAnsi="宋体" w:eastAsia="宋体" w:cs="宋体"/>
                <w:color w:val="auto"/>
                <w:spacing w:val="-22"/>
                <w:sz w:val="21"/>
              </w:rPr>
              <w:t xml:space="preserve"> 米， </w:t>
            </w:r>
            <w:r>
              <w:rPr>
                <w:rFonts w:hint="eastAsia" w:ascii="宋体" w:hAnsi="宋体" w:eastAsia="宋体" w:cs="宋体"/>
                <w:color w:val="auto"/>
                <w:sz w:val="21"/>
              </w:rPr>
              <w:t>且采用放坡开挖的管道沟</w:t>
            </w:r>
          </w:p>
          <w:p w14:paraId="4CF16BD5">
            <w:pPr>
              <w:pStyle w:val="115"/>
              <w:spacing w:line="269" w:lineRule="exact"/>
              <w:ind w:left="107"/>
              <w:rPr>
                <w:rFonts w:hint="eastAsia" w:ascii="宋体" w:hAnsi="宋体" w:eastAsia="宋体" w:cs="宋体"/>
                <w:color w:val="auto"/>
                <w:sz w:val="21"/>
              </w:rPr>
            </w:pPr>
            <w:r>
              <w:rPr>
                <w:rFonts w:hint="eastAsia" w:ascii="宋体" w:hAnsi="宋体" w:eastAsia="宋体" w:cs="宋体"/>
                <w:color w:val="auto"/>
                <w:sz w:val="21"/>
              </w:rPr>
              <w:t>槽。</w:t>
            </w:r>
          </w:p>
        </w:tc>
        <w:tc>
          <w:tcPr>
            <w:tcW w:w="2693" w:type="dxa"/>
            <w:vMerge w:val="restart"/>
          </w:tcPr>
          <w:p w14:paraId="6D183558">
            <w:pPr>
              <w:pStyle w:val="115"/>
              <w:spacing w:before="9" w:line="310" w:lineRule="atLeast"/>
              <w:ind w:left="105" w:right="98" w:firstLine="420"/>
              <w:rPr>
                <w:rFonts w:hint="eastAsia" w:ascii="宋体" w:hAnsi="宋体" w:eastAsia="宋体" w:cs="宋体"/>
                <w:color w:val="auto"/>
                <w:sz w:val="21"/>
              </w:rPr>
            </w:pPr>
            <w:r>
              <w:rPr>
                <w:rFonts w:hint="eastAsia" w:ascii="宋体" w:hAnsi="宋体" w:eastAsia="宋体" w:cs="宋体"/>
                <w:color w:val="auto"/>
                <w:sz w:val="21"/>
              </w:rPr>
              <w:t>施工单位应当在危大工程施工前组织工程技术</w:t>
            </w:r>
            <w:r>
              <w:rPr>
                <w:rFonts w:hint="eastAsia" w:ascii="宋体" w:hAnsi="宋体" w:eastAsia="宋体" w:cs="宋体"/>
                <w:color w:val="auto"/>
                <w:spacing w:val="-5"/>
                <w:sz w:val="21"/>
              </w:rPr>
              <w:t>人员编制专项施工方案。此</w:t>
            </w:r>
            <w:r>
              <w:rPr>
                <w:rFonts w:hint="eastAsia" w:ascii="宋体" w:hAnsi="宋体" w:eastAsia="宋体" w:cs="宋体"/>
                <w:color w:val="auto"/>
                <w:spacing w:val="-9"/>
                <w:sz w:val="21"/>
              </w:rPr>
              <w:t>外，还需严格遵循《市政工程施工组织设计规范》</w:t>
            </w:r>
            <w:r>
              <w:rPr>
                <w:rFonts w:hint="eastAsia" w:ascii="宋体" w:hAnsi="宋体" w:eastAsia="宋体" w:cs="宋体"/>
                <w:color w:val="auto"/>
                <w:spacing w:val="-62"/>
                <w:sz w:val="21"/>
              </w:rPr>
              <w:t>、《城</w:t>
            </w:r>
            <w:r>
              <w:rPr>
                <w:rFonts w:hint="eastAsia" w:ascii="宋体" w:hAnsi="宋体" w:eastAsia="宋体" w:cs="宋体"/>
                <w:color w:val="auto"/>
                <w:sz w:val="21"/>
              </w:rPr>
              <w:t>镇排水管道维护安全技术</w:t>
            </w:r>
            <w:r>
              <w:rPr>
                <w:rFonts w:hint="eastAsia" w:ascii="宋体" w:hAnsi="宋体" w:eastAsia="宋体" w:cs="宋体"/>
                <w:color w:val="auto"/>
                <w:spacing w:val="-8"/>
                <w:sz w:val="21"/>
              </w:rPr>
              <w:t>规程》、《城镇排水管渠与泵站运行、维护及安全技术规程》以及国家现行相关法</w:t>
            </w:r>
            <w:r>
              <w:rPr>
                <w:rFonts w:hint="eastAsia" w:ascii="宋体" w:hAnsi="宋体" w:eastAsia="宋体" w:cs="宋体"/>
                <w:color w:val="auto"/>
                <w:sz w:val="21"/>
              </w:rPr>
              <w:t>律法规、标准的规定。</w:t>
            </w:r>
          </w:p>
        </w:tc>
      </w:tr>
      <w:tr w14:paraId="52A924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384" w:type="dxa"/>
            <w:vMerge w:val="continue"/>
          </w:tcPr>
          <w:p w14:paraId="1DB4508A">
            <w:pPr>
              <w:rPr>
                <w:rFonts w:hint="eastAsia" w:ascii="宋体" w:hAnsi="宋体" w:eastAsia="宋体" w:cs="宋体"/>
                <w:color w:val="auto"/>
                <w:sz w:val="2"/>
                <w:szCs w:val="2"/>
              </w:rPr>
            </w:pPr>
          </w:p>
        </w:tc>
        <w:tc>
          <w:tcPr>
            <w:tcW w:w="3119" w:type="dxa"/>
          </w:tcPr>
          <w:p w14:paraId="5F122CBB">
            <w:pPr>
              <w:pStyle w:val="115"/>
              <w:spacing w:before="20"/>
              <w:rPr>
                <w:rFonts w:hint="eastAsia" w:ascii="宋体" w:hAnsi="宋体" w:eastAsia="宋体" w:cs="宋体"/>
                <w:color w:val="auto"/>
                <w:sz w:val="21"/>
              </w:rPr>
            </w:pPr>
            <w:r>
              <w:rPr>
                <w:rFonts w:hint="eastAsia" w:ascii="宋体" w:hAnsi="宋体" w:eastAsia="宋体" w:cs="宋体"/>
                <w:color w:val="auto"/>
                <w:sz w:val="21"/>
              </w:rPr>
              <w:t>起重吊装及安装拆卸工程</w:t>
            </w:r>
          </w:p>
          <w:p w14:paraId="50E13B6E">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pacing w:val="-2"/>
                <w:sz w:val="21"/>
                <w:lang w:val="en-US" w:eastAsia="zh-CN"/>
              </w:rPr>
              <w:t>1.</w:t>
            </w:r>
            <w:r>
              <w:rPr>
                <w:rFonts w:hint="eastAsia" w:ascii="宋体" w:hAnsi="宋体" w:eastAsia="宋体" w:cs="宋体"/>
                <w:color w:val="auto"/>
                <w:spacing w:val="-2"/>
                <w:sz w:val="21"/>
              </w:rPr>
              <w:t xml:space="preserve">采用非常规起重设备、方法， </w:t>
            </w:r>
            <w:r>
              <w:rPr>
                <w:rFonts w:hint="eastAsia" w:ascii="宋体" w:hAnsi="宋体" w:eastAsia="宋体" w:cs="宋体"/>
                <w:color w:val="auto"/>
                <w:spacing w:val="-6"/>
                <w:sz w:val="21"/>
              </w:rPr>
              <w:t xml:space="preserve">且单件起吊重量在 </w:t>
            </w:r>
            <w:r>
              <w:rPr>
                <w:rFonts w:hint="eastAsia" w:ascii="宋体" w:hAnsi="宋体" w:eastAsia="宋体" w:cs="宋体"/>
                <w:color w:val="auto"/>
                <w:sz w:val="21"/>
              </w:rPr>
              <w:t>10kN</w:t>
            </w:r>
            <w:r>
              <w:rPr>
                <w:rFonts w:hint="eastAsia" w:ascii="宋体" w:hAnsi="宋体" w:eastAsia="宋体" w:cs="宋体"/>
                <w:color w:val="auto"/>
                <w:spacing w:val="-14"/>
                <w:sz w:val="21"/>
              </w:rPr>
              <w:t xml:space="preserve"> 及以上的起重吊装工程。</w:t>
            </w:r>
          </w:p>
          <w:p w14:paraId="6D724C81">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pacing w:val="-14"/>
                <w:sz w:val="21"/>
              </w:rPr>
              <w:t>2.采用起重机械进行安装的工程。</w:t>
            </w:r>
          </w:p>
          <w:p w14:paraId="226BDDD2">
            <w:pPr>
              <w:pStyle w:val="115"/>
              <w:spacing w:before="20"/>
              <w:rPr>
                <w:rFonts w:hint="eastAsia" w:ascii="宋体" w:hAnsi="宋体" w:eastAsia="宋体" w:cs="宋体"/>
                <w:color w:val="auto"/>
                <w:sz w:val="21"/>
              </w:rPr>
            </w:pPr>
            <w:r>
              <w:rPr>
                <w:rFonts w:hint="eastAsia" w:ascii="宋体" w:hAnsi="宋体" w:eastAsia="宋体" w:cs="宋体"/>
                <w:color w:val="auto"/>
                <w:sz w:val="21"/>
              </w:rPr>
              <w:t>3.起重机械设备自身的安装、拆</w:t>
            </w:r>
          </w:p>
          <w:p w14:paraId="280E5030">
            <w:pPr>
              <w:pStyle w:val="115"/>
              <w:numPr>
                <w:ilvl w:val="0"/>
                <w:numId w:val="0"/>
              </w:numPr>
              <w:spacing w:before="2" w:line="310" w:lineRule="atLeast"/>
              <w:ind w:right="60" w:rightChars="0"/>
              <w:rPr>
                <w:rFonts w:hint="eastAsia" w:ascii="宋体" w:hAnsi="宋体" w:eastAsia="宋体" w:cs="宋体"/>
                <w:color w:val="auto"/>
                <w:spacing w:val="-14"/>
                <w:sz w:val="21"/>
              </w:rPr>
            </w:pPr>
            <w:r>
              <w:rPr>
                <w:rFonts w:hint="eastAsia" w:ascii="宋体" w:hAnsi="宋体" w:eastAsia="宋体" w:cs="宋体"/>
                <w:color w:val="auto"/>
                <w:sz w:val="21"/>
              </w:rPr>
              <w:t>卸。</w:t>
            </w:r>
          </w:p>
        </w:tc>
        <w:tc>
          <w:tcPr>
            <w:tcW w:w="2836" w:type="dxa"/>
          </w:tcPr>
          <w:p w14:paraId="095249FA">
            <w:pPr>
              <w:pStyle w:val="115"/>
              <w:rPr>
                <w:rFonts w:hint="eastAsia" w:ascii="宋体" w:hAnsi="宋体" w:eastAsia="宋体" w:cs="宋体"/>
                <w:color w:val="auto"/>
                <w:sz w:val="20"/>
              </w:rPr>
            </w:pPr>
          </w:p>
          <w:p w14:paraId="4AD431FD">
            <w:pPr>
              <w:pStyle w:val="115"/>
              <w:rPr>
                <w:rFonts w:hint="eastAsia" w:ascii="宋体" w:hAnsi="宋体" w:eastAsia="宋体" w:cs="宋体"/>
                <w:color w:val="auto"/>
                <w:sz w:val="20"/>
              </w:rPr>
            </w:pPr>
          </w:p>
          <w:p w14:paraId="0D4B401E">
            <w:pPr>
              <w:pStyle w:val="115"/>
              <w:spacing w:before="5"/>
              <w:rPr>
                <w:rFonts w:hint="eastAsia" w:ascii="宋体" w:hAnsi="宋体" w:eastAsia="宋体" w:cs="宋体"/>
                <w:color w:val="auto"/>
                <w:sz w:val="22"/>
              </w:rPr>
            </w:pPr>
          </w:p>
          <w:p w14:paraId="78A22D08">
            <w:pPr>
              <w:pStyle w:val="115"/>
              <w:ind w:left="107"/>
              <w:rPr>
                <w:rFonts w:hint="eastAsia" w:ascii="宋体" w:hAnsi="宋体" w:eastAsia="宋体" w:cs="宋体"/>
                <w:color w:val="auto"/>
                <w:sz w:val="21"/>
              </w:rPr>
            </w:pPr>
            <w:r>
              <w:rPr>
                <w:rFonts w:hint="eastAsia" w:ascii="宋体" w:hAnsi="宋体" w:eastAsia="宋体" w:cs="宋体"/>
                <w:color w:val="auto"/>
                <w:sz w:val="21"/>
              </w:rPr>
              <w:t>整体设备吊装。</w:t>
            </w:r>
          </w:p>
        </w:tc>
        <w:tc>
          <w:tcPr>
            <w:tcW w:w="2693" w:type="dxa"/>
            <w:vMerge w:val="continue"/>
          </w:tcPr>
          <w:p w14:paraId="71CD96D0">
            <w:pPr>
              <w:rPr>
                <w:rFonts w:hint="eastAsia" w:ascii="宋体" w:hAnsi="宋体" w:eastAsia="宋体" w:cs="宋体"/>
                <w:color w:val="auto"/>
                <w:sz w:val="2"/>
                <w:szCs w:val="2"/>
              </w:rPr>
            </w:pPr>
          </w:p>
        </w:tc>
      </w:tr>
      <w:tr w14:paraId="2CC48D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9" w:hRule="atLeast"/>
        </w:trPr>
        <w:tc>
          <w:tcPr>
            <w:tcW w:w="1384" w:type="dxa"/>
            <w:vMerge w:val="continue"/>
          </w:tcPr>
          <w:p w14:paraId="125793CE">
            <w:pPr>
              <w:rPr>
                <w:rFonts w:hint="eastAsia" w:ascii="宋体" w:hAnsi="宋体" w:eastAsia="宋体" w:cs="宋体"/>
                <w:color w:val="auto"/>
                <w:sz w:val="2"/>
                <w:szCs w:val="2"/>
              </w:rPr>
            </w:pPr>
          </w:p>
        </w:tc>
        <w:tc>
          <w:tcPr>
            <w:tcW w:w="3119" w:type="dxa"/>
          </w:tcPr>
          <w:p w14:paraId="5F67DC30">
            <w:pPr>
              <w:pStyle w:val="115"/>
              <w:spacing w:before="19"/>
              <w:rPr>
                <w:rFonts w:hint="eastAsia" w:ascii="宋体" w:hAnsi="宋体" w:eastAsia="宋体" w:cs="宋体"/>
                <w:color w:val="auto"/>
                <w:sz w:val="21"/>
              </w:rPr>
            </w:pPr>
            <w:r>
              <w:rPr>
                <w:rFonts w:hint="eastAsia" w:ascii="宋体" w:hAnsi="宋体" w:eastAsia="宋体" w:cs="宋体"/>
                <w:color w:val="auto"/>
                <w:sz w:val="21"/>
              </w:rPr>
              <w:t>模板工程及支撑体系</w:t>
            </w:r>
          </w:p>
          <w:p w14:paraId="4B09F323">
            <w:pPr>
              <w:pStyle w:val="115"/>
              <w:numPr>
                <w:ilvl w:val="0"/>
                <w:numId w:val="0"/>
              </w:numPr>
              <w:spacing w:before="2" w:line="310" w:lineRule="atLeast"/>
              <w:ind w:right="60" w:rightChars="0"/>
              <w:rPr>
                <w:rFonts w:hint="eastAsia" w:ascii="宋体" w:hAnsi="宋体" w:eastAsia="宋体" w:cs="宋体"/>
                <w:color w:val="auto"/>
                <w:sz w:val="21"/>
              </w:rPr>
            </w:pPr>
            <w:r>
              <w:rPr>
                <w:rFonts w:hint="eastAsia" w:ascii="宋体" w:hAnsi="宋体" w:eastAsia="宋体" w:cs="宋体"/>
                <w:color w:val="auto"/>
                <w:spacing w:val="-11"/>
                <w:sz w:val="21"/>
              </w:rPr>
              <w:t xml:space="preserve">搭设高度 </w:t>
            </w:r>
            <w:r>
              <w:rPr>
                <w:rFonts w:hint="eastAsia" w:ascii="宋体" w:hAnsi="宋体" w:eastAsia="宋体" w:cs="宋体"/>
                <w:color w:val="auto"/>
                <w:sz w:val="21"/>
              </w:rPr>
              <w:t>5m</w:t>
            </w:r>
            <w:r>
              <w:rPr>
                <w:rFonts w:hint="eastAsia" w:ascii="宋体" w:hAnsi="宋体" w:eastAsia="宋体" w:cs="宋体"/>
                <w:color w:val="auto"/>
                <w:spacing w:val="-9"/>
                <w:sz w:val="21"/>
              </w:rPr>
              <w:t xml:space="preserve"> 及以上的混凝土模</w:t>
            </w:r>
            <w:r>
              <w:rPr>
                <w:rFonts w:hint="eastAsia" w:ascii="宋体" w:hAnsi="宋体" w:eastAsia="宋体" w:cs="宋体"/>
                <w:color w:val="auto"/>
                <w:sz w:val="21"/>
              </w:rPr>
              <w:t>板</w:t>
            </w:r>
          </w:p>
        </w:tc>
        <w:tc>
          <w:tcPr>
            <w:tcW w:w="2836" w:type="dxa"/>
          </w:tcPr>
          <w:p w14:paraId="1D8FED7B">
            <w:pPr>
              <w:pStyle w:val="115"/>
              <w:ind w:left="107"/>
              <w:rPr>
                <w:rFonts w:hint="eastAsia" w:ascii="宋体" w:hAnsi="宋体" w:eastAsia="宋体" w:cs="宋体"/>
                <w:color w:val="auto"/>
                <w:sz w:val="21"/>
              </w:rPr>
            </w:pPr>
            <w:r>
              <w:rPr>
                <w:rFonts w:hint="eastAsia" w:ascii="宋体" w:hAnsi="宋体" w:eastAsia="宋体" w:cs="宋体"/>
                <w:color w:val="auto"/>
                <w:sz w:val="21"/>
              </w:rPr>
              <w:t>检查井、跌水井等构筑物的模板工程</w:t>
            </w:r>
          </w:p>
        </w:tc>
        <w:tc>
          <w:tcPr>
            <w:tcW w:w="2693" w:type="dxa"/>
            <w:vMerge w:val="continue"/>
          </w:tcPr>
          <w:p w14:paraId="577327B9">
            <w:pPr>
              <w:rPr>
                <w:rFonts w:hint="eastAsia" w:ascii="宋体" w:hAnsi="宋体" w:eastAsia="宋体" w:cs="宋体"/>
                <w:color w:val="auto"/>
                <w:sz w:val="2"/>
                <w:szCs w:val="2"/>
              </w:rPr>
            </w:pPr>
          </w:p>
        </w:tc>
      </w:tr>
    </w:tbl>
    <w:p w14:paraId="7F3B287D">
      <w:pPr>
        <w:pStyle w:val="71"/>
        <w:snapToGrid/>
        <w:ind w:firstLine="480"/>
        <w:rPr>
          <w:rFonts w:hint="eastAsia" w:ascii="宋体" w:hAnsi="宋体" w:eastAsia="宋体" w:cs="宋体"/>
          <w:snapToGrid w:val="0"/>
          <w:color w:val="auto"/>
          <w:kern w:val="0"/>
        </w:rPr>
      </w:pPr>
    </w:p>
    <w:p w14:paraId="7D464FE8">
      <w:pPr>
        <w:pStyle w:val="71"/>
        <w:snapToGrid/>
        <w:ind w:firstLine="480"/>
        <w:rPr>
          <w:rFonts w:hint="eastAsia" w:ascii="宋体" w:hAnsi="宋体" w:eastAsia="宋体" w:cs="宋体"/>
          <w:snapToGrid w:val="0"/>
          <w:color w:val="auto"/>
          <w:kern w:val="0"/>
        </w:rPr>
      </w:pPr>
    </w:p>
    <w:sectPr>
      <w:headerReference r:id="rId3" w:type="default"/>
      <w:footerReference r:id="rId4" w:type="default"/>
      <w:footerReference r:id="rId5" w:type="even"/>
      <w:type w:val="continuous"/>
      <w:pgSz w:w="23814" w:h="16840" w:orient="landscape"/>
      <w:pgMar w:top="1588" w:right="1134" w:bottom="1304" w:left="1701" w:header="851" w:footer="992" w:gutter="0"/>
      <w:cols w:space="1051" w:num="2"/>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0A8B4D">
    <w:pPr>
      <w:pStyle w:val="29"/>
      <w:framePr w:wrap="around" w:vAnchor="text" w:hAnchor="page" w:x="21967" w:y="14"/>
      <w:rPr>
        <w:rFonts w:ascii="宋体" w:hAnsi="宋体"/>
        <w:b/>
        <w:bCs/>
        <w:w w:val="95"/>
        <w:szCs w:val="18"/>
      </w:rPr>
    </w:pPr>
    <w:r>
      <w:rPr>
        <w:rFonts w:hint="eastAsia" w:ascii="宋体" w:hAnsi="宋体"/>
        <w:b/>
        <w:bCs/>
        <w:w w:val="95"/>
        <w:szCs w:val="18"/>
      </w:rPr>
      <w:t xml:space="preserve">第 </w:t>
    </w:r>
    <w:r>
      <w:rPr>
        <w:rFonts w:hint="eastAsia" w:ascii="宋体" w:hAnsi="宋体"/>
        <w:b/>
        <w:bCs/>
        <w:w w:val="95"/>
        <w:szCs w:val="18"/>
      </w:rPr>
      <w:fldChar w:fldCharType="begin"/>
    </w:r>
    <w:r>
      <w:rPr>
        <w:rStyle w:val="54"/>
        <w:rFonts w:hint="eastAsia" w:ascii="宋体" w:hAnsi="宋体"/>
        <w:b/>
        <w:bCs/>
        <w:w w:val="95"/>
        <w:szCs w:val="18"/>
      </w:rPr>
      <w:instrText xml:space="preserve"> PAGE  </w:instrText>
    </w:r>
    <w:r>
      <w:rPr>
        <w:rFonts w:hint="eastAsia" w:ascii="宋体" w:hAnsi="宋体"/>
        <w:b/>
        <w:bCs/>
        <w:w w:val="95"/>
        <w:szCs w:val="18"/>
      </w:rPr>
      <w:fldChar w:fldCharType="separate"/>
    </w:r>
    <w:r>
      <w:rPr>
        <w:rStyle w:val="54"/>
        <w:rFonts w:ascii="宋体" w:hAnsi="宋体"/>
        <w:b/>
        <w:bCs/>
        <w:w w:val="95"/>
        <w:szCs w:val="18"/>
      </w:rPr>
      <w:t>32</w:t>
    </w:r>
    <w:r>
      <w:rPr>
        <w:rFonts w:hint="eastAsia" w:ascii="宋体" w:hAnsi="宋体"/>
        <w:b/>
        <w:bCs/>
        <w:w w:val="95"/>
        <w:szCs w:val="18"/>
      </w:rPr>
      <w:fldChar w:fldCharType="end"/>
    </w:r>
    <w:r>
      <w:rPr>
        <w:rFonts w:hint="eastAsia" w:ascii="宋体" w:hAnsi="宋体"/>
        <w:b/>
        <w:bCs/>
        <w:w w:val="95"/>
        <w:szCs w:val="18"/>
      </w:rPr>
      <w:t xml:space="preserve"> 页</w:t>
    </w:r>
  </w:p>
  <w:p w14:paraId="0A65A7D6">
    <w:pPr>
      <w:pStyle w:val="29"/>
      <w:ind w:firstLine="172" w:firstLineChars="100"/>
      <w:rPr>
        <w:rFonts w:ascii="宋体" w:hAnsi="宋体"/>
        <w:b/>
        <w:bCs/>
        <w:w w:val="95"/>
        <w:szCs w:val="18"/>
      </w:rPr>
    </w:pPr>
    <w:r>
      <w:rPr>
        <w:rFonts w:hint="default" w:ascii="宋体" w:hAnsi="宋体"/>
        <w:b/>
        <w:bCs/>
        <w:w w:val="95"/>
        <w:szCs w:val="18"/>
        <w:lang w:val="en-US"/>
      </w:rPr>
      <mc:AlternateContent>
        <mc:Choice Requires="wps">
          <w:drawing>
            <wp:anchor distT="0" distB="0" distL="114300" distR="114300" simplePos="0" relativeHeight="251659264" behindDoc="0" locked="0" layoutInCell="1" allowOverlap="1">
              <wp:simplePos x="0" y="0"/>
              <wp:positionH relativeFrom="column">
                <wp:posOffset>106680</wp:posOffset>
              </wp:positionH>
              <wp:positionV relativeFrom="paragraph">
                <wp:posOffset>-53340</wp:posOffset>
              </wp:positionV>
              <wp:extent cx="1476375" cy="635"/>
              <wp:effectExtent l="0" t="0" r="0" b="0"/>
              <wp:wrapNone/>
              <wp:docPr id="1" name="Line 1"/>
              <wp:cNvGraphicFramePr/>
              <a:graphic xmlns:a="http://schemas.openxmlformats.org/drawingml/2006/main">
                <a:graphicData uri="http://schemas.microsoft.com/office/word/2010/wordprocessingShape">
                  <wps:wsp>
                    <wps:cNvCnPr>
                      <a:cxnSpLocks noChangeShapeType="1"/>
                    </wps:cNvCnPr>
                    <wps:spPr bwMode="auto">
                      <a:xfrm>
                        <a:off x="0" y="0"/>
                        <a:ext cx="1476375" cy="635"/>
                      </a:xfrm>
                      <a:prstGeom prst="line">
                        <a:avLst/>
                      </a:prstGeom>
                      <a:noFill/>
                      <a:ln w="9525">
                        <a:solidFill>
                          <a:srgbClr val="000000"/>
                        </a:solidFill>
                        <a:round/>
                      </a:ln>
                      <a:effectLst/>
                    </wps:spPr>
                    <wps:bodyPr/>
                  </wps:wsp>
                </a:graphicData>
              </a:graphic>
            </wp:anchor>
          </w:drawing>
        </mc:Choice>
        <mc:Fallback>
          <w:pict>
            <v:line id="Line 1" o:spid="_x0000_s1026" o:spt="20" style="position:absolute;left:0pt;margin-left:8.4pt;margin-top:-4.2pt;height:0.05pt;width:116.25pt;z-index:251659264;mso-width-relative:page;mso-height-relative:page;" filled="f" stroked="t" coordsize="21600,21600" o:gfxdata="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3M6Ru9YAAAAIAQAADwAAAAAAAAABACAAAAAiAAAA&#10;ZHJzL2Rvd25yZXYueG1sUEsBAhQAFAAAAAgAh07iQFiHqjbQAQAArwMAAA4AAAAAAAAAAQAgAAAA&#10;JQEAAGRycy9lMm9Eb2MueG1sUEsFBgAAAAAGAAYAWQEAAGcFAAAAAA==&#10;">
              <v:fill on="f" focussize="0,0"/>
              <v:stroke color="#000000" joinstyle="round"/>
              <v:imagedata o:title=""/>
              <o:lock v:ext="edit" aspectratio="f"/>
            </v:line>
          </w:pict>
        </mc:Fallback>
      </mc:AlternateContent>
    </w:r>
    <w:r>
      <w:rPr>
        <w:rFonts w:hint="eastAsia" w:ascii="宋体" w:hAnsi="宋体"/>
        <w:b/>
        <w:bCs/>
        <w:w w:val="95"/>
        <w:szCs w:val="18"/>
        <w:lang w:val="en-US" w:eastAsia="zh-CN"/>
      </w:rPr>
      <w:t>施工图</w:t>
    </w:r>
    <w:r>
      <w:rPr>
        <w:rFonts w:hint="eastAsia" w:ascii="宋体" w:hAnsi="宋体"/>
        <w:b/>
        <w:bCs/>
        <w:w w:val="95"/>
        <w:szCs w:val="18"/>
      </w:rPr>
      <w:t xml:space="preserve"> </w:t>
    </w:r>
    <w:r>
      <w:rPr>
        <w:rFonts w:hint="eastAsia" w:ascii="宋体" w:hAnsi="宋体"/>
        <w:b/>
        <w:bCs/>
        <w:w w:val="95"/>
        <w:szCs w:val="18"/>
        <w:highlight w:val="none"/>
      </w:rPr>
      <w:t xml:space="preserve"> 20</w:t>
    </w:r>
    <w:r>
      <w:rPr>
        <w:rFonts w:hint="eastAsia" w:ascii="宋体" w:hAnsi="宋体"/>
        <w:b/>
        <w:bCs/>
        <w:w w:val="95"/>
        <w:szCs w:val="18"/>
        <w:highlight w:val="none"/>
        <w:lang w:val="en-US" w:eastAsia="zh-CN"/>
      </w:rPr>
      <w:t>25.07</w:t>
    </w:r>
    <w:r>
      <w:rPr>
        <w:rFonts w:hint="eastAsia" w:ascii="宋体" w:hAnsi="宋体"/>
        <w:b/>
        <w:bCs/>
        <w:w w:val="95"/>
        <w:szCs w:val="1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96AAB">
    <w:pPr>
      <w:pStyle w:val="29"/>
      <w:framePr w:wrap="around" w:vAnchor="text" w:hAnchor="margin" w:xAlign="right" w:y="1"/>
      <w:rPr>
        <w:rStyle w:val="54"/>
      </w:rPr>
    </w:pPr>
    <w:r>
      <w:fldChar w:fldCharType="begin"/>
    </w:r>
    <w:r>
      <w:rPr>
        <w:rStyle w:val="54"/>
      </w:rPr>
      <w:instrText xml:space="preserve">PAGE  </w:instrText>
    </w:r>
    <w:r>
      <w:fldChar w:fldCharType="separate"/>
    </w:r>
    <w:r>
      <w:rPr>
        <w:rStyle w:val="54"/>
      </w:rPr>
      <w:t>1</w:t>
    </w:r>
    <w:r>
      <w:fldChar w:fldCharType="end"/>
    </w:r>
  </w:p>
  <w:p w14:paraId="437D5B87">
    <w:pPr>
      <w:pStyle w:val="29"/>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A9C06">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b/>
        <w:snapToGrid w:val="0"/>
        <w:kern w:val="0"/>
        <w:sz w:val="21"/>
        <w:szCs w:val="21"/>
        <w:highlight w:val="none"/>
        <w:lang w:val="en-US" w:eastAsia="zh-CN"/>
      </w:rPr>
    </w:pPr>
    <w:r>
      <w:rPr>
        <w:rFonts w:hint="eastAsia" w:ascii="宋体" w:hAnsi="宋体"/>
        <w:b/>
        <w:snapToGrid w:val="0"/>
        <w:kern w:val="0"/>
        <w:sz w:val="21"/>
        <w:szCs w:val="21"/>
        <w:highlight w:val="none"/>
        <w:lang w:val="en-US" w:eastAsia="zh-CN"/>
      </w:rPr>
      <w:t xml:space="preserve"> </w:t>
    </w:r>
  </w:p>
  <w:p w14:paraId="07DF792A">
    <w:pPr>
      <w:pStyle w:val="30"/>
      <w:keepNext w:val="0"/>
      <w:keepLines w:val="0"/>
      <w:pageBreakBefore w:val="0"/>
      <w:widowControl w:val="0"/>
      <w:kinsoku/>
      <w:wordWrap/>
      <w:overflowPunct/>
      <w:topLinePunct w:val="0"/>
      <w:autoSpaceDE/>
      <w:autoSpaceDN/>
      <w:bidi w:val="0"/>
      <w:adjustRightInd/>
      <w:snapToGrid w:val="0"/>
      <w:jc w:val="left"/>
      <w:textAlignment w:val="auto"/>
      <w:rPr>
        <w:rFonts w:hint="default" w:ascii="宋体" w:hAnsi="宋体" w:eastAsia="宋体"/>
        <w:b/>
        <w:snapToGrid w:val="0"/>
        <w:sz w:val="21"/>
        <w:szCs w:val="21"/>
        <w:lang w:val="en-US" w:eastAsia="zh-CN"/>
      </w:rPr>
    </w:pPr>
    <w:r>
      <w:rPr>
        <w:rFonts w:hint="eastAsia" w:ascii="宋体" w:hAnsi="宋体"/>
        <w:b/>
        <w:snapToGrid w:val="0"/>
        <w:kern w:val="0"/>
        <w:sz w:val="21"/>
        <w:szCs w:val="21"/>
        <w:highlight w:val="none"/>
        <w:lang w:val="en-US" w:eastAsia="zh-CN"/>
      </w:rPr>
      <w:t xml:space="preserve">桂林市漓江干支流“消劣返清”项目（七星区毛家村）                  </w:t>
    </w:r>
    <w:r>
      <w:rPr>
        <w:rFonts w:hint="eastAsia" w:ascii="宋体" w:hAnsi="宋体"/>
        <w:snapToGrid w:val="0"/>
        <w:kern w:val="0"/>
        <w:sz w:val="21"/>
        <w:szCs w:val="21"/>
      </w:rPr>
      <w:t xml:space="preserve">                         </w:t>
    </w:r>
    <w:r>
      <w:rPr>
        <w:rFonts w:ascii="宋体" w:hAnsi="宋体"/>
        <w:snapToGrid w:val="0"/>
        <w:kern w:val="0"/>
        <w:sz w:val="21"/>
        <w:szCs w:val="21"/>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snapToGrid w:val="0"/>
        <w:kern w:val="0"/>
        <w:sz w:val="21"/>
        <w:szCs w:val="21"/>
      </w:rPr>
      <w:t xml:space="preserve"> </w:t>
    </w:r>
    <w:r>
      <w:rPr>
        <w:rFonts w:hint="eastAsia" w:ascii="宋体" w:hAnsi="宋体"/>
        <w:snapToGrid w:val="0"/>
        <w:kern w:val="0"/>
        <w:sz w:val="21"/>
        <w:szCs w:val="21"/>
        <w:lang w:val="en-US" w:eastAsia="zh-CN"/>
      </w:rPr>
      <w:t xml:space="preserve">                                            </w:t>
    </w:r>
    <w:r>
      <w:rPr>
        <w:rFonts w:hint="eastAsia" w:ascii="宋体" w:hAnsi="宋体"/>
        <w:b/>
        <w:snapToGrid w:val="0"/>
        <w:sz w:val="21"/>
        <w:szCs w:val="21"/>
        <w:lang w:val="en-US" w:eastAsia="zh-CN"/>
      </w:rPr>
      <w:t>施工图</w:t>
    </w:r>
    <w:r>
      <w:rPr>
        <w:rFonts w:hint="eastAsia" w:ascii="宋体" w:hAnsi="宋体"/>
        <w:b/>
        <w:snapToGrid w:val="0"/>
        <w:sz w:val="21"/>
        <w:szCs w:val="21"/>
      </w:rPr>
      <w:t>设计说明</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137676"/>
    <w:multiLevelType w:val="singleLevel"/>
    <w:tmpl w:val="94137676"/>
    <w:lvl w:ilvl="0" w:tentative="0">
      <w:start w:val="1"/>
      <w:numFmt w:val="chineseCounting"/>
      <w:suff w:val="nothing"/>
      <w:lvlText w:val="%1、"/>
      <w:lvlJc w:val="left"/>
      <w:rPr>
        <w:rFonts w:hint="eastAsia"/>
      </w:rPr>
    </w:lvl>
  </w:abstractNum>
  <w:abstractNum w:abstractNumId="1">
    <w:nsid w:val="D9AC755B"/>
    <w:multiLevelType w:val="singleLevel"/>
    <w:tmpl w:val="D9AC755B"/>
    <w:lvl w:ilvl="0" w:tentative="0">
      <w:start w:val="1"/>
      <w:numFmt w:val="decimal"/>
      <w:suff w:val="nothing"/>
      <w:lvlText w:val="%1、"/>
      <w:lvlJc w:val="left"/>
    </w:lvl>
  </w:abstractNum>
  <w:abstractNum w:abstractNumId="2">
    <w:nsid w:val="0000001E"/>
    <w:multiLevelType w:val="singleLevel"/>
    <w:tmpl w:val="0000001E"/>
    <w:lvl w:ilvl="0" w:tentative="0">
      <w:start w:val="1"/>
      <w:numFmt w:val="upperLetter"/>
      <w:lvlText w:val="%1、"/>
      <w:lvlJc w:val="left"/>
      <w:pPr>
        <w:tabs>
          <w:tab w:val="left" w:pos="2070"/>
        </w:tabs>
        <w:ind w:left="2070" w:hanging="42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isplayHorizontalDrawingGridEvery w:val="1"/>
  <w:displayVerticalDrawingGridEvery w:val="1"/>
  <w:noPunctuationKerning w:val="1"/>
  <w:characterSpacingControl w:val="doNotCompress"/>
  <w:hdrShapeDefaults>
    <o:shapelayout v:ext="edit">
      <o:idmap v:ext="edit" data="3,4"/>
    </o:shapelayout>
  </w:hdrShapeDefaults>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MwZDcwZDc2MGQ5ZjkxZjA5ZTFhMDAxNTRhOTVlMDgifQ=="/>
    <w:docVar w:name="KSO_WPS_MARK_KEY" w:val="06cf65f5-f8a9-4e38-bfad-a03f578d8350"/>
  </w:docVars>
  <w:rsids>
    <w:rsidRoot w:val="00172A27"/>
    <w:rsid w:val="0000083D"/>
    <w:rsid w:val="00001058"/>
    <w:rsid w:val="00001F8A"/>
    <w:rsid w:val="00001FD3"/>
    <w:rsid w:val="000049CA"/>
    <w:rsid w:val="00004E9B"/>
    <w:rsid w:val="00005216"/>
    <w:rsid w:val="00005FF3"/>
    <w:rsid w:val="000060CC"/>
    <w:rsid w:val="0000642D"/>
    <w:rsid w:val="00006768"/>
    <w:rsid w:val="000072A1"/>
    <w:rsid w:val="000073BC"/>
    <w:rsid w:val="000104CD"/>
    <w:rsid w:val="0001060F"/>
    <w:rsid w:val="00010F39"/>
    <w:rsid w:val="00011504"/>
    <w:rsid w:val="000123B1"/>
    <w:rsid w:val="000124F3"/>
    <w:rsid w:val="00012F58"/>
    <w:rsid w:val="00015ECF"/>
    <w:rsid w:val="000161BB"/>
    <w:rsid w:val="00017E07"/>
    <w:rsid w:val="000225A1"/>
    <w:rsid w:val="00022819"/>
    <w:rsid w:val="000230AD"/>
    <w:rsid w:val="00023181"/>
    <w:rsid w:val="000249BA"/>
    <w:rsid w:val="00024C20"/>
    <w:rsid w:val="000254A2"/>
    <w:rsid w:val="00025BCD"/>
    <w:rsid w:val="00025E7C"/>
    <w:rsid w:val="0002699A"/>
    <w:rsid w:val="000278E6"/>
    <w:rsid w:val="00030D2A"/>
    <w:rsid w:val="00031D09"/>
    <w:rsid w:val="000330A4"/>
    <w:rsid w:val="00033A8D"/>
    <w:rsid w:val="0003477E"/>
    <w:rsid w:val="00034852"/>
    <w:rsid w:val="00034B18"/>
    <w:rsid w:val="0003623F"/>
    <w:rsid w:val="00036CDF"/>
    <w:rsid w:val="00036DA3"/>
    <w:rsid w:val="00037368"/>
    <w:rsid w:val="00037522"/>
    <w:rsid w:val="0003754E"/>
    <w:rsid w:val="00042EE4"/>
    <w:rsid w:val="00043D40"/>
    <w:rsid w:val="0004498F"/>
    <w:rsid w:val="00045E07"/>
    <w:rsid w:val="00046383"/>
    <w:rsid w:val="00047844"/>
    <w:rsid w:val="000506D4"/>
    <w:rsid w:val="00052F3E"/>
    <w:rsid w:val="000537FF"/>
    <w:rsid w:val="000557CF"/>
    <w:rsid w:val="00055DE3"/>
    <w:rsid w:val="0005668A"/>
    <w:rsid w:val="00056829"/>
    <w:rsid w:val="000601F5"/>
    <w:rsid w:val="00061BA4"/>
    <w:rsid w:val="00062A0F"/>
    <w:rsid w:val="00062BE0"/>
    <w:rsid w:val="0006517C"/>
    <w:rsid w:val="0006649C"/>
    <w:rsid w:val="00066A85"/>
    <w:rsid w:val="00066AC7"/>
    <w:rsid w:val="00070858"/>
    <w:rsid w:val="00071E19"/>
    <w:rsid w:val="00072CA0"/>
    <w:rsid w:val="0007355F"/>
    <w:rsid w:val="00074423"/>
    <w:rsid w:val="0007488E"/>
    <w:rsid w:val="00074BEB"/>
    <w:rsid w:val="00075147"/>
    <w:rsid w:val="000754CF"/>
    <w:rsid w:val="00075A04"/>
    <w:rsid w:val="0007610F"/>
    <w:rsid w:val="00076832"/>
    <w:rsid w:val="00077204"/>
    <w:rsid w:val="000778D1"/>
    <w:rsid w:val="000805F5"/>
    <w:rsid w:val="00080F60"/>
    <w:rsid w:val="0008231A"/>
    <w:rsid w:val="000828F8"/>
    <w:rsid w:val="00082E4F"/>
    <w:rsid w:val="0008387C"/>
    <w:rsid w:val="00083FD0"/>
    <w:rsid w:val="00086787"/>
    <w:rsid w:val="00087C22"/>
    <w:rsid w:val="0009063A"/>
    <w:rsid w:val="00092C5C"/>
    <w:rsid w:val="00092D3B"/>
    <w:rsid w:val="000933ED"/>
    <w:rsid w:val="00093889"/>
    <w:rsid w:val="000943E1"/>
    <w:rsid w:val="0009456D"/>
    <w:rsid w:val="00094758"/>
    <w:rsid w:val="00094836"/>
    <w:rsid w:val="000956A1"/>
    <w:rsid w:val="00095F7C"/>
    <w:rsid w:val="00096CE9"/>
    <w:rsid w:val="000A0FB8"/>
    <w:rsid w:val="000A1057"/>
    <w:rsid w:val="000A10AC"/>
    <w:rsid w:val="000A2C81"/>
    <w:rsid w:val="000A2DB0"/>
    <w:rsid w:val="000A33A1"/>
    <w:rsid w:val="000A3CEC"/>
    <w:rsid w:val="000A4DE9"/>
    <w:rsid w:val="000A5F07"/>
    <w:rsid w:val="000A786F"/>
    <w:rsid w:val="000A7A21"/>
    <w:rsid w:val="000A7EB5"/>
    <w:rsid w:val="000B1214"/>
    <w:rsid w:val="000B29BC"/>
    <w:rsid w:val="000B3A19"/>
    <w:rsid w:val="000B51AE"/>
    <w:rsid w:val="000B5690"/>
    <w:rsid w:val="000B5A62"/>
    <w:rsid w:val="000B7778"/>
    <w:rsid w:val="000B7D18"/>
    <w:rsid w:val="000C16B6"/>
    <w:rsid w:val="000C2B79"/>
    <w:rsid w:val="000C3ADC"/>
    <w:rsid w:val="000C5516"/>
    <w:rsid w:val="000C5534"/>
    <w:rsid w:val="000C7890"/>
    <w:rsid w:val="000C79C0"/>
    <w:rsid w:val="000C7C3F"/>
    <w:rsid w:val="000D2232"/>
    <w:rsid w:val="000D311A"/>
    <w:rsid w:val="000D3795"/>
    <w:rsid w:val="000D48A9"/>
    <w:rsid w:val="000D53D2"/>
    <w:rsid w:val="000D724C"/>
    <w:rsid w:val="000E0AC4"/>
    <w:rsid w:val="000E0B76"/>
    <w:rsid w:val="000E4A5C"/>
    <w:rsid w:val="000E65D8"/>
    <w:rsid w:val="000E72DB"/>
    <w:rsid w:val="000E7B31"/>
    <w:rsid w:val="000F1420"/>
    <w:rsid w:val="000F25DB"/>
    <w:rsid w:val="000F3682"/>
    <w:rsid w:val="000F46AB"/>
    <w:rsid w:val="000F5213"/>
    <w:rsid w:val="000F562F"/>
    <w:rsid w:val="000F63F1"/>
    <w:rsid w:val="000F669D"/>
    <w:rsid w:val="000F6CF9"/>
    <w:rsid w:val="001004C3"/>
    <w:rsid w:val="00101043"/>
    <w:rsid w:val="001019D8"/>
    <w:rsid w:val="00101EE4"/>
    <w:rsid w:val="00101F48"/>
    <w:rsid w:val="001036FA"/>
    <w:rsid w:val="0010499A"/>
    <w:rsid w:val="00105895"/>
    <w:rsid w:val="0010593A"/>
    <w:rsid w:val="001074CB"/>
    <w:rsid w:val="00110849"/>
    <w:rsid w:val="00110E82"/>
    <w:rsid w:val="001110C2"/>
    <w:rsid w:val="0011361C"/>
    <w:rsid w:val="001148A3"/>
    <w:rsid w:val="00115360"/>
    <w:rsid w:val="001153A6"/>
    <w:rsid w:val="001175A1"/>
    <w:rsid w:val="00117C7D"/>
    <w:rsid w:val="00120108"/>
    <w:rsid w:val="00121530"/>
    <w:rsid w:val="0012190B"/>
    <w:rsid w:val="00122EFC"/>
    <w:rsid w:val="00124D51"/>
    <w:rsid w:val="001257DB"/>
    <w:rsid w:val="00125B72"/>
    <w:rsid w:val="00125F5F"/>
    <w:rsid w:val="00126252"/>
    <w:rsid w:val="00126A69"/>
    <w:rsid w:val="00126E9A"/>
    <w:rsid w:val="00127C9D"/>
    <w:rsid w:val="001306E4"/>
    <w:rsid w:val="00130C91"/>
    <w:rsid w:val="00131269"/>
    <w:rsid w:val="0013253C"/>
    <w:rsid w:val="001336AB"/>
    <w:rsid w:val="00135EBE"/>
    <w:rsid w:val="00135FB1"/>
    <w:rsid w:val="00137EB4"/>
    <w:rsid w:val="00140B91"/>
    <w:rsid w:val="00142343"/>
    <w:rsid w:val="001426F2"/>
    <w:rsid w:val="001428DA"/>
    <w:rsid w:val="00142DC2"/>
    <w:rsid w:val="00143237"/>
    <w:rsid w:val="001454D8"/>
    <w:rsid w:val="00146123"/>
    <w:rsid w:val="0014628E"/>
    <w:rsid w:val="001467BC"/>
    <w:rsid w:val="00147D4F"/>
    <w:rsid w:val="00150ED9"/>
    <w:rsid w:val="00152225"/>
    <w:rsid w:val="00153947"/>
    <w:rsid w:val="00153F5C"/>
    <w:rsid w:val="00154B04"/>
    <w:rsid w:val="00155E85"/>
    <w:rsid w:val="001560B9"/>
    <w:rsid w:val="00156CFE"/>
    <w:rsid w:val="00157A6F"/>
    <w:rsid w:val="00157E77"/>
    <w:rsid w:val="00161E40"/>
    <w:rsid w:val="001624F1"/>
    <w:rsid w:val="00164920"/>
    <w:rsid w:val="00165430"/>
    <w:rsid w:val="0017033C"/>
    <w:rsid w:val="0017095B"/>
    <w:rsid w:val="0017142A"/>
    <w:rsid w:val="00171CFF"/>
    <w:rsid w:val="00171F0B"/>
    <w:rsid w:val="0017246F"/>
    <w:rsid w:val="00172943"/>
    <w:rsid w:val="00172A27"/>
    <w:rsid w:val="00173710"/>
    <w:rsid w:val="00173A54"/>
    <w:rsid w:val="00174668"/>
    <w:rsid w:val="00174CB1"/>
    <w:rsid w:val="00176303"/>
    <w:rsid w:val="001803DD"/>
    <w:rsid w:val="001816A4"/>
    <w:rsid w:val="00181863"/>
    <w:rsid w:val="00182D8F"/>
    <w:rsid w:val="00183EB7"/>
    <w:rsid w:val="00184274"/>
    <w:rsid w:val="00185CB2"/>
    <w:rsid w:val="00187A64"/>
    <w:rsid w:val="00191A46"/>
    <w:rsid w:val="00192EB5"/>
    <w:rsid w:val="00194A7C"/>
    <w:rsid w:val="00195A94"/>
    <w:rsid w:val="0019701B"/>
    <w:rsid w:val="001A183E"/>
    <w:rsid w:val="001A2366"/>
    <w:rsid w:val="001A2B0E"/>
    <w:rsid w:val="001A30B4"/>
    <w:rsid w:val="001A3D50"/>
    <w:rsid w:val="001A4E41"/>
    <w:rsid w:val="001A5B0A"/>
    <w:rsid w:val="001A73DA"/>
    <w:rsid w:val="001A771C"/>
    <w:rsid w:val="001B057F"/>
    <w:rsid w:val="001B069E"/>
    <w:rsid w:val="001B0F5B"/>
    <w:rsid w:val="001B3591"/>
    <w:rsid w:val="001B375D"/>
    <w:rsid w:val="001B3C98"/>
    <w:rsid w:val="001B5326"/>
    <w:rsid w:val="001B55A9"/>
    <w:rsid w:val="001B5854"/>
    <w:rsid w:val="001B5C7E"/>
    <w:rsid w:val="001C02AF"/>
    <w:rsid w:val="001C1147"/>
    <w:rsid w:val="001C1605"/>
    <w:rsid w:val="001C1B8B"/>
    <w:rsid w:val="001C296D"/>
    <w:rsid w:val="001C30E3"/>
    <w:rsid w:val="001C3B12"/>
    <w:rsid w:val="001C3BEE"/>
    <w:rsid w:val="001C494A"/>
    <w:rsid w:val="001C5C48"/>
    <w:rsid w:val="001C7454"/>
    <w:rsid w:val="001D14B6"/>
    <w:rsid w:val="001D1906"/>
    <w:rsid w:val="001D1ABF"/>
    <w:rsid w:val="001D36CF"/>
    <w:rsid w:val="001D3859"/>
    <w:rsid w:val="001D4957"/>
    <w:rsid w:val="001D60BF"/>
    <w:rsid w:val="001D66BF"/>
    <w:rsid w:val="001E0B3A"/>
    <w:rsid w:val="001E1CA0"/>
    <w:rsid w:val="001E2624"/>
    <w:rsid w:val="001E263A"/>
    <w:rsid w:val="001E38BB"/>
    <w:rsid w:val="001E3E2E"/>
    <w:rsid w:val="001E6499"/>
    <w:rsid w:val="001E66FE"/>
    <w:rsid w:val="001E7531"/>
    <w:rsid w:val="001E76B2"/>
    <w:rsid w:val="001E7A43"/>
    <w:rsid w:val="001F1355"/>
    <w:rsid w:val="001F27AD"/>
    <w:rsid w:val="001F2BA2"/>
    <w:rsid w:val="001F2C65"/>
    <w:rsid w:val="001F2D57"/>
    <w:rsid w:val="001F4167"/>
    <w:rsid w:val="001F4621"/>
    <w:rsid w:val="001F4DE8"/>
    <w:rsid w:val="001F5D77"/>
    <w:rsid w:val="002006D8"/>
    <w:rsid w:val="00201BB3"/>
    <w:rsid w:val="00201C9F"/>
    <w:rsid w:val="002021DF"/>
    <w:rsid w:val="00203C89"/>
    <w:rsid w:val="002040AC"/>
    <w:rsid w:val="00204F11"/>
    <w:rsid w:val="00205222"/>
    <w:rsid w:val="0020555A"/>
    <w:rsid w:val="00205A86"/>
    <w:rsid w:val="00211F27"/>
    <w:rsid w:val="0021289A"/>
    <w:rsid w:val="00213BD9"/>
    <w:rsid w:val="0021437A"/>
    <w:rsid w:val="00216271"/>
    <w:rsid w:val="0021773E"/>
    <w:rsid w:val="00220224"/>
    <w:rsid w:val="00220DA7"/>
    <w:rsid w:val="00221CEC"/>
    <w:rsid w:val="00222028"/>
    <w:rsid w:val="00222EBC"/>
    <w:rsid w:val="00223C33"/>
    <w:rsid w:val="0022520C"/>
    <w:rsid w:val="00225406"/>
    <w:rsid w:val="00225F9F"/>
    <w:rsid w:val="00226FC6"/>
    <w:rsid w:val="00230C48"/>
    <w:rsid w:val="00233146"/>
    <w:rsid w:val="0023369D"/>
    <w:rsid w:val="00233EA9"/>
    <w:rsid w:val="00234B4C"/>
    <w:rsid w:val="00236B95"/>
    <w:rsid w:val="00236E4D"/>
    <w:rsid w:val="00237446"/>
    <w:rsid w:val="002374A4"/>
    <w:rsid w:val="00240BF3"/>
    <w:rsid w:val="00240CD5"/>
    <w:rsid w:val="00242A61"/>
    <w:rsid w:val="0024364E"/>
    <w:rsid w:val="00246202"/>
    <w:rsid w:val="00246A88"/>
    <w:rsid w:val="00246D5C"/>
    <w:rsid w:val="0024713C"/>
    <w:rsid w:val="00250EB0"/>
    <w:rsid w:val="002534D3"/>
    <w:rsid w:val="00253C30"/>
    <w:rsid w:val="00255208"/>
    <w:rsid w:val="0025534B"/>
    <w:rsid w:val="002554E5"/>
    <w:rsid w:val="00255622"/>
    <w:rsid w:val="00257023"/>
    <w:rsid w:val="00257676"/>
    <w:rsid w:val="002602E7"/>
    <w:rsid w:val="00260956"/>
    <w:rsid w:val="002611CF"/>
    <w:rsid w:val="002637AC"/>
    <w:rsid w:val="00263F97"/>
    <w:rsid w:val="00266024"/>
    <w:rsid w:val="002665E2"/>
    <w:rsid w:val="00266BDA"/>
    <w:rsid w:val="002672E4"/>
    <w:rsid w:val="00267612"/>
    <w:rsid w:val="002676FD"/>
    <w:rsid w:val="00267717"/>
    <w:rsid w:val="002716DA"/>
    <w:rsid w:val="00271A23"/>
    <w:rsid w:val="00272253"/>
    <w:rsid w:val="002722E7"/>
    <w:rsid w:val="00272377"/>
    <w:rsid w:val="0027424A"/>
    <w:rsid w:val="0027698C"/>
    <w:rsid w:val="002769CF"/>
    <w:rsid w:val="00277420"/>
    <w:rsid w:val="00277CB8"/>
    <w:rsid w:val="00277F7E"/>
    <w:rsid w:val="00280A55"/>
    <w:rsid w:val="0028186B"/>
    <w:rsid w:val="00282040"/>
    <w:rsid w:val="0028278B"/>
    <w:rsid w:val="00282CAB"/>
    <w:rsid w:val="00282D89"/>
    <w:rsid w:val="00283C3D"/>
    <w:rsid w:val="00283E7C"/>
    <w:rsid w:val="002846C3"/>
    <w:rsid w:val="00284938"/>
    <w:rsid w:val="0028773B"/>
    <w:rsid w:val="00287EB6"/>
    <w:rsid w:val="0029044F"/>
    <w:rsid w:val="002904D0"/>
    <w:rsid w:val="00290A20"/>
    <w:rsid w:val="002915E4"/>
    <w:rsid w:val="002925A4"/>
    <w:rsid w:val="0029267A"/>
    <w:rsid w:val="00292B51"/>
    <w:rsid w:val="00292F47"/>
    <w:rsid w:val="002936C6"/>
    <w:rsid w:val="00294667"/>
    <w:rsid w:val="00294A02"/>
    <w:rsid w:val="00294CA7"/>
    <w:rsid w:val="0029527D"/>
    <w:rsid w:val="002953B7"/>
    <w:rsid w:val="00295644"/>
    <w:rsid w:val="002971F2"/>
    <w:rsid w:val="002A00CD"/>
    <w:rsid w:val="002A01D2"/>
    <w:rsid w:val="002A063C"/>
    <w:rsid w:val="002A10AB"/>
    <w:rsid w:val="002A157E"/>
    <w:rsid w:val="002A2465"/>
    <w:rsid w:val="002A2A3D"/>
    <w:rsid w:val="002A37F9"/>
    <w:rsid w:val="002A4E4B"/>
    <w:rsid w:val="002A608C"/>
    <w:rsid w:val="002A6538"/>
    <w:rsid w:val="002A71DA"/>
    <w:rsid w:val="002B11A0"/>
    <w:rsid w:val="002B1E26"/>
    <w:rsid w:val="002B2263"/>
    <w:rsid w:val="002B29C9"/>
    <w:rsid w:val="002B4950"/>
    <w:rsid w:val="002B504D"/>
    <w:rsid w:val="002B53E7"/>
    <w:rsid w:val="002B5BC3"/>
    <w:rsid w:val="002C0A4A"/>
    <w:rsid w:val="002C0D42"/>
    <w:rsid w:val="002C106A"/>
    <w:rsid w:val="002C1EA4"/>
    <w:rsid w:val="002C3596"/>
    <w:rsid w:val="002C3725"/>
    <w:rsid w:val="002C4D30"/>
    <w:rsid w:val="002C5676"/>
    <w:rsid w:val="002C679E"/>
    <w:rsid w:val="002C68CC"/>
    <w:rsid w:val="002C6F43"/>
    <w:rsid w:val="002C6F9C"/>
    <w:rsid w:val="002D1751"/>
    <w:rsid w:val="002D1CD5"/>
    <w:rsid w:val="002D2A45"/>
    <w:rsid w:val="002D462D"/>
    <w:rsid w:val="002D4C78"/>
    <w:rsid w:val="002D51D4"/>
    <w:rsid w:val="002D5BE6"/>
    <w:rsid w:val="002D61C4"/>
    <w:rsid w:val="002D68BB"/>
    <w:rsid w:val="002D68BC"/>
    <w:rsid w:val="002D6E3A"/>
    <w:rsid w:val="002D6EE6"/>
    <w:rsid w:val="002D6F06"/>
    <w:rsid w:val="002D75F1"/>
    <w:rsid w:val="002E0086"/>
    <w:rsid w:val="002E16AD"/>
    <w:rsid w:val="002E17F8"/>
    <w:rsid w:val="002E1C86"/>
    <w:rsid w:val="002E1E12"/>
    <w:rsid w:val="002E22E9"/>
    <w:rsid w:val="002E2496"/>
    <w:rsid w:val="002E2883"/>
    <w:rsid w:val="002E2A11"/>
    <w:rsid w:val="002E38D3"/>
    <w:rsid w:val="002E3BB6"/>
    <w:rsid w:val="002E4064"/>
    <w:rsid w:val="002E42AB"/>
    <w:rsid w:val="002E64E2"/>
    <w:rsid w:val="002E7786"/>
    <w:rsid w:val="002F048C"/>
    <w:rsid w:val="002F2CA2"/>
    <w:rsid w:val="002F3290"/>
    <w:rsid w:val="002F3416"/>
    <w:rsid w:val="002F4E4D"/>
    <w:rsid w:val="002F689C"/>
    <w:rsid w:val="002F7716"/>
    <w:rsid w:val="003007D1"/>
    <w:rsid w:val="00300CF4"/>
    <w:rsid w:val="00303DF9"/>
    <w:rsid w:val="00304709"/>
    <w:rsid w:val="00304B1E"/>
    <w:rsid w:val="003054ED"/>
    <w:rsid w:val="003054F5"/>
    <w:rsid w:val="003067A3"/>
    <w:rsid w:val="00306A89"/>
    <w:rsid w:val="00306F9A"/>
    <w:rsid w:val="00307669"/>
    <w:rsid w:val="00307AF7"/>
    <w:rsid w:val="00307D72"/>
    <w:rsid w:val="00307EED"/>
    <w:rsid w:val="00311F74"/>
    <w:rsid w:val="003129DB"/>
    <w:rsid w:val="00313B70"/>
    <w:rsid w:val="0031404B"/>
    <w:rsid w:val="00314C55"/>
    <w:rsid w:val="00316023"/>
    <w:rsid w:val="00317D45"/>
    <w:rsid w:val="00321773"/>
    <w:rsid w:val="00321F50"/>
    <w:rsid w:val="00321F61"/>
    <w:rsid w:val="00323C1B"/>
    <w:rsid w:val="003245D7"/>
    <w:rsid w:val="003249A9"/>
    <w:rsid w:val="00325E47"/>
    <w:rsid w:val="003263E9"/>
    <w:rsid w:val="0032682B"/>
    <w:rsid w:val="00326EA5"/>
    <w:rsid w:val="00330A38"/>
    <w:rsid w:val="00331677"/>
    <w:rsid w:val="00331833"/>
    <w:rsid w:val="003330A6"/>
    <w:rsid w:val="00334F29"/>
    <w:rsid w:val="00335DA1"/>
    <w:rsid w:val="00336ECB"/>
    <w:rsid w:val="00340302"/>
    <w:rsid w:val="003404D6"/>
    <w:rsid w:val="003411D1"/>
    <w:rsid w:val="003430DA"/>
    <w:rsid w:val="00346693"/>
    <w:rsid w:val="0034738D"/>
    <w:rsid w:val="00350D6D"/>
    <w:rsid w:val="003516FF"/>
    <w:rsid w:val="00351A49"/>
    <w:rsid w:val="00352DC4"/>
    <w:rsid w:val="003530D9"/>
    <w:rsid w:val="003531FE"/>
    <w:rsid w:val="00354AF0"/>
    <w:rsid w:val="00354E4B"/>
    <w:rsid w:val="00355C6C"/>
    <w:rsid w:val="003563C5"/>
    <w:rsid w:val="00356EBA"/>
    <w:rsid w:val="00357810"/>
    <w:rsid w:val="00360BC8"/>
    <w:rsid w:val="00360C30"/>
    <w:rsid w:val="00360FDD"/>
    <w:rsid w:val="00360FE7"/>
    <w:rsid w:val="00361803"/>
    <w:rsid w:val="00361FC5"/>
    <w:rsid w:val="00364062"/>
    <w:rsid w:val="0036464A"/>
    <w:rsid w:val="00364A07"/>
    <w:rsid w:val="0036526D"/>
    <w:rsid w:val="00365619"/>
    <w:rsid w:val="00365B80"/>
    <w:rsid w:val="003676C7"/>
    <w:rsid w:val="00370019"/>
    <w:rsid w:val="00370647"/>
    <w:rsid w:val="00371939"/>
    <w:rsid w:val="0037259E"/>
    <w:rsid w:val="0037266E"/>
    <w:rsid w:val="00372F35"/>
    <w:rsid w:val="00373D9B"/>
    <w:rsid w:val="003740B2"/>
    <w:rsid w:val="0037462D"/>
    <w:rsid w:val="003747D3"/>
    <w:rsid w:val="00374E7B"/>
    <w:rsid w:val="00374F97"/>
    <w:rsid w:val="00375684"/>
    <w:rsid w:val="00375A37"/>
    <w:rsid w:val="00376586"/>
    <w:rsid w:val="003765C4"/>
    <w:rsid w:val="00377D5F"/>
    <w:rsid w:val="003825A3"/>
    <w:rsid w:val="003836AE"/>
    <w:rsid w:val="00384167"/>
    <w:rsid w:val="00386E7E"/>
    <w:rsid w:val="00387AD5"/>
    <w:rsid w:val="00391F5A"/>
    <w:rsid w:val="00392023"/>
    <w:rsid w:val="003925FF"/>
    <w:rsid w:val="00392CC4"/>
    <w:rsid w:val="00392F58"/>
    <w:rsid w:val="003946FE"/>
    <w:rsid w:val="0039592E"/>
    <w:rsid w:val="00397101"/>
    <w:rsid w:val="00397A5B"/>
    <w:rsid w:val="003A04BD"/>
    <w:rsid w:val="003A07D0"/>
    <w:rsid w:val="003A1F3C"/>
    <w:rsid w:val="003A2B38"/>
    <w:rsid w:val="003A2BB2"/>
    <w:rsid w:val="003A32F1"/>
    <w:rsid w:val="003A4489"/>
    <w:rsid w:val="003A5102"/>
    <w:rsid w:val="003A58A0"/>
    <w:rsid w:val="003A5BFC"/>
    <w:rsid w:val="003B1DBB"/>
    <w:rsid w:val="003B318E"/>
    <w:rsid w:val="003B34FE"/>
    <w:rsid w:val="003B3953"/>
    <w:rsid w:val="003B436A"/>
    <w:rsid w:val="003B44C6"/>
    <w:rsid w:val="003B506B"/>
    <w:rsid w:val="003B6D2A"/>
    <w:rsid w:val="003C00C2"/>
    <w:rsid w:val="003C0182"/>
    <w:rsid w:val="003C3B14"/>
    <w:rsid w:val="003C3E6A"/>
    <w:rsid w:val="003C5440"/>
    <w:rsid w:val="003C578A"/>
    <w:rsid w:val="003C57CF"/>
    <w:rsid w:val="003C6475"/>
    <w:rsid w:val="003D0B72"/>
    <w:rsid w:val="003D1260"/>
    <w:rsid w:val="003D1575"/>
    <w:rsid w:val="003D1DC4"/>
    <w:rsid w:val="003D39FE"/>
    <w:rsid w:val="003D3AA3"/>
    <w:rsid w:val="003D3C94"/>
    <w:rsid w:val="003D4ACD"/>
    <w:rsid w:val="003D519F"/>
    <w:rsid w:val="003D5D48"/>
    <w:rsid w:val="003D78E2"/>
    <w:rsid w:val="003D7FB0"/>
    <w:rsid w:val="003E0256"/>
    <w:rsid w:val="003E0CFD"/>
    <w:rsid w:val="003E1A4C"/>
    <w:rsid w:val="003E2AE4"/>
    <w:rsid w:val="003E3059"/>
    <w:rsid w:val="003E3646"/>
    <w:rsid w:val="003E3DD5"/>
    <w:rsid w:val="003E4C5A"/>
    <w:rsid w:val="003E6616"/>
    <w:rsid w:val="003E6E84"/>
    <w:rsid w:val="003E7558"/>
    <w:rsid w:val="003F06D1"/>
    <w:rsid w:val="003F13FB"/>
    <w:rsid w:val="003F20A7"/>
    <w:rsid w:val="003F2A74"/>
    <w:rsid w:val="003F4607"/>
    <w:rsid w:val="003F46EA"/>
    <w:rsid w:val="003F472F"/>
    <w:rsid w:val="003F4EEE"/>
    <w:rsid w:val="003F5068"/>
    <w:rsid w:val="003F53D8"/>
    <w:rsid w:val="003F598E"/>
    <w:rsid w:val="003F5FAA"/>
    <w:rsid w:val="003F687D"/>
    <w:rsid w:val="003F6B91"/>
    <w:rsid w:val="003F7098"/>
    <w:rsid w:val="003F7750"/>
    <w:rsid w:val="003F7A17"/>
    <w:rsid w:val="00400E39"/>
    <w:rsid w:val="004017B9"/>
    <w:rsid w:val="00401816"/>
    <w:rsid w:val="00401D18"/>
    <w:rsid w:val="0040218C"/>
    <w:rsid w:val="00402352"/>
    <w:rsid w:val="00402BF0"/>
    <w:rsid w:val="00403001"/>
    <w:rsid w:val="004042D7"/>
    <w:rsid w:val="004052E0"/>
    <w:rsid w:val="004061CD"/>
    <w:rsid w:val="0040627C"/>
    <w:rsid w:val="00406323"/>
    <w:rsid w:val="00407371"/>
    <w:rsid w:val="00407514"/>
    <w:rsid w:val="004106C9"/>
    <w:rsid w:val="00410890"/>
    <w:rsid w:val="0041130C"/>
    <w:rsid w:val="00411F58"/>
    <w:rsid w:val="004137A0"/>
    <w:rsid w:val="00414178"/>
    <w:rsid w:val="00415F91"/>
    <w:rsid w:val="00416479"/>
    <w:rsid w:val="00420013"/>
    <w:rsid w:val="0042146A"/>
    <w:rsid w:val="00422B15"/>
    <w:rsid w:val="00423080"/>
    <w:rsid w:val="00423679"/>
    <w:rsid w:val="00423C5F"/>
    <w:rsid w:val="0042424D"/>
    <w:rsid w:val="00425A72"/>
    <w:rsid w:val="00425FC4"/>
    <w:rsid w:val="004268A9"/>
    <w:rsid w:val="00430910"/>
    <w:rsid w:val="004333E9"/>
    <w:rsid w:val="0043489A"/>
    <w:rsid w:val="00434C2D"/>
    <w:rsid w:val="00437279"/>
    <w:rsid w:val="00437905"/>
    <w:rsid w:val="00440DFA"/>
    <w:rsid w:val="00441360"/>
    <w:rsid w:val="00441525"/>
    <w:rsid w:val="00442373"/>
    <w:rsid w:val="0044266A"/>
    <w:rsid w:val="00443914"/>
    <w:rsid w:val="004449D8"/>
    <w:rsid w:val="00444E87"/>
    <w:rsid w:val="00445964"/>
    <w:rsid w:val="00446BD9"/>
    <w:rsid w:val="00446EC9"/>
    <w:rsid w:val="00450647"/>
    <w:rsid w:val="00451704"/>
    <w:rsid w:val="00453F99"/>
    <w:rsid w:val="00454316"/>
    <w:rsid w:val="00455697"/>
    <w:rsid w:val="00455C8C"/>
    <w:rsid w:val="00457189"/>
    <w:rsid w:val="00457DEB"/>
    <w:rsid w:val="00460587"/>
    <w:rsid w:val="00461273"/>
    <w:rsid w:val="004615EF"/>
    <w:rsid w:val="00461CA3"/>
    <w:rsid w:val="00463C06"/>
    <w:rsid w:val="00463E70"/>
    <w:rsid w:val="00464101"/>
    <w:rsid w:val="00465322"/>
    <w:rsid w:val="004656BE"/>
    <w:rsid w:val="00465CF7"/>
    <w:rsid w:val="00465F4F"/>
    <w:rsid w:val="00466C58"/>
    <w:rsid w:val="00467E2E"/>
    <w:rsid w:val="00472F00"/>
    <w:rsid w:val="00473F4E"/>
    <w:rsid w:val="00476565"/>
    <w:rsid w:val="00476B9F"/>
    <w:rsid w:val="004772BD"/>
    <w:rsid w:val="00477339"/>
    <w:rsid w:val="00480269"/>
    <w:rsid w:val="00481B05"/>
    <w:rsid w:val="00481D6F"/>
    <w:rsid w:val="004821A8"/>
    <w:rsid w:val="004826D6"/>
    <w:rsid w:val="00482C24"/>
    <w:rsid w:val="0048330C"/>
    <w:rsid w:val="004838B8"/>
    <w:rsid w:val="00484A5D"/>
    <w:rsid w:val="00484DE8"/>
    <w:rsid w:val="0048514F"/>
    <w:rsid w:val="00485278"/>
    <w:rsid w:val="004856F7"/>
    <w:rsid w:val="00485A46"/>
    <w:rsid w:val="00486877"/>
    <w:rsid w:val="0048747E"/>
    <w:rsid w:val="00490280"/>
    <w:rsid w:val="00491107"/>
    <w:rsid w:val="00491538"/>
    <w:rsid w:val="0049166A"/>
    <w:rsid w:val="00491743"/>
    <w:rsid w:val="00491ABE"/>
    <w:rsid w:val="00491CBE"/>
    <w:rsid w:val="0049235A"/>
    <w:rsid w:val="00496730"/>
    <w:rsid w:val="00497FED"/>
    <w:rsid w:val="004A068C"/>
    <w:rsid w:val="004A17FA"/>
    <w:rsid w:val="004A1C7C"/>
    <w:rsid w:val="004A3DBF"/>
    <w:rsid w:val="004A4D47"/>
    <w:rsid w:val="004A510E"/>
    <w:rsid w:val="004A529F"/>
    <w:rsid w:val="004A5988"/>
    <w:rsid w:val="004B1061"/>
    <w:rsid w:val="004B12B8"/>
    <w:rsid w:val="004B1736"/>
    <w:rsid w:val="004B1D46"/>
    <w:rsid w:val="004B21C3"/>
    <w:rsid w:val="004B3209"/>
    <w:rsid w:val="004B3637"/>
    <w:rsid w:val="004B3AE4"/>
    <w:rsid w:val="004B44B5"/>
    <w:rsid w:val="004B4F4A"/>
    <w:rsid w:val="004B503C"/>
    <w:rsid w:val="004B5B4F"/>
    <w:rsid w:val="004B65BF"/>
    <w:rsid w:val="004C0305"/>
    <w:rsid w:val="004C050A"/>
    <w:rsid w:val="004C0CDD"/>
    <w:rsid w:val="004C1912"/>
    <w:rsid w:val="004C246D"/>
    <w:rsid w:val="004C3492"/>
    <w:rsid w:val="004C4464"/>
    <w:rsid w:val="004C4E37"/>
    <w:rsid w:val="004C4E8A"/>
    <w:rsid w:val="004C539F"/>
    <w:rsid w:val="004C6087"/>
    <w:rsid w:val="004D0046"/>
    <w:rsid w:val="004D0C73"/>
    <w:rsid w:val="004D1BC2"/>
    <w:rsid w:val="004D27BE"/>
    <w:rsid w:val="004D2947"/>
    <w:rsid w:val="004D2E6A"/>
    <w:rsid w:val="004D3379"/>
    <w:rsid w:val="004D5E06"/>
    <w:rsid w:val="004D6A2B"/>
    <w:rsid w:val="004D6BD9"/>
    <w:rsid w:val="004D72B0"/>
    <w:rsid w:val="004D76DF"/>
    <w:rsid w:val="004D7A1F"/>
    <w:rsid w:val="004E0198"/>
    <w:rsid w:val="004E0D89"/>
    <w:rsid w:val="004E1B3F"/>
    <w:rsid w:val="004E273C"/>
    <w:rsid w:val="004E2BC3"/>
    <w:rsid w:val="004E32B2"/>
    <w:rsid w:val="004E4183"/>
    <w:rsid w:val="004E4CA5"/>
    <w:rsid w:val="004F0282"/>
    <w:rsid w:val="004F0738"/>
    <w:rsid w:val="004F0AAD"/>
    <w:rsid w:val="004F149C"/>
    <w:rsid w:val="004F666C"/>
    <w:rsid w:val="004F6B8F"/>
    <w:rsid w:val="004F7431"/>
    <w:rsid w:val="004F7541"/>
    <w:rsid w:val="004F7E16"/>
    <w:rsid w:val="00500EF0"/>
    <w:rsid w:val="005012BF"/>
    <w:rsid w:val="00503850"/>
    <w:rsid w:val="0050552A"/>
    <w:rsid w:val="00506346"/>
    <w:rsid w:val="00506742"/>
    <w:rsid w:val="005068BA"/>
    <w:rsid w:val="00507530"/>
    <w:rsid w:val="00507C38"/>
    <w:rsid w:val="00510B55"/>
    <w:rsid w:val="00512112"/>
    <w:rsid w:val="005163F1"/>
    <w:rsid w:val="005165CE"/>
    <w:rsid w:val="0052034B"/>
    <w:rsid w:val="005205C4"/>
    <w:rsid w:val="00521C71"/>
    <w:rsid w:val="005233F0"/>
    <w:rsid w:val="00523B9A"/>
    <w:rsid w:val="00524C61"/>
    <w:rsid w:val="00525D2C"/>
    <w:rsid w:val="00526567"/>
    <w:rsid w:val="00526633"/>
    <w:rsid w:val="00526BA2"/>
    <w:rsid w:val="0053014E"/>
    <w:rsid w:val="005313F2"/>
    <w:rsid w:val="00531F44"/>
    <w:rsid w:val="00532401"/>
    <w:rsid w:val="00533AB8"/>
    <w:rsid w:val="00534D2B"/>
    <w:rsid w:val="00536412"/>
    <w:rsid w:val="005368FC"/>
    <w:rsid w:val="00536D64"/>
    <w:rsid w:val="0054010E"/>
    <w:rsid w:val="00541597"/>
    <w:rsid w:val="00541691"/>
    <w:rsid w:val="0054372F"/>
    <w:rsid w:val="00543C80"/>
    <w:rsid w:val="0054527F"/>
    <w:rsid w:val="005459B7"/>
    <w:rsid w:val="00545F0A"/>
    <w:rsid w:val="00546839"/>
    <w:rsid w:val="00546CA8"/>
    <w:rsid w:val="00550FC8"/>
    <w:rsid w:val="0055149F"/>
    <w:rsid w:val="00551ECF"/>
    <w:rsid w:val="005522FF"/>
    <w:rsid w:val="00552E16"/>
    <w:rsid w:val="00555CA0"/>
    <w:rsid w:val="00556B9B"/>
    <w:rsid w:val="00557088"/>
    <w:rsid w:val="00560594"/>
    <w:rsid w:val="0056092C"/>
    <w:rsid w:val="00561045"/>
    <w:rsid w:val="00561F52"/>
    <w:rsid w:val="005621D7"/>
    <w:rsid w:val="005632AD"/>
    <w:rsid w:val="00563577"/>
    <w:rsid w:val="00564541"/>
    <w:rsid w:val="005645D2"/>
    <w:rsid w:val="00565145"/>
    <w:rsid w:val="005654D5"/>
    <w:rsid w:val="00565510"/>
    <w:rsid w:val="00566940"/>
    <w:rsid w:val="00567E53"/>
    <w:rsid w:val="005706A7"/>
    <w:rsid w:val="005712DE"/>
    <w:rsid w:val="0057148F"/>
    <w:rsid w:val="00571DC1"/>
    <w:rsid w:val="00571ED4"/>
    <w:rsid w:val="005722ED"/>
    <w:rsid w:val="00572BD4"/>
    <w:rsid w:val="00573B96"/>
    <w:rsid w:val="00573BA7"/>
    <w:rsid w:val="005759B0"/>
    <w:rsid w:val="00575F4C"/>
    <w:rsid w:val="00577971"/>
    <w:rsid w:val="00580245"/>
    <w:rsid w:val="005809F4"/>
    <w:rsid w:val="00580DCC"/>
    <w:rsid w:val="00582488"/>
    <w:rsid w:val="00582894"/>
    <w:rsid w:val="00582DC3"/>
    <w:rsid w:val="00583CBA"/>
    <w:rsid w:val="005842CB"/>
    <w:rsid w:val="00584305"/>
    <w:rsid w:val="0058465B"/>
    <w:rsid w:val="005855DD"/>
    <w:rsid w:val="005861F6"/>
    <w:rsid w:val="005863DA"/>
    <w:rsid w:val="00586623"/>
    <w:rsid w:val="0058682F"/>
    <w:rsid w:val="005869B5"/>
    <w:rsid w:val="00587925"/>
    <w:rsid w:val="0059005F"/>
    <w:rsid w:val="00590EAB"/>
    <w:rsid w:val="005917F3"/>
    <w:rsid w:val="00591B5C"/>
    <w:rsid w:val="005938F5"/>
    <w:rsid w:val="0059407B"/>
    <w:rsid w:val="00594393"/>
    <w:rsid w:val="005964C3"/>
    <w:rsid w:val="00596B6B"/>
    <w:rsid w:val="00597173"/>
    <w:rsid w:val="00597DDC"/>
    <w:rsid w:val="005A18D5"/>
    <w:rsid w:val="005A2E06"/>
    <w:rsid w:val="005A34AE"/>
    <w:rsid w:val="005A4004"/>
    <w:rsid w:val="005A47CF"/>
    <w:rsid w:val="005A59D2"/>
    <w:rsid w:val="005A63D7"/>
    <w:rsid w:val="005A6DD0"/>
    <w:rsid w:val="005A712B"/>
    <w:rsid w:val="005A7500"/>
    <w:rsid w:val="005A7671"/>
    <w:rsid w:val="005A7965"/>
    <w:rsid w:val="005A7CF1"/>
    <w:rsid w:val="005B1716"/>
    <w:rsid w:val="005B18DD"/>
    <w:rsid w:val="005B2394"/>
    <w:rsid w:val="005B2AE7"/>
    <w:rsid w:val="005B30A6"/>
    <w:rsid w:val="005B3471"/>
    <w:rsid w:val="005B3BEC"/>
    <w:rsid w:val="005B4007"/>
    <w:rsid w:val="005B482C"/>
    <w:rsid w:val="005B4B1D"/>
    <w:rsid w:val="005B5830"/>
    <w:rsid w:val="005B7205"/>
    <w:rsid w:val="005B7345"/>
    <w:rsid w:val="005B73FF"/>
    <w:rsid w:val="005B75E7"/>
    <w:rsid w:val="005B77C7"/>
    <w:rsid w:val="005B78AA"/>
    <w:rsid w:val="005C0F1F"/>
    <w:rsid w:val="005C1BAC"/>
    <w:rsid w:val="005C1CF1"/>
    <w:rsid w:val="005C1D82"/>
    <w:rsid w:val="005C2F6D"/>
    <w:rsid w:val="005C60D6"/>
    <w:rsid w:val="005C64B7"/>
    <w:rsid w:val="005C6785"/>
    <w:rsid w:val="005C6E7A"/>
    <w:rsid w:val="005C7719"/>
    <w:rsid w:val="005D09BA"/>
    <w:rsid w:val="005D1481"/>
    <w:rsid w:val="005D1A1B"/>
    <w:rsid w:val="005D1C16"/>
    <w:rsid w:val="005D2928"/>
    <w:rsid w:val="005D32FE"/>
    <w:rsid w:val="005D37D0"/>
    <w:rsid w:val="005D3CA3"/>
    <w:rsid w:val="005D6150"/>
    <w:rsid w:val="005D7205"/>
    <w:rsid w:val="005E0F01"/>
    <w:rsid w:val="005E12E8"/>
    <w:rsid w:val="005E148A"/>
    <w:rsid w:val="005E1CE0"/>
    <w:rsid w:val="005E2DAB"/>
    <w:rsid w:val="005E30B6"/>
    <w:rsid w:val="005E3821"/>
    <w:rsid w:val="005E426A"/>
    <w:rsid w:val="005E5191"/>
    <w:rsid w:val="005E5381"/>
    <w:rsid w:val="005E61C1"/>
    <w:rsid w:val="005E7D8E"/>
    <w:rsid w:val="005F190C"/>
    <w:rsid w:val="005F2DB5"/>
    <w:rsid w:val="005F31A3"/>
    <w:rsid w:val="005F54BA"/>
    <w:rsid w:val="005F5742"/>
    <w:rsid w:val="005F7CD2"/>
    <w:rsid w:val="0060075F"/>
    <w:rsid w:val="00600BC8"/>
    <w:rsid w:val="00600EE5"/>
    <w:rsid w:val="00601927"/>
    <w:rsid w:val="00601AA1"/>
    <w:rsid w:val="00602154"/>
    <w:rsid w:val="00603AFF"/>
    <w:rsid w:val="00603B7E"/>
    <w:rsid w:val="00603C86"/>
    <w:rsid w:val="00607DE7"/>
    <w:rsid w:val="0061032B"/>
    <w:rsid w:val="00610EAF"/>
    <w:rsid w:val="00611640"/>
    <w:rsid w:val="00611D04"/>
    <w:rsid w:val="0061299D"/>
    <w:rsid w:val="00612C96"/>
    <w:rsid w:val="00613465"/>
    <w:rsid w:val="00613A45"/>
    <w:rsid w:val="00613A99"/>
    <w:rsid w:val="00615519"/>
    <w:rsid w:val="00615FFD"/>
    <w:rsid w:val="006166AA"/>
    <w:rsid w:val="00617804"/>
    <w:rsid w:val="006204FF"/>
    <w:rsid w:val="00620DA9"/>
    <w:rsid w:val="006233E4"/>
    <w:rsid w:val="0062366B"/>
    <w:rsid w:val="00624B86"/>
    <w:rsid w:val="00624E15"/>
    <w:rsid w:val="00624EAD"/>
    <w:rsid w:val="00625BF1"/>
    <w:rsid w:val="0062690B"/>
    <w:rsid w:val="00627E6F"/>
    <w:rsid w:val="00630FB0"/>
    <w:rsid w:val="0063117B"/>
    <w:rsid w:val="006319BD"/>
    <w:rsid w:val="00633AB1"/>
    <w:rsid w:val="00634437"/>
    <w:rsid w:val="00635EE3"/>
    <w:rsid w:val="00637B43"/>
    <w:rsid w:val="0064118B"/>
    <w:rsid w:val="006412D7"/>
    <w:rsid w:val="006419F6"/>
    <w:rsid w:val="00650168"/>
    <w:rsid w:val="006523E6"/>
    <w:rsid w:val="006526D2"/>
    <w:rsid w:val="00652E54"/>
    <w:rsid w:val="0065310C"/>
    <w:rsid w:val="006532CC"/>
    <w:rsid w:val="00653727"/>
    <w:rsid w:val="006538C4"/>
    <w:rsid w:val="00653BC8"/>
    <w:rsid w:val="00654147"/>
    <w:rsid w:val="00654FE2"/>
    <w:rsid w:val="006553D2"/>
    <w:rsid w:val="00656608"/>
    <w:rsid w:val="00656E39"/>
    <w:rsid w:val="00657DB0"/>
    <w:rsid w:val="00660D97"/>
    <w:rsid w:val="00660E90"/>
    <w:rsid w:val="00661649"/>
    <w:rsid w:val="00661AA3"/>
    <w:rsid w:val="00661BFA"/>
    <w:rsid w:val="006647CA"/>
    <w:rsid w:val="00664BD4"/>
    <w:rsid w:val="00665488"/>
    <w:rsid w:val="00666075"/>
    <w:rsid w:val="00666220"/>
    <w:rsid w:val="00666DA1"/>
    <w:rsid w:val="00666E82"/>
    <w:rsid w:val="006727D4"/>
    <w:rsid w:val="00672862"/>
    <w:rsid w:val="00673E2A"/>
    <w:rsid w:val="00674446"/>
    <w:rsid w:val="006746F5"/>
    <w:rsid w:val="00675D67"/>
    <w:rsid w:val="006760AF"/>
    <w:rsid w:val="006762E8"/>
    <w:rsid w:val="00676A9B"/>
    <w:rsid w:val="0068034A"/>
    <w:rsid w:val="00680693"/>
    <w:rsid w:val="006808D9"/>
    <w:rsid w:val="00684695"/>
    <w:rsid w:val="0068511B"/>
    <w:rsid w:val="0068569A"/>
    <w:rsid w:val="006859EE"/>
    <w:rsid w:val="006860B9"/>
    <w:rsid w:val="00686B85"/>
    <w:rsid w:val="00686F51"/>
    <w:rsid w:val="006873B1"/>
    <w:rsid w:val="0069098A"/>
    <w:rsid w:val="0069098C"/>
    <w:rsid w:val="00691213"/>
    <w:rsid w:val="00691222"/>
    <w:rsid w:val="00691965"/>
    <w:rsid w:val="00692B7C"/>
    <w:rsid w:val="00693849"/>
    <w:rsid w:val="006939E7"/>
    <w:rsid w:val="006942D3"/>
    <w:rsid w:val="0069460E"/>
    <w:rsid w:val="0069472E"/>
    <w:rsid w:val="00695334"/>
    <w:rsid w:val="00695712"/>
    <w:rsid w:val="00695791"/>
    <w:rsid w:val="00695DE2"/>
    <w:rsid w:val="00695FDF"/>
    <w:rsid w:val="006962E3"/>
    <w:rsid w:val="006969F0"/>
    <w:rsid w:val="006971A6"/>
    <w:rsid w:val="0069767A"/>
    <w:rsid w:val="006A0A7A"/>
    <w:rsid w:val="006A2450"/>
    <w:rsid w:val="006A34F1"/>
    <w:rsid w:val="006A367E"/>
    <w:rsid w:val="006A5CC9"/>
    <w:rsid w:val="006B010D"/>
    <w:rsid w:val="006B02FE"/>
    <w:rsid w:val="006B1A8C"/>
    <w:rsid w:val="006B1C07"/>
    <w:rsid w:val="006B23A4"/>
    <w:rsid w:val="006B2C5A"/>
    <w:rsid w:val="006B2D18"/>
    <w:rsid w:val="006B365C"/>
    <w:rsid w:val="006B3F26"/>
    <w:rsid w:val="006B4AEC"/>
    <w:rsid w:val="006B582F"/>
    <w:rsid w:val="006B7704"/>
    <w:rsid w:val="006B776D"/>
    <w:rsid w:val="006C0406"/>
    <w:rsid w:val="006C0CC4"/>
    <w:rsid w:val="006C0FB6"/>
    <w:rsid w:val="006C0FE4"/>
    <w:rsid w:val="006C194E"/>
    <w:rsid w:val="006C20DB"/>
    <w:rsid w:val="006C2377"/>
    <w:rsid w:val="006C634E"/>
    <w:rsid w:val="006C6606"/>
    <w:rsid w:val="006C79B2"/>
    <w:rsid w:val="006C7A57"/>
    <w:rsid w:val="006D1B70"/>
    <w:rsid w:val="006D235B"/>
    <w:rsid w:val="006D2A8C"/>
    <w:rsid w:val="006D31D2"/>
    <w:rsid w:val="006D3F54"/>
    <w:rsid w:val="006D3FEA"/>
    <w:rsid w:val="006D434E"/>
    <w:rsid w:val="006D4EF8"/>
    <w:rsid w:val="006D5167"/>
    <w:rsid w:val="006D71ED"/>
    <w:rsid w:val="006E19D5"/>
    <w:rsid w:val="006E1B14"/>
    <w:rsid w:val="006E27A6"/>
    <w:rsid w:val="006E3A42"/>
    <w:rsid w:val="006E4108"/>
    <w:rsid w:val="006E4ABB"/>
    <w:rsid w:val="006E6C99"/>
    <w:rsid w:val="006E6FF0"/>
    <w:rsid w:val="006E727A"/>
    <w:rsid w:val="006F1C71"/>
    <w:rsid w:val="006F42CF"/>
    <w:rsid w:val="006F4BAD"/>
    <w:rsid w:val="006F59D8"/>
    <w:rsid w:val="006F6CB6"/>
    <w:rsid w:val="006F7AA6"/>
    <w:rsid w:val="006F7B18"/>
    <w:rsid w:val="006F7C8B"/>
    <w:rsid w:val="006F7CBB"/>
    <w:rsid w:val="007006B0"/>
    <w:rsid w:val="00701876"/>
    <w:rsid w:val="007026E4"/>
    <w:rsid w:val="00704A2F"/>
    <w:rsid w:val="00704A4E"/>
    <w:rsid w:val="007052A1"/>
    <w:rsid w:val="00705621"/>
    <w:rsid w:val="00706223"/>
    <w:rsid w:val="00706CAA"/>
    <w:rsid w:val="00706FB4"/>
    <w:rsid w:val="00710AA6"/>
    <w:rsid w:val="00711737"/>
    <w:rsid w:val="0071296C"/>
    <w:rsid w:val="00712991"/>
    <w:rsid w:val="00713099"/>
    <w:rsid w:val="00715263"/>
    <w:rsid w:val="00715315"/>
    <w:rsid w:val="00715959"/>
    <w:rsid w:val="00715BA6"/>
    <w:rsid w:val="0071649C"/>
    <w:rsid w:val="00716594"/>
    <w:rsid w:val="00716599"/>
    <w:rsid w:val="00717289"/>
    <w:rsid w:val="007175D3"/>
    <w:rsid w:val="00717AE7"/>
    <w:rsid w:val="007211D7"/>
    <w:rsid w:val="00721568"/>
    <w:rsid w:val="00721938"/>
    <w:rsid w:val="00722143"/>
    <w:rsid w:val="007224D6"/>
    <w:rsid w:val="007226CA"/>
    <w:rsid w:val="007229BF"/>
    <w:rsid w:val="00723000"/>
    <w:rsid w:val="0072347B"/>
    <w:rsid w:val="00724DA2"/>
    <w:rsid w:val="00725C3F"/>
    <w:rsid w:val="00725ED1"/>
    <w:rsid w:val="00726647"/>
    <w:rsid w:val="007268D0"/>
    <w:rsid w:val="00727109"/>
    <w:rsid w:val="0073006A"/>
    <w:rsid w:val="007304B9"/>
    <w:rsid w:val="00731A74"/>
    <w:rsid w:val="00732260"/>
    <w:rsid w:val="00732CC6"/>
    <w:rsid w:val="0073430E"/>
    <w:rsid w:val="007347AD"/>
    <w:rsid w:val="0073525D"/>
    <w:rsid w:val="00735770"/>
    <w:rsid w:val="00736D03"/>
    <w:rsid w:val="007371AC"/>
    <w:rsid w:val="00740159"/>
    <w:rsid w:val="00740663"/>
    <w:rsid w:val="00741814"/>
    <w:rsid w:val="0074299D"/>
    <w:rsid w:val="00745463"/>
    <w:rsid w:val="007462FC"/>
    <w:rsid w:val="007468C2"/>
    <w:rsid w:val="00747F63"/>
    <w:rsid w:val="007504D3"/>
    <w:rsid w:val="007544B4"/>
    <w:rsid w:val="007551D3"/>
    <w:rsid w:val="00755E88"/>
    <w:rsid w:val="00755F22"/>
    <w:rsid w:val="00757024"/>
    <w:rsid w:val="007602D1"/>
    <w:rsid w:val="00760B1F"/>
    <w:rsid w:val="00760B39"/>
    <w:rsid w:val="00760E68"/>
    <w:rsid w:val="00760F2A"/>
    <w:rsid w:val="00762811"/>
    <w:rsid w:val="00763DB5"/>
    <w:rsid w:val="0076602F"/>
    <w:rsid w:val="00766628"/>
    <w:rsid w:val="00767C4A"/>
    <w:rsid w:val="0077054B"/>
    <w:rsid w:val="0077133A"/>
    <w:rsid w:val="00772317"/>
    <w:rsid w:val="00772762"/>
    <w:rsid w:val="00772FA6"/>
    <w:rsid w:val="0077324F"/>
    <w:rsid w:val="007756D2"/>
    <w:rsid w:val="0077572A"/>
    <w:rsid w:val="00775AB4"/>
    <w:rsid w:val="0077650D"/>
    <w:rsid w:val="00776D54"/>
    <w:rsid w:val="007776BA"/>
    <w:rsid w:val="00777E46"/>
    <w:rsid w:val="00780B4F"/>
    <w:rsid w:val="00781123"/>
    <w:rsid w:val="00783198"/>
    <w:rsid w:val="007833E1"/>
    <w:rsid w:val="00783EAE"/>
    <w:rsid w:val="007850F3"/>
    <w:rsid w:val="00785514"/>
    <w:rsid w:val="00785FFD"/>
    <w:rsid w:val="007860C3"/>
    <w:rsid w:val="007861F8"/>
    <w:rsid w:val="007863B6"/>
    <w:rsid w:val="0078674F"/>
    <w:rsid w:val="00786B8A"/>
    <w:rsid w:val="00786E33"/>
    <w:rsid w:val="00786FA9"/>
    <w:rsid w:val="0078774C"/>
    <w:rsid w:val="00787778"/>
    <w:rsid w:val="007900D0"/>
    <w:rsid w:val="00790A8D"/>
    <w:rsid w:val="00791348"/>
    <w:rsid w:val="0079289D"/>
    <w:rsid w:val="00792E7E"/>
    <w:rsid w:val="00793051"/>
    <w:rsid w:val="007939EF"/>
    <w:rsid w:val="00793B78"/>
    <w:rsid w:val="00793EBC"/>
    <w:rsid w:val="00794904"/>
    <w:rsid w:val="007953E5"/>
    <w:rsid w:val="00795FA5"/>
    <w:rsid w:val="00796EEF"/>
    <w:rsid w:val="00797A41"/>
    <w:rsid w:val="00797D6F"/>
    <w:rsid w:val="007A0AE1"/>
    <w:rsid w:val="007A0BA1"/>
    <w:rsid w:val="007A116A"/>
    <w:rsid w:val="007A1416"/>
    <w:rsid w:val="007A1C21"/>
    <w:rsid w:val="007A366F"/>
    <w:rsid w:val="007A3962"/>
    <w:rsid w:val="007A399D"/>
    <w:rsid w:val="007A45D4"/>
    <w:rsid w:val="007A477D"/>
    <w:rsid w:val="007A4E3F"/>
    <w:rsid w:val="007A78D1"/>
    <w:rsid w:val="007A79DC"/>
    <w:rsid w:val="007B1257"/>
    <w:rsid w:val="007B1AE9"/>
    <w:rsid w:val="007B3131"/>
    <w:rsid w:val="007B3585"/>
    <w:rsid w:val="007B4B64"/>
    <w:rsid w:val="007B579C"/>
    <w:rsid w:val="007B6258"/>
    <w:rsid w:val="007B6A3E"/>
    <w:rsid w:val="007C016C"/>
    <w:rsid w:val="007C0649"/>
    <w:rsid w:val="007C25C1"/>
    <w:rsid w:val="007C3E51"/>
    <w:rsid w:val="007C4E71"/>
    <w:rsid w:val="007C5C5A"/>
    <w:rsid w:val="007C6BEC"/>
    <w:rsid w:val="007C6DF8"/>
    <w:rsid w:val="007D1191"/>
    <w:rsid w:val="007D2077"/>
    <w:rsid w:val="007D249B"/>
    <w:rsid w:val="007D2B94"/>
    <w:rsid w:val="007D7BC1"/>
    <w:rsid w:val="007E0C66"/>
    <w:rsid w:val="007E12A7"/>
    <w:rsid w:val="007E246B"/>
    <w:rsid w:val="007E2E9A"/>
    <w:rsid w:val="007E340E"/>
    <w:rsid w:val="007E3557"/>
    <w:rsid w:val="007E3569"/>
    <w:rsid w:val="007E43E8"/>
    <w:rsid w:val="007E49D9"/>
    <w:rsid w:val="007E630E"/>
    <w:rsid w:val="007E6F01"/>
    <w:rsid w:val="007E702C"/>
    <w:rsid w:val="007F1647"/>
    <w:rsid w:val="007F17A3"/>
    <w:rsid w:val="007F2E9F"/>
    <w:rsid w:val="007F2EF6"/>
    <w:rsid w:val="007F3AC6"/>
    <w:rsid w:val="007F3D63"/>
    <w:rsid w:val="007F493C"/>
    <w:rsid w:val="007F5D33"/>
    <w:rsid w:val="007F73B1"/>
    <w:rsid w:val="007F7BAB"/>
    <w:rsid w:val="00801283"/>
    <w:rsid w:val="00801465"/>
    <w:rsid w:val="00801B1E"/>
    <w:rsid w:val="0080284A"/>
    <w:rsid w:val="008047B2"/>
    <w:rsid w:val="00805576"/>
    <w:rsid w:val="008058E7"/>
    <w:rsid w:val="00806FD4"/>
    <w:rsid w:val="00810247"/>
    <w:rsid w:val="00811EA3"/>
    <w:rsid w:val="0081254A"/>
    <w:rsid w:val="00813080"/>
    <w:rsid w:val="00814713"/>
    <w:rsid w:val="0081679F"/>
    <w:rsid w:val="008202C2"/>
    <w:rsid w:val="0082051B"/>
    <w:rsid w:val="0082096E"/>
    <w:rsid w:val="008215E9"/>
    <w:rsid w:val="008223C8"/>
    <w:rsid w:val="0082660E"/>
    <w:rsid w:val="00827B7A"/>
    <w:rsid w:val="008302DE"/>
    <w:rsid w:val="008307BC"/>
    <w:rsid w:val="0083082C"/>
    <w:rsid w:val="008313CD"/>
    <w:rsid w:val="008317CA"/>
    <w:rsid w:val="00831E01"/>
    <w:rsid w:val="00832027"/>
    <w:rsid w:val="0083261A"/>
    <w:rsid w:val="00832D4E"/>
    <w:rsid w:val="00833526"/>
    <w:rsid w:val="0083418C"/>
    <w:rsid w:val="0083549B"/>
    <w:rsid w:val="0083602F"/>
    <w:rsid w:val="00836111"/>
    <w:rsid w:val="00836903"/>
    <w:rsid w:val="00837824"/>
    <w:rsid w:val="00837B51"/>
    <w:rsid w:val="00841A56"/>
    <w:rsid w:val="008445E5"/>
    <w:rsid w:val="00844878"/>
    <w:rsid w:val="008462F7"/>
    <w:rsid w:val="00846866"/>
    <w:rsid w:val="008477FD"/>
    <w:rsid w:val="00850403"/>
    <w:rsid w:val="00850B26"/>
    <w:rsid w:val="00850DDD"/>
    <w:rsid w:val="00851860"/>
    <w:rsid w:val="00851EB1"/>
    <w:rsid w:val="00851F5A"/>
    <w:rsid w:val="0085229A"/>
    <w:rsid w:val="00852E14"/>
    <w:rsid w:val="00852E96"/>
    <w:rsid w:val="00853459"/>
    <w:rsid w:val="008542C1"/>
    <w:rsid w:val="00854AD0"/>
    <w:rsid w:val="0085583A"/>
    <w:rsid w:val="008561D9"/>
    <w:rsid w:val="008568FF"/>
    <w:rsid w:val="00856E33"/>
    <w:rsid w:val="00857089"/>
    <w:rsid w:val="008575A9"/>
    <w:rsid w:val="00860483"/>
    <w:rsid w:val="00861428"/>
    <w:rsid w:val="008618D5"/>
    <w:rsid w:val="00861B04"/>
    <w:rsid w:val="00863304"/>
    <w:rsid w:val="00863C15"/>
    <w:rsid w:val="0086490C"/>
    <w:rsid w:val="00864B50"/>
    <w:rsid w:val="00864C6A"/>
    <w:rsid w:val="0086790D"/>
    <w:rsid w:val="00867F3B"/>
    <w:rsid w:val="00870155"/>
    <w:rsid w:val="00870672"/>
    <w:rsid w:val="0087068A"/>
    <w:rsid w:val="00870936"/>
    <w:rsid w:val="00872264"/>
    <w:rsid w:val="00872C74"/>
    <w:rsid w:val="00872E49"/>
    <w:rsid w:val="0087350F"/>
    <w:rsid w:val="00873F7A"/>
    <w:rsid w:val="008740AD"/>
    <w:rsid w:val="0087535A"/>
    <w:rsid w:val="0087565C"/>
    <w:rsid w:val="0087589A"/>
    <w:rsid w:val="008767A2"/>
    <w:rsid w:val="008769E1"/>
    <w:rsid w:val="008777B3"/>
    <w:rsid w:val="008809C7"/>
    <w:rsid w:val="00880DBD"/>
    <w:rsid w:val="00881278"/>
    <w:rsid w:val="00881C78"/>
    <w:rsid w:val="008825C9"/>
    <w:rsid w:val="00882F79"/>
    <w:rsid w:val="00883E06"/>
    <w:rsid w:val="00883FB3"/>
    <w:rsid w:val="008840E4"/>
    <w:rsid w:val="00884AF8"/>
    <w:rsid w:val="00885F3F"/>
    <w:rsid w:val="008865E8"/>
    <w:rsid w:val="00887BB9"/>
    <w:rsid w:val="008915D2"/>
    <w:rsid w:val="00891BB4"/>
    <w:rsid w:val="0089300B"/>
    <w:rsid w:val="00893DE2"/>
    <w:rsid w:val="00894587"/>
    <w:rsid w:val="00895266"/>
    <w:rsid w:val="0089608C"/>
    <w:rsid w:val="00897225"/>
    <w:rsid w:val="00897BD6"/>
    <w:rsid w:val="008A0264"/>
    <w:rsid w:val="008A0291"/>
    <w:rsid w:val="008A09A6"/>
    <w:rsid w:val="008A1491"/>
    <w:rsid w:val="008A1499"/>
    <w:rsid w:val="008A1B36"/>
    <w:rsid w:val="008A23ED"/>
    <w:rsid w:val="008A2AB9"/>
    <w:rsid w:val="008A3A03"/>
    <w:rsid w:val="008A3E7C"/>
    <w:rsid w:val="008A453C"/>
    <w:rsid w:val="008A46CF"/>
    <w:rsid w:val="008A4D7A"/>
    <w:rsid w:val="008A4DF0"/>
    <w:rsid w:val="008A5915"/>
    <w:rsid w:val="008A7201"/>
    <w:rsid w:val="008B3941"/>
    <w:rsid w:val="008B3D76"/>
    <w:rsid w:val="008B4365"/>
    <w:rsid w:val="008B660A"/>
    <w:rsid w:val="008B6B2B"/>
    <w:rsid w:val="008B7149"/>
    <w:rsid w:val="008C0507"/>
    <w:rsid w:val="008C077B"/>
    <w:rsid w:val="008C0B02"/>
    <w:rsid w:val="008C0C4F"/>
    <w:rsid w:val="008C1614"/>
    <w:rsid w:val="008C1983"/>
    <w:rsid w:val="008C1B5E"/>
    <w:rsid w:val="008C1FDC"/>
    <w:rsid w:val="008C2DFA"/>
    <w:rsid w:val="008C37EF"/>
    <w:rsid w:val="008C40D5"/>
    <w:rsid w:val="008C4251"/>
    <w:rsid w:val="008C44A8"/>
    <w:rsid w:val="008C4520"/>
    <w:rsid w:val="008C48F0"/>
    <w:rsid w:val="008C5643"/>
    <w:rsid w:val="008C57CF"/>
    <w:rsid w:val="008C6A6D"/>
    <w:rsid w:val="008C75A5"/>
    <w:rsid w:val="008C7D7D"/>
    <w:rsid w:val="008D230F"/>
    <w:rsid w:val="008D497A"/>
    <w:rsid w:val="008D4B9A"/>
    <w:rsid w:val="008D51E0"/>
    <w:rsid w:val="008D5A20"/>
    <w:rsid w:val="008D5C8B"/>
    <w:rsid w:val="008D734C"/>
    <w:rsid w:val="008D73E9"/>
    <w:rsid w:val="008D777F"/>
    <w:rsid w:val="008E2037"/>
    <w:rsid w:val="008E337B"/>
    <w:rsid w:val="008E3955"/>
    <w:rsid w:val="008E3F02"/>
    <w:rsid w:val="008E43E3"/>
    <w:rsid w:val="008E5600"/>
    <w:rsid w:val="008E5DB2"/>
    <w:rsid w:val="008E5F0C"/>
    <w:rsid w:val="008E6794"/>
    <w:rsid w:val="008F1D7F"/>
    <w:rsid w:val="008F1F60"/>
    <w:rsid w:val="008F2DD5"/>
    <w:rsid w:val="008F3326"/>
    <w:rsid w:val="008F4282"/>
    <w:rsid w:val="008F4E4E"/>
    <w:rsid w:val="008F5518"/>
    <w:rsid w:val="008F5D14"/>
    <w:rsid w:val="008F6217"/>
    <w:rsid w:val="008F62C3"/>
    <w:rsid w:val="008F7966"/>
    <w:rsid w:val="009004C6"/>
    <w:rsid w:val="00902638"/>
    <w:rsid w:val="009047AE"/>
    <w:rsid w:val="00905D4B"/>
    <w:rsid w:val="00906043"/>
    <w:rsid w:val="00906D2F"/>
    <w:rsid w:val="009117FF"/>
    <w:rsid w:val="009134B8"/>
    <w:rsid w:val="00913EFA"/>
    <w:rsid w:val="00914585"/>
    <w:rsid w:val="009157F9"/>
    <w:rsid w:val="00915A83"/>
    <w:rsid w:val="009163FA"/>
    <w:rsid w:val="0091678D"/>
    <w:rsid w:val="00916D57"/>
    <w:rsid w:val="009172FB"/>
    <w:rsid w:val="009203D9"/>
    <w:rsid w:val="009204B3"/>
    <w:rsid w:val="0092072C"/>
    <w:rsid w:val="009226B7"/>
    <w:rsid w:val="00922C28"/>
    <w:rsid w:val="00923D6B"/>
    <w:rsid w:val="00923E7A"/>
    <w:rsid w:val="00925E2F"/>
    <w:rsid w:val="00931704"/>
    <w:rsid w:val="00932293"/>
    <w:rsid w:val="00932D68"/>
    <w:rsid w:val="00932E57"/>
    <w:rsid w:val="009336BA"/>
    <w:rsid w:val="00934E67"/>
    <w:rsid w:val="009354DF"/>
    <w:rsid w:val="00936126"/>
    <w:rsid w:val="00940D46"/>
    <w:rsid w:val="009414C5"/>
    <w:rsid w:val="0094179F"/>
    <w:rsid w:val="00941A4C"/>
    <w:rsid w:val="00942AD6"/>
    <w:rsid w:val="00942B38"/>
    <w:rsid w:val="009441D2"/>
    <w:rsid w:val="00944C86"/>
    <w:rsid w:val="00944CF9"/>
    <w:rsid w:val="00944F11"/>
    <w:rsid w:val="0094571C"/>
    <w:rsid w:val="009458CE"/>
    <w:rsid w:val="0095071D"/>
    <w:rsid w:val="009513A5"/>
    <w:rsid w:val="009519BE"/>
    <w:rsid w:val="00952AE2"/>
    <w:rsid w:val="00953097"/>
    <w:rsid w:val="00953275"/>
    <w:rsid w:val="00953A23"/>
    <w:rsid w:val="00953AAF"/>
    <w:rsid w:val="009542E7"/>
    <w:rsid w:val="00954BB1"/>
    <w:rsid w:val="00955686"/>
    <w:rsid w:val="0095576A"/>
    <w:rsid w:val="00955E6A"/>
    <w:rsid w:val="00957CA8"/>
    <w:rsid w:val="00960A50"/>
    <w:rsid w:val="00961D81"/>
    <w:rsid w:val="00963021"/>
    <w:rsid w:val="00963218"/>
    <w:rsid w:val="009633FB"/>
    <w:rsid w:val="00963715"/>
    <w:rsid w:val="009649B2"/>
    <w:rsid w:val="00964E86"/>
    <w:rsid w:val="009655B9"/>
    <w:rsid w:val="009676F8"/>
    <w:rsid w:val="0097096B"/>
    <w:rsid w:val="00970BEE"/>
    <w:rsid w:val="00971416"/>
    <w:rsid w:val="009723C3"/>
    <w:rsid w:val="00972879"/>
    <w:rsid w:val="00972974"/>
    <w:rsid w:val="00972BF2"/>
    <w:rsid w:val="009739B7"/>
    <w:rsid w:val="009739FC"/>
    <w:rsid w:val="00973E6C"/>
    <w:rsid w:val="009754C6"/>
    <w:rsid w:val="009757C2"/>
    <w:rsid w:val="00976407"/>
    <w:rsid w:val="00976736"/>
    <w:rsid w:val="009771DE"/>
    <w:rsid w:val="00977480"/>
    <w:rsid w:val="009777D9"/>
    <w:rsid w:val="009803C1"/>
    <w:rsid w:val="009804FE"/>
    <w:rsid w:val="009816DF"/>
    <w:rsid w:val="00981B14"/>
    <w:rsid w:val="0098214B"/>
    <w:rsid w:val="00982530"/>
    <w:rsid w:val="00985483"/>
    <w:rsid w:val="00985C9A"/>
    <w:rsid w:val="00986537"/>
    <w:rsid w:val="00990E55"/>
    <w:rsid w:val="0099144B"/>
    <w:rsid w:val="009921E1"/>
    <w:rsid w:val="0099478B"/>
    <w:rsid w:val="00995F79"/>
    <w:rsid w:val="00997361"/>
    <w:rsid w:val="00997B4E"/>
    <w:rsid w:val="009A26BF"/>
    <w:rsid w:val="009A34C9"/>
    <w:rsid w:val="009A3887"/>
    <w:rsid w:val="009A3E91"/>
    <w:rsid w:val="009A460D"/>
    <w:rsid w:val="009A4D5F"/>
    <w:rsid w:val="009A4F32"/>
    <w:rsid w:val="009A5705"/>
    <w:rsid w:val="009A5B9C"/>
    <w:rsid w:val="009A685C"/>
    <w:rsid w:val="009A728C"/>
    <w:rsid w:val="009A78BE"/>
    <w:rsid w:val="009B02D0"/>
    <w:rsid w:val="009B090D"/>
    <w:rsid w:val="009B18E0"/>
    <w:rsid w:val="009B1DC1"/>
    <w:rsid w:val="009B2417"/>
    <w:rsid w:val="009B35B2"/>
    <w:rsid w:val="009B384F"/>
    <w:rsid w:val="009B3A06"/>
    <w:rsid w:val="009B3D7A"/>
    <w:rsid w:val="009B5FCA"/>
    <w:rsid w:val="009B633F"/>
    <w:rsid w:val="009B6E2F"/>
    <w:rsid w:val="009B719B"/>
    <w:rsid w:val="009C01B5"/>
    <w:rsid w:val="009C07AB"/>
    <w:rsid w:val="009C1A95"/>
    <w:rsid w:val="009C34EF"/>
    <w:rsid w:val="009C3D8B"/>
    <w:rsid w:val="009C3EBF"/>
    <w:rsid w:val="009C4EBD"/>
    <w:rsid w:val="009C54F8"/>
    <w:rsid w:val="009C5A20"/>
    <w:rsid w:val="009C62B5"/>
    <w:rsid w:val="009C62C7"/>
    <w:rsid w:val="009C64DC"/>
    <w:rsid w:val="009C6AFE"/>
    <w:rsid w:val="009D0095"/>
    <w:rsid w:val="009D1791"/>
    <w:rsid w:val="009D1B3D"/>
    <w:rsid w:val="009D1E70"/>
    <w:rsid w:val="009D27D5"/>
    <w:rsid w:val="009D3421"/>
    <w:rsid w:val="009D45AE"/>
    <w:rsid w:val="009D500A"/>
    <w:rsid w:val="009D609F"/>
    <w:rsid w:val="009D644F"/>
    <w:rsid w:val="009D7087"/>
    <w:rsid w:val="009E002D"/>
    <w:rsid w:val="009E0E90"/>
    <w:rsid w:val="009E11BE"/>
    <w:rsid w:val="009E152A"/>
    <w:rsid w:val="009E2B4B"/>
    <w:rsid w:val="009E48A7"/>
    <w:rsid w:val="009E587C"/>
    <w:rsid w:val="009E5B00"/>
    <w:rsid w:val="009E7F83"/>
    <w:rsid w:val="009F0287"/>
    <w:rsid w:val="009F0D23"/>
    <w:rsid w:val="009F1B7D"/>
    <w:rsid w:val="009F3092"/>
    <w:rsid w:val="009F4116"/>
    <w:rsid w:val="009F430B"/>
    <w:rsid w:val="009F5601"/>
    <w:rsid w:val="009F61D4"/>
    <w:rsid w:val="00A00AB5"/>
    <w:rsid w:val="00A04AC7"/>
    <w:rsid w:val="00A0564F"/>
    <w:rsid w:val="00A100A8"/>
    <w:rsid w:val="00A12DB2"/>
    <w:rsid w:val="00A141C5"/>
    <w:rsid w:val="00A14879"/>
    <w:rsid w:val="00A15EA6"/>
    <w:rsid w:val="00A2418B"/>
    <w:rsid w:val="00A242BE"/>
    <w:rsid w:val="00A242E4"/>
    <w:rsid w:val="00A24BA6"/>
    <w:rsid w:val="00A24D7A"/>
    <w:rsid w:val="00A25267"/>
    <w:rsid w:val="00A252BB"/>
    <w:rsid w:val="00A26FB6"/>
    <w:rsid w:val="00A271EB"/>
    <w:rsid w:val="00A27BD7"/>
    <w:rsid w:val="00A27C4A"/>
    <w:rsid w:val="00A30159"/>
    <w:rsid w:val="00A3178F"/>
    <w:rsid w:val="00A33A15"/>
    <w:rsid w:val="00A34CAE"/>
    <w:rsid w:val="00A363AB"/>
    <w:rsid w:val="00A365A8"/>
    <w:rsid w:val="00A36C88"/>
    <w:rsid w:val="00A3701A"/>
    <w:rsid w:val="00A371F2"/>
    <w:rsid w:val="00A37D2A"/>
    <w:rsid w:val="00A40E49"/>
    <w:rsid w:val="00A41A25"/>
    <w:rsid w:val="00A4220E"/>
    <w:rsid w:val="00A4250B"/>
    <w:rsid w:val="00A44A0D"/>
    <w:rsid w:val="00A45421"/>
    <w:rsid w:val="00A4562D"/>
    <w:rsid w:val="00A469B6"/>
    <w:rsid w:val="00A46F00"/>
    <w:rsid w:val="00A46FAF"/>
    <w:rsid w:val="00A50C25"/>
    <w:rsid w:val="00A50FF3"/>
    <w:rsid w:val="00A53923"/>
    <w:rsid w:val="00A53B3A"/>
    <w:rsid w:val="00A53C98"/>
    <w:rsid w:val="00A54BBB"/>
    <w:rsid w:val="00A55ACF"/>
    <w:rsid w:val="00A55D57"/>
    <w:rsid w:val="00A56737"/>
    <w:rsid w:val="00A56FBE"/>
    <w:rsid w:val="00A606C2"/>
    <w:rsid w:val="00A60775"/>
    <w:rsid w:val="00A608F2"/>
    <w:rsid w:val="00A60F2C"/>
    <w:rsid w:val="00A61773"/>
    <w:rsid w:val="00A61B0A"/>
    <w:rsid w:val="00A61E86"/>
    <w:rsid w:val="00A6212A"/>
    <w:rsid w:val="00A62D13"/>
    <w:rsid w:val="00A62E42"/>
    <w:rsid w:val="00A63672"/>
    <w:rsid w:val="00A644A6"/>
    <w:rsid w:val="00A64C90"/>
    <w:rsid w:val="00A64E93"/>
    <w:rsid w:val="00A65C64"/>
    <w:rsid w:val="00A71686"/>
    <w:rsid w:val="00A72F65"/>
    <w:rsid w:val="00A73A2A"/>
    <w:rsid w:val="00A749F9"/>
    <w:rsid w:val="00A74E74"/>
    <w:rsid w:val="00A757FE"/>
    <w:rsid w:val="00A75BB7"/>
    <w:rsid w:val="00A7629D"/>
    <w:rsid w:val="00A77FAA"/>
    <w:rsid w:val="00A808C2"/>
    <w:rsid w:val="00A81364"/>
    <w:rsid w:val="00A8275A"/>
    <w:rsid w:val="00A83975"/>
    <w:rsid w:val="00A84082"/>
    <w:rsid w:val="00A84BBB"/>
    <w:rsid w:val="00A85598"/>
    <w:rsid w:val="00A861F5"/>
    <w:rsid w:val="00A90047"/>
    <w:rsid w:val="00A92A8F"/>
    <w:rsid w:val="00A931CD"/>
    <w:rsid w:val="00A9374F"/>
    <w:rsid w:val="00A958AF"/>
    <w:rsid w:val="00A95A81"/>
    <w:rsid w:val="00A96343"/>
    <w:rsid w:val="00A96BE9"/>
    <w:rsid w:val="00A96E3D"/>
    <w:rsid w:val="00A9751F"/>
    <w:rsid w:val="00A976D4"/>
    <w:rsid w:val="00A97D56"/>
    <w:rsid w:val="00AA03D5"/>
    <w:rsid w:val="00AA0B0A"/>
    <w:rsid w:val="00AA1522"/>
    <w:rsid w:val="00AA180B"/>
    <w:rsid w:val="00AA18E6"/>
    <w:rsid w:val="00AA1B1A"/>
    <w:rsid w:val="00AA1F9F"/>
    <w:rsid w:val="00AA251D"/>
    <w:rsid w:val="00AA30ED"/>
    <w:rsid w:val="00AA313D"/>
    <w:rsid w:val="00AA4336"/>
    <w:rsid w:val="00AA4C06"/>
    <w:rsid w:val="00AA5201"/>
    <w:rsid w:val="00AA5525"/>
    <w:rsid w:val="00AA6BC4"/>
    <w:rsid w:val="00AB04AE"/>
    <w:rsid w:val="00AB086E"/>
    <w:rsid w:val="00AB199F"/>
    <w:rsid w:val="00AB1A7E"/>
    <w:rsid w:val="00AB2D1C"/>
    <w:rsid w:val="00AB3585"/>
    <w:rsid w:val="00AB35BC"/>
    <w:rsid w:val="00AB3A41"/>
    <w:rsid w:val="00AB41A0"/>
    <w:rsid w:val="00AB4B25"/>
    <w:rsid w:val="00AB7066"/>
    <w:rsid w:val="00AB7669"/>
    <w:rsid w:val="00AB7A48"/>
    <w:rsid w:val="00AC0748"/>
    <w:rsid w:val="00AC2989"/>
    <w:rsid w:val="00AC2AFC"/>
    <w:rsid w:val="00AC2CBD"/>
    <w:rsid w:val="00AC428F"/>
    <w:rsid w:val="00AC4874"/>
    <w:rsid w:val="00AC4B14"/>
    <w:rsid w:val="00AC5138"/>
    <w:rsid w:val="00AC5278"/>
    <w:rsid w:val="00AC6406"/>
    <w:rsid w:val="00AC64D5"/>
    <w:rsid w:val="00AC7214"/>
    <w:rsid w:val="00AD140A"/>
    <w:rsid w:val="00AD16DA"/>
    <w:rsid w:val="00AD1B63"/>
    <w:rsid w:val="00AD27F0"/>
    <w:rsid w:val="00AD2B88"/>
    <w:rsid w:val="00AD31F6"/>
    <w:rsid w:val="00AD33C5"/>
    <w:rsid w:val="00AD3763"/>
    <w:rsid w:val="00AD3CA7"/>
    <w:rsid w:val="00AD51D9"/>
    <w:rsid w:val="00AD5727"/>
    <w:rsid w:val="00AD680D"/>
    <w:rsid w:val="00AD766A"/>
    <w:rsid w:val="00AE1625"/>
    <w:rsid w:val="00AE1F2A"/>
    <w:rsid w:val="00AE2D44"/>
    <w:rsid w:val="00AE4A7B"/>
    <w:rsid w:val="00AE4AB5"/>
    <w:rsid w:val="00AE59B7"/>
    <w:rsid w:val="00AE5A2E"/>
    <w:rsid w:val="00AE6038"/>
    <w:rsid w:val="00AE7E18"/>
    <w:rsid w:val="00AE7E7F"/>
    <w:rsid w:val="00AF06BB"/>
    <w:rsid w:val="00AF0E75"/>
    <w:rsid w:val="00AF2311"/>
    <w:rsid w:val="00AF402A"/>
    <w:rsid w:val="00AF4AAB"/>
    <w:rsid w:val="00AF5C0C"/>
    <w:rsid w:val="00AF632D"/>
    <w:rsid w:val="00AF69AD"/>
    <w:rsid w:val="00AF6E0A"/>
    <w:rsid w:val="00AF73E5"/>
    <w:rsid w:val="00AF7576"/>
    <w:rsid w:val="00AF77EF"/>
    <w:rsid w:val="00AF78FD"/>
    <w:rsid w:val="00B0133E"/>
    <w:rsid w:val="00B0137C"/>
    <w:rsid w:val="00B02E4B"/>
    <w:rsid w:val="00B03710"/>
    <w:rsid w:val="00B03B54"/>
    <w:rsid w:val="00B03BCD"/>
    <w:rsid w:val="00B041BC"/>
    <w:rsid w:val="00B04329"/>
    <w:rsid w:val="00B0443F"/>
    <w:rsid w:val="00B05678"/>
    <w:rsid w:val="00B05F56"/>
    <w:rsid w:val="00B062A1"/>
    <w:rsid w:val="00B07FB0"/>
    <w:rsid w:val="00B10D60"/>
    <w:rsid w:val="00B11E32"/>
    <w:rsid w:val="00B1377C"/>
    <w:rsid w:val="00B13DB3"/>
    <w:rsid w:val="00B13F6E"/>
    <w:rsid w:val="00B14DE4"/>
    <w:rsid w:val="00B14E8B"/>
    <w:rsid w:val="00B150C4"/>
    <w:rsid w:val="00B15330"/>
    <w:rsid w:val="00B15908"/>
    <w:rsid w:val="00B162B8"/>
    <w:rsid w:val="00B17C3C"/>
    <w:rsid w:val="00B17EE5"/>
    <w:rsid w:val="00B21C8E"/>
    <w:rsid w:val="00B22496"/>
    <w:rsid w:val="00B2356C"/>
    <w:rsid w:val="00B23EED"/>
    <w:rsid w:val="00B25CAE"/>
    <w:rsid w:val="00B26683"/>
    <w:rsid w:val="00B26D88"/>
    <w:rsid w:val="00B27E13"/>
    <w:rsid w:val="00B30013"/>
    <w:rsid w:val="00B303DC"/>
    <w:rsid w:val="00B324CF"/>
    <w:rsid w:val="00B32A0A"/>
    <w:rsid w:val="00B33218"/>
    <w:rsid w:val="00B3324C"/>
    <w:rsid w:val="00B34418"/>
    <w:rsid w:val="00B34764"/>
    <w:rsid w:val="00B347A3"/>
    <w:rsid w:val="00B37ED6"/>
    <w:rsid w:val="00B4151A"/>
    <w:rsid w:val="00B42887"/>
    <w:rsid w:val="00B42E83"/>
    <w:rsid w:val="00B435A8"/>
    <w:rsid w:val="00B43739"/>
    <w:rsid w:val="00B43888"/>
    <w:rsid w:val="00B43A90"/>
    <w:rsid w:val="00B43BF9"/>
    <w:rsid w:val="00B44BC3"/>
    <w:rsid w:val="00B44E5E"/>
    <w:rsid w:val="00B45170"/>
    <w:rsid w:val="00B45CE6"/>
    <w:rsid w:val="00B45E4D"/>
    <w:rsid w:val="00B47E29"/>
    <w:rsid w:val="00B5049F"/>
    <w:rsid w:val="00B509E5"/>
    <w:rsid w:val="00B519BF"/>
    <w:rsid w:val="00B547C9"/>
    <w:rsid w:val="00B559B9"/>
    <w:rsid w:val="00B56169"/>
    <w:rsid w:val="00B56A96"/>
    <w:rsid w:val="00B57378"/>
    <w:rsid w:val="00B6098C"/>
    <w:rsid w:val="00B6140E"/>
    <w:rsid w:val="00B62D34"/>
    <w:rsid w:val="00B634B3"/>
    <w:rsid w:val="00B63C12"/>
    <w:rsid w:val="00B647EE"/>
    <w:rsid w:val="00B64E1A"/>
    <w:rsid w:val="00B65702"/>
    <w:rsid w:val="00B6586C"/>
    <w:rsid w:val="00B7004E"/>
    <w:rsid w:val="00B72118"/>
    <w:rsid w:val="00B72806"/>
    <w:rsid w:val="00B72C78"/>
    <w:rsid w:val="00B733CD"/>
    <w:rsid w:val="00B7381C"/>
    <w:rsid w:val="00B74B05"/>
    <w:rsid w:val="00B74DB9"/>
    <w:rsid w:val="00B75CB1"/>
    <w:rsid w:val="00B75D21"/>
    <w:rsid w:val="00B761F9"/>
    <w:rsid w:val="00B7706E"/>
    <w:rsid w:val="00B80523"/>
    <w:rsid w:val="00B8126B"/>
    <w:rsid w:val="00B818DD"/>
    <w:rsid w:val="00B84FEA"/>
    <w:rsid w:val="00B850B2"/>
    <w:rsid w:val="00B857F5"/>
    <w:rsid w:val="00B9078B"/>
    <w:rsid w:val="00B92599"/>
    <w:rsid w:val="00B94416"/>
    <w:rsid w:val="00B95287"/>
    <w:rsid w:val="00B9571C"/>
    <w:rsid w:val="00B95A31"/>
    <w:rsid w:val="00B96021"/>
    <w:rsid w:val="00B961BB"/>
    <w:rsid w:val="00B96F4A"/>
    <w:rsid w:val="00B97B7C"/>
    <w:rsid w:val="00BA0A98"/>
    <w:rsid w:val="00BA121C"/>
    <w:rsid w:val="00BA4723"/>
    <w:rsid w:val="00BA4E40"/>
    <w:rsid w:val="00BA51E4"/>
    <w:rsid w:val="00BA5374"/>
    <w:rsid w:val="00BA5449"/>
    <w:rsid w:val="00BA582C"/>
    <w:rsid w:val="00BA5E35"/>
    <w:rsid w:val="00BA6729"/>
    <w:rsid w:val="00BA683E"/>
    <w:rsid w:val="00BA6BE2"/>
    <w:rsid w:val="00BA6F40"/>
    <w:rsid w:val="00BA732C"/>
    <w:rsid w:val="00BA7AD8"/>
    <w:rsid w:val="00BA7BA5"/>
    <w:rsid w:val="00BB2FC8"/>
    <w:rsid w:val="00BB39DE"/>
    <w:rsid w:val="00BB40B6"/>
    <w:rsid w:val="00BB4AD8"/>
    <w:rsid w:val="00BB4DCA"/>
    <w:rsid w:val="00BB53BA"/>
    <w:rsid w:val="00BB6236"/>
    <w:rsid w:val="00BC0394"/>
    <w:rsid w:val="00BC1085"/>
    <w:rsid w:val="00BC19D7"/>
    <w:rsid w:val="00BC2031"/>
    <w:rsid w:val="00BC4843"/>
    <w:rsid w:val="00BC4E87"/>
    <w:rsid w:val="00BC587C"/>
    <w:rsid w:val="00BC7B14"/>
    <w:rsid w:val="00BD0C82"/>
    <w:rsid w:val="00BD2E0A"/>
    <w:rsid w:val="00BD36DE"/>
    <w:rsid w:val="00BD515B"/>
    <w:rsid w:val="00BD5B1E"/>
    <w:rsid w:val="00BD62B3"/>
    <w:rsid w:val="00BD648A"/>
    <w:rsid w:val="00BD7A45"/>
    <w:rsid w:val="00BE226A"/>
    <w:rsid w:val="00BE2EB4"/>
    <w:rsid w:val="00BE510B"/>
    <w:rsid w:val="00BE634F"/>
    <w:rsid w:val="00BE7942"/>
    <w:rsid w:val="00BE7F26"/>
    <w:rsid w:val="00BF1048"/>
    <w:rsid w:val="00BF104F"/>
    <w:rsid w:val="00BF1297"/>
    <w:rsid w:val="00BF2BDC"/>
    <w:rsid w:val="00BF2E8B"/>
    <w:rsid w:val="00BF522A"/>
    <w:rsid w:val="00BF55B2"/>
    <w:rsid w:val="00BF5A32"/>
    <w:rsid w:val="00BF7D15"/>
    <w:rsid w:val="00C00419"/>
    <w:rsid w:val="00C00BA1"/>
    <w:rsid w:val="00C01196"/>
    <w:rsid w:val="00C016CB"/>
    <w:rsid w:val="00C02088"/>
    <w:rsid w:val="00C02659"/>
    <w:rsid w:val="00C02A14"/>
    <w:rsid w:val="00C0360F"/>
    <w:rsid w:val="00C03DED"/>
    <w:rsid w:val="00C042EE"/>
    <w:rsid w:val="00C0434C"/>
    <w:rsid w:val="00C054A2"/>
    <w:rsid w:val="00C06939"/>
    <w:rsid w:val="00C07708"/>
    <w:rsid w:val="00C07EB1"/>
    <w:rsid w:val="00C07F91"/>
    <w:rsid w:val="00C10D36"/>
    <w:rsid w:val="00C10EEA"/>
    <w:rsid w:val="00C11C91"/>
    <w:rsid w:val="00C11DB1"/>
    <w:rsid w:val="00C1395A"/>
    <w:rsid w:val="00C14138"/>
    <w:rsid w:val="00C14B04"/>
    <w:rsid w:val="00C150EA"/>
    <w:rsid w:val="00C1733E"/>
    <w:rsid w:val="00C2043F"/>
    <w:rsid w:val="00C216B8"/>
    <w:rsid w:val="00C2198E"/>
    <w:rsid w:val="00C21A73"/>
    <w:rsid w:val="00C2206F"/>
    <w:rsid w:val="00C2270E"/>
    <w:rsid w:val="00C2361D"/>
    <w:rsid w:val="00C23D75"/>
    <w:rsid w:val="00C24786"/>
    <w:rsid w:val="00C24D40"/>
    <w:rsid w:val="00C27DDF"/>
    <w:rsid w:val="00C30983"/>
    <w:rsid w:val="00C30E38"/>
    <w:rsid w:val="00C32102"/>
    <w:rsid w:val="00C3329C"/>
    <w:rsid w:val="00C33CF4"/>
    <w:rsid w:val="00C33DEF"/>
    <w:rsid w:val="00C349BE"/>
    <w:rsid w:val="00C350F2"/>
    <w:rsid w:val="00C358BA"/>
    <w:rsid w:val="00C45B88"/>
    <w:rsid w:val="00C46178"/>
    <w:rsid w:val="00C470A9"/>
    <w:rsid w:val="00C50685"/>
    <w:rsid w:val="00C52CF3"/>
    <w:rsid w:val="00C543E2"/>
    <w:rsid w:val="00C552D5"/>
    <w:rsid w:val="00C554FB"/>
    <w:rsid w:val="00C55B41"/>
    <w:rsid w:val="00C55C45"/>
    <w:rsid w:val="00C56C6E"/>
    <w:rsid w:val="00C56CAA"/>
    <w:rsid w:val="00C56DB2"/>
    <w:rsid w:val="00C577C9"/>
    <w:rsid w:val="00C604A1"/>
    <w:rsid w:val="00C60C39"/>
    <w:rsid w:val="00C630C6"/>
    <w:rsid w:val="00C63918"/>
    <w:rsid w:val="00C6472B"/>
    <w:rsid w:val="00C6488D"/>
    <w:rsid w:val="00C648A3"/>
    <w:rsid w:val="00C6500C"/>
    <w:rsid w:val="00C653E5"/>
    <w:rsid w:val="00C6560B"/>
    <w:rsid w:val="00C66FDE"/>
    <w:rsid w:val="00C6701B"/>
    <w:rsid w:val="00C71F05"/>
    <w:rsid w:val="00C777CB"/>
    <w:rsid w:val="00C77D2A"/>
    <w:rsid w:val="00C80DE1"/>
    <w:rsid w:val="00C80EBB"/>
    <w:rsid w:val="00C81213"/>
    <w:rsid w:val="00C8169C"/>
    <w:rsid w:val="00C81D5A"/>
    <w:rsid w:val="00C81EEF"/>
    <w:rsid w:val="00C81FAD"/>
    <w:rsid w:val="00C82911"/>
    <w:rsid w:val="00C8381C"/>
    <w:rsid w:val="00C85B8D"/>
    <w:rsid w:val="00C867C8"/>
    <w:rsid w:val="00C872EB"/>
    <w:rsid w:val="00C87393"/>
    <w:rsid w:val="00C87CAB"/>
    <w:rsid w:val="00C902D1"/>
    <w:rsid w:val="00C90D6B"/>
    <w:rsid w:val="00C951A6"/>
    <w:rsid w:val="00C952B3"/>
    <w:rsid w:val="00C955D0"/>
    <w:rsid w:val="00C95E6A"/>
    <w:rsid w:val="00C96678"/>
    <w:rsid w:val="00C96E1E"/>
    <w:rsid w:val="00CA08B6"/>
    <w:rsid w:val="00CA1F3D"/>
    <w:rsid w:val="00CA272F"/>
    <w:rsid w:val="00CA2D52"/>
    <w:rsid w:val="00CA3405"/>
    <w:rsid w:val="00CA41C0"/>
    <w:rsid w:val="00CA487D"/>
    <w:rsid w:val="00CA65A5"/>
    <w:rsid w:val="00CA7088"/>
    <w:rsid w:val="00CA73A6"/>
    <w:rsid w:val="00CA760C"/>
    <w:rsid w:val="00CA7D32"/>
    <w:rsid w:val="00CB24EB"/>
    <w:rsid w:val="00CB2509"/>
    <w:rsid w:val="00CB2CB5"/>
    <w:rsid w:val="00CB42EC"/>
    <w:rsid w:val="00CB6686"/>
    <w:rsid w:val="00CB66F8"/>
    <w:rsid w:val="00CB7ADB"/>
    <w:rsid w:val="00CB7E67"/>
    <w:rsid w:val="00CC0AE6"/>
    <w:rsid w:val="00CC1184"/>
    <w:rsid w:val="00CC11CF"/>
    <w:rsid w:val="00CC1B65"/>
    <w:rsid w:val="00CC2C12"/>
    <w:rsid w:val="00CC3385"/>
    <w:rsid w:val="00CC3F51"/>
    <w:rsid w:val="00CC4D2D"/>
    <w:rsid w:val="00CC5386"/>
    <w:rsid w:val="00CC6194"/>
    <w:rsid w:val="00CC634B"/>
    <w:rsid w:val="00CD0F5C"/>
    <w:rsid w:val="00CD1277"/>
    <w:rsid w:val="00CD1760"/>
    <w:rsid w:val="00CD1C6E"/>
    <w:rsid w:val="00CD1E81"/>
    <w:rsid w:val="00CD221A"/>
    <w:rsid w:val="00CD2442"/>
    <w:rsid w:val="00CD2578"/>
    <w:rsid w:val="00CD300D"/>
    <w:rsid w:val="00CD3343"/>
    <w:rsid w:val="00CD3825"/>
    <w:rsid w:val="00CD3B5B"/>
    <w:rsid w:val="00CD4525"/>
    <w:rsid w:val="00CD51F2"/>
    <w:rsid w:val="00CD523C"/>
    <w:rsid w:val="00CD6A74"/>
    <w:rsid w:val="00CD6E48"/>
    <w:rsid w:val="00CE00F9"/>
    <w:rsid w:val="00CE0201"/>
    <w:rsid w:val="00CE0924"/>
    <w:rsid w:val="00CE10F5"/>
    <w:rsid w:val="00CE24F3"/>
    <w:rsid w:val="00CE269F"/>
    <w:rsid w:val="00CE2AEF"/>
    <w:rsid w:val="00CE2B50"/>
    <w:rsid w:val="00CE3100"/>
    <w:rsid w:val="00CE41D5"/>
    <w:rsid w:val="00CE48C4"/>
    <w:rsid w:val="00CE4D26"/>
    <w:rsid w:val="00CE73DE"/>
    <w:rsid w:val="00CF0132"/>
    <w:rsid w:val="00CF056B"/>
    <w:rsid w:val="00CF08F7"/>
    <w:rsid w:val="00CF2800"/>
    <w:rsid w:val="00CF3B66"/>
    <w:rsid w:val="00CF3D07"/>
    <w:rsid w:val="00CF4DA4"/>
    <w:rsid w:val="00CF54E1"/>
    <w:rsid w:val="00CF5641"/>
    <w:rsid w:val="00CF5D91"/>
    <w:rsid w:val="00CF5F78"/>
    <w:rsid w:val="00CF74D6"/>
    <w:rsid w:val="00D01D9B"/>
    <w:rsid w:val="00D02038"/>
    <w:rsid w:val="00D02D0D"/>
    <w:rsid w:val="00D02D2E"/>
    <w:rsid w:val="00D036B8"/>
    <w:rsid w:val="00D03F7F"/>
    <w:rsid w:val="00D06516"/>
    <w:rsid w:val="00D06BD4"/>
    <w:rsid w:val="00D06EBA"/>
    <w:rsid w:val="00D06EE9"/>
    <w:rsid w:val="00D079E0"/>
    <w:rsid w:val="00D07DAC"/>
    <w:rsid w:val="00D110C9"/>
    <w:rsid w:val="00D11899"/>
    <w:rsid w:val="00D138D5"/>
    <w:rsid w:val="00D144B6"/>
    <w:rsid w:val="00D14B3C"/>
    <w:rsid w:val="00D14FD1"/>
    <w:rsid w:val="00D15756"/>
    <w:rsid w:val="00D17843"/>
    <w:rsid w:val="00D20083"/>
    <w:rsid w:val="00D20356"/>
    <w:rsid w:val="00D20BFF"/>
    <w:rsid w:val="00D21D9D"/>
    <w:rsid w:val="00D2240D"/>
    <w:rsid w:val="00D22B92"/>
    <w:rsid w:val="00D2393B"/>
    <w:rsid w:val="00D23954"/>
    <w:rsid w:val="00D23EA8"/>
    <w:rsid w:val="00D248BF"/>
    <w:rsid w:val="00D256B1"/>
    <w:rsid w:val="00D2629B"/>
    <w:rsid w:val="00D26CA7"/>
    <w:rsid w:val="00D275B7"/>
    <w:rsid w:val="00D30E5D"/>
    <w:rsid w:val="00D316DF"/>
    <w:rsid w:val="00D33582"/>
    <w:rsid w:val="00D33D26"/>
    <w:rsid w:val="00D33E99"/>
    <w:rsid w:val="00D344E1"/>
    <w:rsid w:val="00D3487E"/>
    <w:rsid w:val="00D35B18"/>
    <w:rsid w:val="00D36562"/>
    <w:rsid w:val="00D36B04"/>
    <w:rsid w:val="00D3740F"/>
    <w:rsid w:val="00D37636"/>
    <w:rsid w:val="00D40653"/>
    <w:rsid w:val="00D40FA4"/>
    <w:rsid w:val="00D43054"/>
    <w:rsid w:val="00D443A6"/>
    <w:rsid w:val="00D447CD"/>
    <w:rsid w:val="00D44C31"/>
    <w:rsid w:val="00D46222"/>
    <w:rsid w:val="00D47CCE"/>
    <w:rsid w:val="00D50469"/>
    <w:rsid w:val="00D507D1"/>
    <w:rsid w:val="00D5153F"/>
    <w:rsid w:val="00D52689"/>
    <w:rsid w:val="00D52E37"/>
    <w:rsid w:val="00D540A2"/>
    <w:rsid w:val="00D55F10"/>
    <w:rsid w:val="00D56CDE"/>
    <w:rsid w:val="00D570E9"/>
    <w:rsid w:val="00D628ED"/>
    <w:rsid w:val="00D629CD"/>
    <w:rsid w:val="00D62A6C"/>
    <w:rsid w:val="00D62D8C"/>
    <w:rsid w:val="00D62E38"/>
    <w:rsid w:val="00D63C55"/>
    <w:rsid w:val="00D64133"/>
    <w:rsid w:val="00D64393"/>
    <w:rsid w:val="00D65365"/>
    <w:rsid w:val="00D65A39"/>
    <w:rsid w:val="00D65BC5"/>
    <w:rsid w:val="00D65E12"/>
    <w:rsid w:val="00D6614A"/>
    <w:rsid w:val="00D67500"/>
    <w:rsid w:val="00D6753D"/>
    <w:rsid w:val="00D7079C"/>
    <w:rsid w:val="00D70FD8"/>
    <w:rsid w:val="00D71365"/>
    <w:rsid w:val="00D71DD9"/>
    <w:rsid w:val="00D72BD9"/>
    <w:rsid w:val="00D72D41"/>
    <w:rsid w:val="00D735BB"/>
    <w:rsid w:val="00D740A1"/>
    <w:rsid w:val="00D742E3"/>
    <w:rsid w:val="00D752AE"/>
    <w:rsid w:val="00D763CC"/>
    <w:rsid w:val="00D7689D"/>
    <w:rsid w:val="00D7710F"/>
    <w:rsid w:val="00D77437"/>
    <w:rsid w:val="00D774DA"/>
    <w:rsid w:val="00D77ACF"/>
    <w:rsid w:val="00D77D9E"/>
    <w:rsid w:val="00D8007D"/>
    <w:rsid w:val="00D800AF"/>
    <w:rsid w:val="00D800FD"/>
    <w:rsid w:val="00D80999"/>
    <w:rsid w:val="00D8156B"/>
    <w:rsid w:val="00D81B95"/>
    <w:rsid w:val="00D81CE9"/>
    <w:rsid w:val="00D82022"/>
    <w:rsid w:val="00D838A5"/>
    <w:rsid w:val="00D83B48"/>
    <w:rsid w:val="00D84C1D"/>
    <w:rsid w:val="00D852A1"/>
    <w:rsid w:val="00D86321"/>
    <w:rsid w:val="00D86565"/>
    <w:rsid w:val="00D8732F"/>
    <w:rsid w:val="00D90194"/>
    <w:rsid w:val="00D90535"/>
    <w:rsid w:val="00D90674"/>
    <w:rsid w:val="00D91B25"/>
    <w:rsid w:val="00D92ED5"/>
    <w:rsid w:val="00D93F51"/>
    <w:rsid w:val="00D94303"/>
    <w:rsid w:val="00D9482E"/>
    <w:rsid w:val="00D94AA8"/>
    <w:rsid w:val="00D94BAC"/>
    <w:rsid w:val="00D959B8"/>
    <w:rsid w:val="00D964EA"/>
    <w:rsid w:val="00D968DF"/>
    <w:rsid w:val="00D971AA"/>
    <w:rsid w:val="00D97DAC"/>
    <w:rsid w:val="00DA0369"/>
    <w:rsid w:val="00DA17F9"/>
    <w:rsid w:val="00DA1E37"/>
    <w:rsid w:val="00DA3BCF"/>
    <w:rsid w:val="00DA4A88"/>
    <w:rsid w:val="00DA50ED"/>
    <w:rsid w:val="00DA6254"/>
    <w:rsid w:val="00DA6591"/>
    <w:rsid w:val="00DB0286"/>
    <w:rsid w:val="00DB0837"/>
    <w:rsid w:val="00DB0BEC"/>
    <w:rsid w:val="00DB172C"/>
    <w:rsid w:val="00DB1A0C"/>
    <w:rsid w:val="00DB2752"/>
    <w:rsid w:val="00DB3C27"/>
    <w:rsid w:val="00DB414A"/>
    <w:rsid w:val="00DB4177"/>
    <w:rsid w:val="00DB4B61"/>
    <w:rsid w:val="00DB4EB4"/>
    <w:rsid w:val="00DB5ABB"/>
    <w:rsid w:val="00DB67D4"/>
    <w:rsid w:val="00DB71E8"/>
    <w:rsid w:val="00DC03B9"/>
    <w:rsid w:val="00DC08DE"/>
    <w:rsid w:val="00DC0DEB"/>
    <w:rsid w:val="00DC32AA"/>
    <w:rsid w:val="00DC5CAF"/>
    <w:rsid w:val="00DC6169"/>
    <w:rsid w:val="00DD0EF1"/>
    <w:rsid w:val="00DD106C"/>
    <w:rsid w:val="00DD1BE8"/>
    <w:rsid w:val="00DD24C9"/>
    <w:rsid w:val="00DD25DA"/>
    <w:rsid w:val="00DD5EA8"/>
    <w:rsid w:val="00DD633F"/>
    <w:rsid w:val="00DD64C1"/>
    <w:rsid w:val="00DD76EE"/>
    <w:rsid w:val="00DE06E2"/>
    <w:rsid w:val="00DE1EFF"/>
    <w:rsid w:val="00DE236D"/>
    <w:rsid w:val="00DE37D8"/>
    <w:rsid w:val="00DE3C80"/>
    <w:rsid w:val="00DE42DD"/>
    <w:rsid w:val="00DE45A1"/>
    <w:rsid w:val="00DE55EF"/>
    <w:rsid w:val="00DE5CB9"/>
    <w:rsid w:val="00DE6622"/>
    <w:rsid w:val="00DE6712"/>
    <w:rsid w:val="00DE7063"/>
    <w:rsid w:val="00DE7316"/>
    <w:rsid w:val="00DE7EBD"/>
    <w:rsid w:val="00DE7EE2"/>
    <w:rsid w:val="00DF036E"/>
    <w:rsid w:val="00DF058D"/>
    <w:rsid w:val="00DF2706"/>
    <w:rsid w:val="00DF2E17"/>
    <w:rsid w:val="00DF3B22"/>
    <w:rsid w:val="00DF492C"/>
    <w:rsid w:val="00DF54EA"/>
    <w:rsid w:val="00DF7DC8"/>
    <w:rsid w:val="00E006D3"/>
    <w:rsid w:val="00E01F95"/>
    <w:rsid w:val="00E02742"/>
    <w:rsid w:val="00E034ED"/>
    <w:rsid w:val="00E04D5D"/>
    <w:rsid w:val="00E0552D"/>
    <w:rsid w:val="00E05C1F"/>
    <w:rsid w:val="00E10DE7"/>
    <w:rsid w:val="00E116DA"/>
    <w:rsid w:val="00E11B3A"/>
    <w:rsid w:val="00E14483"/>
    <w:rsid w:val="00E14793"/>
    <w:rsid w:val="00E14E50"/>
    <w:rsid w:val="00E150AC"/>
    <w:rsid w:val="00E153C0"/>
    <w:rsid w:val="00E15C00"/>
    <w:rsid w:val="00E16E8C"/>
    <w:rsid w:val="00E17A2A"/>
    <w:rsid w:val="00E20CBD"/>
    <w:rsid w:val="00E22025"/>
    <w:rsid w:val="00E221D2"/>
    <w:rsid w:val="00E243D2"/>
    <w:rsid w:val="00E247BA"/>
    <w:rsid w:val="00E25C16"/>
    <w:rsid w:val="00E315B1"/>
    <w:rsid w:val="00E31CCB"/>
    <w:rsid w:val="00E3249A"/>
    <w:rsid w:val="00E33330"/>
    <w:rsid w:val="00E343C9"/>
    <w:rsid w:val="00E3492F"/>
    <w:rsid w:val="00E361FA"/>
    <w:rsid w:val="00E36E03"/>
    <w:rsid w:val="00E3722C"/>
    <w:rsid w:val="00E37414"/>
    <w:rsid w:val="00E3741C"/>
    <w:rsid w:val="00E40048"/>
    <w:rsid w:val="00E41A3D"/>
    <w:rsid w:val="00E421F5"/>
    <w:rsid w:val="00E42C13"/>
    <w:rsid w:val="00E437A9"/>
    <w:rsid w:val="00E43CA4"/>
    <w:rsid w:val="00E44367"/>
    <w:rsid w:val="00E44D16"/>
    <w:rsid w:val="00E44EC4"/>
    <w:rsid w:val="00E45D9F"/>
    <w:rsid w:val="00E45F7C"/>
    <w:rsid w:val="00E47728"/>
    <w:rsid w:val="00E477A0"/>
    <w:rsid w:val="00E478D4"/>
    <w:rsid w:val="00E47E9E"/>
    <w:rsid w:val="00E51FFC"/>
    <w:rsid w:val="00E528B8"/>
    <w:rsid w:val="00E54F89"/>
    <w:rsid w:val="00E550E9"/>
    <w:rsid w:val="00E558CF"/>
    <w:rsid w:val="00E560EE"/>
    <w:rsid w:val="00E56B47"/>
    <w:rsid w:val="00E603C5"/>
    <w:rsid w:val="00E61163"/>
    <w:rsid w:val="00E61AE3"/>
    <w:rsid w:val="00E6353D"/>
    <w:rsid w:val="00E63673"/>
    <w:rsid w:val="00E6404E"/>
    <w:rsid w:val="00E64819"/>
    <w:rsid w:val="00E650C0"/>
    <w:rsid w:val="00E6519D"/>
    <w:rsid w:val="00E6538D"/>
    <w:rsid w:val="00E65E18"/>
    <w:rsid w:val="00E66535"/>
    <w:rsid w:val="00E66951"/>
    <w:rsid w:val="00E6711A"/>
    <w:rsid w:val="00E70785"/>
    <w:rsid w:val="00E70EA2"/>
    <w:rsid w:val="00E713DE"/>
    <w:rsid w:val="00E72150"/>
    <w:rsid w:val="00E726BD"/>
    <w:rsid w:val="00E73259"/>
    <w:rsid w:val="00E73F8A"/>
    <w:rsid w:val="00E7497D"/>
    <w:rsid w:val="00E74B7A"/>
    <w:rsid w:val="00E74D9D"/>
    <w:rsid w:val="00E74F93"/>
    <w:rsid w:val="00E75DD4"/>
    <w:rsid w:val="00E7603B"/>
    <w:rsid w:val="00E764B1"/>
    <w:rsid w:val="00E775C7"/>
    <w:rsid w:val="00E804BA"/>
    <w:rsid w:val="00E806A8"/>
    <w:rsid w:val="00E80EE8"/>
    <w:rsid w:val="00E8219D"/>
    <w:rsid w:val="00E8283D"/>
    <w:rsid w:val="00E82C12"/>
    <w:rsid w:val="00E82E79"/>
    <w:rsid w:val="00E8360C"/>
    <w:rsid w:val="00E843F3"/>
    <w:rsid w:val="00E84F87"/>
    <w:rsid w:val="00E84FC6"/>
    <w:rsid w:val="00E85FB7"/>
    <w:rsid w:val="00E86DE6"/>
    <w:rsid w:val="00E875C9"/>
    <w:rsid w:val="00E87E25"/>
    <w:rsid w:val="00E9069C"/>
    <w:rsid w:val="00E90FEB"/>
    <w:rsid w:val="00E912C1"/>
    <w:rsid w:val="00E91981"/>
    <w:rsid w:val="00E929D6"/>
    <w:rsid w:val="00E9302D"/>
    <w:rsid w:val="00E947F3"/>
    <w:rsid w:val="00E965B4"/>
    <w:rsid w:val="00E96BBC"/>
    <w:rsid w:val="00E97FB3"/>
    <w:rsid w:val="00EA02E0"/>
    <w:rsid w:val="00EA078E"/>
    <w:rsid w:val="00EA2BB1"/>
    <w:rsid w:val="00EA2DE3"/>
    <w:rsid w:val="00EA3A19"/>
    <w:rsid w:val="00EA4E54"/>
    <w:rsid w:val="00EA5B48"/>
    <w:rsid w:val="00EA5DD2"/>
    <w:rsid w:val="00EA70A4"/>
    <w:rsid w:val="00EB1F8B"/>
    <w:rsid w:val="00EB23A5"/>
    <w:rsid w:val="00EB2CDE"/>
    <w:rsid w:val="00EB36A8"/>
    <w:rsid w:val="00EB4547"/>
    <w:rsid w:val="00EB4F7B"/>
    <w:rsid w:val="00EB568A"/>
    <w:rsid w:val="00EB6154"/>
    <w:rsid w:val="00EB6773"/>
    <w:rsid w:val="00EB6E6C"/>
    <w:rsid w:val="00EB6F97"/>
    <w:rsid w:val="00EC0972"/>
    <w:rsid w:val="00EC13EE"/>
    <w:rsid w:val="00EC4438"/>
    <w:rsid w:val="00EC5C0E"/>
    <w:rsid w:val="00EC60DF"/>
    <w:rsid w:val="00EC665F"/>
    <w:rsid w:val="00ED11F8"/>
    <w:rsid w:val="00ED2901"/>
    <w:rsid w:val="00ED392D"/>
    <w:rsid w:val="00ED394F"/>
    <w:rsid w:val="00ED396E"/>
    <w:rsid w:val="00ED7A25"/>
    <w:rsid w:val="00ED7EE2"/>
    <w:rsid w:val="00EE0DD3"/>
    <w:rsid w:val="00EE12BD"/>
    <w:rsid w:val="00EE18C8"/>
    <w:rsid w:val="00EE2664"/>
    <w:rsid w:val="00EE44FE"/>
    <w:rsid w:val="00EE458F"/>
    <w:rsid w:val="00EE4D04"/>
    <w:rsid w:val="00EE545E"/>
    <w:rsid w:val="00EE6131"/>
    <w:rsid w:val="00EF0143"/>
    <w:rsid w:val="00EF06DC"/>
    <w:rsid w:val="00EF141C"/>
    <w:rsid w:val="00EF1B2F"/>
    <w:rsid w:val="00EF2984"/>
    <w:rsid w:val="00EF29C9"/>
    <w:rsid w:val="00EF337E"/>
    <w:rsid w:val="00EF49C0"/>
    <w:rsid w:val="00EF7414"/>
    <w:rsid w:val="00EF7587"/>
    <w:rsid w:val="00EF76FA"/>
    <w:rsid w:val="00EF7CA7"/>
    <w:rsid w:val="00F004B0"/>
    <w:rsid w:val="00F00BA8"/>
    <w:rsid w:val="00F00CFE"/>
    <w:rsid w:val="00F013C8"/>
    <w:rsid w:val="00F01F28"/>
    <w:rsid w:val="00F0204E"/>
    <w:rsid w:val="00F020D2"/>
    <w:rsid w:val="00F02702"/>
    <w:rsid w:val="00F02CD6"/>
    <w:rsid w:val="00F03B6A"/>
    <w:rsid w:val="00F03C1D"/>
    <w:rsid w:val="00F04599"/>
    <w:rsid w:val="00F0629A"/>
    <w:rsid w:val="00F06500"/>
    <w:rsid w:val="00F06A2D"/>
    <w:rsid w:val="00F0741D"/>
    <w:rsid w:val="00F11BA5"/>
    <w:rsid w:val="00F14610"/>
    <w:rsid w:val="00F14928"/>
    <w:rsid w:val="00F1524B"/>
    <w:rsid w:val="00F15566"/>
    <w:rsid w:val="00F15BCA"/>
    <w:rsid w:val="00F17766"/>
    <w:rsid w:val="00F17DC1"/>
    <w:rsid w:val="00F214B3"/>
    <w:rsid w:val="00F222A3"/>
    <w:rsid w:val="00F22B4B"/>
    <w:rsid w:val="00F231A1"/>
    <w:rsid w:val="00F233C1"/>
    <w:rsid w:val="00F24701"/>
    <w:rsid w:val="00F24E7B"/>
    <w:rsid w:val="00F24FC7"/>
    <w:rsid w:val="00F25632"/>
    <w:rsid w:val="00F25ABB"/>
    <w:rsid w:val="00F26BEF"/>
    <w:rsid w:val="00F273DF"/>
    <w:rsid w:val="00F273F1"/>
    <w:rsid w:val="00F3088C"/>
    <w:rsid w:val="00F32846"/>
    <w:rsid w:val="00F34A6C"/>
    <w:rsid w:val="00F3537C"/>
    <w:rsid w:val="00F362BA"/>
    <w:rsid w:val="00F36AFC"/>
    <w:rsid w:val="00F374C5"/>
    <w:rsid w:val="00F4185C"/>
    <w:rsid w:val="00F41C04"/>
    <w:rsid w:val="00F4380C"/>
    <w:rsid w:val="00F43B05"/>
    <w:rsid w:val="00F443EB"/>
    <w:rsid w:val="00F445EC"/>
    <w:rsid w:val="00F44D1A"/>
    <w:rsid w:val="00F44F4E"/>
    <w:rsid w:val="00F451E2"/>
    <w:rsid w:val="00F45FE8"/>
    <w:rsid w:val="00F460E1"/>
    <w:rsid w:val="00F46459"/>
    <w:rsid w:val="00F46E4B"/>
    <w:rsid w:val="00F46F38"/>
    <w:rsid w:val="00F5173B"/>
    <w:rsid w:val="00F5412E"/>
    <w:rsid w:val="00F549A2"/>
    <w:rsid w:val="00F54CB9"/>
    <w:rsid w:val="00F556BC"/>
    <w:rsid w:val="00F558EF"/>
    <w:rsid w:val="00F57C39"/>
    <w:rsid w:val="00F57E9C"/>
    <w:rsid w:val="00F60BB7"/>
    <w:rsid w:val="00F61A4D"/>
    <w:rsid w:val="00F63110"/>
    <w:rsid w:val="00F63F26"/>
    <w:rsid w:val="00F66C67"/>
    <w:rsid w:val="00F70095"/>
    <w:rsid w:val="00F703D3"/>
    <w:rsid w:val="00F70F9C"/>
    <w:rsid w:val="00F7257A"/>
    <w:rsid w:val="00F7264D"/>
    <w:rsid w:val="00F74621"/>
    <w:rsid w:val="00F74880"/>
    <w:rsid w:val="00F74A8E"/>
    <w:rsid w:val="00F7525D"/>
    <w:rsid w:val="00F7745A"/>
    <w:rsid w:val="00F77AB2"/>
    <w:rsid w:val="00F8110E"/>
    <w:rsid w:val="00F81D98"/>
    <w:rsid w:val="00F81F30"/>
    <w:rsid w:val="00F828E3"/>
    <w:rsid w:val="00F83C38"/>
    <w:rsid w:val="00F8446A"/>
    <w:rsid w:val="00F84DFB"/>
    <w:rsid w:val="00F8632F"/>
    <w:rsid w:val="00F92575"/>
    <w:rsid w:val="00F92596"/>
    <w:rsid w:val="00F93CEF"/>
    <w:rsid w:val="00F94959"/>
    <w:rsid w:val="00F95EF7"/>
    <w:rsid w:val="00FA0C20"/>
    <w:rsid w:val="00FA1203"/>
    <w:rsid w:val="00FA2690"/>
    <w:rsid w:val="00FA351E"/>
    <w:rsid w:val="00FA3DC9"/>
    <w:rsid w:val="00FA543E"/>
    <w:rsid w:val="00FA58EA"/>
    <w:rsid w:val="00FA794D"/>
    <w:rsid w:val="00FB0A23"/>
    <w:rsid w:val="00FB184C"/>
    <w:rsid w:val="00FB211E"/>
    <w:rsid w:val="00FB27FE"/>
    <w:rsid w:val="00FB3C60"/>
    <w:rsid w:val="00FB49BC"/>
    <w:rsid w:val="00FB6A21"/>
    <w:rsid w:val="00FB713F"/>
    <w:rsid w:val="00FB7180"/>
    <w:rsid w:val="00FC041B"/>
    <w:rsid w:val="00FC195D"/>
    <w:rsid w:val="00FC1A07"/>
    <w:rsid w:val="00FC503D"/>
    <w:rsid w:val="00FC508C"/>
    <w:rsid w:val="00FC7649"/>
    <w:rsid w:val="00FD04FA"/>
    <w:rsid w:val="00FD1209"/>
    <w:rsid w:val="00FD205B"/>
    <w:rsid w:val="00FD27DB"/>
    <w:rsid w:val="00FD4BA9"/>
    <w:rsid w:val="00FD590A"/>
    <w:rsid w:val="00FD6043"/>
    <w:rsid w:val="00FD65D5"/>
    <w:rsid w:val="00FE00BD"/>
    <w:rsid w:val="00FE2334"/>
    <w:rsid w:val="00FE4201"/>
    <w:rsid w:val="00FE4566"/>
    <w:rsid w:val="00FE7EFD"/>
    <w:rsid w:val="00FF0173"/>
    <w:rsid w:val="00FF01B4"/>
    <w:rsid w:val="00FF0694"/>
    <w:rsid w:val="00FF13AD"/>
    <w:rsid w:val="00FF4324"/>
    <w:rsid w:val="00FF55A6"/>
    <w:rsid w:val="016F283F"/>
    <w:rsid w:val="021E2E86"/>
    <w:rsid w:val="02A25AF1"/>
    <w:rsid w:val="03234ECC"/>
    <w:rsid w:val="036057A9"/>
    <w:rsid w:val="04B604E0"/>
    <w:rsid w:val="04CE42F4"/>
    <w:rsid w:val="04EB6681"/>
    <w:rsid w:val="052238F1"/>
    <w:rsid w:val="05295E06"/>
    <w:rsid w:val="058A4BA6"/>
    <w:rsid w:val="06053772"/>
    <w:rsid w:val="067D42C5"/>
    <w:rsid w:val="06825BC8"/>
    <w:rsid w:val="07536EF0"/>
    <w:rsid w:val="07C136C9"/>
    <w:rsid w:val="081A317C"/>
    <w:rsid w:val="085D509A"/>
    <w:rsid w:val="085D5A38"/>
    <w:rsid w:val="08662BDA"/>
    <w:rsid w:val="0871260D"/>
    <w:rsid w:val="08C458D7"/>
    <w:rsid w:val="08C90A87"/>
    <w:rsid w:val="08D51E2B"/>
    <w:rsid w:val="08F024B8"/>
    <w:rsid w:val="093E76C7"/>
    <w:rsid w:val="0A4A1C71"/>
    <w:rsid w:val="0A640A8D"/>
    <w:rsid w:val="0A960A6B"/>
    <w:rsid w:val="0AD442C1"/>
    <w:rsid w:val="0B424B21"/>
    <w:rsid w:val="0B6E3E9B"/>
    <w:rsid w:val="0C30706F"/>
    <w:rsid w:val="0C317404"/>
    <w:rsid w:val="0C691C6B"/>
    <w:rsid w:val="0C950BBA"/>
    <w:rsid w:val="0CB04465"/>
    <w:rsid w:val="0CF74D52"/>
    <w:rsid w:val="0D603597"/>
    <w:rsid w:val="0DF5231E"/>
    <w:rsid w:val="0DFB6B7F"/>
    <w:rsid w:val="0E937FF7"/>
    <w:rsid w:val="0FE33DCD"/>
    <w:rsid w:val="108530A7"/>
    <w:rsid w:val="10AE015C"/>
    <w:rsid w:val="10B77E6D"/>
    <w:rsid w:val="10BB6702"/>
    <w:rsid w:val="10FF39B5"/>
    <w:rsid w:val="11336630"/>
    <w:rsid w:val="113E55BE"/>
    <w:rsid w:val="117F6ACF"/>
    <w:rsid w:val="118A126C"/>
    <w:rsid w:val="123F746C"/>
    <w:rsid w:val="130E1775"/>
    <w:rsid w:val="13570F7E"/>
    <w:rsid w:val="137F3D98"/>
    <w:rsid w:val="13BA5B9C"/>
    <w:rsid w:val="13F51A1C"/>
    <w:rsid w:val="14180FFC"/>
    <w:rsid w:val="15007F26"/>
    <w:rsid w:val="15BA3636"/>
    <w:rsid w:val="161404C8"/>
    <w:rsid w:val="16182089"/>
    <w:rsid w:val="17252589"/>
    <w:rsid w:val="17265757"/>
    <w:rsid w:val="17AE3C6A"/>
    <w:rsid w:val="17C57E8F"/>
    <w:rsid w:val="17E625C2"/>
    <w:rsid w:val="18542BF6"/>
    <w:rsid w:val="18814EDA"/>
    <w:rsid w:val="18EB43EE"/>
    <w:rsid w:val="198704A9"/>
    <w:rsid w:val="19915C39"/>
    <w:rsid w:val="19A13696"/>
    <w:rsid w:val="19BA76AA"/>
    <w:rsid w:val="1A0B6E3B"/>
    <w:rsid w:val="1A264176"/>
    <w:rsid w:val="1A766595"/>
    <w:rsid w:val="1A7D4B85"/>
    <w:rsid w:val="1AB372F6"/>
    <w:rsid w:val="1B745D3C"/>
    <w:rsid w:val="1BD53553"/>
    <w:rsid w:val="1C037E84"/>
    <w:rsid w:val="1C0814D0"/>
    <w:rsid w:val="1D5D528E"/>
    <w:rsid w:val="1DA03128"/>
    <w:rsid w:val="1DBE2CC9"/>
    <w:rsid w:val="1DF41EBB"/>
    <w:rsid w:val="1E971126"/>
    <w:rsid w:val="1EE00BA0"/>
    <w:rsid w:val="1EEC20DC"/>
    <w:rsid w:val="1F012D73"/>
    <w:rsid w:val="1F5C4703"/>
    <w:rsid w:val="1FEA77EE"/>
    <w:rsid w:val="204D274A"/>
    <w:rsid w:val="2079293B"/>
    <w:rsid w:val="2092625E"/>
    <w:rsid w:val="209A3CD2"/>
    <w:rsid w:val="20A17B1B"/>
    <w:rsid w:val="210459B8"/>
    <w:rsid w:val="211F394C"/>
    <w:rsid w:val="22135B75"/>
    <w:rsid w:val="2226297A"/>
    <w:rsid w:val="22974636"/>
    <w:rsid w:val="2359040B"/>
    <w:rsid w:val="23A171D3"/>
    <w:rsid w:val="23EB1FFB"/>
    <w:rsid w:val="2422408F"/>
    <w:rsid w:val="243F6861"/>
    <w:rsid w:val="252E17BB"/>
    <w:rsid w:val="254C7941"/>
    <w:rsid w:val="255B1BC6"/>
    <w:rsid w:val="256736AA"/>
    <w:rsid w:val="256B3C9A"/>
    <w:rsid w:val="260D5FFF"/>
    <w:rsid w:val="261969C0"/>
    <w:rsid w:val="265E1A78"/>
    <w:rsid w:val="273121C1"/>
    <w:rsid w:val="27C33A66"/>
    <w:rsid w:val="27D96F86"/>
    <w:rsid w:val="27E17743"/>
    <w:rsid w:val="288E4399"/>
    <w:rsid w:val="289D0900"/>
    <w:rsid w:val="28B9453D"/>
    <w:rsid w:val="2936586D"/>
    <w:rsid w:val="295E35EE"/>
    <w:rsid w:val="299A14B8"/>
    <w:rsid w:val="29E96D83"/>
    <w:rsid w:val="29EE2B1E"/>
    <w:rsid w:val="2A2C7042"/>
    <w:rsid w:val="2A97058D"/>
    <w:rsid w:val="2A994305"/>
    <w:rsid w:val="2B2B3391"/>
    <w:rsid w:val="2BF37A45"/>
    <w:rsid w:val="2C392CFB"/>
    <w:rsid w:val="2C4B74B9"/>
    <w:rsid w:val="2C7824B8"/>
    <w:rsid w:val="2C7C5C8D"/>
    <w:rsid w:val="2C840FE5"/>
    <w:rsid w:val="2C971B37"/>
    <w:rsid w:val="2D0637CB"/>
    <w:rsid w:val="2D186643"/>
    <w:rsid w:val="2D256324"/>
    <w:rsid w:val="2D7E3C6F"/>
    <w:rsid w:val="2D8079FF"/>
    <w:rsid w:val="2DF45BAB"/>
    <w:rsid w:val="2DFC6DA8"/>
    <w:rsid w:val="2E1E06B9"/>
    <w:rsid w:val="2EB95B8D"/>
    <w:rsid w:val="2EC31307"/>
    <w:rsid w:val="2EED420A"/>
    <w:rsid w:val="2FB06ABD"/>
    <w:rsid w:val="2FF16036"/>
    <w:rsid w:val="30FA1876"/>
    <w:rsid w:val="31A91377"/>
    <w:rsid w:val="31AE7611"/>
    <w:rsid w:val="31CD1F13"/>
    <w:rsid w:val="31CD6F8B"/>
    <w:rsid w:val="31E87920"/>
    <w:rsid w:val="326F1DF0"/>
    <w:rsid w:val="33AB19A1"/>
    <w:rsid w:val="33ED0FA4"/>
    <w:rsid w:val="349A34DB"/>
    <w:rsid w:val="350C0143"/>
    <w:rsid w:val="35167599"/>
    <w:rsid w:val="358856A2"/>
    <w:rsid w:val="358F6F80"/>
    <w:rsid w:val="35A2652B"/>
    <w:rsid w:val="35AA2525"/>
    <w:rsid w:val="36343134"/>
    <w:rsid w:val="36EE7787"/>
    <w:rsid w:val="373D6C80"/>
    <w:rsid w:val="37666470"/>
    <w:rsid w:val="379E4EE8"/>
    <w:rsid w:val="37DA2CD3"/>
    <w:rsid w:val="380940FC"/>
    <w:rsid w:val="38831C04"/>
    <w:rsid w:val="38B15D8D"/>
    <w:rsid w:val="38C26FCA"/>
    <w:rsid w:val="38EE3475"/>
    <w:rsid w:val="39877F1F"/>
    <w:rsid w:val="3AA07E59"/>
    <w:rsid w:val="3ABD411D"/>
    <w:rsid w:val="3AE84675"/>
    <w:rsid w:val="3B3103B6"/>
    <w:rsid w:val="3BA00474"/>
    <w:rsid w:val="3BA548E8"/>
    <w:rsid w:val="3C111A19"/>
    <w:rsid w:val="3D615EC3"/>
    <w:rsid w:val="3DB76351"/>
    <w:rsid w:val="3DCF2C73"/>
    <w:rsid w:val="3E0456CC"/>
    <w:rsid w:val="3E1C6E8A"/>
    <w:rsid w:val="3EFF4804"/>
    <w:rsid w:val="3F135889"/>
    <w:rsid w:val="3F740A45"/>
    <w:rsid w:val="402E3A57"/>
    <w:rsid w:val="403B098F"/>
    <w:rsid w:val="411424E0"/>
    <w:rsid w:val="412B2133"/>
    <w:rsid w:val="41B31B93"/>
    <w:rsid w:val="42415A41"/>
    <w:rsid w:val="4278399C"/>
    <w:rsid w:val="435C1F1C"/>
    <w:rsid w:val="43911EEB"/>
    <w:rsid w:val="45034073"/>
    <w:rsid w:val="4517259F"/>
    <w:rsid w:val="45BE5803"/>
    <w:rsid w:val="46220D51"/>
    <w:rsid w:val="46607F75"/>
    <w:rsid w:val="46731A57"/>
    <w:rsid w:val="468E2DF0"/>
    <w:rsid w:val="46D75B4C"/>
    <w:rsid w:val="4725559F"/>
    <w:rsid w:val="47777325"/>
    <w:rsid w:val="477828A6"/>
    <w:rsid w:val="485C5346"/>
    <w:rsid w:val="486C2146"/>
    <w:rsid w:val="48D25ED1"/>
    <w:rsid w:val="492E6109"/>
    <w:rsid w:val="4A1E7F2C"/>
    <w:rsid w:val="4AED5861"/>
    <w:rsid w:val="4B6A71C8"/>
    <w:rsid w:val="4B785D69"/>
    <w:rsid w:val="4BBC7EBE"/>
    <w:rsid w:val="4BE25B8D"/>
    <w:rsid w:val="4C54555A"/>
    <w:rsid w:val="4C632C63"/>
    <w:rsid w:val="4CCF7D94"/>
    <w:rsid w:val="4D4F1574"/>
    <w:rsid w:val="4D873744"/>
    <w:rsid w:val="4E4174EA"/>
    <w:rsid w:val="4F193AFC"/>
    <w:rsid w:val="4F9326B9"/>
    <w:rsid w:val="4FA7753C"/>
    <w:rsid w:val="50353F16"/>
    <w:rsid w:val="5075308D"/>
    <w:rsid w:val="50E23A41"/>
    <w:rsid w:val="50EB16C1"/>
    <w:rsid w:val="51640797"/>
    <w:rsid w:val="51890C24"/>
    <w:rsid w:val="51A70A76"/>
    <w:rsid w:val="51DB568D"/>
    <w:rsid w:val="521B61D4"/>
    <w:rsid w:val="529F2C8A"/>
    <w:rsid w:val="52A36879"/>
    <w:rsid w:val="52F74381"/>
    <w:rsid w:val="52F92B19"/>
    <w:rsid w:val="538C4198"/>
    <w:rsid w:val="544662D1"/>
    <w:rsid w:val="54586543"/>
    <w:rsid w:val="54722618"/>
    <w:rsid w:val="54AB5C18"/>
    <w:rsid w:val="54D74114"/>
    <w:rsid w:val="55216D61"/>
    <w:rsid w:val="554F6418"/>
    <w:rsid w:val="558319C8"/>
    <w:rsid w:val="55C37BD9"/>
    <w:rsid w:val="55ED318A"/>
    <w:rsid w:val="564D1333"/>
    <w:rsid w:val="567B29ED"/>
    <w:rsid w:val="56A372C2"/>
    <w:rsid w:val="56C708EE"/>
    <w:rsid w:val="570F1328"/>
    <w:rsid w:val="57485060"/>
    <w:rsid w:val="574F4B46"/>
    <w:rsid w:val="5750190B"/>
    <w:rsid w:val="57512AED"/>
    <w:rsid w:val="57CB482C"/>
    <w:rsid w:val="582E04E2"/>
    <w:rsid w:val="585E53A5"/>
    <w:rsid w:val="58B804A7"/>
    <w:rsid w:val="58E22142"/>
    <w:rsid w:val="59485E82"/>
    <w:rsid w:val="59723D50"/>
    <w:rsid w:val="598900F2"/>
    <w:rsid w:val="5AA61FA3"/>
    <w:rsid w:val="5AC24977"/>
    <w:rsid w:val="5C4B36B8"/>
    <w:rsid w:val="5CBB101A"/>
    <w:rsid w:val="5CC2663A"/>
    <w:rsid w:val="5D493206"/>
    <w:rsid w:val="5D6F7A58"/>
    <w:rsid w:val="5D8D744A"/>
    <w:rsid w:val="5D9E0A8E"/>
    <w:rsid w:val="5E0771FD"/>
    <w:rsid w:val="5F021772"/>
    <w:rsid w:val="5F255D69"/>
    <w:rsid w:val="5F432B45"/>
    <w:rsid w:val="60D94755"/>
    <w:rsid w:val="60E17630"/>
    <w:rsid w:val="60F2782E"/>
    <w:rsid w:val="61386D25"/>
    <w:rsid w:val="61814C13"/>
    <w:rsid w:val="62333297"/>
    <w:rsid w:val="62B90983"/>
    <w:rsid w:val="62C75F9B"/>
    <w:rsid w:val="62DC5F40"/>
    <w:rsid w:val="62EE44E7"/>
    <w:rsid w:val="62F82F22"/>
    <w:rsid w:val="630F17D8"/>
    <w:rsid w:val="632B7770"/>
    <w:rsid w:val="63471E49"/>
    <w:rsid w:val="637F5749"/>
    <w:rsid w:val="63C2610D"/>
    <w:rsid w:val="63C9325A"/>
    <w:rsid w:val="64A77044"/>
    <w:rsid w:val="64D831E6"/>
    <w:rsid w:val="64EA54D2"/>
    <w:rsid w:val="653B6D24"/>
    <w:rsid w:val="657D3011"/>
    <w:rsid w:val="66A21CEA"/>
    <w:rsid w:val="66AE1BA0"/>
    <w:rsid w:val="66F818FB"/>
    <w:rsid w:val="679C0226"/>
    <w:rsid w:val="67F30197"/>
    <w:rsid w:val="68130B1B"/>
    <w:rsid w:val="68255344"/>
    <w:rsid w:val="68D62580"/>
    <w:rsid w:val="68E34F08"/>
    <w:rsid w:val="69214FBE"/>
    <w:rsid w:val="694E0D13"/>
    <w:rsid w:val="69E77B0D"/>
    <w:rsid w:val="69ED3B18"/>
    <w:rsid w:val="6A4D7BF3"/>
    <w:rsid w:val="6A53447E"/>
    <w:rsid w:val="6A9811DC"/>
    <w:rsid w:val="6AAE3F86"/>
    <w:rsid w:val="6AE52674"/>
    <w:rsid w:val="6B01589B"/>
    <w:rsid w:val="6B6D29CC"/>
    <w:rsid w:val="6B7845E0"/>
    <w:rsid w:val="6C663887"/>
    <w:rsid w:val="6D233C50"/>
    <w:rsid w:val="6D583CC9"/>
    <w:rsid w:val="6D5F15C9"/>
    <w:rsid w:val="6D855A48"/>
    <w:rsid w:val="6E1B3FDF"/>
    <w:rsid w:val="6E3B20F7"/>
    <w:rsid w:val="6E5B2C4D"/>
    <w:rsid w:val="6EA50F15"/>
    <w:rsid w:val="6EC64319"/>
    <w:rsid w:val="6F073538"/>
    <w:rsid w:val="6F1C23DC"/>
    <w:rsid w:val="6F1D15BF"/>
    <w:rsid w:val="6F616041"/>
    <w:rsid w:val="6FDD7DBD"/>
    <w:rsid w:val="704F50FD"/>
    <w:rsid w:val="70D32F6E"/>
    <w:rsid w:val="70DA42FD"/>
    <w:rsid w:val="715300CA"/>
    <w:rsid w:val="71631801"/>
    <w:rsid w:val="71C92D3B"/>
    <w:rsid w:val="71E45191"/>
    <w:rsid w:val="72420985"/>
    <w:rsid w:val="72C70C29"/>
    <w:rsid w:val="72FC52BF"/>
    <w:rsid w:val="735F40D6"/>
    <w:rsid w:val="74084178"/>
    <w:rsid w:val="742A3BBB"/>
    <w:rsid w:val="74964153"/>
    <w:rsid w:val="752175BA"/>
    <w:rsid w:val="75D615E0"/>
    <w:rsid w:val="75F0310B"/>
    <w:rsid w:val="75F34F11"/>
    <w:rsid w:val="760630B0"/>
    <w:rsid w:val="76AF7FDA"/>
    <w:rsid w:val="770A4EDC"/>
    <w:rsid w:val="77644920"/>
    <w:rsid w:val="7770053A"/>
    <w:rsid w:val="787A3217"/>
    <w:rsid w:val="7899684C"/>
    <w:rsid w:val="78B0289F"/>
    <w:rsid w:val="78B517E1"/>
    <w:rsid w:val="78D14FC6"/>
    <w:rsid w:val="795D3D1D"/>
    <w:rsid w:val="79763919"/>
    <w:rsid w:val="79817A0B"/>
    <w:rsid w:val="79CB2893"/>
    <w:rsid w:val="79CC7F63"/>
    <w:rsid w:val="79E11C7D"/>
    <w:rsid w:val="7A073617"/>
    <w:rsid w:val="7A173AE4"/>
    <w:rsid w:val="7B431D92"/>
    <w:rsid w:val="7B890DF9"/>
    <w:rsid w:val="7B95754E"/>
    <w:rsid w:val="7BC474F6"/>
    <w:rsid w:val="7C574A54"/>
    <w:rsid w:val="7D524288"/>
    <w:rsid w:val="7DC93C6B"/>
    <w:rsid w:val="7DDA3B8E"/>
    <w:rsid w:val="7E4A0D41"/>
    <w:rsid w:val="7EA45F4A"/>
    <w:rsid w:val="7F020B7F"/>
    <w:rsid w:val="7F1F1620"/>
    <w:rsid w:val="7F8972B5"/>
    <w:rsid w:val="7FB01671"/>
    <w:rsid w:val="7FCD07F9"/>
    <w:rsid w:val="7FF058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tabs>
        <w:tab w:val="left" w:pos="2070"/>
      </w:tabs>
      <w:adjustRightInd w:val="0"/>
      <w:spacing w:line="360" w:lineRule="auto"/>
      <w:ind w:left="2070" w:hanging="420"/>
      <w:textAlignment w:val="baseline"/>
      <w:outlineLvl w:val="0"/>
    </w:pPr>
    <w:rPr>
      <w:rFonts w:ascii="楷体_GB2312" w:eastAsia="楷体_GB2312"/>
      <w:kern w:val="0"/>
      <w:sz w:val="28"/>
    </w:rPr>
  </w:style>
  <w:style w:type="paragraph" w:styleId="3">
    <w:name w:val="heading 2"/>
    <w:basedOn w:val="1"/>
    <w:next w:val="1"/>
    <w:link w:val="73"/>
    <w:qFormat/>
    <w:uiPriority w:val="0"/>
    <w:pPr>
      <w:keepNext/>
      <w:keepLines/>
      <w:spacing w:before="260" w:after="260" w:line="415" w:lineRule="auto"/>
      <w:jc w:val="center"/>
      <w:outlineLvl w:val="1"/>
    </w:pPr>
    <w:rPr>
      <w:rFonts w:ascii="Arial" w:hAnsi="Arial" w:eastAsia="黑体"/>
      <w:b/>
      <w:bCs/>
      <w:sz w:val="36"/>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paragraph" w:styleId="5">
    <w:name w:val="heading 4"/>
    <w:basedOn w:val="1"/>
    <w:next w:val="1"/>
    <w:qFormat/>
    <w:uiPriority w:val="0"/>
    <w:pPr>
      <w:keepNext/>
      <w:keepLines/>
      <w:spacing w:before="280" w:after="290" w:line="360" w:lineRule="auto"/>
      <w:ind w:firstLine="200" w:firstLineChars="200"/>
      <w:outlineLvl w:val="3"/>
    </w:pPr>
    <w:rPr>
      <w:bCs/>
      <w:sz w:val="24"/>
      <w:szCs w:val="28"/>
    </w:rPr>
  </w:style>
  <w:style w:type="paragraph" w:styleId="6">
    <w:name w:val="heading 5"/>
    <w:basedOn w:val="1"/>
    <w:next w:val="1"/>
    <w:qFormat/>
    <w:uiPriority w:val="0"/>
    <w:pPr>
      <w:keepNext/>
      <w:keepLines/>
      <w:spacing w:before="280" w:after="290" w:line="374" w:lineRule="auto"/>
      <w:jc w:val="left"/>
      <w:outlineLvl w:val="4"/>
    </w:pPr>
    <w:rPr>
      <w:rFonts w:ascii="宋体" w:hAnsi="宋体"/>
      <w:b/>
      <w:bCs/>
      <w:sz w:val="28"/>
      <w:szCs w:val="28"/>
    </w:rPr>
  </w:style>
  <w:style w:type="paragraph" w:styleId="7">
    <w:name w:val="heading 6"/>
    <w:basedOn w:val="1"/>
    <w:next w:val="1"/>
    <w:qFormat/>
    <w:uiPriority w:val="0"/>
    <w:pPr>
      <w:keepNext/>
      <w:keepLines/>
      <w:spacing w:before="240" w:after="64" w:line="319" w:lineRule="auto"/>
      <w:jc w:val="left"/>
      <w:outlineLvl w:val="5"/>
    </w:pPr>
    <w:rPr>
      <w:rFonts w:ascii="Arial" w:hAnsi="Arial" w:eastAsia="黑体"/>
      <w:b/>
      <w:bCs/>
      <w:sz w:val="24"/>
      <w:szCs w:val="24"/>
    </w:rPr>
  </w:style>
  <w:style w:type="paragraph" w:styleId="8">
    <w:name w:val="heading 7"/>
    <w:basedOn w:val="1"/>
    <w:next w:val="1"/>
    <w:qFormat/>
    <w:uiPriority w:val="0"/>
    <w:pPr>
      <w:keepNext/>
      <w:keepLines/>
      <w:spacing w:before="240" w:after="64" w:line="319" w:lineRule="auto"/>
      <w:jc w:val="left"/>
      <w:outlineLvl w:val="6"/>
    </w:pPr>
    <w:rPr>
      <w:rFonts w:ascii="宋体" w:hAnsi="宋体"/>
      <w:b/>
      <w:bCs/>
      <w:sz w:val="24"/>
      <w:szCs w:val="24"/>
    </w:rPr>
  </w:style>
  <w:style w:type="paragraph" w:styleId="9">
    <w:name w:val="heading 8"/>
    <w:basedOn w:val="1"/>
    <w:next w:val="1"/>
    <w:qFormat/>
    <w:uiPriority w:val="0"/>
    <w:pPr>
      <w:keepNext/>
      <w:keepLines/>
      <w:spacing w:before="240" w:after="64" w:line="319" w:lineRule="auto"/>
      <w:jc w:val="left"/>
      <w:outlineLvl w:val="7"/>
    </w:pPr>
    <w:rPr>
      <w:rFonts w:ascii="Arial" w:hAnsi="Arial" w:eastAsia="黑体"/>
      <w:sz w:val="24"/>
      <w:szCs w:val="24"/>
    </w:rPr>
  </w:style>
  <w:style w:type="paragraph" w:styleId="10">
    <w:name w:val="heading 9"/>
    <w:basedOn w:val="1"/>
    <w:next w:val="1"/>
    <w:qFormat/>
    <w:uiPriority w:val="0"/>
    <w:pPr>
      <w:keepNext/>
      <w:keepLines/>
      <w:spacing w:before="240" w:after="64" w:line="319" w:lineRule="auto"/>
      <w:jc w:val="left"/>
      <w:outlineLvl w:val="8"/>
    </w:pPr>
    <w:rPr>
      <w:rFonts w:ascii="Arial" w:hAnsi="Arial"/>
      <w:sz w:val="28"/>
      <w:szCs w:val="21"/>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qFormat/>
    <w:uiPriority w:val="0"/>
    <w:pPr>
      <w:ind w:left="2520" w:leftChars="1200"/>
    </w:pPr>
  </w:style>
  <w:style w:type="paragraph" w:styleId="12">
    <w:name w:val="index 8"/>
    <w:basedOn w:val="1"/>
    <w:next w:val="1"/>
    <w:qFormat/>
    <w:uiPriority w:val="0"/>
    <w:pPr>
      <w:spacing w:line="360" w:lineRule="auto"/>
      <w:ind w:left="1400" w:leftChars="1400" w:firstLine="200" w:firstLineChars="200"/>
    </w:pPr>
    <w:rPr>
      <w:sz w:val="24"/>
      <w:szCs w:val="24"/>
    </w:rPr>
  </w:style>
  <w:style w:type="paragraph" w:styleId="13">
    <w:name w:val="Normal Indent"/>
    <w:basedOn w:val="1"/>
    <w:qFormat/>
    <w:uiPriority w:val="0"/>
    <w:pPr>
      <w:adjustRightInd w:val="0"/>
      <w:spacing w:line="312" w:lineRule="atLeast"/>
      <w:ind w:firstLine="420"/>
      <w:textAlignment w:val="baseline"/>
    </w:pPr>
    <w:rPr>
      <w:kern w:val="0"/>
    </w:rPr>
  </w:style>
  <w:style w:type="paragraph" w:styleId="14">
    <w:name w:val="index 5"/>
    <w:basedOn w:val="1"/>
    <w:next w:val="1"/>
    <w:qFormat/>
    <w:uiPriority w:val="0"/>
    <w:pPr>
      <w:spacing w:line="360" w:lineRule="auto"/>
      <w:ind w:left="800" w:leftChars="800" w:firstLine="200" w:firstLineChars="200"/>
    </w:pPr>
    <w:rPr>
      <w:sz w:val="24"/>
      <w:szCs w:val="24"/>
    </w:rPr>
  </w:style>
  <w:style w:type="paragraph" w:styleId="15">
    <w:name w:val="annotation text"/>
    <w:basedOn w:val="1"/>
    <w:link w:val="108"/>
    <w:qFormat/>
    <w:uiPriority w:val="0"/>
    <w:pPr>
      <w:spacing w:line="360" w:lineRule="auto"/>
      <w:ind w:firstLine="200" w:firstLineChars="200"/>
      <w:jc w:val="left"/>
    </w:pPr>
    <w:rPr>
      <w:sz w:val="24"/>
      <w:szCs w:val="24"/>
    </w:rPr>
  </w:style>
  <w:style w:type="paragraph" w:styleId="16">
    <w:name w:val="index 6"/>
    <w:basedOn w:val="1"/>
    <w:next w:val="1"/>
    <w:qFormat/>
    <w:uiPriority w:val="0"/>
    <w:pPr>
      <w:spacing w:line="360" w:lineRule="auto"/>
      <w:ind w:left="1000" w:leftChars="1000" w:firstLine="200" w:firstLineChars="200"/>
    </w:pPr>
    <w:rPr>
      <w:sz w:val="24"/>
      <w:szCs w:val="24"/>
    </w:rPr>
  </w:style>
  <w:style w:type="paragraph" w:styleId="17">
    <w:name w:val="Body Text"/>
    <w:basedOn w:val="1"/>
    <w:next w:val="18"/>
    <w:link w:val="59"/>
    <w:qFormat/>
    <w:uiPriority w:val="0"/>
    <w:pPr>
      <w:spacing w:line="360" w:lineRule="auto"/>
    </w:pPr>
    <w:rPr>
      <w:spacing w:val="20"/>
      <w:sz w:val="28"/>
    </w:rPr>
  </w:style>
  <w:style w:type="paragraph" w:customStyle="1" w:styleId="18">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9">
    <w:name w:val="Body Text Indent"/>
    <w:basedOn w:val="1"/>
    <w:link w:val="61"/>
    <w:qFormat/>
    <w:uiPriority w:val="0"/>
    <w:pPr>
      <w:tabs>
        <w:tab w:val="left" w:pos="8715"/>
      </w:tabs>
      <w:spacing w:line="360" w:lineRule="auto"/>
      <w:ind w:firstLine="732"/>
    </w:pPr>
    <w:rPr>
      <w:rFonts w:ascii="楷体_GB2312" w:eastAsia="楷体_GB2312"/>
      <w:spacing w:val="20"/>
      <w:sz w:val="24"/>
    </w:rPr>
  </w:style>
  <w:style w:type="paragraph" w:styleId="20">
    <w:name w:val="index 4"/>
    <w:basedOn w:val="1"/>
    <w:next w:val="1"/>
    <w:qFormat/>
    <w:uiPriority w:val="0"/>
    <w:pPr>
      <w:spacing w:line="360" w:lineRule="auto"/>
      <w:ind w:left="600" w:leftChars="600" w:firstLine="200" w:firstLineChars="200"/>
    </w:pPr>
    <w:rPr>
      <w:sz w:val="24"/>
      <w:szCs w:val="24"/>
    </w:rPr>
  </w:style>
  <w:style w:type="paragraph" w:styleId="21">
    <w:name w:val="toc 5"/>
    <w:basedOn w:val="1"/>
    <w:next w:val="1"/>
    <w:qFormat/>
    <w:uiPriority w:val="0"/>
    <w:pPr>
      <w:ind w:left="1680" w:leftChars="800"/>
    </w:pPr>
  </w:style>
  <w:style w:type="paragraph" w:styleId="22">
    <w:name w:val="toc 3"/>
    <w:basedOn w:val="1"/>
    <w:next w:val="1"/>
    <w:qFormat/>
    <w:uiPriority w:val="0"/>
    <w:pPr>
      <w:ind w:left="840" w:leftChars="400"/>
    </w:pPr>
  </w:style>
  <w:style w:type="paragraph" w:styleId="23">
    <w:name w:val="Plain Text"/>
    <w:basedOn w:val="1"/>
    <w:link w:val="60"/>
    <w:qFormat/>
    <w:uiPriority w:val="0"/>
    <w:rPr>
      <w:rFonts w:ascii="宋体" w:hAnsi="Courier New" w:cs="Courier New"/>
      <w:szCs w:val="21"/>
    </w:rPr>
  </w:style>
  <w:style w:type="paragraph" w:styleId="24">
    <w:name w:val="toc 8"/>
    <w:basedOn w:val="1"/>
    <w:next w:val="1"/>
    <w:qFormat/>
    <w:uiPriority w:val="0"/>
    <w:pPr>
      <w:ind w:left="2940" w:leftChars="1400"/>
    </w:pPr>
  </w:style>
  <w:style w:type="paragraph" w:styleId="25">
    <w:name w:val="index 3"/>
    <w:basedOn w:val="1"/>
    <w:next w:val="1"/>
    <w:qFormat/>
    <w:uiPriority w:val="0"/>
    <w:pPr>
      <w:spacing w:line="360" w:lineRule="auto"/>
      <w:ind w:left="400" w:leftChars="400" w:firstLine="200" w:firstLineChars="200"/>
    </w:pPr>
    <w:rPr>
      <w:sz w:val="24"/>
      <w:szCs w:val="24"/>
    </w:rPr>
  </w:style>
  <w:style w:type="paragraph" w:styleId="26">
    <w:name w:val="Date"/>
    <w:basedOn w:val="1"/>
    <w:next w:val="1"/>
    <w:qFormat/>
    <w:uiPriority w:val="0"/>
    <w:rPr>
      <w:rFonts w:ascii="仿宋_GB2312" w:eastAsia="仿宋_GB2312"/>
      <w:kern w:val="0"/>
      <w:sz w:val="28"/>
    </w:rPr>
  </w:style>
  <w:style w:type="paragraph" w:styleId="27">
    <w:name w:val="Body Text Indent 2"/>
    <w:basedOn w:val="1"/>
    <w:link w:val="62"/>
    <w:qFormat/>
    <w:uiPriority w:val="0"/>
    <w:pPr>
      <w:spacing w:line="360" w:lineRule="auto"/>
      <w:ind w:left="420"/>
    </w:pPr>
    <w:rPr>
      <w:rFonts w:ascii="楷体_GB2312" w:eastAsia="楷体_GB2312"/>
      <w:spacing w:val="20"/>
      <w:sz w:val="24"/>
    </w:rPr>
  </w:style>
  <w:style w:type="paragraph" w:styleId="28">
    <w:name w:val="Balloon Text"/>
    <w:basedOn w:val="1"/>
    <w:qFormat/>
    <w:uiPriority w:val="0"/>
    <w:rPr>
      <w:sz w:val="18"/>
      <w:szCs w:val="18"/>
    </w:rPr>
  </w:style>
  <w:style w:type="paragraph" w:styleId="29">
    <w:name w:val="footer"/>
    <w:basedOn w:val="1"/>
    <w:qFormat/>
    <w:uiPriority w:val="0"/>
    <w:pPr>
      <w:tabs>
        <w:tab w:val="center" w:pos="4153"/>
        <w:tab w:val="right" w:pos="8306"/>
      </w:tabs>
      <w:snapToGrid w:val="0"/>
      <w:jc w:val="left"/>
    </w:pPr>
    <w:rPr>
      <w:sz w:val="18"/>
    </w:rPr>
  </w:style>
  <w:style w:type="paragraph" w:styleId="30">
    <w:name w:val="header"/>
    <w:basedOn w:val="1"/>
    <w:qFormat/>
    <w:uiPriority w:val="0"/>
    <w:pPr>
      <w:pBdr>
        <w:bottom w:val="single" w:color="auto" w:sz="6" w:space="1"/>
      </w:pBdr>
      <w:tabs>
        <w:tab w:val="center" w:pos="4153"/>
        <w:tab w:val="right" w:pos="8306"/>
      </w:tabs>
      <w:snapToGrid w:val="0"/>
      <w:jc w:val="center"/>
    </w:pPr>
    <w:rPr>
      <w:sz w:val="18"/>
    </w:rPr>
  </w:style>
  <w:style w:type="paragraph" w:styleId="31">
    <w:name w:val="toc 1"/>
    <w:basedOn w:val="1"/>
    <w:next w:val="1"/>
    <w:qFormat/>
    <w:uiPriority w:val="39"/>
  </w:style>
  <w:style w:type="paragraph" w:styleId="32">
    <w:name w:val="toc 4"/>
    <w:basedOn w:val="1"/>
    <w:next w:val="1"/>
    <w:qFormat/>
    <w:uiPriority w:val="0"/>
    <w:pPr>
      <w:ind w:left="1260" w:leftChars="600"/>
    </w:pPr>
  </w:style>
  <w:style w:type="paragraph" w:styleId="33">
    <w:name w:val="index heading"/>
    <w:basedOn w:val="1"/>
    <w:next w:val="34"/>
    <w:qFormat/>
    <w:uiPriority w:val="0"/>
    <w:pPr>
      <w:spacing w:line="360" w:lineRule="auto"/>
      <w:ind w:firstLine="200" w:firstLineChars="200"/>
    </w:pPr>
    <w:rPr>
      <w:sz w:val="24"/>
      <w:szCs w:val="24"/>
    </w:rPr>
  </w:style>
  <w:style w:type="paragraph" w:styleId="34">
    <w:name w:val="index 1"/>
    <w:basedOn w:val="1"/>
    <w:next w:val="1"/>
    <w:qFormat/>
    <w:uiPriority w:val="0"/>
    <w:pPr>
      <w:spacing w:line="360" w:lineRule="auto"/>
      <w:ind w:firstLine="200" w:firstLineChars="200"/>
    </w:pPr>
    <w:rPr>
      <w:sz w:val="24"/>
      <w:szCs w:val="24"/>
    </w:rPr>
  </w:style>
  <w:style w:type="paragraph" w:styleId="35">
    <w:name w:val="List"/>
    <w:basedOn w:val="1"/>
    <w:qFormat/>
    <w:uiPriority w:val="0"/>
    <w:pPr>
      <w:adjustRightInd w:val="0"/>
      <w:ind w:left="420" w:hanging="420"/>
      <w:textAlignment w:val="baseline"/>
    </w:pPr>
    <w:rPr>
      <w:sz w:val="28"/>
      <w:lang w:bidi="he-IL"/>
    </w:rPr>
  </w:style>
  <w:style w:type="paragraph" w:styleId="36">
    <w:name w:val="footnote text"/>
    <w:basedOn w:val="1"/>
    <w:qFormat/>
    <w:uiPriority w:val="0"/>
    <w:pPr>
      <w:snapToGrid w:val="0"/>
      <w:jc w:val="left"/>
    </w:pPr>
    <w:rPr>
      <w:sz w:val="18"/>
    </w:rPr>
  </w:style>
  <w:style w:type="paragraph" w:styleId="37">
    <w:name w:val="toc 6"/>
    <w:basedOn w:val="1"/>
    <w:next w:val="1"/>
    <w:qFormat/>
    <w:uiPriority w:val="0"/>
    <w:pPr>
      <w:ind w:left="2100" w:leftChars="1000"/>
    </w:pPr>
  </w:style>
  <w:style w:type="paragraph" w:styleId="38">
    <w:name w:val="Body Text Indent 3"/>
    <w:basedOn w:val="1"/>
    <w:qFormat/>
    <w:uiPriority w:val="0"/>
    <w:pPr>
      <w:spacing w:line="360" w:lineRule="auto"/>
      <w:ind w:left="420" w:firstLine="732"/>
    </w:pPr>
    <w:rPr>
      <w:rFonts w:ascii="楷体_GB2312" w:eastAsia="楷体_GB2312"/>
      <w:spacing w:val="20"/>
      <w:sz w:val="28"/>
    </w:rPr>
  </w:style>
  <w:style w:type="paragraph" w:styleId="39">
    <w:name w:val="index 7"/>
    <w:basedOn w:val="1"/>
    <w:next w:val="1"/>
    <w:qFormat/>
    <w:uiPriority w:val="0"/>
    <w:pPr>
      <w:spacing w:line="360" w:lineRule="auto"/>
      <w:ind w:left="1200" w:leftChars="1200" w:firstLine="200" w:firstLineChars="200"/>
    </w:pPr>
    <w:rPr>
      <w:sz w:val="24"/>
      <w:szCs w:val="24"/>
    </w:rPr>
  </w:style>
  <w:style w:type="paragraph" w:styleId="40">
    <w:name w:val="index 9"/>
    <w:basedOn w:val="1"/>
    <w:next w:val="1"/>
    <w:qFormat/>
    <w:uiPriority w:val="0"/>
    <w:pPr>
      <w:spacing w:line="360" w:lineRule="auto"/>
      <w:ind w:left="1600" w:leftChars="1600" w:firstLine="200" w:firstLineChars="200"/>
    </w:pPr>
    <w:rPr>
      <w:sz w:val="24"/>
      <w:szCs w:val="24"/>
    </w:rPr>
  </w:style>
  <w:style w:type="paragraph" w:styleId="41">
    <w:name w:val="table of figures"/>
    <w:basedOn w:val="1"/>
    <w:next w:val="1"/>
    <w:qFormat/>
    <w:uiPriority w:val="0"/>
    <w:pPr>
      <w:spacing w:line="360" w:lineRule="auto"/>
      <w:ind w:left="840" w:leftChars="200" w:hanging="420" w:hangingChars="200"/>
    </w:pPr>
    <w:rPr>
      <w:sz w:val="24"/>
      <w:szCs w:val="24"/>
    </w:rPr>
  </w:style>
  <w:style w:type="paragraph" w:styleId="42">
    <w:name w:val="toc 2"/>
    <w:basedOn w:val="1"/>
    <w:next w:val="1"/>
    <w:qFormat/>
    <w:uiPriority w:val="39"/>
    <w:pPr>
      <w:ind w:left="420" w:leftChars="200"/>
    </w:pPr>
  </w:style>
  <w:style w:type="paragraph" w:styleId="43">
    <w:name w:val="toc 9"/>
    <w:basedOn w:val="1"/>
    <w:next w:val="1"/>
    <w:qFormat/>
    <w:uiPriority w:val="0"/>
    <w:pPr>
      <w:ind w:left="3360" w:leftChars="1600"/>
    </w:pPr>
  </w:style>
  <w:style w:type="paragraph" w:styleId="44">
    <w:name w:val="Body Text 2"/>
    <w:basedOn w:val="1"/>
    <w:qFormat/>
    <w:uiPriority w:val="0"/>
    <w:pPr>
      <w:adjustRightInd w:val="0"/>
      <w:snapToGrid w:val="0"/>
      <w:spacing w:line="360" w:lineRule="auto"/>
    </w:pPr>
    <w:rPr>
      <w:rFonts w:ascii="宋体" w:hAnsi="宋体"/>
      <w:w w:val="90"/>
      <w:kern w:val="0"/>
      <w:sz w:val="24"/>
    </w:rPr>
  </w:style>
  <w:style w:type="paragraph" w:styleId="4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4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47">
    <w:name w:val="index 2"/>
    <w:basedOn w:val="1"/>
    <w:next w:val="1"/>
    <w:qFormat/>
    <w:uiPriority w:val="0"/>
    <w:pPr>
      <w:spacing w:line="360" w:lineRule="auto"/>
      <w:ind w:left="200" w:leftChars="200" w:firstLine="200" w:firstLineChars="200"/>
    </w:pPr>
    <w:rPr>
      <w:sz w:val="24"/>
      <w:szCs w:val="24"/>
    </w:rPr>
  </w:style>
  <w:style w:type="paragraph" w:styleId="48">
    <w:name w:val="Title"/>
    <w:basedOn w:val="1"/>
    <w:qFormat/>
    <w:uiPriority w:val="0"/>
    <w:pPr>
      <w:spacing w:before="240" w:after="60" w:line="360" w:lineRule="auto"/>
      <w:ind w:firstLine="200" w:firstLineChars="200"/>
      <w:jc w:val="center"/>
      <w:outlineLvl w:val="0"/>
    </w:pPr>
    <w:rPr>
      <w:rFonts w:ascii="Arial" w:hAnsi="Arial" w:cs="Arial"/>
      <w:b/>
      <w:bCs/>
      <w:color w:val="FF0000"/>
      <w:sz w:val="32"/>
      <w:szCs w:val="32"/>
    </w:rPr>
  </w:style>
  <w:style w:type="paragraph" w:styleId="49">
    <w:name w:val="annotation subject"/>
    <w:basedOn w:val="15"/>
    <w:next w:val="15"/>
    <w:qFormat/>
    <w:uiPriority w:val="0"/>
    <w:pPr>
      <w:spacing w:line="240" w:lineRule="auto"/>
      <w:ind w:firstLine="0" w:firstLineChars="0"/>
    </w:pPr>
    <w:rPr>
      <w:b/>
      <w:bCs/>
      <w:sz w:val="21"/>
      <w:szCs w:val="20"/>
    </w:rPr>
  </w:style>
  <w:style w:type="paragraph" w:styleId="50">
    <w:name w:val="Body Text First Indent"/>
    <w:basedOn w:val="17"/>
    <w:qFormat/>
    <w:uiPriority w:val="0"/>
    <w:pPr>
      <w:spacing w:after="120" w:line="240" w:lineRule="auto"/>
      <w:ind w:firstLine="420" w:firstLineChars="100"/>
    </w:pPr>
    <w:rPr>
      <w:spacing w:val="0"/>
      <w:sz w:val="21"/>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Hyperlink"/>
    <w:basedOn w:val="53"/>
    <w:qFormat/>
    <w:uiPriority w:val="99"/>
    <w:rPr>
      <w:color w:val="0000FF"/>
      <w:u w:val="single"/>
    </w:rPr>
  </w:style>
  <w:style w:type="character" w:styleId="57">
    <w:name w:val="annotation reference"/>
    <w:qFormat/>
    <w:uiPriority w:val="0"/>
    <w:rPr>
      <w:sz w:val="21"/>
      <w:szCs w:val="21"/>
    </w:rPr>
  </w:style>
  <w:style w:type="character" w:styleId="58">
    <w:name w:val="footnote reference"/>
    <w:qFormat/>
    <w:uiPriority w:val="0"/>
    <w:rPr>
      <w:vertAlign w:val="superscript"/>
    </w:rPr>
  </w:style>
  <w:style w:type="character" w:customStyle="1" w:styleId="59">
    <w:name w:val="正文文本 字符"/>
    <w:link w:val="17"/>
    <w:qFormat/>
    <w:uiPriority w:val="0"/>
    <w:rPr>
      <w:rFonts w:eastAsia="宋体"/>
      <w:spacing w:val="20"/>
      <w:kern w:val="2"/>
      <w:sz w:val="28"/>
      <w:lang w:val="en-US" w:eastAsia="zh-CN" w:bidi="ar-SA"/>
    </w:rPr>
  </w:style>
  <w:style w:type="character" w:customStyle="1" w:styleId="60">
    <w:name w:val="纯文本 字符"/>
    <w:link w:val="23"/>
    <w:qFormat/>
    <w:uiPriority w:val="0"/>
    <w:rPr>
      <w:rFonts w:ascii="宋体" w:hAnsi="Courier New" w:eastAsia="宋体" w:cs="Courier New"/>
      <w:kern w:val="2"/>
      <w:sz w:val="21"/>
      <w:szCs w:val="21"/>
      <w:lang w:val="en-US" w:eastAsia="zh-CN" w:bidi="ar-SA"/>
    </w:rPr>
  </w:style>
  <w:style w:type="character" w:customStyle="1" w:styleId="61">
    <w:name w:val="正文文本缩进 字符"/>
    <w:link w:val="19"/>
    <w:qFormat/>
    <w:uiPriority w:val="0"/>
    <w:rPr>
      <w:rFonts w:ascii="楷体_GB2312" w:eastAsia="楷体_GB2312"/>
      <w:spacing w:val="20"/>
      <w:kern w:val="2"/>
      <w:sz w:val="24"/>
    </w:rPr>
  </w:style>
  <w:style w:type="character" w:customStyle="1" w:styleId="62">
    <w:name w:val="正文文本缩进 2 字符"/>
    <w:link w:val="27"/>
    <w:qFormat/>
    <w:uiPriority w:val="0"/>
    <w:rPr>
      <w:rFonts w:ascii="楷体_GB2312" w:eastAsia="楷体_GB2312"/>
      <w:spacing w:val="20"/>
      <w:kern w:val="2"/>
      <w:sz w:val="24"/>
    </w:rPr>
  </w:style>
  <w:style w:type="character" w:customStyle="1" w:styleId="63">
    <w:name w:val="正文（首行缩进两字） Char Char"/>
    <w:qFormat/>
    <w:uiPriority w:val="0"/>
    <w:rPr>
      <w:rFonts w:eastAsia="宋体"/>
      <w:kern w:val="2"/>
      <w:sz w:val="28"/>
      <w:szCs w:val="24"/>
      <w:lang w:val="en-US" w:eastAsia="zh-CN" w:bidi="ar-SA"/>
    </w:rPr>
  </w:style>
  <w:style w:type="character" w:customStyle="1" w:styleId="64">
    <w:name w:val="sh141"/>
    <w:qFormat/>
    <w:uiPriority w:val="0"/>
    <w:rPr>
      <w:color w:val="2B2B2B"/>
      <w:sz w:val="21"/>
      <w:szCs w:val="21"/>
    </w:rPr>
  </w:style>
  <w:style w:type="character" w:customStyle="1" w:styleId="65">
    <w:name w:val="unnamed21"/>
    <w:qFormat/>
    <w:uiPriority w:val="0"/>
    <w:rPr>
      <w:u w:val="none"/>
    </w:rPr>
  </w:style>
  <w:style w:type="character" w:customStyle="1" w:styleId="66">
    <w:name w:val="样式 正文（首行缩进两字） + 加粗 Char"/>
    <w:qFormat/>
    <w:uiPriority w:val="0"/>
    <w:rPr>
      <w:rFonts w:eastAsia="宋体"/>
      <w:b/>
      <w:bCs/>
      <w:kern w:val="2"/>
      <w:sz w:val="28"/>
      <w:szCs w:val="24"/>
      <w:lang w:val="en-US" w:eastAsia="zh-CN" w:bidi="ar-SA"/>
    </w:rPr>
  </w:style>
  <w:style w:type="character" w:customStyle="1" w:styleId="67">
    <w:name w:val="样式1正文 Char Char1"/>
    <w:link w:val="68"/>
    <w:qFormat/>
    <w:uiPriority w:val="0"/>
    <w:rPr>
      <w:rFonts w:ascii="宋体" w:hAnsi="宋体"/>
      <w:bCs/>
      <w:spacing w:val="-10"/>
      <w:sz w:val="28"/>
      <w:szCs w:val="28"/>
      <w:lang w:val="en-GB"/>
    </w:rPr>
  </w:style>
  <w:style w:type="paragraph" w:customStyle="1" w:styleId="68">
    <w:name w:val="样式1正文 Char"/>
    <w:basedOn w:val="1"/>
    <w:link w:val="67"/>
    <w:qFormat/>
    <w:uiPriority w:val="0"/>
    <w:pPr>
      <w:spacing w:line="640" w:lineRule="exact"/>
      <w:ind w:firstLine="520" w:firstLineChars="200"/>
    </w:pPr>
    <w:rPr>
      <w:rFonts w:ascii="宋体" w:hAnsi="宋体"/>
      <w:bCs/>
      <w:spacing w:val="-10"/>
      <w:kern w:val="0"/>
      <w:sz w:val="28"/>
      <w:szCs w:val="28"/>
      <w:lang w:val="en-GB"/>
    </w:rPr>
  </w:style>
  <w:style w:type="character" w:customStyle="1" w:styleId="69">
    <w:name w:val="正文（首行缩进两字） Char Char Char Char Char"/>
    <w:qFormat/>
    <w:uiPriority w:val="0"/>
    <w:rPr>
      <w:rFonts w:eastAsia="宋体"/>
      <w:kern w:val="2"/>
      <w:sz w:val="28"/>
      <w:szCs w:val="24"/>
      <w:lang w:val="en-US" w:eastAsia="zh-CN" w:bidi="ar-SA"/>
    </w:rPr>
  </w:style>
  <w:style w:type="character" w:customStyle="1" w:styleId="70">
    <w:name w:val="段落 Char Char"/>
    <w:link w:val="71"/>
    <w:qFormat/>
    <w:uiPriority w:val="0"/>
    <w:rPr>
      <w:rFonts w:eastAsia="宋体"/>
      <w:kern w:val="2"/>
      <w:sz w:val="24"/>
      <w:szCs w:val="24"/>
      <w:lang w:val="en-US" w:eastAsia="zh-CN" w:bidi="ar-SA"/>
    </w:rPr>
  </w:style>
  <w:style w:type="paragraph" w:customStyle="1" w:styleId="71">
    <w:name w:val="段落 Char"/>
    <w:basedOn w:val="1"/>
    <w:link w:val="70"/>
    <w:qFormat/>
    <w:uiPriority w:val="0"/>
    <w:pPr>
      <w:topLinePunct/>
      <w:snapToGrid w:val="0"/>
      <w:spacing w:line="360" w:lineRule="auto"/>
      <w:ind w:firstLine="200" w:firstLineChars="200"/>
    </w:pPr>
    <w:rPr>
      <w:sz w:val="24"/>
      <w:szCs w:val="24"/>
    </w:rPr>
  </w:style>
  <w:style w:type="character" w:customStyle="1" w:styleId="72">
    <w:name w:val="st1"/>
    <w:basedOn w:val="53"/>
    <w:qFormat/>
    <w:uiPriority w:val="0"/>
  </w:style>
  <w:style w:type="character" w:customStyle="1" w:styleId="73">
    <w:name w:val="标题 2 字符"/>
    <w:link w:val="3"/>
    <w:qFormat/>
    <w:uiPriority w:val="0"/>
    <w:rPr>
      <w:rFonts w:ascii="Arial" w:hAnsi="Arial" w:eastAsia="黑体"/>
      <w:b/>
      <w:bCs/>
      <w:kern w:val="2"/>
      <w:sz w:val="36"/>
      <w:szCs w:val="32"/>
    </w:rPr>
  </w:style>
  <w:style w:type="paragraph" w:customStyle="1" w:styleId="74">
    <w:name w:val="样式 标题 5 + 小四"/>
    <w:basedOn w:val="6"/>
    <w:qFormat/>
    <w:uiPriority w:val="0"/>
    <w:pPr>
      <w:numPr>
        <w:ilvl w:val="4"/>
        <w:numId w:val="1"/>
      </w:numPr>
      <w:tabs>
        <w:tab w:val="left" w:pos="2070"/>
      </w:tabs>
      <w:snapToGrid w:val="0"/>
      <w:spacing w:before="0" w:after="0" w:line="360" w:lineRule="auto"/>
      <w:jc w:val="both"/>
    </w:pPr>
    <w:rPr>
      <w:rFonts w:ascii="Times New Roman" w:hAnsi="Times New Roman"/>
      <w:sz w:val="24"/>
    </w:rPr>
  </w:style>
  <w:style w:type="paragraph" w:customStyle="1" w:styleId="75">
    <w:name w:val="cucd-0"/>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customStyle="1" w:styleId="76">
    <w:name w:val="样式 表头 + 小四"/>
    <w:basedOn w:val="41"/>
    <w:qFormat/>
    <w:uiPriority w:val="0"/>
    <w:pPr>
      <w:spacing w:line="240" w:lineRule="auto"/>
      <w:ind w:left="420" w:leftChars="0" w:firstLine="0" w:firstLineChars="0"/>
      <w:jc w:val="center"/>
    </w:pPr>
    <w:rPr>
      <w:b/>
      <w:bCs/>
      <w:szCs w:val="20"/>
    </w:rPr>
  </w:style>
  <w:style w:type="paragraph" w:styleId="77">
    <w:name w:val="List Paragraph"/>
    <w:basedOn w:val="1"/>
    <w:qFormat/>
    <w:uiPriority w:val="0"/>
    <w:pPr>
      <w:ind w:firstLine="420" w:firstLineChars="200"/>
    </w:pPr>
    <w:rPr>
      <w:szCs w:val="24"/>
    </w:rPr>
  </w:style>
  <w:style w:type="paragraph" w:customStyle="1" w:styleId="78">
    <w:name w:val="报告正文"/>
    <w:basedOn w:val="1"/>
    <w:qFormat/>
    <w:uiPriority w:val="0"/>
    <w:pPr>
      <w:widowControl/>
      <w:spacing w:before="100" w:beforeAutospacing="1"/>
      <w:ind w:firstLine="560" w:firstLineChars="200"/>
      <w:jc w:val="left"/>
      <w:textAlignment w:val="baseline"/>
    </w:pPr>
    <w:rPr>
      <w:rFonts w:ascii="仿宋_GB2312" w:hAnsi="宋体" w:eastAsia="仿宋_GB2312"/>
      <w:color w:val="000000"/>
      <w:kern w:val="0"/>
      <w:sz w:val="28"/>
      <w:u w:color="000000"/>
    </w:rPr>
  </w:style>
  <w:style w:type="paragraph" w:customStyle="1" w:styleId="79">
    <w:name w:val="font0"/>
    <w:basedOn w:val="1"/>
    <w:qFormat/>
    <w:uiPriority w:val="0"/>
    <w:pPr>
      <w:widowControl/>
      <w:spacing w:before="100" w:beforeAutospacing="1" w:after="100" w:afterAutospacing="1"/>
      <w:jc w:val="left"/>
    </w:pPr>
    <w:rPr>
      <w:kern w:val="0"/>
      <w:sz w:val="24"/>
      <w:szCs w:val="24"/>
    </w:rPr>
  </w:style>
  <w:style w:type="paragraph" w:customStyle="1" w:styleId="80">
    <w:name w:val="样式6 正文"/>
    <w:qFormat/>
    <w:uiPriority w:val="0"/>
    <w:pPr>
      <w:spacing w:line="360" w:lineRule="auto"/>
      <w:ind w:firstLine="510"/>
      <w:jc w:val="both"/>
    </w:pPr>
    <w:rPr>
      <w:rFonts w:ascii="Times New Roman" w:hAnsi="Times New Roman" w:eastAsia="宋体" w:cs="Times New Roman"/>
      <w:sz w:val="24"/>
      <w:lang w:val="en-US" w:eastAsia="zh-CN" w:bidi="ar-SA"/>
    </w:rPr>
  </w:style>
  <w:style w:type="paragraph" w:customStyle="1" w:styleId="81">
    <w:name w:val="样式 标题 1 + 非加宽量 / 紧缩量"/>
    <w:basedOn w:val="2"/>
    <w:qFormat/>
    <w:uiPriority w:val="0"/>
    <w:pPr>
      <w:keepNext w:val="0"/>
      <w:keepLines/>
      <w:pageBreakBefore/>
      <w:adjustRightInd/>
      <w:ind w:left="2646" w:firstLine="0"/>
      <w:jc w:val="left"/>
      <w:textAlignment w:val="auto"/>
    </w:pPr>
    <w:rPr>
      <w:rFonts w:ascii="宋体" w:hAnsi="宋体" w:eastAsia="宋体"/>
      <w:b/>
      <w:bCs/>
      <w:color w:val="000000"/>
      <w:spacing w:val="20"/>
      <w:kern w:val="28"/>
      <w:sz w:val="30"/>
      <w:szCs w:val="30"/>
    </w:rPr>
  </w:style>
  <w:style w:type="paragraph" w:customStyle="1" w:styleId="82">
    <w:name w:val="Char Char Char Char"/>
    <w:basedOn w:val="1"/>
    <w:qFormat/>
    <w:uiPriority w:val="0"/>
  </w:style>
  <w:style w:type="paragraph" w:customStyle="1" w:styleId="83">
    <w:name w:val="样式1"/>
    <w:basedOn w:val="41"/>
    <w:qFormat/>
    <w:uiPriority w:val="0"/>
    <w:pPr>
      <w:ind w:left="0" w:leftChars="0" w:firstLine="0" w:firstLineChars="0"/>
      <w:jc w:val="center"/>
      <w:outlineLvl w:val="0"/>
    </w:pPr>
    <w:rPr>
      <w:rFonts w:eastAsia="仿宋_GB2312"/>
      <w:szCs w:val="20"/>
    </w:rPr>
  </w:style>
  <w:style w:type="paragraph" w:customStyle="1" w:styleId="84">
    <w:name w:val="插图"/>
    <w:basedOn w:val="41"/>
    <w:next w:val="1"/>
    <w:qFormat/>
    <w:uiPriority w:val="0"/>
    <w:pPr>
      <w:spacing w:before="312" w:beforeLines="100" w:after="156" w:afterLines="50"/>
      <w:ind w:left="0" w:leftChars="0" w:firstLine="0" w:firstLineChars="0"/>
      <w:jc w:val="center"/>
    </w:pPr>
    <w:rPr>
      <w:sz w:val="28"/>
      <w:szCs w:val="20"/>
    </w:rPr>
  </w:style>
  <w:style w:type="paragraph" w:customStyle="1" w:styleId="85">
    <w:name w:val="样式1正文"/>
    <w:basedOn w:val="1"/>
    <w:qFormat/>
    <w:uiPriority w:val="0"/>
    <w:pPr>
      <w:spacing w:line="640" w:lineRule="exact"/>
      <w:ind w:firstLine="520" w:firstLineChars="200"/>
    </w:pPr>
    <w:rPr>
      <w:rFonts w:ascii="宋体" w:hAnsi="宋体"/>
      <w:bCs/>
      <w:spacing w:val="-10"/>
      <w:kern w:val="0"/>
      <w:sz w:val="28"/>
      <w:szCs w:val="28"/>
      <w:lang w:val="en-GB"/>
    </w:rPr>
  </w:style>
  <w:style w:type="paragraph" w:customStyle="1" w:styleId="86">
    <w:name w:val="Char"/>
    <w:basedOn w:val="1"/>
    <w:qFormat/>
    <w:uiPriority w:val="0"/>
    <w:rPr>
      <w:szCs w:val="24"/>
    </w:rPr>
  </w:style>
  <w:style w:type="paragraph" w:customStyle="1" w:styleId="87">
    <w:name w:val="表格"/>
    <w:qFormat/>
    <w:uiPriority w:val="0"/>
    <w:pPr>
      <w:widowControl w:val="0"/>
      <w:spacing w:before="40" w:after="40" w:line="240" w:lineRule="exact"/>
      <w:jc w:val="center"/>
    </w:pPr>
    <w:rPr>
      <w:rFonts w:ascii="Times New Roman" w:hAnsi="Times New Roman" w:eastAsia="宋体" w:cs="Times New Roman"/>
      <w:sz w:val="21"/>
      <w:lang w:val="en-US" w:eastAsia="zh-CN" w:bidi="ar-SA"/>
    </w:rPr>
  </w:style>
  <w:style w:type="paragraph" w:customStyle="1" w:styleId="88">
    <w:name w:val="样式 标题 2 + 小四"/>
    <w:basedOn w:val="3"/>
    <w:qFormat/>
    <w:uiPriority w:val="0"/>
    <w:pPr>
      <w:spacing w:before="143" w:after="0" w:line="360" w:lineRule="auto"/>
      <w:ind w:left="980"/>
      <w:jc w:val="both"/>
    </w:pPr>
    <w:rPr>
      <w:rFonts w:eastAsia="宋体"/>
      <w:spacing w:val="16"/>
      <w:sz w:val="24"/>
    </w:rPr>
  </w:style>
  <w:style w:type="paragraph" w:customStyle="1" w:styleId="89">
    <w:name w:val="样式 标题 1 + 小四"/>
    <w:basedOn w:val="2"/>
    <w:qFormat/>
    <w:uiPriority w:val="0"/>
    <w:pPr>
      <w:keepNext w:val="0"/>
      <w:keepLines/>
      <w:pageBreakBefore/>
      <w:adjustRightInd/>
      <w:ind w:left="2646" w:firstLine="0"/>
      <w:jc w:val="center"/>
      <w:textAlignment w:val="auto"/>
    </w:pPr>
    <w:rPr>
      <w:rFonts w:ascii="宋体" w:hAnsi="宋体" w:eastAsia="宋体"/>
      <w:b/>
      <w:bCs/>
      <w:color w:val="000000"/>
      <w:spacing w:val="20"/>
      <w:kern w:val="28"/>
      <w:szCs w:val="30"/>
    </w:rPr>
  </w:style>
  <w:style w:type="paragraph" w:customStyle="1" w:styleId="90">
    <w:name w:val="Char Char Char Char Char Char Char"/>
    <w:basedOn w:val="1"/>
    <w:qFormat/>
    <w:uiPriority w:val="0"/>
    <w:rPr>
      <w:szCs w:val="24"/>
    </w:rPr>
  </w:style>
  <w:style w:type="paragraph" w:customStyle="1" w:styleId="91">
    <w:name w:val="样式 标题 4 + 小四"/>
    <w:basedOn w:val="5"/>
    <w:qFormat/>
    <w:uiPriority w:val="0"/>
    <w:pPr>
      <w:spacing w:before="0" w:after="0"/>
      <w:ind w:left="392" w:firstLine="0" w:firstLineChars="0"/>
    </w:pPr>
    <w:rPr>
      <w:rFonts w:ascii="Arial" w:hAnsi="Arial" w:eastAsia="黑体"/>
      <w:bCs w:val="0"/>
    </w:rPr>
  </w:style>
  <w:style w:type="paragraph" w:customStyle="1" w:styleId="92">
    <w:name w:val="表格字样"/>
    <w:basedOn w:val="1"/>
    <w:qFormat/>
    <w:uiPriority w:val="0"/>
    <w:pPr>
      <w:snapToGrid w:val="0"/>
    </w:pPr>
    <w:rPr>
      <w:szCs w:val="21"/>
    </w:rPr>
  </w:style>
  <w:style w:type="paragraph" w:customStyle="1" w:styleId="93">
    <w:name w:val="样式 文"/>
    <w:basedOn w:val="1"/>
    <w:qFormat/>
    <w:uiPriority w:val="0"/>
    <w:pPr>
      <w:ind w:firstLine="200" w:firstLineChars="200"/>
    </w:pPr>
    <w:rPr>
      <w:rFonts w:ascii="MS Gothic" w:hAnsi="MS Gothic"/>
      <w:sz w:val="24"/>
      <w:szCs w:val="24"/>
    </w:rPr>
  </w:style>
  <w:style w:type="paragraph" w:customStyle="1" w:styleId="94">
    <w:name w:val="表头"/>
    <w:basedOn w:val="1"/>
    <w:qFormat/>
    <w:uiPriority w:val="0"/>
    <w:pPr>
      <w:adjustRightInd w:val="0"/>
      <w:ind w:firstLine="560" w:firstLineChars="200"/>
      <w:jc w:val="center"/>
      <w:textAlignment w:val="baseline"/>
    </w:pPr>
    <w:rPr>
      <w:rFonts w:ascii="黑体" w:hAnsi="宋体" w:eastAsia="黑体"/>
      <w:kern w:val="0"/>
      <w:sz w:val="28"/>
      <w:szCs w:val="24"/>
    </w:rPr>
  </w:style>
  <w:style w:type="paragraph" w:customStyle="1" w:styleId="95">
    <w:name w:val="样式2"/>
    <w:basedOn w:val="1"/>
    <w:qFormat/>
    <w:uiPriority w:val="0"/>
    <w:pPr>
      <w:adjustRightInd w:val="0"/>
      <w:snapToGrid w:val="0"/>
      <w:spacing w:line="360" w:lineRule="auto"/>
    </w:pPr>
    <w:rPr>
      <w:sz w:val="28"/>
      <w:szCs w:val="24"/>
    </w:rPr>
  </w:style>
  <w:style w:type="paragraph" w:customStyle="1" w:styleId="96">
    <w:name w:val="Char Char Char Char1"/>
    <w:basedOn w:val="1"/>
    <w:qFormat/>
    <w:uiPriority w:val="0"/>
    <w:rPr>
      <w:szCs w:val="24"/>
    </w:rPr>
  </w:style>
  <w:style w:type="paragraph" w:customStyle="1" w:styleId="97">
    <w:name w:val="样式3"/>
    <w:basedOn w:val="31"/>
    <w:qFormat/>
    <w:uiPriority w:val="0"/>
    <w:pPr>
      <w:tabs>
        <w:tab w:val="right" w:leader="dot" w:pos="9515"/>
        <w:tab w:val="right" w:leader="dot" w:pos="10144"/>
      </w:tabs>
    </w:pPr>
    <w:rPr>
      <w:b/>
      <w:caps/>
      <w:sz w:val="28"/>
    </w:rPr>
  </w:style>
  <w:style w:type="paragraph" w:customStyle="1" w:styleId="98">
    <w:name w:val="列表项目编号"/>
    <w:basedOn w:val="95"/>
    <w:qFormat/>
    <w:uiPriority w:val="0"/>
    <w:pPr>
      <w:snapToGrid/>
    </w:pPr>
    <w:rPr>
      <w:kern w:val="0"/>
      <w:szCs w:val="20"/>
    </w:rPr>
  </w:style>
  <w:style w:type="paragraph" w:customStyle="1" w:styleId="99">
    <w:name w:val="TOC 标题1"/>
    <w:basedOn w:val="2"/>
    <w:next w:val="1"/>
    <w:qFormat/>
    <w:uiPriority w:val="39"/>
    <w:pPr>
      <w:keepLines/>
      <w:widowControl/>
      <w:adjustRightInd/>
      <w:spacing w:before="480" w:line="276" w:lineRule="auto"/>
      <w:ind w:left="0" w:firstLine="0"/>
      <w:jc w:val="left"/>
      <w:textAlignment w:val="auto"/>
      <w:outlineLvl w:val="9"/>
    </w:pPr>
    <w:rPr>
      <w:rFonts w:ascii="Cambria" w:hAnsi="Cambria" w:eastAsia="宋体"/>
      <w:b/>
      <w:bCs/>
      <w:color w:val="365F91"/>
      <w:szCs w:val="28"/>
    </w:rPr>
  </w:style>
  <w:style w:type="paragraph" w:customStyle="1" w:styleId="100">
    <w:name w:val="图表"/>
    <w:basedOn w:val="1"/>
    <w:qFormat/>
    <w:uiPriority w:val="0"/>
    <w:pPr>
      <w:jc w:val="center"/>
    </w:pPr>
    <w:rPr>
      <w:rFonts w:eastAsia="Times New Roman"/>
    </w:rPr>
  </w:style>
  <w:style w:type="paragraph" w:customStyle="1" w:styleId="101">
    <w:name w:val="Char1"/>
    <w:basedOn w:val="1"/>
    <w:qFormat/>
    <w:uiPriority w:val="0"/>
    <w:pPr>
      <w:widowControl/>
      <w:adjustRightInd w:val="0"/>
      <w:spacing w:after="160" w:line="240" w:lineRule="exact"/>
      <w:jc w:val="left"/>
      <w:textAlignment w:val="baseline"/>
    </w:pPr>
    <w:rPr>
      <w:kern w:val="0"/>
      <w:sz w:val="24"/>
    </w:rPr>
  </w:style>
  <w:style w:type="paragraph" w:customStyle="1" w:styleId="102">
    <w:name w:val="样式 宋体 小四 首行缩进:  1 厘米 行距: 1.5 倍行距"/>
    <w:basedOn w:val="1"/>
    <w:qFormat/>
    <w:uiPriority w:val="0"/>
    <w:pPr>
      <w:spacing w:line="360" w:lineRule="auto"/>
      <w:ind w:firstLine="567"/>
    </w:pPr>
    <w:rPr>
      <w:rFonts w:ascii="宋体"/>
      <w:sz w:val="28"/>
    </w:rPr>
  </w:style>
  <w:style w:type="paragraph" w:customStyle="1" w:styleId="103">
    <w:name w:val="c"/>
    <w:basedOn w:val="1"/>
    <w:link w:val="105"/>
    <w:qFormat/>
    <w:uiPriority w:val="0"/>
    <w:pPr>
      <w:spacing w:line="360" w:lineRule="auto"/>
      <w:ind w:firstLine="480" w:firstLineChars="200"/>
    </w:pPr>
    <w:rPr>
      <w:rFonts w:ascii="宋体" w:hAnsi="宋体" w:cs="Arial"/>
      <w:color w:val="000000"/>
      <w:sz w:val="24"/>
      <w:shd w:val="clear" w:color="auto" w:fill="FFFFFF"/>
    </w:rPr>
  </w:style>
  <w:style w:type="paragraph" w:customStyle="1" w:styleId="104">
    <w:name w:val="修订1"/>
    <w:hidden/>
    <w:unhideWhenUsed/>
    <w:qFormat/>
    <w:uiPriority w:val="99"/>
    <w:rPr>
      <w:rFonts w:ascii="Times New Roman" w:hAnsi="Times New Roman" w:eastAsia="宋体" w:cs="Times New Roman"/>
      <w:kern w:val="2"/>
      <w:sz w:val="21"/>
      <w:lang w:val="en-US" w:eastAsia="zh-CN" w:bidi="ar-SA"/>
    </w:rPr>
  </w:style>
  <w:style w:type="character" w:customStyle="1" w:styleId="105">
    <w:name w:val="c 字符"/>
    <w:link w:val="103"/>
    <w:qFormat/>
    <w:uiPriority w:val="0"/>
    <w:rPr>
      <w:rFonts w:ascii="宋体" w:hAnsi="宋体" w:cs="Arial"/>
      <w:color w:val="000000"/>
      <w:kern w:val="2"/>
      <w:sz w:val="24"/>
    </w:rPr>
  </w:style>
  <w:style w:type="paragraph" w:customStyle="1" w:styleId="106">
    <w:name w:val="e"/>
    <w:basedOn w:val="1"/>
    <w:link w:val="107"/>
    <w:qFormat/>
    <w:uiPriority w:val="0"/>
    <w:pPr>
      <w:jc w:val="center"/>
    </w:pPr>
    <w:rPr>
      <w:rFonts w:ascii="宋体" w:hAnsi="宋体"/>
      <w:bCs/>
      <w:szCs w:val="21"/>
    </w:rPr>
  </w:style>
  <w:style w:type="character" w:customStyle="1" w:styleId="107">
    <w:name w:val="e 字符"/>
    <w:link w:val="106"/>
    <w:qFormat/>
    <w:uiPriority w:val="0"/>
    <w:rPr>
      <w:rFonts w:ascii="宋体" w:hAnsi="宋体"/>
      <w:bCs/>
      <w:kern w:val="2"/>
      <w:sz w:val="21"/>
      <w:szCs w:val="21"/>
    </w:rPr>
  </w:style>
  <w:style w:type="character" w:customStyle="1" w:styleId="108">
    <w:name w:val="批注文字 字符"/>
    <w:link w:val="15"/>
    <w:qFormat/>
    <w:uiPriority w:val="0"/>
    <w:rPr>
      <w:kern w:val="2"/>
      <w:sz w:val="24"/>
      <w:szCs w:val="24"/>
    </w:rPr>
  </w:style>
  <w:style w:type="character" w:customStyle="1" w:styleId="109">
    <w:name w:val="d 字符"/>
    <w:link w:val="110"/>
    <w:qFormat/>
    <w:uiPriority w:val="0"/>
    <w:rPr>
      <w:rFonts w:ascii="宋体" w:hAnsi="宋体"/>
      <w:b/>
      <w:color w:val="000000"/>
      <w:kern w:val="2"/>
      <w:sz w:val="24"/>
      <w:szCs w:val="24"/>
    </w:rPr>
  </w:style>
  <w:style w:type="paragraph" w:customStyle="1" w:styleId="110">
    <w:name w:val="d"/>
    <w:basedOn w:val="71"/>
    <w:link w:val="109"/>
    <w:qFormat/>
    <w:uiPriority w:val="0"/>
    <w:pPr>
      <w:ind w:firstLine="480"/>
    </w:pPr>
    <w:rPr>
      <w:rFonts w:ascii="宋体" w:hAnsi="宋体"/>
      <w:b/>
      <w:color w:val="000000"/>
    </w:rPr>
  </w:style>
  <w:style w:type="paragraph" w:customStyle="1" w:styleId="111">
    <w:name w:val="正文1.5行距"/>
    <w:basedOn w:val="1"/>
    <w:link w:val="112"/>
    <w:qFormat/>
    <w:uiPriority w:val="0"/>
    <w:pPr>
      <w:widowControl/>
      <w:spacing w:line="360" w:lineRule="auto"/>
      <w:ind w:firstLine="200" w:firstLineChars="200"/>
      <w:jc w:val="left"/>
    </w:pPr>
    <w:rPr>
      <w:rFonts w:ascii="宋体" w:hAnsi="宋体"/>
      <w:sz w:val="24"/>
      <w:szCs w:val="24"/>
    </w:rPr>
  </w:style>
  <w:style w:type="character" w:customStyle="1" w:styleId="112">
    <w:name w:val="正文1.5行距 字符"/>
    <w:basedOn w:val="53"/>
    <w:link w:val="111"/>
    <w:qFormat/>
    <w:uiPriority w:val="0"/>
    <w:rPr>
      <w:rFonts w:ascii="宋体" w:hAnsi="宋体"/>
      <w:kern w:val="2"/>
      <w:sz w:val="24"/>
      <w:szCs w:val="24"/>
    </w:rPr>
  </w:style>
  <w:style w:type="paragraph" w:customStyle="1" w:styleId="113">
    <w:name w:val="表格中的内容"/>
    <w:basedOn w:val="1"/>
    <w:qFormat/>
    <w:uiPriority w:val="0"/>
    <w:pPr>
      <w:jc w:val="center"/>
    </w:pPr>
    <w:rPr>
      <w:rFonts w:ascii="宋体" w:hAnsi="Arial"/>
      <w:kern w:val="0"/>
    </w:rPr>
  </w:style>
  <w:style w:type="paragraph" w:customStyle="1" w:styleId="114">
    <w:name w:val="(川设)表内"/>
    <w:basedOn w:val="1"/>
    <w:qFormat/>
    <w:uiPriority w:val="0"/>
    <w:pPr>
      <w:widowControl w:val="0"/>
      <w:adjustRightInd w:val="0"/>
      <w:snapToGrid w:val="0"/>
      <w:spacing w:line="240" w:lineRule="auto"/>
      <w:ind w:firstLine="0" w:firstLineChars="0"/>
      <w:jc w:val="center"/>
    </w:pPr>
    <w:rPr>
      <w:rFonts w:ascii="Times New Roman" w:hAnsi="Times New Roman"/>
      <w:kern w:val="0"/>
      <w:sz w:val="21"/>
      <w:szCs w:val="24"/>
    </w:rPr>
  </w:style>
  <w:style w:type="paragraph" w:customStyle="1" w:styleId="115">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js</Company>
  <Pages>4</Pages>
  <Words>5093</Words>
  <Characters>6004</Characters>
  <Lines>35</Lines>
  <Paragraphs>10</Paragraphs>
  <TotalTime>8</TotalTime>
  <ScaleCrop>false</ScaleCrop>
  <LinksUpToDate>false</LinksUpToDate>
  <CharactersWithSpaces>6036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2021-08-17T08:13:00Z</dcterms:created>
  <dc:creator>lsp</dc:creator>
  <cp:lastModifiedBy>Rise</cp:lastModifiedBy>
  <cp:lastPrinted>2021-10-23T14:55:00Z</cp:lastPrinted>
  <dcterms:modified xsi:type="dcterms:W3CDTF">2025-12-01T11:26:18Z</dcterms:modified>
  <dc:title>总说明</dc:title>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3FCACC4368F74DDBAA553C92C5DB78DE</vt:lpwstr>
  </property>
  <property fmtid="{D5CDD505-2E9C-101B-9397-08002B2CF9AE}" pid="4" name="KSOTemplateDocerSaveRecord">
    <vt:lpwstr>eyJoZGlkIjoiZDMwZDcwZDc2MGQ5ZjkxZjA5ZTFhMDAxNTRhOTVlMDgiLCJ1c2VySWQiOiIxMzYyOTc5NjA1In0=</vt:lpwstr>
  </property>
</Properties>
</file>