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33EAB">
      <w:pPr>
        <w:widowControl/>
        <w:jc w:val="center"/>
        <w:rPr>
          <w:rFonts w:hint="eastAsia" w:ascii="方正小标宋简体" w:hAnsi="等线" w:eastAsia="方正小标宋简体"/>
          <w:b/>
          <w:bCs/>
          <w:color w:val="auto"/>
          <w:sz w:val="52"/>
          <w:szCs w:val="52"/>
          <w:highlight w:val="none"/>
        </w:rPr>
      </w:pPr>
    </w:p>
    <w:p w14:paraId="3717EB0F">
      <w:pPr>
        <w:widowControl/>
        <w:jc w:val="center"/>
        <w:rPr>
          <w:rFonts w:hint="eastAsia" w:ascii="方正小标宋简体" w:hAnsi="等线" w:eastAsia="方正小标宋简体"/>
          <w:b/>
          <w:bCs/>
          <w:color w:val="auto"/>
          <w:sz w:val="52"/>
          <w:szCs w:val="52"/>
          <w:highlight w:val="none"/>
        </w:rPr>
      </w:pPr>
      <w:r>
        <w:rPr>
          <w:rFonts w:hint="eastAsia" w:ascii="方正仿宋_GB2312" w:hAnsi="方正仿宋_GB2312" w:eastAsia="方正仿宋_GB2312" w:cs="方正仿宋_GB2312"/>
          <w:b/>
          <w:bCs/>
          <w:color w:val="auto"/>
          <w:sz w:val="52"/>
          <w:szCs w:val="52"/>
          <w:highlight w:val="none"/>
        </w:rPr>
        <w:t>云之龙咨询集团有限公司</w:t>
      </w:r>
    </w:p>
    <w:p w14:paraId="2BA1647F">
      <w:pPr>
        <w:jc w:val="center"/>
        <w:rPr>
          <w:rFonts w:ascii="方正小标宋简体" w:hAnsi="方正小标宋简体" w:eastAsia="方正小标宋简体" w:cs="方正小标宋简体"/>
          <w:b/>
          <w:color w:val="auto"/>
          <w:sz w:val="44"/>
          <w:szCs w:val="44"/>
          <w:highlight w:val="none"/>
        </w:rPr>
      </w:pPr>
    </w:p>
    <w:p w14:paraId="699918C0">
      <w:pPr>
        <w:spacing w:before="120"/>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招 标 文 件</w:t>
      </w:r>
    </w:p>
    <w:p w14:paraId="31577BEE">
      <w:pPr>
        <w:spacing w:before="120"/>
        <w:jc w:val="center"/>
        <w:rPr>
          <w:rFonts w:ascii="方正仿宋_GB2312" w:hAnsi="宋体" w:eastAsia="方正仿宋_GB2312"/>
          <w:bCs/>
          <w:color w:val="auto"/>
          <w:sz w:val="48"/>
          <w:szCs w:val="48"/>
          <w:highlight w:val="none"/>
        </w:rPr>
      </w:pPr>
      <w:r>
        <w:rPr>
          <w:rFonts w:hint="eastAsia" w:ascii="方正仿宋_GB2312" w:hAnsi="宋体" w:eastAsia="方正仿宋_GB2312"/>
          <w:bCs/>
          <w:color w:val="auto"/>
          <w:sz w:val="48"/>
          <w:szCs w:val="48"/>
          <w:highlight w:val="none"/>
        </w:rPr>
        <w:t>（全流程电子化采购）</w:t>
      </w:r>
    </w:p>
    <w:p w14:paraId="043A2ECF">
      <w:pPr>
        <w:rPr>
          <w:color w:val="auto"/>
          <w:highlight w:val="none"/>
        </w:rPr>
      </w:pPr>
    </w:p>
    <w:p w14:paraId="47226A67">
      <w:pPr>
        <w:rPr>
          <w:rFonts w:ascii="方正仿宋_GB2312" w:hAnsi="宋体" w:eastAsia="方正仿宋_GB2312"/>
          <w:color w:val="auto"/>
          <w:sz w:val="30"/>
          <w:szCs w:val="72"/>
          <w:highlight w:val="none"/>
        </w:rPr>
      </w:pPr>
    </w:p>
    <w:p w14:paraId="0E58DBE5">
      <w:pPr>
        <w:pStyle w:val="23"/>
        <w:ind w:firstLine="1205"/>
        <w:rPr>
          <w:rFonts w:ascii="方正仿宋_GB2312" w:hAnsi="宋体"/>
          <w:b/>
          <w:bCs/>
          <w:color w:val="auto"/>
          <w:sz w:val="30"/>
          <w:szCs w:val="30"/>
          <w:highlight w:val="none"/>
        </w:rPr>
      </w:pPr>
      <w:r>
        <w:rPr>
          <w:rFonts w:hint="eastAsia" w:hAnsi="宋体" w:cs="宋体"/>
          <w:b/>
          <w:bCs/>
          <w:color w:val="auto"/>
          <w:sz w:val="30"/>
          <w:szCs w:val="30"/>
          <w:highlight w:val="none"/>
        </w:rPr>
        <w:t>项目名称：柳州市妇幼保健院眼镜类耗材采购项目</w:t>
      </w:r>
    </w:p>
    <w:p w14:paraId="01F897F1">
      <w:pPr>
        <w:pStyle w:val="23"/>
        <w:ind w:firstLine="1132"/>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bCs/>
          <w:color w:val="auto"/>
          <w:sz w:val="30"/>
          <w:szCs w:val="30"/>
          <w:highlight w:val="none"/>
          <w:lang w:eastAsia="zh-CN"/>
        </w:rPr>
        <w:t>LZZC2026-G1-990376-YZLZ</w:t>
      </w:r>
    </w:p>
    <w:p w14:paraId="38E9B16C">
      <w:pPr>
        <w:pStyle w:val="23"/>
        <w:ind w:firstLine="1132"/>
        <w:rPr>
          <w:rFonts w:hAnsi="宋体" w:cs="宋体"/>
          <w:b/>
          <w:bCs/>
          <w:color w:val="auto"/>
          <w:sz w:val="30"/>
          <w:szCs w:val="30"/>
          <w:highlight w:val="none"/>
        </w:rPr>
      </w:pPr>
      <w:r>
        <w:rPr>
          <w:rFonts w:hint="eastAsia" w:hAnsi="宋体" w:cs="宋体"/>
          <w:b/>
          <w:bCs/>
          <w:color w:val="auto"/>
          <w:sz w:val="30"/>
          <w:szCs w:val="30"/>
          <w:highlight w:val="none"/>
        </w:rPr>
        <w:t>采 购 人：柳州市妇幼保健院</w:t>
      </w:r>
    </w:p>
    <w:p w14:paraId="784850E7">
      <w:pPr>
        <w:pStyle w:val="23"/>
        <w:ind w:firstLine="1132"/>
        <w:rPr>
          <w:rFonts w:hAnsi="宋体" w:cs="宋体"/>
          <w:b/>
          <w:bCs/>
          <w:color w:val="auto"/>
          <w:sz w:val="30"/>
          <w:szCs w:val="30"/>
          <w:highlight w:val="none"/>
        </w:rPr>
      </w:pPr>
      <w:r>
        <w:rPr>
          <w:rFonts w:hint="eastAsia" w:hAnsi="宋体" w:cs="宋体"/>
          <w:b/>
          <w:bCs/>
          <w:color w:val="auto"/>
          <w:sz w:val="30"/>
          <w:szCs w:val="30"/>
          <w:highlight w:val="none"/>
        </w:rPr>
        <w:t>采购代理机构：云之龙咨询集团有限公司</w:t>
      </w:r>
    </w:p>
    <w:p w14:paraId="0954A881">
      <w:pPr>
        <w:pStyle w:val="23"/>
        <w:ind w:firstLine="1125"/>
        <w:rPr>
          <w:rFonts w:ascii="方正仿宋_GB2312" w:hAnsi="宋体" w:eastAsia="方正仿宋_GB2312"/>
          <w:b/>
          <w:bCs/>
          <w:color w:val="auto"/>
          <w:sz w:val="30"/>
          <w:szCs w:val="30"/>
          <w:highlight w:val="none"/>
        </w:rPr>
      </w:pPr>
    </w:p>
    <w:p w14:paraId="0FD116A3">
      <w:pPr>
        <w:pStyle w:val="23"/>
        <w:ind w:firstLine="1125"/>
        <w:rPr>
          <w:rFonts w:ascii="方正仿宋_GB2312" w:hAnsi="宋体" w:eastAsia="方正仿宋_GB2312"/>
          <w:b/>
          <w:bCs/>
          <w:color w:val="auto"/>
          <w:sz w:val="30"/>
          <w:szCs w:val="30"/>
          <w:highlight w:val="none"/>
        </w:rPr>
      </w:pPr>
    </w:p>
    <w:p w14:paraId="635E2069">
      <w:pPr>
        <w:pStyle w:val="23"/>
        <w:jc w:val="center"/>
        <w:rPr>
          <w:rFonts w:ascii="仿宋" w:hAnsi="仿宋" w:eastAsia="仿宋"/>
          <w:color w:val="auto"/>
          <w:szCs w:val="20"/>
          <w:highlight w:val="none"/>
        </w:rPr>
      </w:pPr>
      <w:r>
        <w:rPr>
          <w:rFonts w:hint="eastAsia" w:ascii="仿宋" w:hAnsi="仿宋" w:eastAsia="仿宋"/>
          <w:b/>
          <w:bCs/>
          <w:color w:val="auto"/>
          <w:sz w:val="30"/>
          <w:szCs w:val="30"/>
          <w:highlight w:val="none"/>
          <w:lang w:eastAsia="zh-CN"/>
        </w:rPr>
        <w:t>2026年</w:t>
      </w:r>
      <w:r>
        <w:rPr>
          <w:rFonts w:hint="eastAsia" w:ascii="仿宋" w:hAnsi="仿宋" w:eastAsia="仿宋"/>
          <w:b/>
          <w:bCs/>
          <w:color w:val="auto"/>
          <w:sz w:val="30"/>
          <w:szCs w:val="30"/>
          <w:highlight w:val="none"/>
          <w:lang w:val="en-US" w:eastAsia="zh-CN"/>
        </w:rPr>
        <w:t>7</w:t>
      </w:r>
      <w:r>
        <w:rPr>
          <w:rFonts w:hint="eastAsia" w:ascii="仿宋" w:hAnsi="仿宋" w:eastAsia="仿宋"/>
          <w:b/>
          <w:bCs/>
          <w:color w:val="auto"/>
          <w:sz w:val="30"/>
          <w:szCs w:val="30"/>
          <w:highlight w:val="none"/>
          <w:lang w:eastAsia="zh-CN"/>
        </w:rPr>
        <w:t>月</w:t>
      </w:r>
    </w:p>
    <w:p w14:paraId="2D0E5B00">
      <w:pPr>
        <w:pStyle w:val="23"/>
        <w:spacing w:before="120" w:after="120"/>
        <w:jc w:val="center"/>
        <w:rPr>
          <w:rFonts w:hAnsi="宋体"/>
          <w:b/>
          <w:color w:val="auto"/>
          <w:sz w:val="44"/>
          <w:szCs w:val="44"/>
          <w:highlight w:val="none"/>
        </w:rPr>
      </w:pPr>
      <w:r>
        <w:rPr>
          <w:rFonts w:ascii="方正仿宋_GB2312" w:hAnsi="宋体" w:eastAsia="方正仿宋_GB2312"/>
          <w:color w:val="auto"/>
          <w:highlight w:val="none"/>
        </w:rPr>
        <w:br w:type="page" w:clear="all"/>
      </w:r>
      <w:r>
        <w:rPr>
          <w:rFonts w:hint="eastAsia" w:hAnsi="宋体"/>
          <w:b/>
          <w:color w:val="auto"/>
          <w:sz w:val="44"/>
          <w:szCs w:val="44"/>
          <w:highlight w:val="none"/>
        </w:rPr>
        <w:t>目  录</w:t>
      </w:r>
    </w:p>
    <w:p w14:paraId="1AC5D656">
      <w:pPr>
        <w:spacing w:line="400" w:lineRule="exact"/>
        <w:jc w:val="center"/>
        <w:rPr>
          <w:rFonts w:hAnsi="宋体"/>
          <w:b/>
          <w:color w:val="auto"/>
          <w:sz w:val="44"/>
          <w:szCs w:val="44"/>
          <w:highlight w:val="none"/>
        </w:rPr>
      </w:pPr>
    </w:p>
    <w:p w14:paraId="55F37C6A">
      <w:pPr>
        <w:pStyle w:val="31"/>
        <w:tabs>
          <w:tab w:val="right" w:leader="dot" w:pos="8730"/>
          <w:tab w:val="clear" w:pos="8398"/>
        </w:tabs>
        <w:rPr>
          <w:color w:val="auto"/>
          <w:highlight w:val="none"/>
        </w:rPr>
      </w:pPr>
      <w:bookmarkStart w:id="0" w:name="_Toc254970489"/>
      <w:bookmarkStart w:id="1" w:name="_Toc254970630"/>
      <w:r>
        <w:rPr>
          <w:rFonts w:ascii="方正仿宋_GB2312" w:eastAsia="方正仿宋_GB2312"/>
          <w:bCs w:val="0"/>
          <w:caps w:val="0"/>
          <w:color w:val="auto"/>
          <w:highlight w:val="none"/>
        </w:rPr>
        <w:fldChar w:fldCharType="begin"/>
      </w:r>
      <w:r>
        <w:rPr>
          <w:rFonts w:ascii="方正仿宋_GB2312" w:eastAsia="方正仿宋_GB2312"/>
          <w:bCs w:val="0"/>
          <w:caps w:val="0"/>
          <w:color w:val="auto"/>
          <w:highlight w:val="none"/>
        </w:rPr>
        <w:instrText xml:space="preserve"> TOC \o "1-1" \h \z \u </w:instrText>
      </w:r>
      <w:r>
        <w:rPr>
          <w:rFonts w:ascii="方正仿宋_GB2312" w:eastAsia="方正仿宋_GB2312"/>
          <w:bCs w:val="0"/>
          <w:caps w:val="0"/>
          <w:color w:val="auto"/>
          <w:highlight w:val="none"/>
        </w:rPr>
        <w:fldChar w:fldCharType="separate"/>
      </w:r>
      <w:bookmarkEnd w:id="0"/>
      <w:bookmarkEnd w:id="1"/>
      <w:bookmarkStart w:id="2" w:name="_Hlt175151480"/>
      <w:bookmarkStart w:id="3" w:name="_Hlt175151481"/>
      <w:r>
        <w:rPr>
          <w:rFonts w:ascii="方正仿宋_GB2312" w:eastAsia="方正仿宋_GB2312"/>
          <w:bCs w:val="0"/>
          <w:caps w:val="0"/>
          <w:color w:val="auto"/>
          <w:highlight w:val="none"/>
        </w:rPr>
        <w:fldChar w:fldCharType="begin"/>
      </w:r>
      <w:r>
        <w:rPr>
          <w:rFonts w:ascii="方正仿宋_GB2312" w:eastAsia="方正仿宋_GB2312"/>
          <w:bCs w:val="0"/>
          <w:caps w:val="0"/>
          <w:color w:val="auto"/>
          <w:highlight w:val="none"/>
        </w:rPr>
        <w:instrText xml:space="preserve"> HYPERLINK \l _Toc11942 </w:instrText>
      </w:r>
      <w:r>
        <w:rPr>
          <w:rFonts w:ascii="方正仿宋_GB2312" w:eastAsia="方正仿宋_GB2312"/>
          <w:bCs w:val="0"/>
          <w:caps w:val="0"/>
          <w:color w:val="auto"/>
          <w:highlight w:val="none"/>
        </w:rPr>
        <w:fldChar w:fldCharType="separate"/>
      </w:r>
      <w:r>
        <w:rPr>
          <w:rFonts w:hint="eastAsia"/>
          <w:color w:val="auto"/>
          <w:highlight w:val="none"/>
        </w:rPr>
        <w:t xml:space="preserve">第一章 </w:t>
      </w:r>
      <w:r>
        <w:rPr>
          <w:color w:val="auto"/>
          <w:highlight w:val="none"/>
        </w:rPr>
        <w:t xml:space="preserve"> </w:t>
      </w:r>
      <w:r>
        <w:rPr>
          <w:rFonts w:hint="eastAsia"/>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_Toc11942 \h </w:instrText>
      </w:r>
      <w:r>
        <w:rPr>
          <w:color w:val="auto"/>
          <w:highlight w:val="none"/>
        </w:rPr>
        <w:fldChar w:fldCharType="separate"/>
      </w:r>
      <w:r>
        <w:rPr>
          <w:color w:val="auto"/>
          <w:highlight w:val="none"/>
        </w:rPr>
        <w:t>1</w:t>
      </w:r>
      <w:r>
        <w:rPr>
          <w:color w:val="auto"/>
          <w:highlight w:val="none"/>
        </w:rPr>
        <w:fldChar w:fldCharType="end"/>
      </w:r>
      <w:r>
        <w:rPr>
          <w:rFonts w:ascii="方正仿宋_GB2312" w:eastAsia="方正仿宋_GB2312"/>
          <w:bCs w:val="0"/>
          <w:caps w:val="0"/>
          <w:color w:val="auto"/>
          <w:highlight w:val="none"/>
        </w:rPr>
        <w:fldChar w:fldCharType="end"/>
      </w:r>
    </w:p>
    <w:p w14:paraId="10CB5A64">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"_Toc18551"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_Toc18551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4F35DEB">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"_Toc30637" </w:instrText>
      </w:r>
      <w:r>
        <w:rPr>
          <w:color w:val="auto"/>
          <w:highlight w:val="none"/>
        </w:rPr>
        <w:fldChar w:fldCharType="separate"/>
      </w:r>
      <w:r>
        <w:rPr>
          <w:rFonts w:hint="eastAsia"/>
          <w:color w:val="auto"/>
          <w:highlight w:val="none"/>
        </w:rPr>
        <w:t>第三章  投标人须知</w:t>
      </w:r>
      <w:bookmarkStart w:id="139" w:name="_GoBack"/>
      <w:bookmarkEnd w:id="139"/>
      <w:r>
        <w:rPr>
          <w:color w:val="auto"/>
          <w:highlight w:val="none"/>
        </w:rPr>
        <w:tab/>
      </w:r>
      <w:r>
        <w:rPr>
          <w:color w:val="auto"/>
          <w:highlight w:val="none"/>
        </w:rPr>
        <w:fldChar w:fldCharType="begin"/>
      </w:r>
      <w:r>
        <w:rPr>
          <w:color w:val="auto"/>
          <w:highlight w:val="none"/>
        </w:rPr>
        <w:instrText xml:space="preserve"> PAGEREF _Toc30637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5C1251BE">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"_Toc8510" </w:instrText>
      </w:r>
      <w:r>
        <w:rPr>
          <w:color w:val="auto"/>
          <w:highlight w:val="none"/>
        </w:rPr>
        <w:fldChar w:fldCharType="separate"/>
      </w:r>
      <w:r>
        <w:rPr>
          <w:rFonts w:hint="eastAsia"/>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_Toc8510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5A12CDBE">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"_Toc14177" </w:instrText>
      </w:r>
      <w:r>
        <w:rPr>
          <w:color w:val="auto"/>
          <w:highlight w:val="none"/>
        </w:rPr>
        <w:fldChar w:fldCharType="separate"/>
      </w:r>
      <w:r>
        <w:rPr>
          <w:rFonts w:hint="eastAsia"/>
          <w:color w:val="auto"/>
          <w:highlight w:val="none"/>
        </w:rPr>
        <w:t xml:space="preserve">第五章 </w:t>
      </w:r>
      <w:r>
        <w:rPr>
          <w:color w:val="auto"/>
          <w:highlight w:val="none"/>
        </w:rPr>
        <w:t xml:space="preserve"> </w:t>
      </w:r>
      <w:r>
        <w:rPr>
          <w:rFonts w:hint="eastAsia"/>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_Toc14177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272696D2">
      <w:pPr>
        <w:pStyle w:val="31"/>
        <w:tabs>
          <w:tab w:val="right" w:leader="dot" w:pos="8730"/>
          <w:tab w:val="clear" w:pos="8398"/>
        </w:tabs>
        <w:rPr>
          <w:color w:val="auto"/>
          <w:highlight w:val="none"/>
        </w:rPr>
      </w:pPr>
      <w:r>
        <w:rPr>
          <w:color w:val="auto"/>
          <w:highlight w:val="none"/>
        </w:rPr>
        <w:fldChar w:fldCharType="begin"/>
      </w:r>
      <w:r>
        <w:rPr>
          <w:color w:val="auto"/>
          <w:highlight w:val="none"/>
        </w:rPr>
        <w:instrText xml:space="preserve"> HYPERLINK \l "_Toc21286"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_Toc21286 \h </w:instrText>
      </w:r>
      <w:r>
        <w:rPr>
          <w:color w:val="auto"/>
          <w:highlight w:val="none"/>
        </w:rPr>
        <w:fldChar w:fldCharType="separate"/>
      </w:r>
      <w:r>
        <w:rPr>
          <w:color w:val="auto"/>
          <w:highlight w:val="none"/>
        </w:rPr>
        <w:t>134</w:t>
      </w:r>
      <w:r>
        <w:rPr>
          <w:color w:val="auto"/>
          <w:highlight w:val="none"/>
        </w:rPr>
        <w:fldChar w:fldCharType="end"/>
      </w:r>
      <w:r>
        <w:rPr>
          <w:color w:val="auto"/>
          <w:highlight w:val="none"/>
        </w:rPr>
        <w:fldChar w:fldCharType="end"/>
      </w:r>
    </w:p>
    <w:p w14:paraId="52B1F581">
      <w:pPr>
        <w:spacing w:line="500" w:lineRule="atLeast"/>
        <w:rPr>
          <w:rFonts w:ascii="方正仿宋_GB2312" w:hAnsi="宋体" w:eastAsia="方正仿宋_GB2312"/>
          <w:color w:val="auto"/>
          <w:highlight w:val="none"/>
        </w:rPr>
        <w:sectPr>
          <w:headerReference r:id="rId5" w:type="first"/>
          <w:footerReference r:id="rId6" w:type="first"/>
          <w:pgSz w:w="11910" w:h="16840"/>
          <w:pgMar w:top="1520" w:right="1500" w:bottom="280" w:left="1680" w:header="720" w:footer="720" w:gutter="0"/>
          <w:cols w:space="1701" w:num="1"/>
        </w:sectPr>
      </w:pPr>
      <w:r>
        <w:rPr>
          <w:rFonts w:ascii="方正仿宋_GB2312" w:hAnsi="宋体" w:eastAsia="方正仿宋_GB2312"/>
          <w:bCs/>
          <w:caps/>
          <w:color w:val="auto"/>
          <w:highlight w:val="none"/>
        </w:rPr>
        <w:fldChar w:fldCharType="end"/>
      </w:r>
    </w:p>
    <w:p w14:paraId="1024321A">
      <w:pPr>
        <w:pStyle w:val="2"/>
        <w:keepNext w:val="0"/>
        <w:keepLines w:val="0"/>
        <w:spacing w:before="0" w:after="0"/>
        <w:rPr>
          <w:color w:val="auto"/>
          <w:highlight w:val="none"/>
        </w:rPr>
      </w:pPr>
      <w:bookmarkStart w:id="4" w:name="_Toc11942"/>
      <w:r>
        <w:rPr>
          <w:rFonts w:hint="eastAsia"/>
          <w:color w:val="auto"/>
          <w:highlight w:val="none"/>
        </w:rPr>
        <w:t>第一章</w:t>
      </w:r>
      <w:bookmarkEnd w:id="2"/>
      <w:bookmarkEnd w:id="3"/>
      <w:bookmarkStart w:id="5" w:name="_Toc28359001"/>
      <w:bookmarkStart w:id="6" w:name="_Toc35393789"/>
      <w:r>
        <w:rPr>
          <w:rFonts w:hint="eastAsia"/>
          <w:color w:val="auto"/>
          <w:highlight w:val="none"/>
        </w:rPr>
        <w:t xml:space="preserve"> </w:t>
      </w:r>
      <w:r>
        <w:rPr>
          <w:color w:val="auto"/>
          <w:highlight w:val="none"/>
        </w:rPr>
        <w:t xml:space="preserve"> </w:t>
      </w:r>
      <w:r>
        <w:rPr>
          <w:rFonts w:hint="eastAsia"/>
          <w:color w:val="auto"/>
          <w:highlight w:val="none"/>
        </w:rPr>
        <w:t>招标公告</w:t>
      </w:r>
      <w:bookmarkEnd w:id="4"/>
      <w:bookmarkEnd w:id="5"/>
      <w:bookmarkEnd w:id="6"/>
    </w:p>
    <w:p w14:paraId="57A2D9EC">
      <w:pPr>
        <w:rPr>
          <w:rFonts w:hAnsi="宋体"/>
          <w:color w:val="auto"/>
          <w:szCs w:val="21"/>
          <w:highlight w:val="none"/>
        </w:rPr>
      </w:pPr>
    </w:p>
    <w:p w14:paraId="1D8F21B5">
      <w:pPr>
        <w:pBdr>
          <w:top w:val="single" w:color="000000" w:sz="4" w:space="1"/>
          <w:left w:val="single" w:color="000000" w:sz="4" w:space="4"/>
          <w:bottom w:val="single" w:color="000000" w:sz="4" w:space="1"/>
          <w:right w:val="single" w:color="000000" w:sz="4" w:space="4"/>
        </w:pBdr>
        <w:rPr>
          <w:rFonts w:hAnsi="宋体"/>
          <w:color w:val="auto"/>
          <w:szCs w:val="21"/>
          <w:highlight w:val="none"/>
        </w:rPr>
      </w:pPr>
      <w:r>
        <w:rPr>
          <w:rFonts w:hint="eastAsia" w:hAnsi="宋体"/>
          <w:color w:val="auto"/>
          <w:szCs w:val="21"/>
          <w:highlight w:val="none"/>
        </w:rPr>
        <w:t>项目概况</w:t>
      </w:r>
    </w:p>
    <w:p w14:paraId="170CD09B">
      <w:pPr>
        <w:pBdr>
          <w:top w:val="single" w:color="000000" w:sz="4" w:space="1"/>
          <w:left w:val="single" w:color="000000" w:sz="4" w:space="4"/>
          <w:bottom w:val="single" w:color="000000" w:sz="4" w:space="1"/>
          <w:right w:val="single" w:color="000000" w:sz="4" w:space="4"/>
        </w:pBdr>
        <w:ind w:firstLine="420"/>
        <w:jc w:val="both"/>
        <w:rPr>
          <w:rFonts w:hAnsi="宋体"/>
          <w:color w:val="auto"/>
          <w:szCs w:val="21"/>
          <w:highlight w:val="none"/>
        </w:rPr>
      </w:pPr>
      <w:r>
        <w:rPr>
          <w:rFonts w:hint="eastAsia" w:hAnsi="宋体"/>
          <w:color w:val="auto"/>
          <w:szCs w:val="21"/>
          <w:highlight w:val="none"/>
          <w:u w:val="single"/>
        </w:rPr>
        <w:t>柳州市妇幼保健院眼镜类耗材采购项目</w:t>
      </w:r>
      <w:r>
        <w:rPr>
          <w:rFonts w:hint="eastAsia" w:hAnsi="宋体"/>
          <w:color w:val="auto"/>
          <w:szCs w:val="21"/>
          <w:highlight w:val="none"/>
        </w:rPr>
        <w:t>招标项目的潜在投标人应在广西政府采购云平台（https：//www.gcy.zfcg.gxzf.gov.cn/）获取招标文件，并于</w:t>
      </w:r>
      <w:r>
        <w:rPr>
          <w:rFonts w:hint="eastAsia" w:hAnsi="宋体"/>
          <w:color w:val="auto"/>
          <w:szCs w:val="21"/>
          <w:highlight w:val="none"/>
          <w:lang w:eastAsia="zh-CN"/>
        </w:rPr>
        <w:t>2026年</w:t>
      </w:r>
      <w:r>
        <w:rPr>
          <w:rFonts w:hint="eastAsia" w:hAnsi="宋体"/>
          <w:color w:val="auto"/>
          <w:szCs w:val="21"/>
          <w:highlight w:val="none"/>
          <w:lang w:val="en-US" w:eastAsia="zh-CN"/>
        </w:rPr>
        <w:t>08</w:t>
      </w:r>
      <w:r>
        <w:rPr>
          <w:rFonts w:hint="eastAsia" w:hAnsi="宋体"/>
          <w:color w:val="auto"/>
          <w:szCs w:val="21"/>
          <w:highlight w:val="none"/>
          <w:lang w:eastAsia="zh-CN"/>
        </w:rPr>
        <w:t>月0</w:t>
      </w:r>
      <w:r>
        <w:rPr>
          <w:rFonts w:hint="eastAsia" w:hAnsi="宋体"/>
          <w:color w:val="auto"/>
          <w:szCs w:val="21"/>
          <w:highlight w:val="none"/>
          <w:lang w:val="en-US" w:eastAsia="zh-CN"/>
        </w:rPr>
        <w:t>6</w:t>
      </w:r>
      <w:r>
        <w:rPr>
          <w:rFonts w:hint="eastAsia" w:hAnsi="宋体"/>
          <w:color w:val="auto"/>
          <w:szCs w:val="21"/>
          <w:highlight w:val="none"/>
          <w:lang w:eastAsia="zh-CN"/>
        </w:rPr>
        <w:t>日</w:t>
      </w:r>
      <w:r>
        <w:rPr>
          <w:rFonts w:hAnsi="宋体"/>
          <w:bCs/>
          <w:color w:val="auto"/>
          <w:szCs w:val="21"/>
          <w:highlight w:val="none"/>
        </w:rPr>
        <w:t>09</w:t>
      </w:r>
      <w:r>
        <w:rPr>
          <w:rFonts w:hint="eastAsia" w:hAnsi="宋体"/>
          <w:bCs/>
          <w:color w:val="auto"/>
          <w:szCs w:val="21"/>
          <w:highlight w:val="none"/>
          <w:lang w:eastAsia="zh-CN"/>
        </w:rPr>
        <w:t>:</w:t>
      </w:r>
      <w:r>
        <w:rPr>
          <w:rFonts w:hAnsi="宋体"/>
          <w:bCs/>
          <w:color w:val="auto"/>
          <w:szCs w:val="21"/>
          <w:highlight w:val="none"/>
        </w:rPr>
        <w:t>20</w:t>
      </w:r>
      <w:r>
        <w:rPr>
          <w:rFonts w:hint="eastAsia" w:hAnsi="宋体"/>
          <w:bCs/>
          <w:color w:val="auto"/>
          <w:szCs w:val="21"/>
          <w:highlight w:val="none"/>
        </w:rPr>
        <w:t>（北京时间）前递交投标</w:t>
      </w:r>
      <w:r>
        <w:rPr>
          <w:rFonts w:hAnsi="宋体"/>
          <w:bCs/>
          <w:color w:val="auto"/>
          <w:szCs w:val="21"/>
          <w:highlight w:val="none"/>
        </w:rPr>
        <w:t>文件</w:t>
      </w:r>
      <w:r>
        <w:rPr>
          <w:rFonts w:hint="eastAsia" w:hAnsi="宋体"/>
          <w:color w:val="auto"/>
          <w:szCs w:val="21"/>
          <w:highlight w:val="none"/>
        </w:rPr>
        <w:t>。</w:t>
      </w:r>
    </w:p>
    <w:p w14:paraId="4139F5C4">
      <w:pPr>
        <w:rPr>
          <w:rFonts w:hAnsi="宋体"/>
          <w:color w:val="auto"/>
          <w:szCs w:val="21"/>
          <w:highlight w:val="none"/>
        </w:rPr>
      </w:pPr>
    </w:p>
    <w:p w14:paraId="679640B5">
      <w:pPr>
        <w:pStyle w:val="4"/>
        <w:rPr>
          <w:color w:val="auto"/>
          <w:highlight w:val="none"/>
        </w:rPr>
      </w:pPr>
      <w:bookmarkStart w:id="7" w:name="_Toc28359079"/>
      <w:bookmarkStart w:id="8" w:name="_Toc35393790"/>
      <w:bookmarkStart w:id="9" w:name="_Toc35393621"/>
      <w:bookmarkStart w:id="10" w:name="_Hlk24379207"/>
      <w:bookmarkStart w:id="11" w:name="_Toc28359002"/>
      <w:r>
        <w:rPr>
          <w:rFonts w:hint="eastAsia"/>
          <w:color w:val="auto"/>
          <w:highlight w:val="none"/>
        </w:rPr>
        <w:t>一、项目基本情况</w:t>
      </w:r>
      <w:bookmarkEnd w:id="7"/>
      <w:bookmarkEnd w:id="8"/>
      <w:bookmarkEnd w:id="9"/>
      <w:bookmarkEnd w:id="10"/>
      <w:bookmarkEnd w:id="11"/>
    </w:p>
    <w:p w14:paraId="0A3D5E29">
      <w:pPr>
        <w:ind w:firstLine="420"/>
        <w:rPr>
          <w:rFonts w:hint="eastAsia" w:hAnsi="宋体" w:eastAsia="宋体"/>
          <w:color w:val="auto"/>
          <w:szCs w:val="21"/>
          <w:highlight w:val="none"/>
          <w:lang w:eastAsia="zh-CN"/>
        </w:rPr>
      </w:pPr>
      <w:r>
        <w:rPr>
          <w:rFonts w:hint="eastAsia" w:hAnsi="宋体"/>
          <w:color w:val="auto"/>
          <w:szCs w:val="21"/>
          <w:highlight w:val="none"/>
        </w:rPr>
        <w:t>项目编号：</w:t>
      </w:r>
      <w:r>
        <w:rPr>
          <w:rFonts w:hint="eastAsia" w:hAnsi="宋体"/>
          <w:color w:val="auto"/>
          <w:szCs w:val="21"/>
          <w:highlight w:val="none"/>
          <w:lang w:eastAsia="zh-CN"/>
        </w:rPr>
        <w:t>LZZC2026-G1-990376-YZLZ</w:t>
      </w:r>
    </w:p>
    <w:p w14:paraId="6F520EC7">
      <w:pPr>
        <w:ind w:firstLine="420"/>
        <w:rPr>
          <w:rFonts w:hAnsi="宋体"/>
          <w:color w:val="auto"/>
          <w:szCs w:val="21"/>
          <w:highlight w:val="none"/>
        </w:rPr>
      </w:pPr>
      <w:r>
        <w:rPr>
          <w:rFonts w:hint="eastAsia" w:hAnsi="宋体"/>
          <w:color w:val="auto"/>
          <w:szCs w:val="21"/>
          <w:highlight w:val="none"/>
        </w:rPr>
        <w:t>项目名称：柳州市妇幼保健院眼镜类耗材采购项目</w:t>
      </w:r>
    </w:p>
    <w:p w14:paraId="3A0DD7DD">
      <w:pPr>
        <w:ind w:firstLine="420"/>
        <w:rPr>
          <w:rFonts w:hAnsi="宋体"/>
          <w:color w:val="auto"/>
          <w:szCs w:val="21"/>
          <w:highlight w:val="none"/>
        </w:rPr>
      </w:pPr>
      <w:r>
        <w:rPr>
          <w:rFonts w:hint="eastAsia" w:hAnsi="宋体"/>
          <w:color w:val="auto"/>
          <w:szCs w:val="21"/>
          <w:highlight w:val="none"/>
        </w:rPr>
        <w:t>预算总金额（元）：</w:t>
      </w:r>
      <w:r>
        <w:rPr>
          <w:rFonts w:hint="eastAsia"/>
          <w:color w:val="auto"/>
          <w:highlight w:val="none"/>
        </w:rPr>
        <w:t>2000000</w:t>
      </w:r>
    </w:p>
    <w:p w14:paraId="401EFE98">
      <w:pPr>
        <w:ind w:firstLine="420"/>
        <w:rPr>
          <w:rFonts w:hAnsi="宋体"/>
          <w:color w:val="auto"/>
          <w:szCs w:val="21"/>
          <w:highlight w:val="none"/>
        </w:rPr>
      </w:pPr>
      <w:r>
        <w:rPr>
          <w:rFonts w:hint="eastAsia" w:hAnsi="宋体"/>
          <w:color w:val="auto"/>
          <w:szCs w:val="21"/>
          <w:highlight w:val="none"/>
        </w:rPr>
        <w:t>采购需求：</w:t>
      </w:r>
    </w:p>
    <w:p w14:paraId="0019E7BD">
      <w:pPr>
        <w:rPr>
          <w:rFonts w:hAnsi="Calibri"/>
          <w:color w:val="auto"/>
          <w:szCs w:val="21"/>
          <w:highlight w:val="none"/>
        </w:rPr>
      </w:pPr>
    </w:p>
    <w:p w14:paraId="7CDBDAF4">
      <w:pPr>
        <w:rPr>
          <w:rFonts w:hAnsi="宋体"/>
          <w:color w:val="auto"/>
          <w:szCs w:val="21"/>
          <w:highlight w:val="none"/>
        </w:rPr>
      </w:pPr>
      <w:r>
        <w:rPr>
          <w:rFonts w:hint="eastAsia" w:hAnsi="宋体"/>
          <w:color w:val="auto"/>
          <w:szCs w:val="21"/>
          <w:highlight w:val="none"/>
        </w:rPr>
        <w:t>标项名称：柳州市妇幼保健院眼镜类耗材采购项目</w:t>
      </w:r>
    </w:p>
    <w:p w14:paraId="196BC3AC">
      <w:pPr>
        <w:rPr>
          <w:rFonts w:hAnsi="宋体"/>
          <w:color w:val="auto"/>
          <w:szCs w:val="21"/>
          <w:highlight w:val="none"/>
        </w:rPr>
      </w:pPr>
      <w:r>
        <w:rPr>
          <w:rFonts w:hint="eastAsia" w:hAnsi="宋体"/>
          <w:color w:val="auto"/>
          <w:szCs w:val="21"/>
          <w:highlight w:val="none"/>
        </w:rPr>
        <w:t>数量：1</w:t>
      </w:r>
    </w:p>
    <w:p w14:paraId="563E5681">
      <w:pPr>
        <w:rPr>
          <w:rFonts w:hAnsi="宋体"/>
          <w:color w:val="auto"/>
          <w:szCs w:val="21"/>
          <w:highlight w:val="none"/>
        </w:rPr>
      </w:pPr>
      <w:r>
        <w:rPr>
          <w:rFonts w:hint="eastAsia" w:hAnsi="宋体"/>
          <w:color w:val="auto"/>
          <w:szCs w:val="21"/>
          <w:highlight w:val="none"/>
        </w:rPr>
        <w:t>预算金额（元）：</w:t>
      </w:r>
      <w:r>
        <w:rPr>
          <w:rFonts w:hint="eastAsia"/>
          <w:color w:val="auto"/>
          <w:highlight w:val="none"/>
        </w:rPr>
        <w:t>2000000</w:t>
      </w:r>
    </w:p>
    <w:p w14:paraId="30897578">
      <w:pPr>
        <w:rPr>
          <w:rFonts w:hAnsi="宋体"/>
          <w:color w:val="auto"/>
          <w:szCs w:val="21"/>
          <w:highlight w:val="none"/>
        </w:rPr>
      </w:pPr>
      <w:r>
        <w:rPr>
          <w:rFonts w:hint="eastAsia" w:hAnsi="宋体"/>
          <w:color w:val="auto"/>
          <w:szCs w:val="21"/>
          <w:highlight w:val="none"/>
        </w:rPr>
        <w:t>简要规格描述或项目基本概况介绍、用途：标的名称：散瞳专用防护镜等；简要规格描述：拟采购眼镜架及眼镜片1批，具体内容详见采购需求。</w:t>
      </w:r>
    </w:p>
    <w:p w14:paraId="6B762F68">
      <w:pPr>
        <w:rPr>
          <w:rFonts w:hAnsi="宋体"/>
          <w:color w:val="auto"/>
          <w:szCs w:val="21"/>
          <w:highlight w:val="none"/>
        </w:rPr>
      </w:pPr>
      <w:r>
        <w:rPr>
          <w:rFonts w:hint="eastAsia" w:hAnsi="宋体"/>
          <w:color w:val="auto"/>
          <w:szCs w:val="21"/>
          <w:highlight w:val="none"/>
        </w:rPr>
        <w:t>最高限价（如有）：</w:t>
      </w:r>
      <w:r>
        <w:rPr>
          <w:rFonts w:hint="eastAsia"/>
          <w:color w:val="auto"/>
          <w:highlight w:val="none"/>
        </w:rPr>
        <w:t>2000000</w:t>
      </w:r>
    </w:p>
    <w:p w14:paraId="3005A2D7">
      <w:pPr>
        <w:rPr>
          <w:rFonts w:hAnsi="宋体"/>
          <w:color w:val="auto"/>
          <w:szCs w:val="21"/>
          <w:highlight w:val="none"/>
        </w:rPr>
      </w:pPr>
      <w:r>
        <w:rPr>
          <w:rFonts w:hint="eastAsia" w:hAnsi="宋体"/>
          <w:color w:val="auto"/>
          <w:szCs w:val="21"/>
          <w:highlight w:val="none"/>
        </w:rPr>
        <w:t>合同履约期限：</w:t>
      </w:r>
      <w:r>
        <w:rPr>
          <w:rFonts w:hint="eastAsia" w:hAnsi="宋体"/>
          <w:color w:val="auto"/>
          <w:szCs w:val="21"/>
          <w:highlight w:val="none"/>
          <w:lang w:eastAsia="zh-CN"/>
        </w:rPr>
        <w:t>自签订合同之日起12个月或采购金额达预算金额，合同即终止。</w:t>
      </w:r>
    </w:p>
    <w:p w14:paraId="6344E7E6">
      <w:pPr>
        <w:rPr>
          <w:rFonts w:hAnsi="宋体"/>
          <w:color w:val="auto"/>
          <w:szCs w:val="21"/>
          <w:highlight w:val="none"/>
        </w:rPr>
      </w:pPr>
      <w:r>
        <w:rPr>
          <w:rFonts w:hint="eastAsia" w:hAnsi="宋体"/>
          <w:color w:val="auto"/>
          <w:szCs w:val="21"/>
          <w:highlight w:val="none"/>
        </w:rPr>
        <w:t>本项目（否）接受联合体投标</w:t>
      </w:r>
    </w:p>
    <w:p w14:paraId="65813B91">
      <w:pPr>
        <w:rPr>
          <w:rFonts w:hAnsi="宋体"/>
          <w:color w:val="auto"/>
          <w:szCs w:val="21"/>
          <w:highlight w:val="none"/>
        </w:rPr>
      </w:pPr>
      <w:r>
        <w:rPr>
          <w:rFonts w:hint="eastAsia" w:hAnsi="宋体"/>
          <w:color w:val="auto"/>
          <w:szCs w:val="21"/>
          <w:highlight w:val="none"/>
        </w:rPr>
        <w:t>备注：本项目为线上电子招标项目，采用远程异地评标，有意向参与本项目的供应商应当做好参与全流程电子招投标交易的充分准备。</w:t>
      </w:r>
    </w:p>
    <w:p w14:paraId="29D721CA">
      <w:pPr>
        <w:pStyle w:val="4"/>
        <w:rPr>
          <w:color w:val="auto"/>
          <w:highlight w:val="none"/>
        </w:rPr>
      </w:pPr>
      <w:bookmarkStart w:id="12" w:name="_Toc28359003"/>
      <w:bookmarkStart w:id="13" w:name="_Toc35393791"/>
      <w:bookmarkStart w:id="14" w:name="_Toc28359080"/>
      <w:bookmarkStart w:id="15" w:name="_Toc35393622"/>
      <w:r>
        <w:rPr>
          <w:rFonts w:hint="eastAsia"/>
          <w:color w:val="auto"/>
          <w:highlight w:val="none"/>
        </w:rPr>
        <w:t>二、申请人的资格要求：</w:t>
      </w:r>
      <w:bookmarkEnd w:id="12"/>
      <w:bookmarkEnd w:id="13"/>
      <w:bookmarkEnd w:id="14"/>
      <w:bookmarkEnd w:id="15"/>
    </w:p>
    <w:p w14:paraId="3D37FC61">
      <w:pPr>
        <w:ind w:firstLine="420"/>
        <w:rPr>
          <w:rFonts w:hAnsi="宋体"/>
          <w:color w:val="auto"/>
          <w:szCs w:val="21"/>
          <w:highlight w:val="none"/>
        </w:rPr>
      </w:pPr>
      <w:bookmarkStart w:id="16" w:name="_Hlk51746371"/>
      <w:bookmarkStart w:id="17" w:name="_Toc28359004"/>
      <w:bookmarkStart w:id="18" w:name="_Toc35393623"/>
      <w:bookmarkStart w:id="19" w:name="_Toc28359081"/>
      <w:bookmarkStart w:id="20" w:name="_Toc35393792"/>
      <w:r>
        <w:rPr>
          <w:rFonts w:hint="eastAsia" w:hAnsi="宋体"/>
          <w:color w:val="auto"/>
          <w:szCs w:val="21"/>
          <w:highlight w:val="none"/>
        </w:rPr>
        <w:t>1.满足《中华人民共和国政府采购法》第二十二条规定；</w:t>
      </w:r>
    </w:p>
    <w:p w14:paraId="27D9DF58">
      <w:pPr>
        <w:ind w:firstLine="420"/>
        <w:rPr>
          <w:rFonts w:hAnsi="宋体"/>
          <w:color w:val="auto"/>
          <w:szCs w:val="21"/>
          <w:highlight w:val="none"/>
        </w:rPr>
      </w:pPr>
      <w:r>
        <w:rPr>
          <w:rFonts w:hAnsi="宋体"/>
          <w:color w:val="auto"/>
          <w:szCs w:val="21"/>
          <w:highlight w:val="none"/>
        </w:rPr>
        <w:t>2</w:t>
      </w:r>
      <w:r>
        <w:rPr>
          <w:rFonts w:hint="eastAsia" w:hAnsi="宋体"/>
          <w:color w:val="auto"/>
          <w:szCs w:val="21"/>
          <w:highlight w:val="none"/>
        </w:rPr>
        <w:t>.落实政府采购政策需满足的资格要求：</w:t>
      </w:r>
      <w:r>
        <w:rPr>
          <w:rFonts w:hint="eastAsia"/>
          <w:color w:val="auto"/>
          <w:highlight w:val="none"/>
        </w:rPr>
        <w:t>本项目专门面向中小微企业，制造商必须为中型或小型或微型企业（监狱企业、残疾人福利单位视同小微企业），投标文件中必须提供中小企业声明函或残疾人福利性单位声明函或供应商属于监狱企业的证明材料，</w:t>
      </w:r>
      <w:r>
        <w:rPr>
          <w:rFonts w:hint="eastAsia"/>
          <w:b/>
          <w:bCs/>
          <w:color w:val="auto"/>
          <w:highlight w:val="none"/>
        </w:rPr>
        <w:t>否则投标文件按无效投标处理</w:t>
      </w:r>
      <w:r>
        <w:rPr>
          <w:rFonts w:hint="eastAsia"/>
          <w:color w:val="auto"/>
          <w:highlight w:val="none"/>
        </w:rPr>
        <w:t>。</w:t>
      </w:r>
    </w:p>
    <w:p w14:paraId="35C658AA">
      <w:pPr>
        <w:ind w:firstLine="420" w:firstLineChars="200"/>
        <w:rPr>
          <w:rFonts w:hAnsi="宋体"/>
          <w:color w:val="auto"/>
          <w:highlight w:val="none"/>
        </w:rPr>
      </w:pPr>
      <w:r>
        <w:rPr>
          <w:rFonts w:hint="eastAsia" w:hAnsi="宋体"/>
          <w:color w:val="auto"/>
          <w:szCs w:val="21"/>
          <w:highlight w:val="none"/>
        </w:rPr>
        <w:t>3.本项目的特定资格要求：</w:t>
      </w:r>
      <w:bookmarkEnd w:id="16"/>
      <w:r>
        <w:rPr>
          <w:rFonts w:hint="eastAsia"/>
          <w:color w:val="auto"/>
          <w:highlight w:val="none"/>
        </w:rPr>
        <w:t>无</w:t>
      </w:r>
    </w:p>
    <w:p w14:paraId="539C2A89">
      <w:pPr>
        <w:pStyle w:val="4"/>
        <w:rPr>
          <w:color w:val="auto"/>
          <w:highlight w:val="none"/>
        </w:rPr>
      </w:pPr>
      <w:r>
        <w:rPr>
          <w:rFonts w:hint="eastAsia"/>
          <w:color w:val="auto"/>
          <w:highlight w:val="none"/>
        </w:rPr>
        <w:t>三、获取招标文件</w:t>
      </w:r>
      <w:bookmarkEnd w:id="17"/>
      <w:bookmarkEnd w:id="18"/>
      <w:bookmarkEnd w:id="19"/>
      <w:bookmarkEnd w:id="20"/>
    </w:p>
    <w:p w14:paraId="2918BC7D">
      <w:pPr>
        <w:widowControl/>
        <w:ind w:firstLine="420"/>
        <w:rPr>
          <w:rFonts w:hAnsi="Calibri"/>
          <w:color w:val="auto"/>
          <w:szCs w:val="21"/>
          <w:highlight w:val="none"/>
        </w:rPr>
      </w:pPr>
      <w:r>
        <w:rPr>
          <w:rFonts w:hint="eastAsia" w:hAnsi="Calibri"/>
          <w:color w:val="auto"/>
          <w:szCs w:val="21"/>
          <w:highlight w:val="none"/>
        </w:rPr>
        <w:t>时间：2026年0</w:t>
      </w:r>
      <w:r>
        <w:rPr>
          <w:rFonts w:hint="eastAsia" w:hAnsi="Calibri"/>
          <w:color w:val="auto"/>
          <w:szCs w:val="21"/>
          <w:highlight w:val="none"/>
          <w:lang w:val="en-US" w:eastAsia="zh-CN"/>
        </w:rPr>
        <w:t>7</w:t>
      </w:r>
      <w:r>
        <w:rPr>
          <w:rFonts w:hint="eastAsia" w:hAnsi="Calibri"/>
          <w:color w:val="auto"/>
          <w:szCs w:val="21"/>
          <w:highlight w:val="none"/>
        </w:rPr>
        <w:t>月</w:t>
      </w:r>
      <w:r>
        <w:rPr>
          <w:rFonts w:hint="eastAsia" w:hAnsi="Calibri"/>
          <w:color w:val="auto"/>
          <w:szCs w:val="21"/>
          <w:highlight w:val="none"/>
          <w:lang w:val="en-US" w:eastAsia="zh-CN"/>
        </w:rPr>
        <w:t>16</w:t>
      </w:r>
      <w:r>
        <w:rPr>
          <w:rFonts w:hint="eastAsia" w:hAnsi="Calibri"/>
          <w:color w:val="auto"/>
          <w:szCs w:val="21"/>
          <w:highlight w:val="none"/>
          <w:lang w:eastAsia="zh-CN"/>
        </w:rPr>
        <w:t>日至2026年0</w:t>
      </w:r>
      <w:r>
        <w:rPr>
          <w:rFonts w:hint="eastAsia" w:hAnsi="Calibri"/>
          <w:color w:val="auto"/>
          <w:szCs w:val="21"/>
          <w:highlight w:val="none"/>
          <w:lang w:val="en-US" w:eastAsia="zh-CN"/>
        </w:rPr>
        <w:t>7</w:t>
      </w:r>
      <w:r>
        <w:rPr>
          <w:rFonts w:hint="eastAsia" w:hAnsi="Calibri"/>
          <w:color w:val="auto"/>
          <w:szCs w:val="21"/>
          <w:highlight w:val="none"/>
          <w:lang w:eastAsia="zh-CN"/>
        </w:rPr>
        <w:t>月</w:t>
      </w:r>
      <w:r>
        <w:rPr>
          <w:rFonts w:hint="eastAsia" w:hAnsi="Calibri"/>
          <w:color w:val="auto"/>
          <w:szCs w:val="21"/>
          <w:highlight w:val="none"/>
          <w:lang w:val="en-US" w:eastAsia="zh-CN"/>
        </w:rPr>
        <w:t>23</w:t>
      </w:r>
      <w:r>
        <w:rPr>
          <w:rFonts w:hint="eastAsia" w:hAnsi="Calibri"/>
          <w:color w:val="auto"/>
          <w:szCs w:val="21"/>
          <w:highlight w:val="none"/>
        </w:rPr>
        <w:t>日，每天上午00:00:00至12:00:00，下午12:00:00至23:59:59（北京时间，法定节假日除外）</w:t>
      </w:r>
    </w:p>
    <w:p w14:paraId="6BAC820E">
      <w:pPr>
        <w:widowControl/>
        <w:ind w:firstLine="420"/>
        <w:rPr>
          <w:rFonts w:hAnsi="宋体" w:cs="宋体"/>
          <w:color w:val="auto"/>
          <w:szCs w:val="21"/>
          <w:highlight w:val="none"/>
        </w:rPr>
      </w:pPr>
      <w:r>
        <w:rPr>
          <w:rFonts w:hint="eastAsia" w:hAnsi="Calibri"/>
          <w:color w:val="auto"/>
          <w:szCs w:val="21"/>
          <w:highlight w:val="none"/>
        </w:rPr>
        <w:t>地点（网址）：</w:t>
      </w:r>
      <w:r>
        <w:rPr>
          <w:rFonts w:hint="eastAsia" w:hAnsi="宋体" w:cs="宋体"/>
          <w:bCs/>
          <w:color w:val="auto"/>
          <w:szCs w:val="21"/>
          <w:highlight w:val="none"/>
        </w:rPr>
        <w:t>广西政府采购云平台（https：//www.gcy.zfcg.gxzf.gov.cn/）</w:t>
      </w:r>
      <w:r>
        <w:rPr>
          <w:rFonts w:hint="eastAsia" w:hAnsi="宋体" w:cs="宋体"/>
          <w:color w:val="auto"/>
          <w:szCs w:val="21"/>
          <w:highlight w:val="none"/>
        </w:rPr>
        <w:t xml:space="preserve"> </w:t>
      </w:r>
    </w:p>
    <w:p w14:paraId="540650F7">
      <w:pPr>
        <w:widowControl/>
        <w:ind w:firstLine="420"/>
        <w:rPr>
          <w:rFonts w:hAnsi="宋体" w:cs="宋体"/>
          <w:color w:val="auto"/>
          <w:szCs w:val="21"/>
          <w:highlight w:val="none"/>
        </w:rPr>
      </w:pPr>
      <w:r>
        <w:rPr>
          <w:rFonts w:hint="eastAsia" w:hAnsi="宋体" w:cs="宋体"/>
          <w:color w:val="auto"/>
          <w:szCs w:val="21"/>
          <w:highlight w:val="none"/>
        </w:rPr>
        <w:t>方式：</w:t>
      </w:r>
      <w:r>
        <w:rPr>
          <w:rFonts w:hint="eastAsia" w:hAnsi="宋体" w:cs="宋体"/>
          <w:bCs/>
          <w:color w:val="auto"/>
          <w:szCs w:val="21"/>
          <w:highlight w:val="none"/>
        </w:rPr>
        <w:t>网上下载。本项目不提供纸质文件，潜在供应商需使用账号登录或者使用CA登录广西政府采购云平台（https：//www.gcy.zfcg.gxzf.gov.cn/）</w:t>
      </w:r>
      <w:r>
        <w:rPr>
          <w:rFonts w:hint="eastAsia" w:hAnsi="宋体" w:cs="宋体"/>
          <w:color w:val="auto"/>
          <w:szCs w:val="21"/>
          <w:highlight w:val="none"/>
        </w:rPr>
        <w:t xml:space="preserve"> </w:t>
      </w:r>
      <w:r>
        <w:rPr>
          <w:rFonts w:hint="eastAsia" w:hAnsi="宋体" w:cs="宋体"/>
          <w:color w:val="auto"/>
          <w:szCs w:val="21"/>
          <w:highlight w:val="none"/>
          <w:lang w:eastAsia="zh-CN"/>
        </w:rPr>
        <w:t>－</w:t>
      </w:r>
      <w:r>
        <w:rPr>
          <w:rFonts w:hint="eastAsia" w:hAnsi="宋体" w:cs="宋体"/>
          <w:bCs/>
          <w:color w:val="auto"/>
          <w:szCs w:val="21"/>
          <w:highlight w:val="none"/>
        </w:rPr>
        <w:t>进入“项目采购”应用，在获取采购文件菜单中选择项目，获取招标文件（或在“广西政府采购云电子投标客户端</w:t>
      </w:r>
      <w:r>
        <w:rPr>
          <w:rFonts w:hint="eastAsia" w:hAnsi="宋体" w:cs="宋体"/>
          <w:bCs/>
          <w:color w:val="auto"/>
          <w:szCs w:val="21"/>
          <w:highlight w:val="none"/>
          <w:lang w:eastAsia="zh-CN"/>
        </w:rPr>
        <w:t>－</w:t>
      </w:r>
      <w:r>
        <w:rPr>
          <w:rFonts w:hint="eastAsia" w:hAnsi="宋体" w:cs="宋体"/>
          <w:bCs/>
          <w:color w:val="auto"/>
          <w:szCs w:val="21"/>
          <w:highlight w:val="none"/>
        </w:rPr>
        <w:t>获取采购文件”跳转到广西政府采购云系统获取）。</w:t>
      </w:r>
      <w:r>
        <w:rPr>
          <w:rFonts w:hint="eastAsia" w:hAnsi="宋体"/>
          <w:color w:val="auto"/>
          <w:szCs w:val="21"/>
          <w:highlight w:val="none"/>
        </w:rPr>
        <w:t>电子投标文件制作需要基于“广西政府采购云”平台获取的招标文件编制，</w:t>
      </w:r>
      <w:r>
        <w:rPr>
          <w:rFonts w:hint="eastAsia" w:hAnsi="宋体" w:cs="宋体"/>
          <w:bCs/>
          <w:color w:val="auto"/>
          <w:szCs w:val="21"/>
          <w:highlight w:val="none"/>
        </w:rPr>
        <w:t>通过其他方式获取招标文件的，将有可能导致供应商无法在</w:t>
      </w:r>
      <w:r>
        <w:rPr>
          <w:rFonts w:hint="eastAsia" w:hAnsi="宋体"/>
          <w:color w:val="auto"/>
          <w:szCs w:val="21"/>
          <w:highlight w:val="none"/>
        </w:rPr>
        <w:t>“广西政府采购云”</w:t>
      </w:r>
      <w:r>
        <w:rPr>
          <w:rFonts w:hint="eastAsia" w:hAnsi="宋体" w:cs="宋体"/>
          <w:bCs/>
          <w:color w:val="auto"/>
          <w:szCs w:val="21"/>
          <w:highlight w:val="none"/>
        </w:rPr>
        <w:t>平台编制及上传投标文件。</w:t>
      </w:r>
    </w:p>
    <w:p w14:paraId="115CF391">
      <w:pPr>
        <w:widowControl/>
        <w:ind w:firstLine="420"/>
        <w:rPr>
          <w:rFonts w:hAnsi="Calibri"/>
          <w:color w:val="auto"/>
          <w:szCs w:val="21"/>
          <w:highlight w:val="none"/>
        </w:rPr>
      </w:pPr>
      <w:r>
        <w:rPr>
          <w:rFonts w:hint="eastAsia" w:hAnsi="Calibri"/>
          <w:color w:val="auto"/>
          <w:szCs w:val="21"/>
          <w:highlight w:val="none"/>
        </w:rPr>
        <w:t>售价（元）：0</w:t>
      </w:r>
    </w:p>
    <w:p w14:paraId="35F8C15E">
      <w:pPr>
        <w:pStyle w:val="4"/>
        <w:rPr>
          <w:color w:val="auto"/>
          <w:highlight w:val="none"/>
        </w:rPr>
      </w:pPr>
      <w:bookmarkStart w:id="21" w:name="_Toc28359082"/>
      <w:bookmarkStart w:id="22" w:name="_Toc28359005"/>
      <w:bookmarkStart w:id="23" w:name="_Toc35393793"/>
      <w:bookmarkStart w:id="24" w:name="_Toc35393624"/>
      <w:r>
        <w:rPr>
          <w:rFonts w:hint="eastAsia"/>
          <w:color w:val="auto"/>
          <w:highlight w:val="none"/>
        </w:rPr>
        <w:t>四、提交投标文件</w:t>
      </w:r>
      <w:bookmarkEnd w:id="21"/>
      <w:bookmarkEnd w:id="22"/>
      <w:r>
        <w:rPr>
          <w:rFonts w:hint="eastAsia"/>
          <w:color w:val="auto"/>
          <w:highlight w:val="none"/>
        </w:rPr>
        <w:t>截止时间、开标时间和地点</w:t>
      </w:r>
      <w:bookmarkEnd w:id="23"/>
      <w:bookmarkEnd w:id="24"/>
    </w:p>
    <w:p w14:paraId="231EF5C3">
      <w:pPr>
        <w:widowControl/>
        <w:ind w:firstLine="420"/>
        <w:rPr>
          <w:rFonts w:hAnsi="Calibri"/>
          <w:color w:val="auto"/>
          <w:szCs w:val="21"/>
          <w:highlight w:val="none"/>
        </w:rPr>
      </w:pPr>
      <w:bookmarkStart w:id="25" w:name="_Toc28359007"/>
      <w:bookmarkStart w:id="26" w:name="_Toc28359084"/>
      <w:bookmarkStart w:id="27" w:name="_Toc35393625"/>
      <w:bookmarkStart w:id="28" w:name="_Toc35393794"/>
      <w:r>
        <w:rPr>
          <w:rFonts w:hint="eastAsia" w:hAnsi="Calibri"/>
          <w:color w:val="auto"/>
          <w:szCs w:val="21"/>
          <w:highlight w:val="none"/>
        </w:rPr>
        <w:t>提交投标文件截止时间：</w:t>
      </w:r>
      <w:r>
        <w:rPr>
          <w:rFonts w:hint="eastAsia" w:hAnsi="宋体"/>
          <w:color w:val="auto"/>
          <w:szCs w:val="21"/>
          <w:highlight w:val="none"/>
          <w:lang w:eastAsia="zh-CN"/>
        </w:rPr>
        <w:t>2026年</w:t>
      </w:r>
      <w:r>
        <w:rPr>
          <w:rFonts w:hint="eastAsia" w:hAnsi="宋体"/>
          <w:color w:val="auto"/>
          <w:szCs w:val="21"/>
          <w:highlight w:val="none"/>
          <w:lang w:val="en-US" w:eastAsia="zh-CN"/>
        </w:rPr>
        <w:t>08</w:t>
      </w:r>
      <w:r>
        <w:rPr>
          <w:rFonts w:hint="eastAsia" w:hAnsi="宋体"/>
          <w:color w:val="auto"/>
          <w:szCs w:val="21"/>
          <w:highlight w:val="none"/>
          <w:lang w:eastAsia="zh-CN"/>
        </w:rPr>
        <w:t>月0</w:t>
      </w:r>
      <w:r>
        <w:rPr>
          <w:rFonts w:hint="eastAsia" w:hAnsi="宋体"/>
          <w:color w:val="auto"/>
          <w:szCs w:val="21"/>
          <w:highlight w:val="none"/>
          <w:lang w:val="en-US" w:eastAsia="zh-CN"/>
        </w:rPr>
        <w:t>6</w:t>
      </w:r>
      <w:r>
        <w:rPr>
          <w:rFonts w:hint="eastAsia" w:hAnsi="宋体"/>
          <w:color w:val="auto"/>
          <w:szCs w:val="21"/>
          <w:highlight w:val="none"/>
          <w:lang w:eastAsia="zh-CN"/>
        </w:rPr>
        <w:t>日</w:t>
      </w:r>
      <w:r>
        <w:rPr>
          <w:rFonts w:hint="eastAsia" w:hAnsi="Calibri"/>
          <w:color w:val="auto"/>
          <w:szCs w:val="21"/>
          <w:highlight w:val="none"/>
        </w:rPr>
        <w:t>09</w:t>
      </w:r>
      <w:r>
        <w:rPr>
          <w:rFonts w:hint="eastAsia" w:hAnsi="Calibri"/>
          <w:color w:val="auto"/>
          <w:szCs w:val="21"/>
          <w:highlight w:val="none"/>
          <w:lang w:eastAsia="zh-CN"/>
        </w:rPr>
        <w:t>:</w:t>
      </w:r>
      <w:r>
        <w:rPr>
          <w:rFonts w:hint="eastAsia" w:hAnsi="Calibri"/>
          <w:color w:val="auto"/>
          <w:szCs w:val="21"/>
          <w:highlight w:val="none"/>
        </w:rPr>
        <w:t>20（北京时间）</w:t>
      </w:r>
    </w:p>
    <w:p w14:paraId="6E4B4E69">
      <w:pPr>
        <w:widowControl/>
        <w:ind w:firstLine="420"/>
        <w:rPr>
          <w:rFonts w:hAnsi="Calibri"/>
          <w:color w:val="auto"/>
          <w:szCs w:val="21"/>
          <w:highlight w:val="none"/>
        </w:rPr>
      </w:pPr>
      <w:r>
        <w:rPr>
          <w:rFonts w:hint="eastAsia" w:hAnsi="Calibri"/>
          <w:color w:val="auto"/>
          <w:szCs w:val="21"/>
          <w:highlight w:val="none"/>
        </w:rPr>
        <w:t>投标地点（网址）：</w:t>
      </w:r>
      <w:r>
        <w:rPr>
          <w:rFonts w:hint="eastAsia" w:hAnsi="宋体" w:cs="宋体"/>
          <w:bCs/>
          <w:color w:val="auto"/>
          <w:szCs w:val="21"/>
          <w:highlight w:val="none"/>
        </w:rPr>
        <w:t>广西政府采购云平台（https：//www.gcy.zfcg.gxzf.gov.cn/）</w:t>
      </w:r>
    </w:p>
    <w:p w14:paraId="5A0C05C2">
      <w:pPr>
        <w:widowControl/>
        <w:ind w:firstLine="420"/>
        <w:rPr>
          <w:rFonts w:hAnsi="Calibri"/>
          <w:color w:val="auto"/>
          <w:szCs w:val="21"/>
          <w:highlight w:val="none"/>
        </w:rPr>
      </w:pPr>
      <w:r>
        <w:rPr>
          <w:rFonts w:hint="eastAsia" w:hAnsi="Calibri"/>
          <w:color w:val="auto"/>
          <w:szCs w:val="21"/>
          <w:highlight w:val="none"/>
        </w:rPr>
        <w:t>开标时间：</w:t>
      </w:r>
      <w:r>
        <w:rPr>
          <w:rFonts w:hint="eastAsia" w:hAnsi="宋体"/>
          <w:color w:val="auto"/>
          <w:szCs w:val="21"/>
          <w:highlight w:val="none"/>
          <w:lang w:eastAsia="zh-CN"/>
        </w:rPr>
        <w:t>2026年</w:t>
      </w:r>
      <w:r>
        <w:rPr>
          <w:rFonts w:hint="eastAsia" w:hAnsi="宋体"/>
          <w:color w:val="auto"/>
          <w:szCs w:val="21"/>
          <w:highlight w:val="none"/>
          <w:lang w:val="en-US" w:eastAsia="zh-CN"/>
        </w:rPr>
        <w:t>08</w:t>
      </w:r>
      <w:r>
        <w:rPr>
          <w:rFonts w:hint="eastAsia" w:hAnsi="宋体"/>
          <w:color w:val="auto"/>
          <w:szCs w:val="21"/>
          <w:highlight w:val="none"/>
          <w:lang w:eastAsia="zh-CN"/>
        </w:rPr>
        <w:t>月0</w:t>
      </w:r>
      <w:r>
        <w:rPr>
          <w:rFonts w:hint="eastAsia" w:hAnsi="宋体"/>
          <w:color w:val="auto"/>
          <w:szCs w:val="21"/>
          <w:highlight w:val="none"/>
          <w:lang w:val="en-US" w:eastAsia="zh-CN"/>
        </w:rPr>
        <w:t>6</w:t>
      </w:r>
      <w:r>
        <w:rPr>
          <w:rFonts w:hint="eastAsia" w:hAnsi="宋体"/>
          <w:color w:val="auto"/>
          <w:szCs w:val="21"/>
          <w:highlight w:val="none"/>
          <w:lang w:eastAsia="zh-CN"/>
        </w:rPr>
        <w:t>日</w:t>
      </w:r>
      <w:r>
        <w:rPr>
          <w:rFonts w:hint="eastAsia" w:hAnsi="Calibri"/>
          <w:color w:val="auto"/>
          <w:szCs w:val="21"/>
          <w:highlight w:val="none"/>
        </w:rPr>
        <w:t>09</w:t>
      </w:r>
      <w:r>
        <w:rPr>
          <w:rFonts w:hint="eastAsia" w:hAnsi="Calibri"/>
          <w:color w:val="auto"/>
          <w:szCs w:val="21"/>
          <w:highlight w:val="none"/>
          <w:lang w:eastAsia="zh-CN"/>
        </w:rPr>
        <w:t>:</w:t>
      </w:r>
      <w:r>
        <w:rPr>
          <w:rFonts w:hint="eastAsia" w:hAnsi="Calibri"/>
          <w:color w:val="auto"/>
          <w:szCs w:val="21"/>
          <w:highlight w:val="none"/>
        </w:rPr>
        <w:t>20</w:t>
      </w:r>
    </w:p>
    <w:p w14:paraId="020F0BFF">
      <w:pPr>
        <w:widowControl/>
        <w:ind w:firstLine="420"/>
        <w:rPr>
          <w:rFonts w:hAnsi="Calibri"/>
          <w:color w:val="auto"/>
          <w:szCs w:val="21"/>
          <w:highlight w:val="none"/>
        </w:rPr>
      </w:pPr>
      <w:r>
        <w:rPr>
          <w:rFonts w:hint="eastAsia" w:hAnsi="Calibri"/>
          <w:color w:val="auto"/>
          <w:szCs w:val="21"/>
          <w:highlight w:val="none"/>
        </w:rPr>
        <w:t>开标地点：</w:t>
      </w:r>
      <w:r>
        <w:rPr>
          <w:rFonts w:hint="eastAsia" w:hAnsi="宋体" w:cs="宋体"/>
          <w:bCs/>
          <w:color w:val="auto"/>
          <w:szCs w:val="21"/>
          <w:highlight w:val="none"/>
        </w:rPr>
        <w:t>广西政府采购云平台（https：//www.gcy.zfcg.gxzf.gov.cn/）</w:t>
      </w:r>
    </w:p>
    <w:p w14:paraId="164BE72B">
      <w:pPr>
        <w:pStyle w:val="4"/>
        <w:rPr>
          <w:color w:val="auto"/>
          <w:highlight w:val="none"/>
        </w:rPr>
      </w:pPr>
      <w:r>
        <w:rPr>
          <w:rFonts w:hint="eastAsia"/>
          <w:color w:val="auto"/>
          <w:highlight w:val="none"/>
        </w:rPr>
        <w:t>五、公告期限</w:t>
      </w:r>
      <w:bookmarkEnd w:id="25"/>
      <w:bookmarkEnd w:id="26"/>
      <w:bookmarkEnd w:id="27"/>
      <w:bookmarkEnd w:id="28"/>
    </w:p>
    <w:p w14:paraId="78F01292">
      <w:pPr>
        <w:ind w:firstLine="420"/>
        <w:rPr>
          <w:rFonts w:hAnsi="宋体" w:cs="宋体"/>
          <w:color w:val="auto"/>
          <w:szCs w:val="21"/>
          <w:highlight w:val="none"/>
        </w:rPr>
      </w:pPr>
      <w:r>
        <w:rPr>
          <w:rFonts w:hint="eastAsia" w:hAnsi="宋体" w:cs="宋体"/>
          <w:color w:val="auto"/>
          <w:szCs w:val="21"/>
          <w:highlight w:val="none"/>
        </w:rPr>
        <w:t>自本公告发布之日起5个工作日。</w:t>
      </w:r>
    </w:p>
    <w:p w14:paraId="2D05537E">
      <w:pPr>
        <w:pStyle w:val="4"/>
        <w:rPr>
          <w:color w:val="auto"/>
          <w:highlight w:val="none"/>
        </w:rPr>
      </w:pPr>
      <w:bookmarkStart w:id="29" w:name="_Toc35393795"/>
      <w:bookmarkStart w:id="30" w:name="_Toc35393626"/>
      <w:r>
        <w:rPr>
          <w:rFonts w:hint="eastAsia"/>
          <w:color w:val="auto"/>
          <w:highlight w:val="none"/>
        </w:rPr>
        <w:t>六、其他补充事宜</w:t>
      </w:r>
      <w:bookmarkEnd w:id="29"/>
      <w:bookmarkEnd w:id="30"/>
    </w:p>
    <w:p w14:paraId="4060C457">
      <w:pPr>
        <w:widowControl/>
        <w:ind w:firstLine="420"/>
        <w:rPr>
          <w:rFonts w:hAnsi="Calibri"/>
          <w:color w:val="auto"/>
          <w:szCs w:val="21"/>
          <w:highlight w:val="none"/>
        </w:rPr>
      </w:pPr>
      <w:bookmarkStart w:id="31" w:name="_Hlk37429595"/>
      <w:bookmarkStart w:id="32" w:name="_Hlk37429585"/>
      <w:bookmarkStart w:id="33" w:name="_Toc35393627"/>
      <w:bookmarkStart w:id="34" w:name="_Toc28359008"/>
      <w:bookmarkStart w:id="35" w:name="_Toc35393796"/>
      <w:bookmarkStart w:id="36" w:name="_Toc28359085"/>
      <w:r>
        <w:rPr>
          <w:rFonts w:hint="eastAsia" w:hAnsi="Calibri"/>
          <w:color w:val="auto"/>
          <w:szCs w:val="21"/>
          <w:highlight w:val="none"/>
        </w:rPr>
        <w:t>1.网上查询地址</w:t>
      </w:r>
    </w:p>
    <w:p w14:paraId="5B5926F4">
      <w:pPr>
        <w:widowControl/>
        <w:ind w:firstLine="420"/>
        <w:rPr>
          <w:rFonts w:hAnsi="Calibri"/>
          <w:color w:val="auto"/>
          <w:szCs w:val="21"/>
          <w:highlight w:val="none"/>
        </w:rPr>
      </w:pPr>
      <w:r>
        <w:rPr>
          <w:rFonts w:hint="eastAsia" w:hAnsi="Calibri"/>
          <w:color w:val="auto"/>
          <w:szCs w:val="21"/>
          <w:highlight w:val="none"/>
        </w:rPr>
        <w:t>www.ccgp.gov.cn（中国政府采购网）、zfcg.gxzf.gov.cn（广西壮族自治区政府采购网）、zfcg.lzscz.liuzhou.gov.cn（广西柳州政府采购网）</w:t>
      </w:r>
    </w:p>
    <w:p w14:paraId="06384752">
      <w:pPr>
        <w:widowControl/>
        <w:ind w:firstLine="420"/>
        <w:rPr>
          <w:rFonts w:hAnsi="Calibri"/>
          <w:color w:val="auto"/>
          <w:szCs w:val="21"/>
          <w:highlight w:val="none"/>
        </w:rPr>
      </w:pPr>
      <w:r>
        <w:rPr>
          <w:rFonts w:hint="eastAsia" w:hAnsi="Calibri"/>
          <w:color w:val="auto"/>
          <w:szCs w:val="21"/>
          <w:highlight w:val="none"/>
        </w:rPr>
        <w:t>2.本项目需要落实的政府采购政策</w:t>
      </w:r>
    </w:p>
    <w:p w14:paraId="3814BEC0">
      <w:pPr>
        <w:widowControl/>
        <w:ind w:firstLine="420"/>
        <w:rPr>
          <w:rFonts w:hAnsi="宋体" w:cs="宋体"/>
          <w:color w:val="auto"/>
          <w:szCs w:val="21"/>
          <w:highlight w:val="none"/>
        </w:rPr>
      </w:pPr>
      <w:r>
        <w:rPr>
          <w:rFonts w:hint="eastAsia" w:hAnsi="宋体" w:cs="宋体"/>
          <w:color w:val="auto"/>
          <w:szCs w:val="21"/>
          <w:highlight w:val="none"/>
        </w:rPr>
        <w:t>（1）政府采购促进中小企业发展。</w:t>
      </w:r>
    </w:p>
    <w:p w14:paraId="0EE69ACD">
      <w:pPr>
        <w:widowControl/>
        <w:ind w:firstLine="420"/>
        <w:rPr>
          <w:rFonts w:hAnsi="宋体" w:cs="宋体"/>
          <w:color w:val="auto"/>
          <w:szCs w:val="21"/>
          <w:highlight w:val="none"/>
        </w:rPr>
      </w:pPr>
      <w:r>
        <w:rPr>
          <w:rFonts w:hint="eastAsia" w:hAnsi="宋体" w:cs="宋体"/>
          <w:color w:val="auto"/>
          <w:szCs w:val="21"/>
          <w:highlight w:val="none"/>
        </w:rPr>
        <w:t>（2）政府采购支持采用本国产品的政策。</w:t>
      </w:r>
    </w:p>
    <w:p w14:paraId="3FCD7627">
      <w:pPr>
        <w:widowControl/>
        <w:ind w:firstLine="420"/>
        <w:rPr>
          <w:rFonts w:hAnsi="宋体" w:cs="宋体"/>
          <w:color w:val="auto"/>
          <w:szCs w:val="21"/>
          <w:highlight w:val="none"/>
        </w:rPr>
      </w:pPr>
      <w:r>
        <w:rPr>
          <w:rFonts w:hint="eastAsia" w:hAnsi="宋体" w:cs="宋体"/>
          <w:color w:val="auto"/>
          <w:szCs w:val="21"/>
          <w:highlight w:val="none"/>
        </w:rPr>
        <w:t>（3）强制采购节能产品；优先采购节能产品、环境标志产品。</w:t>
      </w:r>
    </w:p>
    <w:p w14:paraId="483A7B2D">
      <w:pPr>
        <w:widowControl/>
        <w:ind w:firstLine="420"/>
        <w:rPr>
          <w:rFonts w:hAnsi="宋体" w:cs="宋体"/>
          <w:color w:val="auto"/>
          <w:szCs w:val="21"/>
          <w:highlight w:val="none"/>
        </w:rPr>
      </w:pPr>
      <w:r>
        <w:rPr>
          <w:rFonts w:hint="eastAsia" w:hAnsi="宋体" w:cs="宋体"/>
          <w:color w:val="auto"/>
          <w:szCs w:val="21"/>
          <w:highlight w:val="none"/>
        </w:rPr>
        <w:t>（4）政府采购促进残疾人就业政策。</w:t>
      </w:r>
    </w:p>
    <w:p w14:paraId="0694525B">
      <w:pPr>
        <w:widowControl/>
        <w:ind w:firstLine="420"/>
        <w:rPr>
          <w:rFonts w:hAnsi="宋体" w:cs="宋体"/>
          <w:color w:val="auto"/>
          <w:szCs w:val="21"/>
          <w:highlight w:val="none"/>
        </w:rPr>
      </w:pPr>
      <w:r>
        <w:rPr>
          <w:rFonts w:hint="eastAsia" w:hAnsi="宋体" w:cs="宋体"/>
          <w:color w:val="auto"/>
          <w:szCs w:val="21"/>
          <w:highlight w:val="none"/>
        </w:rPr>
        <w:t>（5）政府采购支持监狱企业发展。</w:t>
      </w:r>
    </w:p>
    <w:p w14:paraId="03281AD8">
      <w:pPr>
        <w:widowControl/>
        <w:ind w:firstLine="420"/>
        <w:rPr>
          <w:rFonts w:hAnsi="宋体"/>
          <w:color w:val="auto"/>
          <w:szCs w:val="21"/>
          <w:highlight w:val="none"/>
        </w:rPr>
      </w:pPr>
      <w:r>
        <w:rPr>
          <w:rFonts w:hint="eastAsia" w:hAnsi="宋体" w:cs="宋体"/>
          <w:color w:val="auto"/>
          <w:szCs w:val="21"/>
          <w:highlight w:val="none"/>
        </w:rPr>
        <w:t>3.投标人</w:t>
      </w:r>
      <w:r>
        <w:rPr>
          <w:rFonts w:hint="eastAsia" w:hAnsi="宋体"/>
          <w:color w:val="auto"/>
          <w:szCs w:val="21"/>
          <w:highlight w:val="none"/>
        </w:rPr>
        <w:t>投标注意事项</w:t>
      </w:r>
    </w:p>
    <w:p w14:paraId="349A8345">
      <w:pPr>
        <w:widowControl/>
        <w:ind w:firstLine="420"/>
        <w:rPr>
          <w:rFonts w:hAnsi="宋体"/>
          <w:color w:val="auto"/>
          <w:szCs w:val="21"/>
          <w:highlight w:val="none"/>
        </w:rPr>
      </w:pPr>
      <w:r>
        <w:rPr>
          <w:rFonts w:hint="eastAsia" w:hAnsi="宋体"/>
          <w:color w:val="auto"/>
          <w:szCs w:val="21"/>
          <w:highlight w:val="none"/>
        </w:rPr>
        <w:t>（1）本项目为全流程电子化采购项目，通过广西政府采购云平台（https：//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hAnsi="宋体"/>
          <w:color w:val="auto"/>
          <w:szCs w:val="21"/>
          <w:highlight w:val="none"/>
        </w:rPr>
        <w:t>），</w:t>
      </w:r>
      <w:r>
        <w:rPr>
          <w:rFonts w:hint="eastAsia" w:hAnsi="宋体"/>
          <w:b/>
          <w:color w:val="auto"/>
          <w:szCs w:val="21"/>
          <w:highlight w:val="none"/>
        </w:rPr>
        <w:t>投标人在“广西政府采购云”平台提交电子投标文件时，请填写参加远程开标活动经办人联系方式。</w:t>
      </w:r>
      <w:r>
        <w:rPr>
          <w:rFonts w:hint="eastAsia" w:hAnsi="宋体"/>
          <w:color w:val="auto"/>
          <w:szCs w:val="21"/>
          <w:highlight w:val="none"/>
        </w:rPr>
        <w:t>投标人登录“广西政府采购云”平台，依次进入“服务中心</w:t>
      </w:r>
      <w:r>
        <w:rPr>
          <w:rFonts w:hint="eastAsia" w:hAnsi="宋体"/>
          <w:color w:val="auto"/>
          <w:szCs w:val="21"/>
          <w:highlight w:val="none"/>
          <w:lang w:eastAsia="zh-CN"/>
        </w:rPr>
        <w:t>－</w:t>
      </w:r>
      <w:r>
        <w:rPr>
          <w:rFonts w:hint="eastAsia" w:hAnsi="宋体"/>
          <w:color w:val="auto"/>
          <w:szCs w:val="21"/>
          <w:highlight w:val="none"/>
        </w:rPr>
        <w:t>项目采购</w:t>
      </w:r>
      <w:r>
        <w:rPr>
          <w:rFonts w:hint="eastAsia" w:hAnsi="宋体"/>
          <w:color w:val="auto"/>
          <w:szCs w:val="21"/>
          <w:highlight w:val="none"/>
          <w:lang w:eastAsia="zh-CN"/>
        </w:rPr>
        <w:t>－</w:t>
      </w:r>
      <w:r>
        <w:rPr>
          <w:rFonts w:hint="eastAsia" w:hAnsi="宋体"/>
          <w:color w:val="auto"/>
          <w:szCs w:val="21"/>
          <w:highlight w:val="none"/>
        </w:rPr>
        <w:t>操作流程</w:t>
      </w:r>
      <w:r>
        <w:rPr>
          <w:rFonts w:hint="eastAsia" w:hAnsi="宋体"/>
          <w:color w:val="auto"/>
          <w:szCs w:val="21"/>
          <w:highlight w:val="none"/>
          <w:lang w:eastAsia="zh-CN"/>
        </w:rPr>
        <w:t>－</w:t>
      </w:r>
      <w:r>
        <w:rPr>
          <w:rFonts w:hint="eastAsia" w:hAnsi="宋体"/>
          <w:color w:val="auto"/>
          <w:szCs w:val="21"/>
          <w:highlight w:val="none"/>
        </w:rPr>
        <w:t>电子招投标</w:t>
      </w:r>
      <w:r>
        <w:rPr>
          <w:rFonts w:hint="eastAsia" w:hAnsi="宋体"/>
          <w:color w:val="auto"/>
          <w:szCs w:val="21"/>
          <w:highlight w:val="none"/>
          <w:lang w:eastAsia="zh-CN"/>
        </w:rPr>
        <w:t>－</w:t>
      </w:r>
      <w:r>
        <w:rPr>
          <w:color w:val="auto"/>
          <w:highlight w:val="none"/>
        </w:rPr>
        <w:t>政府采购项目电子交易管理操作指南</w:t>
      </w:r>
      <w:r>
        <w:rPr>
          <w:rFonts w:hint="eastAsia"/>
          <w:color w:val="auto"/>
          <w:highlight w:val="none"/>
          <w:lang w:eastAsia="zh-CN"/>
        </w:rPr>
        <w:t>－</w:t>
      </w:r>
      <w:r>
        <w:rPr>
          <w:color w:val="auto"/>
          <w:highlight w:val="none"/>
        </w:rPr>
        <w:t>供应商</w:t>
      </w:r>
      <w:r>
        <w:rPr>
          <w:rFonts w:hint="eastAsia" w:hAnsi="宋体"/>
          <w:color w:val="auto"/>
          <w:szCs w:val="21"/>
          <w:highlight w:val="none"/>
        </w:rPr>
        <w:t>”查看电子投标具体操作流程。</w:t>
      </w:r>
    </w:p>
    <w:p w14:paraId="26AACDC1">
      <w:pPr>
        <w:widowControl/>
        <w:ind w:firstLine="420"/>
        <w:rPr>
          <w:rFonts w:hAnsi="宋体"/>
          <w:color w:val="auto"/>
          <w:szCs w:val="21"/>
          <w:highlight w:val="none"/>
        </w:rPr>
      </w:pPr>
      <w:r>
        <w:rPr>
          <w:rFonts w:hint="eastAsia"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hAnsi="宋体"/>
          <w:color w:val="auto"/>
          <w:szCs w:val="21"/>
          <w:highlight w:val="none"/>
          <w:lang w:eastAsia="zh-CN"/>
        </w:rPr>
        <w:t>－</w:t>
      </w:r>
      <w:r>
        <w:rPr>
          <w:rFonts w:hint="eastAsia" w:hAnsi="宋体"/>
          <w:color w:val="auto"/>
          <w:szCs w:val="21"/>
          <w:highlight w:val="none"/>
        </w:rPr>
        <w:t>下载专区”或者登录</w:t>
      </w:r>
      <w:r>
        <w:rPr>
          <w:rFonts w:hint="eastAsia" w:hAnsi="宋体" w:cs="宋体"/>
          <w:color w:val="auto"/>
          <w:szCs w:val="21"/>
          <w:highlight w:val="none"/>
        </w:rPr>
        <w:t>“广西政府采购云”平台，</w:t>
      </w:r>
      <w:r>
        <w:rPr>
          <w:rFonts w:hint="eastAsia" w:hAnsi="宋体"/>
          <w:color w:val="auto"/>
          <w:szCs w:val="21"/>
          <w:highlight w:val="none"/>
        </w:rPr>
        <w:t>依次进入“服务中心</w:t>
      </w:r>
      <w:r>
        <w:rPr>
          <w:rFonts w:hint="eastAsia" w:hAnsi="宋体"/>
          <w:color w:val="auto"/>
          <w:szCs w:val="21"/>
          <w:highlight w:val="none"/>
          <w:lang w:eastAsia="zh-CN"/>
        </w:rPr>
        <w:t>－</w:t>
      </w:r>
      <w:r>
        <w:rPr>
          <w:rFonts w:hint="eastAsia" w:hAnsi="宋体"/>
          <w:color w:val="auto"/>
          <w:szCs w:val="21"/>
          <w:highlight w:val="none"/>
        </w:rPr>
        <w:t>入驻与配置”中查看CA数字证书办理操作流程。</w:t>
      </w:r>
      <w:r>
        <w:rPr>
          <w:rFonts w:hint="eastAsia" w:hAnsi="宋体" w:cs="宋体"/>
          <w:bCs/>
          <w:color w:val="auto"/>
          <w:szCs w:val="21"/>
          <w:highlight w:val="none"/>
        </w:rPr>
        <w:t>如在操作过程中遇到问题或者需要技术支持，请致电广西政府采购云客服热线：</w:t>
      </w:r>
      <w:r>
        <w:rPr>
          <w:rFonts w:hAnsi="宋体" w:cs="宋体"/>
          <w:bCs/>
          <w:color w:val="auto"/>
          <w:szCs w:val="21"/>
          <w:highlight w:val="none"/>
        </w:rPr>
        <w:t>95763</w:t>
      </w:r>
      <w:r>
        <w:rPr>
          <w:rFonts w:hint="eastAsia" w:hAnsi="Calibri"/>
          <w:color w:val="auto"/>
          <w:szCs w:val="21"/>
          <w:highlight w:val="none"/>
        </w:rPr>
        <w:t>或者0771-3381253</w:t>
      </w:r>
      <w:r>
        <w:rPr>
          <w:rFonts w:hint="eastAsia" w:hAnsi="宋体"/>
          <w:color w:val="auto"/>
          <w:szCs w:val="21"/>
          <w:highlight w:val="none"/>
        </w:rPr>
        <w:t>）。</w:t>
      </w:r>
    </w:p>
    <w:p w14:paraId="01A42DDF">
      <w:pPr>
        <w:ind w:firstLine="420"/>
        <w:rPr>
          <w:rFonts w:hAnsi="宋体" w:cs="宋体"/>
          <w:color w:val="auto"/>
          <w:szCs w:val="21"/>
          <w:highlight w:val="none"/>
        </w:rPr>
      </w:pPr>
      <w:r>
        <w:rPr>
          <w:rFonts w:hint="eastAsia"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128085CD">
      <w:pPr>
        <w:widowControl/>
        <w:ind w:firstLine="420"/>
        <w:rPr>
          <w:rFonts w:hAnsi="宋体"/>
          <w:bCs/>
          <w:color w:val="auto"/>
          <w:szCs w:val="21"/>
          <w:highlight w:val="none"/>
        </w:rPr>
      </w:pPr>
      <w:r>
        <w:rPr>
          <w:rFonts w:hint="eastAsia" w:hAnsi="宋体"/>
          <w:color w:val="auto"/>
          <w:szCs w:val="21"/>
          <w:highlight w:val="none"/>
        </w:rPr>
        <w:t>注：1）为确保网上</w:t>
      </w:r>
      <w:r>
        <w:rPr>
          <w:rFonts w:hint="eastAsia" w:hAnsi="宋体"/>
          <w:color w:val="auto"/>
          <w:szCs w:val="21"/>
          <w:highlight w:val="none"/>
          <w:lang w:eastAsia="zh-CN"/>
        </w:rPr>
        <w:t>操作合法</w:t>
      </w:r>
      <w:r>
        <w:rPr>
          <w:rFonts w:hint="eastAsia" w:hAnsi="宋体"/>
          <w:color w:val="auto"/>
          <w:szCs w:val="21"/>
          <w:highlight w:val="none"/>
        </w:rPr>
        <w:t>、有效和安全，请投标人确保在电子投标过程中能够对相关数据电文进行加密和使用电子签章，妥善保管C</w:t>
      </w:r>
      <w:r>
        <w:rPr>
          <w:rFonts w:hAnsi="宋体"/>
          <w:color w:val="auto"/>
          <w:szCs w:val="21"/>
          <w:highlight w:val="none"/>
        </w:rPr>
        <w:t>A</w:t>
      </w:r>
      <w:r>
        <w:rPr>
          <w:rFonts w:hint="eastAsia" w:hAnsi="宋体"/>
          <w:color w:val="auto"/>
          <w:szCs w:val="21"/>
          <w:highlight w:val="none"/>
        </w:rPr>
        <w:t>数字证书并使用有效的CA数字证书参与整个招标活动。2）</w:t>
      </w:r>
      <w:r>
        <w:rPr>
          <w:rFonts w:hint="eastAsia"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6799CF61">
      <w:pPr>
        <w:widowControl/>
        <w:ind w:firstLine="420"/>
        <w:rPr>
          <w:rFonts w:hAnsi="宋体" w:cs="宋体"/>
          <w:color w:val="auto"/>
          <w:szCs w:val="21"/>
          <w:highlight w:val="none"/>
        </w:rPr>
      </w:pPr>
      <w:r>
        <w:rPr>
          <w:rFonts w:hint="eastAsia" w:hAnsi="宋体" w:cs="宋体"/>
          <w:color w:val="auto"/>
          <w:szCs w:val="21"/>
          <w:highlight w:val="none"/>
        </w:rPr>
        <w:t>（4）电子标项目不要求参与投标的投标人到达现场，但投标人应派法定代表人或委托代理人准时在线出席电子开评标会议，随时关注开评标进度，如在开评标过程中有电子询标，应在规定的时间内对电子询标函进行澄清回复。</w:t>
      </w:r>
      <w:bookmarkEnd w:id="31"/>
      <w:bookmarkEnd w:id="32"/>
    </w:p>
    <w:p w14:paraId="12B5B3A4">
      <w:pPr>
        <w:pStyle w:val="4"/>
        <w:rPr>
          <w:color w:val="auto"/>
          <w:highlight w:val="none"/>
        </w:rPr>
      </w:pPr>
      <w:r>
        <w:rPr>
          <w:rFonts w:hint="eastAsia"/>
          <w:color w:val="auto"/>
          <w:highlight w:val="none"/>
        </w:rPr>
        <w:t>七、对本次采购提出询问，请按</w:t>
      </w:r>
      <w:r>
        <w:rPr>
          <w:color w:val="auto"/>
          <w:highlight w:val="none"/>
        </w:rPr>
        <w:t>以下方式</w:t>
      </w:r>
      <w:r>
        <w:rPr>
          <w:rFonts w:hint="eastAsia"/>
          <w:color w:val="auto"/>
          <w:highlight w:val="none"/>
        </w:rPr>
        <w:t>联系</w:t>
      </w:r>
      <w:bookmarkEnd w:id="33"/>
      <w:bookmarkEnd w:id="34"/>
      <w:bookmarkEnd w:id="35"/>
      <w:bookmarkEnd w:id="36"/>
    </w:p>
    <w:p w14:paraId="5FB94BE1">
      <w:pPr>
        <w:widowControl/>
        <w:spacing w:line="400" w:lineRule="exact"/>
        <w:rPr>
          <w:rFonts w:hAnsi="宋体"/>
          <w:color w:val="auto"/>
          <w:highlight w:val="none"/>
        </w:rPr>
      </w:pPr>
      <w:r>
        <w:rPr>
          <w:rFonts w:hint="eastAsia" w:hAnsi="宋体" w:cs="宋体"/>
          <w:color w:val="auto"/>
          <w:szCs w:val="21"/>
          <w:highlight w:val="none"/>
        </w:rPr>
        <w:t>　　</w:t>
      </w:r>
      <w:bookmarkStart w:id="37" w:name="_Toc28359010"/>
      <w:bookmarkStart w:id="38" w:name="_Toc28359087"/>
      <w:r>
        <w:rPr>
          <w:rFonts w:hint="eastAsia" w:hAnsi="宋体" w:cs="宋体"/>
          <w:color w:val="auto"/>
          <w:highlight w:val="none"/>
        </w:rPr>
        <w:t>1.采购人信息</w:t>
      </w:r>
    </w:p>
    <w:p w14:paraId="62A0E482">
      <w:pPr>
        <w:spacing w:line="400" w:lineRule="exact"/>
        <w:ind w:firstLine="630"/>
        <w:rPr>
          <w:rFonts w:hAnsi="宋体"/>
          <w:color w:val="auto"/>
          <w:highlight w:val="none"/>
        </w:rPr>
      </w:pPr>
      <w:bookmarkStart w:id="39" w:name="_Toc28359086"/>
      <w:bookmarkStart w:id="40" w:name="_Toc28359009"/>
      <w:r>
        <w:rPr>
          <w:rFonts w:hint="eastAsia" w:hAnsi="宋体"/>
          <w:color w:val="auto"/>
          <w:highlight w:val="none"/>
        </w:rPr>
        <w:t>名    称：</w:t>
      </w:r>
      <w:r>
        <w:rPr>
          <w:rFonts w:hint="eastAsia" w:hAnsi="宋体" w:cs="宋体"/>
          <w:color w:val="auto"/>
          <w:highlight w:val="none"/>
        </w:rPr>
        <w:t>柳州市妇幼保健院</w:t>
      </w:r>
    </w:p>
    <w:p w14:paraId="516B2D09">
      <w:pPr>
        <w:spacing w:line="400" w:lineRule="exact"/>
        <w:ind w:firstLine="630"/>
        <w:rPr>
          <w:rFonts w:hAnsi="宋体"/>
          <w:color w:val="auto"/>
          <w:highlight w:val="none"/>
        </w:rPr>
      </w:pPr>
      <w:r>
        <w:rPr>
          <w:rFonts w:hint="eastAsia" w:hAnsi="宋体"/>
          <w:color w:val="auto"/>
          <w:highlight w:val="none"/>
        </w:rPr>
        <w:t>地    址：柳州市城中区映山街50号</w:t>
      </w:r>
    </w:p>
    <w:p w14:paraId="17AB9BFF">
      <w:pPr>
        <w:spacing w:line="400" w:lineRule="exact"/>
        <w:ind w:firstLine="630"/>
        <w:rPr>
          <w:rFonts w:hAnsi="宋体"/>
          <w:color w:val="auto"/>
          <w:highlight w:val="none"/>
        </w:rPr>
      </w:pPr>
      <w:r>
        <w:rPr>
          <w:rFonts w:hint="eastAsia" w:hAnsi="宋体"/>
          <w:color w:val="auto"/>
          <w:highlight w:val="none"/>
        </w:rPr>
        <w:t>项目联系人：赵曼</w:t>
      </w:r>
    </w:p>
    <w:p w14:paraId="2D8C446E">
      <w:pPr>
        <w:spacing w:line="400" w:lineRule="exact"/>
        <w:ind w:firstLine="630"/>
        <w:rPr>
          <w:rFonts w:hAnsi="宋体"/>
          <w:color w:val="auto"/>
          <w:highlight w:val="none"/>
        </w:rPr>
      </w:pPr>
      <w:r>
        <w:rPr>
          <w:rFonts w:hint="eastAsia" w:hAnsi="宋体"/>
          <w:color w:val="auto"/>
          <w:highlight w:val="none"/>
        </w:rPr>
        <w:t>项目联系方式：0772-2131770</w:t>
      </w:r>
    </w:p>
    <w:p w14:paraId="7929EBAD">
      <w:pPr>
        <w:spacing w:line="400" w:lineRule="exact"/>
        <w:ind w:left="1100" w:hanging="726"/>
        <w:rPr>
          <w:rFonts w:hAnsi="宋体"/>
          <w:color w:val="auto"/>
          <w:highlight w:val="none"/>
        </w:rPr>
      </w:pPr>
      <w:r>
        <w:rPr>
          <w:rFonts w:hint="eastAsia" w:hAnsi="宋体" w:cs="宋体"/>
          <w:color w:val="auto"/>
          <w:highlight w:val="none"/>
        </w:rPr>
        <w:t>2.采购代理机构信息</w:t>
      </w:r>
      <w:bookmarkEnd w:id="37"/>
      <w:bookmarkEnd w:id="38"/>
    </w:p>
    <w:p w14:paraId="58434322">
      <w:pPr>
        <w:spacing w:line="400" w:lineRule="exact"/>
        <w:ind w:firstLine="630"/>
        <w:rPr>
          <w:rFonts w:hAnsi="宋体"/>
          <w:color w:val="auto"/>
          <w:highlight w:val="none"/>
        </w:rPr>
      </w:pPr>
      <w:r>
        <w:rPr>
          <w:rFonts w:hint="eastAsia" w:hAnsi="宋体"/>
          <w:color w:val="auto"/>
          <w:highlight w:val="none"/>
        </w:rPr>
        <w:t>名    称：云之龙咨询集团有限公司</w:t>
      </w:r>
    </w:p>
    <w:p w14:paraId="27734FC9">
      <w:pPr>
        <w:spacing w:line="400" w:lineRule="exact"/>
        <w:ind w:firstLine="630"/>
        <w:rPr>
          <w:rFonts w:hAnsi="宋体"/>
          <w:color w:val="auto"/>
          <w:highlight w:val="none"/>
        </w:rPr>
      </w:pPr>
      <w:r>
        <w:rPr>
          <w:rFonts w:hint="eastAsia" w:hAnsi="宋体"/>
          <w:color w:val="auto"/>
          <w:highlight w:val="none"/>
        </w:rPr>
        <w:t>地    址：柳州市滨江东路16号三区二层211-218室</w:t>
      </w:r>
    </w:p>
    <w:p w14:paraId="0DC8A318">
      <w:pPr>
        <w:spacing w:line="400" w:lineRule="exact"/>
        <w:ind w:firstLine="630"/>
        <w:rPr>
          <w:rFonts w:hAnsi="宋体"/>
          <w:color w:val="auto"/>
          <w:highlight w:val="none"/>
        </w:rPr>
      </w:pPr>
      <w:r>
        <w:rPr>
          <w:rFonts w:hint="eastAsia" w:hAnsi="宋体"/>
          <w:color w:val="auto"/>
          <w:highlight w:val="none"/>
        </w:rPr>
        <w:t>项目联系人：唐珉、田京灵</w:t>
      </w:r>
    </w:p>
    <w:p w14:paraId="652597B9">
      <w:pPr>
        <w:spacing w:line="400" w:lineRule="exact"/>
        <w:ind w:firstLine="630"/>
        <w:rPr>
          <w:rFonts w:hAnsi="宋体"/>
          <w:color w:val="auto"/>
          <w:highlight w:val="none"/>
        </w:rPr>
      </w:pPr>
      <w:r>
        <w:rPr>
          <w:rFonts w:hint="eastAsia" w:hAnsi="宋体"/>
          <w:color w:val="auto"/>
          <w:highlight w:val="none"/>
        </w:rPr>
        <w:t>项目联系方式：</w:t>
      </w:r>
      <w:r>
        <w:rPr>
          <w:rFonts w:hint="eastAsia"/>
          <w:color w:val="auto"/>
          <w:highlight w:val="none"/>
        </w:rPr>
        <w:t>0772-3310669、3310109</w:t>
      </w:r>
    </w:p>
    <w:bookmarkEnd w:id="39"/>
    <w:bookmarkEnd w:id="40"/>
    <w:p w14:paraId="6E3A8366">
      <w:pPr>
        <w:ind w:firstLine="630"/>
        <w:rPr>
          <w:rFonts w:hAnsi="宋体"/>
          <w:color w:val="auto"/>
          <w:szCs w:val="21"/>
          <w:highlight w:val="none"/>
        </w:rPr>
      </w:pPr>
    </w:p>
    <w:p w14:paraId="55CFCF2C">
      <w:pPr>
        <w:ind w:firstLine="424"/>
        <w:rPr>
          <w:rFonts w:hAnsi="宋体"/>
          <w:color w:val="auto"/>
          <w:szCs w:val="21"/>
          <w:highlight w:val="none"/>
          <w:u w:val="single"/>
        </w:rPr>
      </w:pPr>
    </w:p>
    <w:p w14:paraId="204BB336">
      <w:pPr>
        <w:pStyle w:val="2"/>
        <w:rPr>
          <w:color w:val="auto"/>
          <w:highlight w:val="none"/>
        </w:rPr>
      </w:pPr>
      <w:r>
        <w:rPr>
          <w:color w:val="auto"/>
          <w:highlight w:val="none"/>
        </w:rPr>
        <w:br w:type="page" w:clear="all"/>
      </w:r>
      <w:bookmarkStart w:id="41" w:name="_Toc18551"/>
      <w:r>
        <w:rPr>
          <w:rFonts w:hint="eastAsia"/>
          <w:color w:val="auto"/>
          <w:highlight w:val="none"/>
        </w:rPr>
        <w:t>第二章  采购需求</w:t>
      </w:r>
      <w:bookmarkEnd w:id="41"/>
    </w:p>
    <w:p w14:paraId="1326EB7F">
      <w:pPr>
        <w:pStyle w:val="279"/>
        <w:rPr>
          <w:color w:val="auto"/>
          <w:highlight w:val="none"/>
        </w:rPr>
      </w:pPr>
      <w:bookmarkStart w:id="42" w:name="_Toc254970490"/>
      <w:bookmarkStart w:id="43" w:name="_Toc254970631"/>
      <w:r>
        <w:rPr>
          <w:rFonts w:hint="eastAsia"/>
          <w:color w:val="auto"/>
          <w:highlight w:val="none"/>
        </w:rPr>
        <w:t>说明：</w:t>
      </w:r>
    </w:p>
    <w:p w14:paraId="5725288C">
      <w:pPr>
        <w:ind w:firstLine="420"/>
        <w:rPr>
          <w:color w:val="auto"/>
          <w:highlight w:val="none"/>
        </w:rPr>
      </w:pPr>
      <w:r>
        <w:rPr>
          <w:rFonts w:hint="eastAsia"/>
          <w:color w:val="auto"/>
          <w:highlight w:val="none"/>
        </w:rPr>
        <w:t>1.为落实政府采购政策需满足的要求</w:t>
      </w:r>
    </w:p>
    <w:p w14:paraId="479172A7">
      <w:pPr>
        <w:ind w:firstLine="420"/>
        <w:rPr>
          <w:rFonts w:hAnsi="宋体" w:cs="宋体"/>
          <w:color w:val="auto"/>
          <w:szCs w:val="21"/>
          <w:highlight w:val="none"/>
        </w:rPr>
      </w:pPr>
      <w:r>
        <w:rPr>
          <w:rFonts w:hint="eastAsia" w:hAnsi="宋体" w:cs="宋体"/>
          <w:color w:val="auto"/>
          <w:szCs w:val="21"/>
          <w:highlight w:val="none"/>
        </w:rPr>
        <w:t>（1）本招标文件所称中小企业必须符合《政府采购促进中小企业发展管理办法》（财库〔2020〕46号）的规定。</w:t>
      </w:r>
    </w:p>
    <w:p w14:paraId="31E84ACF">
      <w:pPr>
        <w:ind w:firstLine="420"/>
        <w:rPr>
          <w:rFonts w:hAnsi="宋体" w:cs="宋体"/>
          <w:color w:val="auto"/>
          <w:szCs w:val="21"/>
          <w:highlight w:val="none"/>
        </w:rPr>
      </w:pPr>
      <w:r>
        <w:rPr>
          <w:rFonts w:hint="eastAsia" w:hAnsi="宋体" w:cs="宋体"/>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8AAE62">
      <w:pPr>
        <w:ind w:firstLine="424"/>
        <w:rPr>
          <w:rFonts w:hAnsi="宋体" w:cs="宋体"/>
          <w:color w:val="auto"/>
          <w:szCs w:val="21"/>
          <w:highlight w:val="none"/>
        </w:rPr>
      </w:pPr>
      <w:r>
        <w:rPr>
          <w:rFonts w:hint="eastAsia" w:hAnsi="宋体" w:cs="宋体"/>
          <w:color w:val="auto"/>
          <w:szCs w:val="21"/>
          <w:highlight w:val="none"/>
        </w:rPr>
        <w:t>（3）根据《财政部 发展改革委 生态环境部 市场监管总局关于调整优化节能产品、环境标志产品政府采购执行机制的通知》（财库〔2019〕9号）、《关于印发节能产品政府采购品目清单的通知》（财库〔2019〕19号）及</w:t>
      </w:r>
      <w:r>
        <w:rPr>
          <w:rFonts w:hint="eastAsia"/>
          <w:color w:val="auto"/>
          <w:highlight w:val="none"/>
        </w:rPr>
        <w:t>《广西壮族自治区财政厅关于加强政府绿色采购工作的通知》（桂财采〔2025〕155号）</w:t>
      </w:r>
      <w:r>
        <w:rPr>
          <w:rFonts w:hint="eastAsia" w:hAnsi="宋体" w:cs="宋体"/>
          <w:color w:val="auto"/>
          <w:szCs w:val="21"/>
          <w:highlight w:val="none"/>
        </w:rPr>
        <w:t>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hAnsi="宋体" w:cs="宋体"/>
          <w:b/>
          <w:bCs/>
          <w:color w:val="auto"/>
          <w:szCs w:val="21"/>
          <w:highlight w:val="none"/>
        </w:rPr>
        <w:t>否则按无效投标处理</w:t>
      </w:r>
      <w:r>
        <w:rPr>
          <w:rFonts w:hint="eastAsia" w:hAnsi="宋体" w:cs="宋体"/>
          <w:color w:val="auto"/>
          <w:szCs w:val="21"/>
          <w:highlight w:val="none"/>
        </w:rPr>
        <w:t>。如本项目包含的货物属于品目清单内非标注“★”的产品时，应优先采购，具体详见“第四章 评标方法及评标标准”。</w:t>
      </w:r>
    </w:p>
    <w:p w14:paraId="584380F3">
      <w:pPr>
        <w:ind w:firstLine="424"/>
        <w:rPr>
          <w:color w:val="auto"/>
          <w:highlight w:val="none"/>
        </w:rPr>
      </w:pPr>
      <w:r>
        <w:rPr>
          <w:rFonts w:hint="eastAsia" w:hAnsi="宋体" w:cs="宋体"/>
          <w:color w:val="auto"/>
          <w:szCs w:val="21"/>
          <w:highlight w:val="none"/>
        </w:rPr>
        <w:t>（4）</w:t>
      </w:r>
      <w:r>
        <w:rPr>
          <w:color w:val="auto"/>
          <w:highlight w:val="none"/>
        </w:rPr>
        <w:t>根据《关于调整网络安全专用产品安全管理有关事项的公告》（2023年</w:t>
      </w:r>
      <w:r>
        <w:rPr>
          <w:rFonts w:hint="eastAsia"/>
          <w:color w:val="auto"/>
          <w:highlight w:val="none"/>
        </w:rPr>
        <w:t>第</w:t>
      </w:r>
      <w:r>
        <w:rPr>
          <w:color w:val="auto"/>
          <w:highlight w:val="none"/>
        </w:rPr>
        <w:t>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t>
      </w:r>
      <w:r>
        <w:rPr>
          <w:rFonts w:hint="eastAsia"/>
          <w:color w:val="auto"/>
          <w:highlight w:val="none"/>
        </w:rPr>
        <w:t>：</w:t>
      </w:r>
      <w:r>
        <w:rPr>
          <w:color w:val="auto"/>
          <w:highlight w:val="none"/>
        </w:rPr>
        <w:t>//www.cac.gov.cn/index.htm）最新发布的《网络关键设备和网络安全专用产品安全认证和安全检测结果》截图证明材料，</w:t>
      </w:r>
      <w:r>
        <w:rPr>
          <w:b/>
          <w:color w:val="auto"/>
          <w:highlight w:val="none"/>
        </w:rPr>
        <w:t>不在《网络关键设备和网络安全专用产品安全认证和安全检测结果》中的，投标无效</w:t>
      </w:r>
      <w:r>
        <w:rPr>
          <w:color w:val="auto"/>
          <w:highlight w:val="none"/>
        </w:rPr>
        <w:t>。如属于《网络关键设备和网络安全专用产品目录》中“二、网络安全专用产品”内“产品类别”中所描述的产品，但不属于所列“产品描述”情形的，应提供相应的说明及证明材料。</w:t>
      </w:r>
    </w:p>
    <w:p w14:paraId="73149268">
      <w:pPr>
        <w:ind w:firstLine="424"/>
        <w:rPr>
          <w:rFonts w:hint="default" w:eastAsia="宋体"/>
          <w:color w:val="auto"/>
          <w:highlight w:val="none"/>
          <w:lang w:val="en-US" w:eastAsia="zh-CN"/>
        </w:rPr>
      </w:pPr>
      <w:r>
        <w:rPr>
          <w:rFonts w:hint="eastAsia" w:hAnsi="宋体" w:cs="宋体"/>
          <w:color w:val="auto"/>
          <w:szCs w:val="21"/>
          <w:highlight w:val="none"/>
          <w:lang w:val="en-US" w:eastAsia="zh-CN"/>
        </w:rPr>
        <w:t>(5)</w:t>
      </w:r>
      <w:r>
        <w:rPr>
          <w:rFonts w:hint="eastAsia"/>
          <w:color w:val="auto"/>
          <w:highlight w:val="none"/>
          <w:lang w:val="en-US" w:eastAsia="zh-CN"/>
        </w:rPr>
        <w:t>▲根据《关于在政府采购活动中对有关美国企业采取相关措施的通知》（财库〔2026〕10号）的规定，供应商提供的产品不得为财库〔2026〕10号文件附件规定的46家美国企业（不包括在华美资企业）生产的产品。</w:t>
      </w:r>
    </w:p>
    <w:p w14:paraId="30B6CE4F">
      <w:pPr>
        <w:ind w:firstLine="424"/>
        <w:rPr>
          <w:rFonts w:hAnsi="宋体"/>
          <w:b/>
          <w:color w:val="auto"/>
          <w:szCs w:val="21"/>
          <w:highlight w:val="none"/>
        </w:rPr>
      </w:pPr>
      <w:r>
        <w:rPr>
          <w:rFonts w:hint="eastAsia" w:hAnsi="宋体" w:cs="宋体"/>
          <w:color w:val="auto"/>
          <w:szCs w:val="21"/>
          <w:highlight w:val="none"/>
        </w:rPr>
        <w:t>2.</w:t>
      </w:r>
      <w:r>
        <w:rPr>
          <w:rFonts w:hint="eastAsia" w:hAnsi="宋体" w:cs="宋体"/>
          <w:b/>
          <w:color w:val="auto"/>
          <w:szCs w:val="21"/>
          <w:highlight w:val="none"/>
        </w:rPr>
        <w:t>“实质性要求”是指招标文件中已经指明不满足则投标无效的条款，或者不能负偏离的条款，或者采购需求中带“▲”的条款。</w:t>
      </w:r>
    </w:p>
    <w:p w14:paraId="01E8EF90">
      <w:pPr>
        <w:ind w:firstLine="424"/>
        <w:rPr>
          <w:rFonts w:hAnsi="宋体" w:cs="宋体"/>
          <w:color w:val="auto"/>
          <w:szCs w:val="21"/>
          <w:highlight w:val="none"/>
        </w:rPr>
      </w:pPr>
      <w:r>
        <w:rPr>
          <w:rFonts w:hint="eastAsia" w:hAnsi="宋体"/>
          <w:color w:val="auto"/>
          <w:szCs w:val="21"/>
          <w:highlight w:val="none"/>
        </w:rPr>
        <w:t>3</w:t>
      </w:r>
      <w:r>
        <w:rPr>
          <w:rFonts w:hint="eastAsia" w:hAnsi="宋体" w:cs="宋体"/>
          <w:color w:val="auto"/>
          <w:szCs w:val="21"/>
          <w:highlight w:val="none"/>
        </w:rPr>
        <w:t>.采购需求中出现的品牌、型号、技术或者生产厂家仅起参考作用，不属于指定品牌、型号、技术或者生产厂家的情形。投标人可参照或者选用其他相当的品牌、型号、技术或者生产厂家替代。</w:t>
      </w:r>
    </w:p>
    <w:p w14:paraId="603B1BD6">
      <w:pPr>
        <w:ind w:firstLine="424"/>
        <w:rPr>
          <w:rStyle w:val="56"/>
          <w:color w:val="auto"/>
          <w:highlight w:val="none"/>
        </w:rPr>
      </w:pPr>
      <w:r>
        <w:rPr>
          <w:rFonts w:hint="eastAsia" w:hAnsi="宋体" w:cs="宋体"/>
          <w:color w:val="auto"/>
          <w:szCs w:val="21"/>
          <w:highlight w:val="none"/>
        </w:rPr>
        <w:t>4.投标人应根据自身实际情况如实响应招标文件</w:t>
      </w:r>
      <w:r>
        <w:rPr>
          <w:rFonts w:hint="eastAsia" w:hAnsi="宋体"/>
          <w:color w:val="auto"/>
          <w:szCs w:val="21"/>
          <w:highlight w:val="none"/>
        </w:rPr>
        <w:t>，</w:t>
      </w:r>
      <w:r>
        <w:rPr>
          <w:rFonts w:hint="eastAsia" w:hAnsi="宋体"/>
          <w:color w:val="auto"/>
          <w:sz w:val="22"/>
          <w:szCs w:val="22"/>
          <w:highlight w:val="none"/>
        </w:rPr>
        <w:t>对招标文件提出的要求和条件作出明确响应</w:t>
      </w:r>
      <w:r>
        <w:rPr>
          <w:rFonts w:hint="eastAsia" w:hAnsi="宋体"/>
          <w:color w:val="auto"/>
          <w:szCs w:val="21"/>
          <w:highlight w:val="none"/>
        </w:rPr>
        <w:t>，</w:t>
      </w:r>
      <w:r>
        <w:rPr>
          <w:rFonts w:hint="eastAsia" w:hAnsi="宋体"/>
          <w:b/>
          <w:bCs/>
          <w:color w:val="auto"/>
          <w:szCs w:val="21"/>
          <w:highlight w:val="none"/>
        </w:rPr>
        <w:t>否则将作无效响应处理</w:t>
      </w:r>
      <w:r>
        <w:rPr>
          <w:rFonts w:hint="eastAsia" w:hAnsi="宋体"/>
          <w:color w:val="auto"/>
          <w:szCs w:val="21"/>
          <w:highlight w:val="none"/>
        </w:rPr>
        <w:t>。</w:t>
      </w:r>
      <w:r>
        <w:rPr>
          <w:rFonts w:hint="eastAsia"/>
          <w:color w:val="auto"/>
          <w:highlight w:val="none"/>
        </w:rPr>
        <w:t>对于重要技术条款或技术参数应当在投标文件中提供技术支持资料，技术支持资料以招标文件中规定的形式为准，</w:t>
      </w:r>
      <w:r>
        <w:rPr>
          <w:rFonts w:hint="eastAsia"/>
          <w:b/>
          <w:bCs/>
          <w:color w:val="auto"/>
          <w:highlight w:val="none"/>
        </w:rPr>
        <w:t>否则将视为无效技术支持资料</w:t>
      </w:r>
      <w:r>
        <w:rPr>
          <w:rFonts w:hint="eastAsia"/>
          <w:color w:val="auto"/>
          <w:highlight w:val="none"/>
        </w:rPr>
        <w:t>。</w:t>
      </w:r>
    </w:p>
    <w:p w14:paraId="56A7C73F">
      <w:pPr>
        <w:ind w:firstLine="413"/>
        <w:rPr>
          <w:color w:val="auto"/>
          <w:highlight w:val="none"/>
        </w:rPr>
      </w:pPr>
      <w:r>
        <w:rPr>
          <w:rFonts w:hint="eastAsia" w:hAnsi="宋体" w:cs="宋体"/>
          <w:color w:val="auto"/>
          <w:szCs w:val="21"/>
          <w:highlight w:val="none"/>
        </w:rPr>
        <w:t>5</w:t>
      </w:r>
      <w:r>
        <w:rPr>
          <w:rFonts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lang w:eastAsia="zh-CN"/>
        </w:rPr>
        <w:t>他人</w:t>
      </w:r>
      <w:r>
        <w:rPr>
          <w:rFonts w:hint="eastAsia"/>
          <w:color w:val="auto"/>
          <w:highlight w:val="none"/>
        </w:rPr>
        <w:t>知识产权或者专利成果的行为</w:t>
      </w:r>
      <w:r>
        <w:rPr>
          <w:color w:val="auto"/>
          <w:highlight w:val="none"/>
        </w:rPr>
        <w:t>承担相应法律责任</w:t>
      </w:r>
      <w:r>
        <w:rPr>
          <w:rFonts w:hint="eastAsia"/>
          <w:color w:val="auto"/>
          <w:highlight w:val="none"/>
        </w:rPr>
        <w:t>。</w:t>
      </w:r>
      <w:bookmarkEnd w:id="42"/>
      <w:bookmarkEnd w:id="43"/>
    </w:p>
    <w:p w14:paraId="561A4F93">
      <w:pPr>
        <w:spacing w:before="1" w:line="377" w:lineRule="auto"/>
        <w:ind w:left="7" w:right="57" w:firstLine="418"/>
        <w:rPr>
          <w:rFonts w:hAnsi="宋体" w:cs="宋体"/>
          <w:color w:val="auto"/>
          <w:szCs w:val="21"/>
          <w:highlight w:val="none"/>
        </w:rPr>
      </w:pPr>
      <w:r>
        <w:rPr>
          <w:rFonts w:hint="eastAsia" w:hAnsi="宋体" w:cs="宋体"/>
          <w:b/>
          <w:bCs/>
          <w:color w:val="auto"/>
          <w:spacing w:val="9"/>
          <w:szCs w:val="21"/>
          <w:highlight w:val="none"/>
        </w:rPr>
        <w:t>6</w:t>
      </w:r>
      <w:r>
        <w:rPr>
          <w:rFonts w:hAnsi="宋体" w:cs="宋体"/>
          <w:b/>
          <w:bCs/>
          <w:color w:val="auto"/>
          <w:spacing w:val="9"/>
          <w:szCs w:val="21"/>
          <w:highlight w:val="none"/>
        </w:rPr>
        <w:t>.本项目不接受进口产品（即通过中国海关报关验</w:t>
      </w:r>
      <w:r>
        <w:rPr>
          <w:rFonts w:hAnsi="宋体" w:cs="宋体"/>
          <w:b/>
          <w:bCs/>
          <w:color w:val="auto"/>
          <w:spacing w:val="8"/>
          <w:szCs w:val="21"/>
          <w:highlight w:val="none"/>
        </w:rPr>
        <w:t>放进入中国境内且产自关境外的产品）参与投标，如</w:t>
      </w:r>
      <w:r>
        <w:rPr>
          <w:rFonts w:hAnsi="宋体" w:cs="宋体"/>
          <w:b/>
          <w:bCs/>
          <w:color w:val="auto"/>
          <w:spacing w:val="7"/>
          <w:szCs w:val="21"/>
          <w:highlight w:val="none"/>
        </w:rPr>
        <w:t>有此类产品参与投标的</w:t>
      </w:r>
      <w:r>
        <w:rPr>
          <w:rFonts w:hint="eastAsia" w:hAnsi="宋体" w:cs="宋体"/>
          <w:b/>
          <w:bCs/>
          <w:color w:val="auto"/>
          <w:spacing w:val="7"/>
          <w:szCs w:val="21"/>
          <w:highlight w:val="none"/>
          <w:lang w:eastAsia="zh-CN"/>
        </w:rPr>
        <w:t>，做</w:t>
      </w:r>
      <w:r>
        <w:rPr>
          <w:rFonts w:hAnsi="宋体" w:cs="宋体"/>
          <w:b/>
          <w:bCs/>
          <w:color w:val="auto"/>
          <w:spacing w:val="7"/>
          <w:szCs w:val="21"/>
          <w:highlight w:val="none"/>
        </w:rPr>
        <w:t>投标无效处理。</w:t>
      </w:r>
    </w:p>
    <w:p w14:paraId="706ADAC2">
      <w:pPr>
        <w:rPr>
          <w:rFonts w:hAnsi="宋体" w:cs="宋体"/>
          <w:b/>
          <w:bCs/>
          <w:color w:val="auto"/>
          <w:szCs w:val="21"/>
          <w:highlight w:val="none"/>
        </w:rPr>
      </w:pP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8189"/>
      </w:tblGrid>
      <w:tr w14:paraId="4889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vAlign w:val="center"/>
          </w:tcPr>
          <w:p w14:paraId="46425447">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b/>
                <w:bCs/>
                <w:color w:val="auto"/>
                <w:sz w:val="24"/>
                <w:highlight w:val="none"/>
              </w:rPr>
              <w:t>一、产品技术参数要求，详见附件</w:t>
            </w:r>
          </w:p>
        </w:tc>
      </w:tr>
      <w:tr w14:paraId="2D82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vAlign w:val="center"/>
          </w:tcPr>
          <w:p w14:paraId="633CDC51">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b/>
                <w:bCs/>
                <w:color w:val="auto"/>
                <w:sz w:val="24"/>
                <w:highlight w:val="none"/>
              </w:rPr>
              <w:t>二、商务条款</w:t>
            </w:r>
          </w:p>
        </w:tc>
      </w:tr>
      <w:tr w14:paraId="5668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55402884">
            <w:pPr>
              <w:keepNext w:val="0"/>
              <w:keepLines w:val="0"/>
              <w:pageBreakBefore w:val="0"/>
              <w:kinsoku/>
              <w:wordWrap/>
              <w:overflowPunct/>
              <w:topLinePunct w:val="0"/>
              <w:autoSpaceDE/>
              <w:autoSpaceDN/>
              <w:bidi w:val="0"/>
              <w:spacing w:line="360" w:lineRule="auto"/>
              <w:jc w:val="center"/>
              <w:textAlignment w:val="auto"/>
              <w:rPr>
                <w:rFonts w:hAnsi="宋体" w:cs="宋体"/>
                <w:b/>
                <w:color w:val="auto"/>
                <w:sz w:val="24"/>
                <w:highlight w:val="none"/>
              </w:rPr>
            </w:pPr>
            <w:r>
              <w:rPr>
                <w:rFonts w:hint="eastAsia" w:hAnsi="宋体" w:cs="宋体"/>
                <w:b/>
                <w:color w:val="auto"/>
                <w:sz w:val="24"/>
                <w:highlight w:val="none"/>
              </w:rPr>
              <w:t>基本要求</w:t>
            </w:r>
          </w:p>
        </w:tc>
        <w:tc>
          <w:tcPr>
            <w:tcW w:w="8189" w:type="dxa"/>
          </w:tcPr>
          <w:p w14:paraId="50CC9127">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 xml:space="preserve">1.中标供应商所提供的产品必须符合国家、行业或地方标准。 </w:t>
            </w:r>
          </w:p>
          <w:p w14:paraId="62582FDA">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2.中标供应商不得以任何借口（如无货，采购量少等）不执行采购人采购要求。</w:t>
            </w:r>
          </w:p>
          <w:p w14:paraId="56B71ADD">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3.产品需符合国家相关检测标准，对提供的产品要保证质量，以确保患者的安全；每批次产品都须有厂家检验合格证明或第三方检测合格证明，能随时提供给采购人备查。</w:t>
            </w:r>
          </w:p>
          <w:p w14:paraId="511425A2">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4.中标供应商提供的货物在质量保证期内，因设计、工艺、材料的缺陷和其他质量原因侵犯了第三方合法权益或造成患者一切的人身安全问题而引发的任何纠纷或诉讼，均由中标供应商负责交涉并承担全部责任。</w:t>
            </w:r>
          </w:p>
          <w:p w14:paraId="5103E004">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5.中标供应商提供给采购人产品的价格要与市场行情相符，合同期内产品不允许涨价。</w:t>
            </w:r>
          </w:p>
          <w:p w14:paraId="4BF45DCC">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6.眼镜架要求：（1）配套提供镜布、镜盒、防滑耳套、眼镜绳，并按医院要求印字；（2）配套提供维修用鼻托和螺丝。眼镜片要求：配套提供镜片加工专用双面胶和防滑贴。此外，零配件、耗材及易损件要求：中标供应商需根据所供货物的种类和数量，提供日常维修维护所需的耗材、零配件、易损件等，以便采购人及时为客户提供服务。</w:t>
            </w:r>
          </w:p>
          <w:p w14:paraId="0FEA0076">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7.样品管理：中标供应商需根据采购人要求提供样品进行展示和销售，样品款式和数量由双方协商确定。</w:t>
            </w:r>
          </w:p>
          <w:p w14:paraId="212D2EFE">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lang w:val="zh-CN"/>
              </w:rPr>
            </w:pPr>
            <w:r>
              <w:rPr>
                <w:rFonts w:hint="eastAsia" w:hAnsi="宋体" w:cs="宋体"/>
                <w:color w:val="auto"/>
                <w:sz w:val="24"/>
                <w:highlight w:val="none"/>
                <w:lang w:val="zh-CN"/>
              </w:rPr>
              <w:t>8.废片处理：除故意损坏外，</w:t>
            </w:r>
            <w:r>
              <w:rPr>
                <w:rFonts w:hint="eastAsia" w:hAnsi="宋体" w:cs="宋体"/>
                <w:color w:val="auto"/>
                <w:sz w:val="24"/>
                <w:highlight w:val="none"/>
                <w:lang w:eastAsia="zh-CN"/>
              </w:rPr>
              <w:t>中标供应商</w:t>
            </w:r>
            <w:r>
              <w:rPr>
                <w:rFonts w:hint="eastAsia" w:hAnsi="宋体" w:cs="宋体"/>
                <w:color w:val="auto"/>
                <w:sz w:val="24"/>
                <w:highlight w:val="none"/>
                <w:lang w:val="zh-CN"/>
              </w:rPr>
              <w:t>对已交付的镜片、镜架出现废片时，应在24小时内更换新镜片、镜架。应按实际废片数100%的比率补足相应规格型号的镜片给采购人。</w:t>
            </w:r>
          </w:p>
        </w:tc>
      </w:tr>
      <w:tr w14:paraId="6C55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267BB694">
            <w:pPr>
              <w:keepNext w:val="0"/>
              <w:keepLines w:val="0"/>
              <w:pageBreakBefore w:val="0"/>
              <w:kinsoku/>
              <w:wordWrap/>
              <w:overflowPunct/>
              <w:topLinePunct w:val="0"/>
              <w:autoSpaceDE/>
              <w:autoSpaceDN/>
              <w:bidi w:val="0"/>
              <w:spacing w:line="360" w:lineRule="auto"/>
              <w:jc w:val="center"/>
              <w:textAlignment w:val="auto"/>
              <w:rPr>
                <w:rFonts w:hAnsi="宋体" w:cs="宋体"/>
                <w:color w:val="auto"/>
                <w:sz w:val="24"/>
                <w:highlight w:val="none"/>
              </w:rPr>
            </w:pPr>
            <w:r>
              <w:rPr>
                <w:rFonts w:hint="eastAsia" w:hAnsi="宋体" w:cs="宋体"/>
                <w:b/>
                <w:color w:val="auto"/>
                <w:sz w:val="24"/>
                <w:highlight w:val="none"/>
              </w:rPr>
              <w:t>售后服务要求</w:t>
            </w:r>
          </w:p>
        </w:tc>
        <w:tc>
          <w:tcPr>
            <w:tcW w:w="8189" w:type="dxa"/>
          </w:tcPr>
          <w:p w14:paraId="383624C4">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1.供货保证：所需货物根据采购人需求分批供应，具体种类、交货时间及地点由采购人通知中标供应商。中标供应商要保证备货充足，满足采购人使用需求，不得以货款未收到等原因为由中断供货。中标供应商在服务期限内停产、更新等情况无法按投标产品型号报价供货时，同时满足替代产品价格不高于同类产品市场价和替代产品性能优于同类产品两个条件的，报采购人审查通过后方可更换产品。</w:t>
            </w:r>
          </w:p>
          <w:p w14:paraId="34901047">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2.服务要求：中标供应商除不可抗力无法按时交货外，不得因其他任何理由延迟送货。如经证明确实因不可抗力无法按时交货，应提前告知采购人。采购人仍然需要中标供应商供货的，中标供应商可以延迟交货，不按违约处理。</w:t>
            </w:r>
          </w:p>
          <w:p w14:paraId="01A13AFB">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3.退换货：</w:t>
            </w:r>
          </w:p>
          <w:p w14:paraId="5FC767D1">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中标供应商提供给采购人的产品必须是全新、未经使用过的，完全符合采购文件规定的质量要求及采购人的</w:t>
            </w:r>
            <w:r>
              <w:rPr>
                <w:rFonts w:hint="eastAsia" w:hAnsi="宋体" w:cs="宋体"/>
                <w:color w:val="auto"/>
                <w:sz w:val="24"/>
                <w:highlight w:val="none"/>
                <w:lang w:eastAsia="zh-CN"/>
              </w:rPr>
              <w:t>需求</w:t>
            </w:r>
            <w:r>
              <w:rPr>
                <w:rFonts w:hint="eastAsia" w:hAnsi="宋体" w:cs="宋体"/>
                <w:color w:val="auto"/>
                <w:sz w:val="24"/>
                <w:highlight w:val="none"/>
              </w:rPr>
              <w:t>，按照国家“三包”有关标准执行。产品出现质量问题（非人为</w:t>
            </w:r>
            <w:r>
              <w:rPr>
                <w:rFonts w:hint="eastAsia" w:hAnsi="宋体" w:cs="宋体"/>
                <w:color w:val="auto"/>
                <w:sz w:val="24"/>
                <w:highlight w:val="none"/>
                <w:lang w:eastAsia="zh-CN"/>
              </w:rPr>
              <w:t>损坏</w:t>
            </w:r>
            <w:r>
              <w:rPr>
                <w:rFonts w:hint="eastAsia" w:hAnsi="宋体" w:cs="宋体"/>
                <w:color w:val="auto"/>
                <w:sz w:val="24"/>
                <w:highlight w:val="none"/>
              </w:rPr>
              <w:t>）可退换处理或维修；如因镜片规格不全或参数问题，中标供应商应负责进行调换。如维修未果且非人为</w:t>
            </w:r>
            <w:r>
              <w:rPr>
                <w:rFonts w:hint="eastAsia" w:hAnsi="宋体" w:cs="宋体"/>
                <w:color w:val="auto"/>
                <w:sz w:val="24"/>
                <w:highlight w:val="none"/>
                <w:lang w:eastAsia="zh-CN"/>
              </w:rPr>
              <w:t>损坏</w:t>
            </w:r>
            <w:r>
              <w:rPr>
                <w:rFonts w:hint="eastAsia" w:hAnsi="宋体" w:cs="宋体"/>
                <w:color w:val="auto"/>
                <w:sz w:val="24"/>
                <w:highlight w:val="none"/>
              </w:rPr>
              <w:t>，予以及时更换。</w:t>
            </w:r>
          </w:p>
          <w:p w14:paraId="031CF121">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4.废片处理：除故意损坏外，</w:t>
            </w:r>
            <w:r>
              <w:rPr>
                <w:rFonts w:hint="eastAsia" w:hAnsi="宋体" w:cs="宋体"/>
                <w:color w:val="auto"/>
                <w:sz w:val="24"/>
                <w:highlight w:val="none"/>
                <w:lang w:eastAsia="zh-CN"/>
              </w:rPr>
              <w:t>中标供应商</w:t>
            </w:r>
            <w:r>
              <w:rPr>
                <w:rFonts w:hint="eastAsia" w:hAnsi="宋体" w:cs="宋体"/>
                <w:color w:val="auto"/>
                <w:sz w:val="24"/>
                <w:highlight w:val="none"/>
              </w:rPr>
              <w:t>对已交付的镜片、镜架出现废</w:t>
            </w:r>
            <w:r>
              <w:rPr>
                <w:rFonts w:hint="eastAsia" w:hAnsi="宋体" w:cs="宋体"/>
                <w:color w:val="auto"/>
                <w:sz w:val="24"/>
                <w:highlight w:val="none"/>
                <w:lang w:eastAsia="zh-CN"/>
              </w:rPr>
              <w:t>片</w:t>
            </w:r>
            <w:r>
              <w:rPr>
                <w:rFonts w:hint="eastAsia" w:hAnsi="宋体" w:cs="宋体"/>
                <w:color w:val="auto"/>
                <w:sz w:val="24"/>
                <w:highlight w:val="none"/>
              </w:rPr>
              <w:t>，应在24小时内更换新镜片、镜架。</w:t>
            </w:r>
          </w:p>
          <w:p w14:paraId="5F354356">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5.送货流程：中标供应商需按照采购人的送货流程要求按时、按质、按量送货到指定地点。</w:t>
            </w:r>
          </w:p>
          <w:p w14:paraId="2ED18605">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6.合同外产品的采购：如采购人实际需要的物资产品未列入本次采购计划需临时采购或需定制的，中标供应商收到采购订单后要及时了解采购人需求，积极配合采购人寻找货源，按照不高于当前市场价或官方指导价（选价格最低的）进行报价，如中标供应商的报价过高采购人无法接受的，采购人可另行采购。</w:t>
            </w:r>
          </w:p>
          <w:p w14:paraId="676E9082">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7.产品库存管理模式：采购人实行零库存管理模式，产品的备货库存由中标供应商自行管理。中标供应商根据采购人的产品销售计划清单开出调拨单后，连同相应产品一起按要求送达采购人指定地点，采购人指定专人接收（库存产品要求半小时内送达，定制产品要求到货后半小时内送达）。采购人可免费为中标供应商提供存放产品的场地做备货仓库，仓库管理由中标供应商安排</w:t>
            </w:r>
            <w:r>
              <w:rPr>
                <w:rFonts w:hint="eastAsia" w:hAnsi="宋体" w:cs="宋体"/>
                <w:color w:val="auto"/>
                <w:sz w:val="24"/>
                <w:highlight w:val="none"/>
                <w:lang w:eastAsia="zh-CN"/>
              </w:rPr>
              <w:t>专人</w:t>
            </w:r>
            <w:r>
              <w:rPr>
                <w:rFonts w:hint="eastAsia" w:hAnsi="宋体" w:cs="宋体"/>
                <w:color w:val="auto"/>
                <w:sz w:val="24"/>
                <w:highlight w:val="none"/>
              </w:rPr>
              <w:t>负责，库管人员的工作时间应按采购人的上班时间安排（含节假日）。中标供应商在使用采购人的场地期间出现的一切问题，包括但不限于库存产品的管理问题、财产和人员的安全问题、场地的装修和改造问题（装修和改造方案需要获得采购人认可后方可实施）、办公设备设施的维护和更新问题</w:t>
            </w:r>
            <w:r>
              <w:rPr>
                <w:rFonts w:hint="eastAsia" w:hAnsi="宋体" w:cs="宋体"/>
                <w:color w:val="auto"/>
                <w:sz w:val="24"/>
                <w:highlight w:val="none"/>
                <w:lang w:eastAsia="zh-CN"/>
              </w:rPr>
              <w:t>等</w:t>
            </w:r>
            <w:r>
              <w:rPr>
                <w:rFonts w:hint="eastAsia" w:hAnsi="宋体" w:cs="宋体"/>
                <w:color w:val="auto"/>
                <w:sz w:val="24"/>
                <w:highlight w:val="none"/>
              </w:rPr>
              <w:t>均与采购人无关，且产生的相关费用均由中标供应商自行承担。</w:t>
            </w:r>
          </w:p>
          <w:p w14:paraId="5FA318CC">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8.退换货及维修要求</w:t>
            </w:r>
            <w:r>
              <w:rPr>
                <w:rFonts w:hint="eastAsia" w:hAnsi="宋体" w:cs="宋体"/>
                <w:color w:val="auto"/>
                <w:sz w:val="24"/>
                <w:highlight w:val="none"/>
                <w:lang w:eastAsia="zh-CN"/>
              </w:rPr>
              <w:t>：保修期</w:t>
            </w:r>
            <w:r>
              <w:rPr>
                <w:rFonts w:hint="eastAsia" w:hAnsi="宋体" w:cs="宋体"/>
                <w:color w:val="auto"/>
                <w:sz w:val="24"/>
                <w:highlight w:val="none"/>
              </w:rPr>
              <w:t>内产品出现质量问题（非人为损坏）可退换货处理；如因镜片规格不全或参数问题，中标供应商应负责调换，调换的镜片实行多还少补的方式调剂价差。保修期内出现的任何质量问题，予以维修，维修未果的予以及时更换。</w:t>
            </w:r>
          </w:p>
          <w:p w14:paraId="01F3C676">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9.返修率不能超过8‰。</w:t>
            </w:r>
          </w:p>
        </w:tc>
      </w:tr>
      <w:tr w14:paraId="79F7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4BDB0030">
            <w:pPr>
              <w:keepNext w:val="0"/>
              <w:keepLines w:val="0"/>
              <w:pageBreakBefore w:val="0"/>
              <w:kinsoku/>
              <w:wordWrap/>
              <w:overflowPunct/>
              <w:topLinePunct w:val="0"/>
              <w:autoSpaceDE/>
              <w:autoSpaceDN/>
              <w:bidi w:val="0"/>
              <w:spacing w:line="360" w:lineRule="auto"/>
              <w:jc w:val="center"/>
              <w:textAlignment w:val="auto"/>
              <w:rPr>
                <w:rFonts w:hAnsi="宋体" w:cs="宋体"/>
                <w:color w:val="auto"/>
                <w:sz w:val="24"/>
                <w:highlight w:val="none"/>
              </w:rPr>
            </w:pPr>
            <w:r>
              <w:rPr>
                <w:rFonts w:hint="eastAsia" w:hAnsi="宋体" w:cs="宋体"/>
                <w:b/>
                <w:color w:val="auto"/>
                <w:sz w:val="24"/>
                <w:highlight w:val="none"/>
              </w:rPr>
              <w:t>保修期</w:t>
            </w:r>
          </w:p>
        </w:tc>
        <w:tc>
          <w:tcPr>
            <w:tcW w:w="8189" w:type="dxa"/>
          </w:tcPr>
          <w:p w14:paraId="0138055D">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产品到院后保修期不少于12个月</w:t>
            </w:r>
          </w:p>
        </w:tc>
      </w:tr>
      <w:tr w14:paraId="4C43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6FD9FA15">
            <w:pPr>
              <w:keepNext w:val="0"/>
              <w:keepLines w:val="0"/>
              <w:pageBreakBefore w:val="0"/>
              <w:kinsoku/>
              <w:wordWrap/>
              <w:overflowPunct/>
              <w:topLinePunct w:val="0"/>
              <w:autoSpaceDE/>
              <w:autoSpaceDN/>
              <w:bidi w:val="0"/>
              <w:spacing w:line="360" w:lineRule="auto"/>
              <w:jc w:val="center"/>
              <w:textAlignment w:val="auto"/>
              <w:rPr>
                <w:rFonts w:hAnsi="宋体" w:cs="宋体"/>
                <w:color w:val="auto"/>
                <w:sz w:val="24"/>
                <w:highlight w:val="none"/>
              </w:rPr>
            </w:pPr>
            <w:r>
              <w:rPr>
                <w:rFonts w:hint="eastAsia" w:hAnsi="宋体" w:cs="宋体"/>
                <w:b/>
                <w:color w:val="auto"/>
                <w:sz w:val="24"/>
                <w:highlight w:val="none"/>
              </w:rPr>
              <w:t>供货时间要求</w:t>
            </w:r>
          </w:p>
        </w:tc>
        <w:tc>
          <w:tcPr>
            <w:tcW w:w="8189" w:type="dxa"/>
          </w:tcPr>
          <w:p w14:paraId="59AB8933">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1.供货周期：自签订合同之日起12个月或采购金额达预算金额，合同即终止。</w:t>
            </w:r>
          </w:p>
          <w:p w14:paraId="569F0172">
            <w:pPr>
              <w:keepNext w:val="0"/>
              <w:keepLines w:val="0"/>
              <w:pageBreakBefore w:val="0"/>
              <w:widowControl/>
              <w:kinsoku/>
              <w:wordWrap/>
              <w:overflowPunct/>
              <w:topLinePunct w:val="0"/>
              <w:autoSpaceDE/>
              <w:autoSpaceDN/>
              <w:bidi w:val="0"/>
              <w:snapToGrid w:val="0"/>
              <w:spacing w:line="360" w:lineRule="auto"/>
              <w:jc w:val="left"/>
              <w:textAlignment w:val="auto"/>
              <w:rPr>
                <w:rFonts w:hAnsi="宋体" w:cs="宋体"/>
                <w:color w:val="auto"/>
                <w:sz w:val="24"/>
                <w:highlight w:val="none"/>
              </w:rPr>
            </w:pPr>
            <w:r>
              <w:rPr>
                <w:rFonts w:hint="eastAsia" w:hAnsi="宋体" w:cs="宋体"/>
                <w:color w:val="auto"/>
                <w:sz w:val="24"/>
                <w:highlight w:val="none"/>
              </w:rPr>
              <w:t>2.供货地点：柳州市妇幼保健院内采购人指定地点</w:t>
            </w:r>
          </w:p>
          <w:p w14:paraId="63966118">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3.供货要求：中标供应商须按每批次采购计划的型号、规格、数量</w:t>
            </w:r>
            <w:r>
              <w:rPr>
                <w:rFonts w:hint="eastAsia" w:hAnsi="宋体" w:cs="宋体"/>
                <w:color w:val="auto"/>
                <w:sz w:val="24"/>
                <w:highlight w:val="none"/>
                <w:lang w:eastAsia="zh-CN"/>
              </w:rPr>
              <w:t>，现片72小时内，定制类产品10个工作日内</w:t>
            </w:r>
            <w:r>
              <w:rPr>
                <w:rFonts w:hint="eastAsia" w:hAnsi="宋体" w:cs="宋体"/>
                <w:color w:val="auto"/>
                <w:sz w:val="24"/>
                <w:highlight w:val="none"/>
              </w:rPr>
              <w:t>将货物运送到采购人指定的地点，中标供应商除不可抗力无法按时交货外，不得因缺货、价格变动、货款未收到等原因延迟或中断供货。如中断供货，造成采购人经济损失，经济损失由中标供应商承担。中标供应商须保证按时供货，超过要求的供货时间的按逾期交货处理，逾期未交货超过3次，按合同违约处理，经监督管理部门同意，采购人有权依法终止合同。</w:t>
            </w:r>
          </w:p>
        </w:tc>
      </w:tr>
      <w:tr w14:paraId="3FA0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56E02860">
            <w:pPr>
              <w:keepNext w:val="0"/>
              <w:keepLines w:val="0"/>
              <w:pageBreakBefore w:val="0"/>
              <w:kinsoku/>
              <w:wordWrap/>
              <w:overflowPunct/>
              <w:topLinePunct w:val="0"/>
              <w:autoSpaceDE/>
              <w:autoSpaceDN/>
              <w:bidi w:val="0"/>
              <w:spacing w:line="360" w:lineRule="auto"/>
              <w:jc w:val="center"/>
              <w:textAlignment w:val="auto"/>
              <w:rPr>
                <w:rFonts w:hAnsi="宋体" w:cs="宋体"/>
                <w:color w:val="auto"/>
                <w:sz w:val="24"/>
                <w:highlight w:val="none"/>
              </w:rPr>
            </w:pPr>
            <w:r>
              <w:rPr>
                <w:rFonts w:hint="eastAsia" w:hAnsi="宋体" w:cs="宋体"/>
                <w:b/>
                <w:color w:val="auto"/>
                <w:sz w:val="24"/>
                <w:highlight w:val="none"/>
              </w:rPr>
              <w:t>付款方式</w:t>
            </w:r>
          </w:p>
        </w:tc>
        <w:tc>
          <w:tcPr>
            <w:tcW w:w="8189" w:type="dxa"/>
          </w:tcPr>
          <w:p w14:paraId="7DC4FE6A">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本项目无预付款，采取按月结算的方式：中标供应商按采购人要求完成供货双方核对无误后，中标供应商向采购人提供真实、准确、正式发票以及相关货款结算资料，采购人自收到中标供应商完整资料后支付货款。未销售的库存货品、展示样品等不结算。</w:t>
            </w:r>
          </w:p>
        </w:tc>
      </w:tr>
      <w:tr w14:paraId="3DF7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2C137ABC">
            <w:pPr>
              <w:keepNext w:val="0"/>
              <w:keepLines w:val="0"/>
              <w:pageBreakBefore w:val="0"/>
              <w:kinsoku/>
              <w:wordWrap/>
              <w:overflowPunct/>
              <w:topLinePunct w:val="0"/>
              <w:autoSpaceDE/>
              <w:autoSpaceDN/>
              <w:bidi w:val="0"/>
              <w:spacing w:line="360" w:lineRule="auto"/>
              <w:jc w:val="center"/>
              <w:textAlignment w:val="auto"/>
              <w:rPr>
                <w:rFonts w:hAnsi="宋体" w:cs="宋体"/>
                <w:color w:val="auto"/>
                <w:sz w:val="24"/>
                <w:highlight w:val="none"/>
              </w:rPr>
            </w:pPr>
            <w:r>
              <w:rPr>
                <w:rFonts w:hint="eastAsia" w:hAnsi="宋体" w:cs="宋体"/>
                <w:b/>
                <w:bCs/>
                <w:color w:val="auto"/>
                <w:sz w:val="24"/>
                <w:highlight w:val="none"/>
              </w:rPr>
              <w:t>产品质量标准</w:t>
            </w:r>
          </w:p>
        </w:tc>
        <w:tc>
          <w:tcPr>
            <w:tcW w:w="8189" w:type="dxa"/>
          </w:tcPr>
          <w:p w14:paraId="51A9B914">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镜片产品执行 GB/T 10810.1-2025《眼镜镜片 第 1 部分：单光和多焦点镜片》、GB/T 10810.2-2025《眼镜镜片 第 2 部分：渐变焦镜片》、QB/T 2506-2017《眼镜镜片 光学树脂镜片》等标准的要求，以单独独立片为单位包装；镜架使用的材料、外观质量应满足 GB/T 14214-2019《眼镜架 通用要求和试验方法》中的规定要求。镜架外观质量要求表面应光滑、色泽均匀、没有麻点、颗粒和明显擦伤，同时镜片镜架还需符合 GB 45184-2024《眼视光产品元件安全技术规范》和 GB 45185-2024《眼视光产品 成品眼镜安全技术规范》。投标产品需符合国家现行标准，即将实施</w:t>
            </w:r>
            <w:r>
              <w:rPr>
                <w:rFonts w:hint="eastAsia" w:hAnsi="宋体" w:cs="宋体"/>
                <w:color w:val="auto"/>
                <w:sz w:val="24"/>
                <w:highlight w:val="none"/>
                <w:lang w:eastAsia="zh-CN"/>
              </w:rPr>
              <w:t>的标准</w:t>
            </w:r>
            <w:r>
              <w:rPr>
                <w:rFonts w:hint="eastAsia" w:hAnsi="宋体" w:cs="宋体"/>
                <w:color w:val="auto"/>
                <w:sz w:val="24"/>
                <w:highlight w:val="none"/>
              </w:rPr>
              <w:t>以实施开始日期起要求，标准更新需以最新标准执行。每个单品的详细技术参数需求详见附件。</w:t>
            </w:r>
          </w:p>
        </w:tc>
      </w:tr>
      <w:tr w14:paraId="3657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5122CE1F">
            <w:pPr>
              <w:keepNext w:val="0"/>
              <w:keepLines w:val="0"/>
              <w:pageBreakBefore w:val="0"/>
              <w:kinsoku/>
              <w:wordWrap/>
              <w:overflowPunct/>
              <w:topLinePunct w:val="0"/>
              <w:autoSpaceDE/>
              <w:autoSpaceDN/>
              <w:bidi w:val="0"/>
              <w:spacing w:line="360" w:lineRule="auto"/>
              <w:jc w:val="center"/>
              <w:textAlignment w:val="auto"/>
              <w:rPr>
                <w:rFonts w:hAnsi="宋体" w:cs="宋体"/>
                <w:color w:val="auto"/>
                <w:sz w:val="24"/>
                <w:highlight w:val="none"/>
              </w:rPr>
            </w:pPr>
            <w:r>
              <w:rPr>
                <w:rFonts w:hint="eastAsia" w:hAnsi="宋体" w:cs="宋体"/>
                <w:b/>
                <w:bCs/>
                <w:color w:val="auto"/>
                <w:sz w:val="24"/>
                <w:highlight w:val="none"/>
              </w:rPr>
              <w:t>报价要求</w:t>
            </w:r>
          </w:p>
        </w:tc>
        <w:tc>
          <w:tcPr>
            <w:tcW w:w="8189" w:type="dxa"/>
          </w:tcPr>
          <w:p w14:paraId="025DC753">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投标人须对品目所有标的进行逐项响应，以总折扣率报价，即合同单价（取整到小数点后2位）=基准单价（</w:t>
            </w:r>
            <w:r>
              <w:rPr>
                <w:rFonts w:hint="eastAsia" w:hAnsi="宋体" w:cs="宋体"/>
                <w:color w:val="auto"/>
                <w:sz w:val="24"/>
                <w:highlight w:val="none"/>
                <w:lang w:eastAsia="zh-CN"/>
              </w:rPr>
              <w:t>单价预控价</w:t>
            </w:r>
            <w:r>
              <w:rPr>
                <w:rFonts w:hint="eastAsia" w:hAnsi="宋体" w:cs="宋体"/>
                <w:color w:val="auto"/>
                <w:sz w:val="24"/>
                <w:highlight w:val="none"/>
              </w:rPr>
              <w:t>）×总折扣率，漏项报价、有选择报价或有条件的报价，采购人有权视为不完整报价，</w:t>
            </w:r>
            <w:r>
              <w:rPr>
                <w:rFonts w:hint="eastAsia" w:hAnsi="宋体" w:cs="宋体"/>
                <w:b/>
                <w:bCs/>
                <w:color w:val="auto"/>
                <w:sz w:val="24"/>
                <w:highlight w:val="none"/>
              </w:rPr>
              <w:t>按投标无效处理。</w:t>
            </w:r>
          </w:p>
        </w:tc>
      </w:tr>
      <w:tr w14:paraId="715B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tcPr>
          <w:p w14:paraId="7D834F88">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签订合同时间</w:t>
            </w:r>
          </w:p>
        </w:tc>
        <w:tc>
          <w:tcPr>
            <w:tcW w:w="8189" w:type="dxa"/>
          </w:tcPr>
          <w:p w14:paraId="4574E540">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hAnsi="宋体" w:cs="宋体"/>
                <w:color w:val="auto"/>
                <w:sz w:val="24"/>
                <w:highlight w:val="none"/>
              </w:rPr>
              <w:t>中标通知书发出后25日内</w:t>
            </w:r>
          </w:p>
        </w:tc>
      </w:tr>
      <w:tr w14:paraId="2DF0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3744AA85">
            <w:pPr>
              <w:keepNext w:val="0"/>
              <w:keepLines w:val="0"/>
              <w:pageBreakBefore w:val="0"/>
              <w:kinsoku/>
              <w:wordWrap/>
              <w:overflowPunct/>
              <w:topLinePunct w:val="0"/>
              <w:autoSpaceDE/>
              <w:autoSpaceDN/>
              <w:bidi w:val="0"/>
              <w:snapToGrid w:val="0"/>
              <w:spacing w:line="360" w:lineRule="auto"/>
              <w:jc w:val="center"/>
              <w:textAlignment w:val="auto"/>
              <w:rPr>
                <w:rFonts w:hAnsi="宋体" w:cs="宋体"/>
                <w:color w:val="auto"/>
                <w:sz w:val="24"/>
                <w:highlight w:val="none"/>
              </w:rPr>
            </w:pPr>
            <w:r>
              <w:rPr>
                <w:rFonts w:hint="eastAsia" w:hAnsi="宋体" w:cs="宋体"/>
                <w:color w:val="auto"/>
                <w:sz w:val="24"/>
                <w:highlight w:val="none"/>
              </w:rPr>
              <w:t>验收要求</w:t>
            </w:r>
          </w:p>
        </w:tc>
        <w:tc>
          <w:tcPr>
            <w:tcW w:w="8189" w:type="dxa"/>
          </w:tcPr>
          <w:p w14:paraId="4AB50C52">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1.交付验收标准</w:t>
            </w:r>
            <w:r>
              <w:rPr>
                <w:rFonts w:hint="eastAsia" w:hAnsi="宋体" w:cs="宋体"/>
                <w:color w:val="auto"/>
                <w:sz w:val="24"/>
                <w:highlight w:val="none"/>
                <w:lang w:eastAsia="zh-CN"/>
              </w:rPr>
              <w:t>依次</w:t>
            </w:r>
            <w:r>
              <w:rPr>
                <w:rFonts w:hint="eastAsia" w:hAnsi="宋体" w:cs="宋体"/>
                <w:color w:val="auto"/>
                <w:sz w:val="24"/>
                <w:highlight w:val="none"/>
              </w:rPr>
              <w:t>对照适用标准为：①符合中华人民共和国国家安全质量标准、环保标准或行业标准；②符合招标文件和投标文件承诺中采购人认可的合理最佳配置、参数及各项要求；③货物符合国家合格标准。</w:t>
            </w:r>
          </w:p>
          <w:p w14:paraId="11D0741B">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2.中标供应商须确保货物为原制造商制造的全新产品，无污染，无侵权行为</w:t>
            </w:r>
            <w:r>
              <w:rPr>
                <w:rFonts w:hint="eastAsia" w:hAnsi="宋体" w:cs="宋体"/>
                <w:color w:val="auto"/>
                <w:sz w:val="24"/>
                <w:highlight w:val="none"/>
                <w:lang w:eastAsia="zh-CN"/>
              </w:rPr>
              <w:t>，</w:t>
            </w:r>
            <w:r>
              <w:rPr>
                <w:rFonts w:hint="eastAsia" w:hAnsi="宋体" w:cs="宋体"/>
                <w:color w:val="auto"/>
                <w:sz w:val="24"/>
                <w:highlight w:val="none"/>
              </w:rPr>
              <w:t>表面无划损、无任何缺陷隐患，在中国境内可依常规安全合法使用。</w:t>
            </w:r>
          </w:p>
          <w:p w14:paraId="7D9E8BD5">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3.供货时中标供应商应将关键货物的用户手册、保修手册、有关单证资料及</w:t>
            </w:r>
            <w:r>
              <w:rPr>
                <w:rFonts w:hint="eastAsia" w:hAnsi="宋体" w:cs="宋体"/>
                <w:color w:val="auto"/>
                <w:sz w:val="24"/>
                <w:highlight w:val="none"/>
                <w:lang w:eastAsia="zh-CN"/>
              </w:rPr>
              <w:t>配件</w:t>
            </w:r>
            <w:r>
              <w:rPr>
                <w:rFonts w:hint="eastAsia" w:hAnsi="宋体" w:cs="宋体"/>
                <w:color w:val="auto"/>
                <w:sz w:val="24"/>
                <w:highlight w:val="none"/>
              </w:rPr>
              <w:t>等交付给采购人，使用操作及安全须知等重要资料应附有中文说明。</w:t>
            </w:r>
          </w:p>
          <w:p w14:paraId="324FC38B">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4.采购人按国家有关规定、规范进行验收，必要时邀请相关的专业人员或机构参与验收。因货物质量问题发生争议时，由本地质量技术监督部门鉴定。鉴定费由中标供应商承担。</w:t>
            </w:r>
          </w:p>
          <w:p w14:paraId="701F693E">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lang w:val="en-US" w:eastAsia="zh-CN"/>
              </w:rPr>
              <w:t>5</w:t>
            </w:r>
            <w:r>
              <w:rPr>
                <w:rFonts w:hint="eastAsia" w:hAnsi="宋体" w:cs="宋体"/>
                <w:color w:val="auto"/>
                <w:sz w:val="24"/>
                <w:highlight w:val="none"/>
              </w:rPr>
              <w:t>.采购人对中标供应商提交的货物依据招标（或投标）文件及签订的合同</w:t>
            </w:r>
            <w:r>
              <w:rPr>
                <w:rFonts w:hint="eastAsia" w:hAnsi="宋体" w:cs="宋体"/>
                <w:color w:val="auto"/>
                <w:sz w:val="24"/>
                <w:highlight w:val="none"/>
                <w:lang w:eastAsia="zh-CN"/>
              </w:rPr>
              <w:t>中</w:t>
            </w:r>
            <w:r>
              <w:rPr>
                <w:rFonts w:hint="eastAsia" w:hAnsi="宋体" w:cs="宋体"/>
                <w:color w:val="auto"/>
                <w:sz w:val="24"/>
                <w:highlight w:val="none"/>
              </w:rPr>
              <w:t>的技术规格要求和国家有关质量标准进行现场初步验收，外观、说明书符合招标文件技术要求的，给予签收</w:t>
            </w:r>
            <w:r>
              <w:rPr>
                <w:rFonts w:hint="eastAsia" w:hAnsi="宋体" w:cs="宋体"/>
                <w:color w:val="auto"/>
                <w:sz w:val="24"/>
                <w:highlight w:val="none"/>
                <w:lang w:eastAsia="zh-CN"/>
              </w:rPr>
              <w:t>；</w:t>
            </w:r>
            <w:r>
              <w:rPr>
                <w:rFonts w:hint="eastAsia" w:hAnsi="宋体" w:cs="宋体"/>
                <w:color w:val="auto"/>
                <w:sz w:val="24"/>
                <w:highlight w:val="none"/>
              </w:rPr>
              <w:t>初步验收不合格的</w:t>
            </w:r>
            <w:r>
              <w:rPr>
                <w:rFonts w:hint="eastAsia" w:hAnsi="宋体" w:cs="宋体"/>
                <w:color w:val="auto"/>
                <w:sz w:val="24"/>
                <w:highlight w:val="none"/>
                <w:lang w:eastAsia="zh-CN"/>
              </w:rPr>
              <w:t>，不予</w:t>
            </w:r>
            <w:r>
              <w:rPr>
                <w:rFonts w:hint="eastAsia" w:hAnsi="宋体" w:cs="宋体"/>
                <w:color w:val="auto"/>
                <w:sz w:val="24"/>
                <w:highlight w:val="none"/>
              </w:rPr>
              <w:t>签收。</w:t>
            </w:r>
          </w:p>
          <w:p w14:paraId="37D6367A">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lang w:val="en-US" w:eastAsia="zh-CN"/>
              </w:rPr>
              <w:t>6</w:t>
            </w:r>
            <w:r>
              <w:rPr>
                <w:rFonts w:hint="eastAsia" w:hAnsi="宋体" w:cs="宋体"/>
                <w:color w:val="auto"/>
                <w:sz w:val="24"/>
                <w:highlight w:val="none"/>
              </w:rPr>
              <w:t>.采购人对中标供应商提供的货物验收前，中标供应商需负责安装完毕、培训采购人的使用操作人员并协助采购人一起调试，直到符合招标、投标文件及签订的合同规定的技术要求，采购人才做最终验收。在验收过程中发现中标供应商有违约问题，可暂缓资金结算，待违约问题解决后，方可办理资金结算事宜。</w:t>
            </w:r>
          </w:p>
          <w:p w14:paraId="37C8E3F7">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lang w:val="en-US" w:eastAsia="zh-CN"/>
              </w:rPr>
              <w:t>7</w:t>
            </w:r>
            <w:r>
              <w:rPr>
                <w:rFonts w:hint="eastAsia" w:hAnsi="宋体" w:cs="宋体"/>
                <w:color w:val="auto"/>
                <w:sz w:val="24"/>
                <w:highlight w:val="none"/>
              </w:rPr>
              <w:t>.对技术复杂的货物，采购人可聘请国家认可的专业检测机构参与初步验收及最终验收并由其出具质量检测报告，检测费用由中标供应商承担。</w:t>
            </w:r>
          </w:p>
          <w:p w14:paraId="4EF0882B">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lang w:val="en-US" w:eastAsia="zh-CN"/>
              </w:rPr>
              <w:t>8</w:t>
            </w:r>
            <w:r>
              <w:rPr>
                <w:rFonts w:hint="eastAsia" w:hAnsi="宋体" w:cs="宋体"/>
                <w:color w:val="auto"/>
                <w:sz w:val="24"/>
                <w:highlight w:val="none"/>
              </w:rPr>
              <w:t>.以招标文件技术参数要求为依据，满足使用需求为原则，由采购人组织相关部门组成验收小组对货物技术参数及性能（配置）进行验收，技术参数及性能（配置）是否符合招标文件要求以实际验收结果为准。</w:t>
            </w:r>
          </w:p>
          <w:p w14:paraId="5805C13D">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lang w:val="en-US" w:eastAsia="zh-CN"/>
              </w:rPr>
              <w:t>9</w:t>
            </w:r>
            <w:r>
              <w:rPr>
                <w:rFonts w:hint="eastAsia" w:hAnsi="宋体" w:cs="宋体"/>
                <w:color w:val="auto"/>
                <w:sz w:val="24"/>
                <w:highlight w:val="none"/>
              </w:rPr>
              <w:t>.技术性能资料涵盖招标文件技术参数及性能（配置），投标文件技术文件响应表及产品配置清单等。</w:t>
            </w:r>
          </w:p>
          <w:p w14:paraId="41DE8722">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0</w:t>
            </w:r>
            <w:r>
              <w:rPr>
                <w:rFonts w:hint="eastAsia" w:hAnsi="宋体" w:cs="宋体"/>
                <w:color w:val="auto"/>
                <w:sz w:val="24"/>
                <w:highlight w:val="none"/>
              </w:rPr>
              <w:t>.货物技术参数及性能（配置）必须与投标文件相符合，如出现不一致，以技术响应表响应内容为准。</w:t>
            </w:r>
          </w:p>
          <w:p w14:paraId="6BB72997">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1</w:t>
            </w:r>
            <w:r>
              <w:rPr>
                <w:rFonts w:hint="eastAsia" w:hAnsi="宋体" w:cs="宋体"/>
                <w:color w:val="auto"/>
                <w:sz w:val="24"/>
                <w:highlight w:val="none"/>
              </w:rPr>
              <w:t>.验收小组依据投标文件技术响应表逐条进行验收，对于货物技术参数及性能（配置）与投标文件技术响应表响应不符的，</w:t>
            </w:r>
            <w:r>
              <w:rPr>
                <w:rFonts w:hint="eastAsia" w:hAnsi="宋体" w:cs="宋体"/>
                <w:color w:val="auto"/>
                <w:sz w:val="24"/>
                <w:highlight w:val="none"/>
                <w:lang w:eastAsia="zh-CN"/>
              </w:rPr>
              <w:t>做</w:t>
            </w:r>
            <w:r>
              <w:rPr>
                <w:rFonts w:hint="eastAsia" w:hAnsi="宋体" w:cs="宋体"/>
                <w:color w:val="auto"/>
                <w:sz w:val="24"/>
                <w:highlight w:val="none"/>
              </w:rPr>
              <w:t>如下处理：</w:t>
            </w:r>
          </w:p>
          <w:p w14:paraId="6CF3ECAF">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①货物实际是负偏离的参数，在投标文件中标明是无偏离或正偏离，在评审中未被发现的，以虚假响应论处；</w:t>
            </w:r>
          </w:p>
          <w:p w14:paraId="4F569C9B">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②货物实际是无偏离参数，在投标文件中标明是正偏离，在评审中未被发现的，以虚假响应论处；</w:t>
            </w:r>
          </w:p>
          <w:p w14:paraId="4ED98CEA">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③货物响应表是正偏离参数，验收时并没有达到技术响应表中标明的正偏离范围，以虚假响应论处。</w:t>
            </w:r>
          </w:p>
          <w:p w14:paraId="42C14EEC">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中标后，采购人在货物验收环节发现设备的技术参数指标达不到投标文件中技术参数响应的内容，</w:t>
            </w:r>
            <w:r>
              <w:rPr>
                <w:rFonts w:hint="eastAsia" w:hAnsi="宋体" w:cs="宋体"/>
                <w:color w:val="auto"/>
                <w:sz w:val="24"/>
                <w:highlight w:val="none"/>
                <w:lang w:eastAsia="zh-CN"/>
              </w:rPr>
              <w:t>属于</w:t>
            </w:r>
            <w:r>
              <w:rPr>
                <w:rFonts w:hint="eastAsia" w:hAnsi="宋体" w:cs="宋体"/>
                <w:color w:val="auto"/>
                <w:sz w:val="24"/>
                <w:highlight w:val="none"/>
              </w:rPr>
              <w:t>虚假响应行为，采购人经政府采购监督管理部门同意有权依法终止合同拒收货物，并追究供应商违约责任，中标供应商须赔偿采购人因采购时间延长造成的经济等方面损失，同时视情形将违约情况上报监督管理部门。</w:t>
            </w:r>
          </w:p>
          <w:p w14:paraId="0A31EEEB">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2</w:t>
            </w:r>
            <w:r>
              <w:rPr>
                <w:rFonts w:hint="eastAsia" w:hAnsi="宋体" w:cs="宋体"/>
                <w:color w:val="auto"/>
                <w:sz w:val="24"/>
                <w:highlight w:val="none"/>
              </w:rPr>
              <w:t>.中标供应商交付前须</w:t>
            </w:r>
            <w:r>
              <w:rPr>
                <w:rFonts w:hint="eastAsia" w:hAnsi="宋体" w:cs="宋体"/>
                <w:color w:val="auto"/>
                <w:sz w:val="24"/>
                <w:highlight w:val="none"/>
                <w:lang w:eastAsia="zh-CN"/>
              </w:rPr>
              <w:t>进行</w:t>
            </w:r>
            <w:r>
              <w:rPr>
                <w:rFonts w:hint="eastAsia" w:hAnsi="宋体" w:cs="宋体"/>
                <w:color w:val="auto"/>
                <w:sz w:val="24"/>
                <w:highlight w:val="none"/>
              </w:rPr>
              <w:t>全面检查</w:t>
            </w:r>
            <w:r>
              <w:rPr>
                <w:rFonts w:hint="eastAsia" w:hAnsi="宋体" w:cs="宋体"/>
                <w:color w:val="auto"/>
                <w:sz w:val="24"/>
                <w:highlight w:val="none"/>
                <w:lang w:eastAsia="zh-CN"/>
              </w:rPr>
              <w:t>，并</w:t>
            </w:r>
            <w:r>
              <w:rPr>
                <w:rFonts w:hint="eastAsia" w:hAnsi="宋体" w:cs="宋体"/>
                <w:color w:val="auto"/>
                <w:sz w:val="24"/>
                <w:highlight w:val="none"/>
              </w:rPr>
              <w:t>对验收材料进行整理</w:t>
            </w:r>
            <w:r>
              <w:rPr>
                <w:rFonts w:hint="eastAsia" w:hAnsi="宋体" w:cs="宋体"/>
                <w:color w:val="auto"/>
                <w:sz w:val="24"/>
                <w:highlight w:val="none"/>
                <w:lang w:eastAsia="zh-CN"/>
              </w:rPr>
              <w:t>、列出</w:t>
            </w:r>
            <w:r>
              <w:rPr>
                <w:rFonts w:hint="eastAsia" w:hAnsi="宋体" w:cs="宋体"/>
                <w:color w:val="auto"/>
                <w:sz w:val="24"/>
                <w:highlight w:val="none"/>
              </w:rPr>
              <w:t>清单，作为采购人收货验收和使用的技术条件依据，</w:t>
            </w:r>
            <w:r>
              <w:rPr>
                <w:rFonts w:hint="eastAsia" w:hAnsi="宋体" w:cs="宋体"/>
                <w:color w:val="auto"/>
                <w:sz w:val="24"/>
                <w:highlight w:val="none"/>
                <w:lang w:eastAsia="zh-CN"/>
              </w:rPr>
              <w:t>检验</w:t>
            </w:r>
            <w:r>
              <w:rPr>
                <w:rFonts w:hint="eastAsia" w:hAnsi="宋体" w:cs="宋体"/>
                <w:color w:val="auto"/>
                <w:sz w:val="24"/>
                <w:highlight w:val="none"/>
              </w:rPr>
              <w:t xml:space="preserve">结果应随货物交采购人。  </w:t>
            </w:r>
          </w:p>
          <w:p w14:paraId="7EC727DF">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3</w:t>
            </w:r>
            <w:r>
              <w:rPr>
                <w:rFonts w:hint="eastAsia" w:hAnsi="宋体" w:cs="宋体"/>
                <w:color w:val="auto"/>
                <w:sz w:val="24"/>
                <w:highlight w:val="none"/>
              </w:rPr>
              <w:t>.验收时中标供应商代表必须在现场，验收完毕后作出验收结果报告；验收费用由中标供应商承担。</w:t>
            </w:r>
          </w:p>
          <w:p w14:paraId="24C35A06">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4</w:t>
            </w:r>
            <w:r>
              <w:rPr>
                <w:rFonts w:hint="eastAsia" w:hAnsi="宋体" w:cs="宋体"/>
                <w:color w:val="auto"/>
                <w:sz w:val="24"/>
                <w:highlight w:val="none"/>
              </w:rPr>
              <w:t>.中标供应商对验收结果有异议的，须在验收后5个工作日内以书面形式向采购人提出，采购人自收到中标供应商书面异议后 5 个工作日内及时予以复核并书面回复最终验收结果。</w:t>
            </w:r>
          </w:p>
          <w:p w14:paraId="584A6737">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5</w:t>
            </w:r>
            <w:r>
              <w:rPr>
                <w:rFonts w:hint="eastAsia" w:hAnsi="宋体" w:cs="宋体"/>
                <w:color w:val="auto"/>
                <w:sz w:val="24"/>
                <w:highlight w:val="none"/>
              </w:rPr>
              <w:t>.如中标供应商有下列情况之一的，采购人有权拒绝验收和支付款项，并依照处罚条款作出相应处罚：</w:t>
            </w:r>
          </w:p>
          <w:p w14:paraId="1A50F232">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（1）提供的货物规格、技术标准、材料未达到其投标文件所承诺的，导致无法通过验收交付使用的；</w:t>
            </w:r>
          </w:p>
          <w:p w14:paraId="42EB98C7">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（2）提供的货物经查证无法得到生产厂家正规售后服务的；</w:t>
            </w:r>
          </w:p>
          <w:p w14:paraId="4C22B9F1">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（3）提供的货物未经正规合法经销渠道的；</w:t>
            </w:r>
          </w:p>
          <w:p w14:paraId="03126D63">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（4）提供的货物侵犯了第三方合法权益而引发了纠纷或诉讼，导致无法按期交付使用的；</w:t>
            </w:r>
          </w:p>
          <w:p w14:paraId="2960D89C">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（5）所交的货物品种、型号、规格、质量等不符合投标文件提供的技术数据</w:t>
            </w:r>
            <w:r>
              <w:rPr>
                <w:rFonts w:hint="eastAsia" w:hAnsi="宋体" w:cs="宋体"/>
                <w:color w:val="auto"/>
                <w:sz w:val="24"/>
                <w:highlight w:val="none"/>
                <w:lang w:eastAsia="zh-CN"/>
              </w:rPr>
              <w:t>，经</w:t>
            </w:r>
            <w:r>
              <w:rPr>
                <w:rFonts w:hint="eastAsia" w:hAnsi="宋体" w:cs="宋体"/>
                <w:color w:val="auto"/>
                <w:sz w:val="24"/>
                <w:highlight w:val="none"/>
              </w:rPr>
              <w:t>实际测试发现不真实的。</w:t>
            </w:r>
          </w:p>
          <w:p w14:paraId="259C72BF">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（6）发现所提供的产品有弄虚作假的行为的。</w:t>
            </w:r>
          </w:p>
          <w:p w14:paraId="46D37F75">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6</w:t>
            </w:r>
            <w:r>
              <w:rPr>
                <w:rFonts w:hint="eastAsia" w:hAnsi="宋体" w:cs="宋体"/>
                <w:color w:val="auto"/>
                <w:sz w:val="24"/>
                <w:highlight w:val="none"/>
              </w:rPr>
              <w:t>.采购人有权委托第三方进行履约验收，履约验收费用由中标供应商支付。</w:t>
            </w:r>
          </w:p>
          <w:p w14:paraId="74C01D83">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7</w:t>
            </w:r>
            <w:r>
              <w:rPr>
                <w:rFonts w:hint="eastAsia" w:hAnsi="宋体" w:cs="宋体"/>
                <w:color w:val="auto"/>
                <w:sz w:val="24"/>
                <w:highlight w:val="none"/>
              </w:rPr>
              <w:t>.采购人应当在安装、调试完成且收到中标供应商验收申请后7个工作日内组织验收，10个工作日内完成验收，如果有特殊情况无法完成验收的，书面向分管领导报告。验收合格后由采购人和中标供应商双方签署货物验收单并加盖双方单位公章，采购人和中标供应商双方各执一份。货物验收单只有单方签字的，需征得对方书面同意。</w:t>
            </w:r>
          </w:p>
          <w:p w14:paraId="332BE1C4">
            <w:pPr>
              <w:keepNext w:val="0"/>
              <w:keepLines w:val="0"/>
              <w:pageBreakBefore w:val="0"/>
              <w:kinsoku/>
              <w:wordWrap/>
              <w:overflowPunct/>
              <w:topLinePunct w:val="0"/>
              <w:autoSpaceDE/>
              <w:autoSpaceDN/>
              <w:bidi w:val="0"/>
              <w:snapToGrid w:val="0"/>
              <w:spacing w:line="360" w:lineRule="auto"/>
              <w:ind w:right="-16"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8</w:t>
            </w:r>
            <w:r>
              <w:rPr>
                <w:rFonts w:hint="eastAsia" w:hAnsi="宋体" w:cs="宋体"/>
                <w:color w:val="auto"/>
                <w:sz w:val="24"/>
                <w:highlight w:val="none"/>
              </w:rPr>
              <w:t>.采购人委托政府采购代理机构组织的验收项目，其验收时间以该项目验收方案确定的验收时间为准，验收结果以该项目验收报告结论为准。在验收过程中发现中标供应商有违约问题，可暂缓资金结算，待违约问题解决后，方可办理资金结算事宜。</w:t>
            </w:r>
          </w:p>
        </w:tc>
      </w:tr>
      <w:tr w14:paraId="4AAA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center"/>
          </w:tcPr>
          <w:p w14:paraId="74F73D27">
            <w:pPr>
              <w:keepNext w:val="0"/>
              <w:keepLines w:val="0"/>
              <w:pageBreakBefore w:val="0"/>
              <w:kinsoku/>
              <w:wordWrap/>
              <w:overflowPunct/>
              <w:topLinePunct w:val="0"/>
              <w:autoSpaceDE/>
              <w:autoSpaceDN/>
              <w:bidi w:val="0"/>
              <w:snapToGrid w:val="0"/>
              <w:spacing w:line="360" w:lineRule="auto"/>
              <w:jc w:val="center"/>
              <w:textAlignment w:val="auto"/>
              <w:rPr>
                <w:rFonts w:hAnsi="宋体" w:cs="宋体"/>
                <w:color w:val="auto"/>
                <w:sz w:val="24"/>
                <w:highlight w:val="none"/>
              </w:rPr>
            </w:pPr>
            <w:r>
              <w:rPr>
                <w:rFonts w:hint="eastAsia" w:hAnsi="宋体" w:cs="宋体"/>
                <w:color w:val="auto"/>
                <w:sz w:val="24"/>
                <w:highlight w:val="none"/>
              </w:rPr>
              <w:t>核心产品</w:t>
            </w:r>
            <w:bookmarkStart w:id="44" w:name="修改2"/>
            <w:bookmarkEnd w:id="44"/>
          </w:p>
        </w:tc>
        <w:tc>
          <w:tcPr>
            <w:tcW w:w="8189" w:type="dxa"/>
          </w:tcPr>
          <w:p w14:paraId="48401EE0">
            <w:pPr>
              <w:keepNext w:val="0"/>
              <w:keepLines w:val="0"/>
              <w:pageBreakBefore w:val="0"/>
              <w:kinsoku/>
              <w:wordWrap/>
              <w:overflowPunct/>
              <w:topLinePunct w:val="0"/>
              <w:autoSpaceDE/>
              <w:autoSpaceDN/>
              <w:bidi w:val="0"/>
              <w:snapToGrid w:val="0"/>
              <w:spacing w:line="360" w:lineRule="auto"/>
              <w:ind w:right="-16" w:firstLine="480" w:firstLineChars="200"/>
              <w:jc w:val="both"/>
              <w:textAlignment w:val="auto"/>
              <w:rPr>
                <w:rFonts w:hAnsi="宋体" w:cs="宋体"/>
                <w:color w:val="auto"/>
                <w:sz w:val="24"/>
                <w:highlight w:val="none"/>
              </w:rPr>
            </w:pPr>
            <w:r>
              <w:rPr>
                <w:rFonts w:hint="eastAsia" w:hAnsi="宋体" w:cs="宋体"/>
                <w:color w:val="auto"/>
                <w:sz w:val="24"/>
                <w:highlight w:val="none"/>
              </w:rPr>
              <w:t>本项目核心产品为附件二“眼镜片采购清单”序号7：1.56非球面树脂镜片、序号180：1.50周边离焦树脂镜片、序号194：1.56多点离焦树脂镜片、序号357：1.50 3D内非树脂镜片、序号380：1.591点扩散近视控制技术镜片。</w:t>
            </w:r>
          </w:p>
        </w:tc>
      </w:tr>
      <w:tr w14:paraId="27C4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2"/>
          </w:tcPr>
          <w:p w14:paraId="2D6A380B">
            <w:pPr>
              <w:keepNext w:val="0"/>
              <w:keepLines w:val="0"/>
              <w:pageBreakBefore w:val="0"/>
              <w:kinsoku/>
              <w:wordWrap/>
              <w:overflowPunct/>
              <w:topLinePunct w:val="0"/>
              <w:autoSpaceDE/>
              <w:autoSpaceDN/>
              <w:bidi w:val="0"/>
              <w:spacing w:line="360" w:lineRule="auto"/>
              <w:jc w:val="both"/>
              <w:textAlignment w:val="auto"/>
              <w:rPr>
                <w:rFonts w:hAnsi="宋体" w:cs="宋体"/>
                <w:color w:val="auto"/>
                <w:sz w:val="24"/>
                <w:highlight w:val="none"/>
              </w:rPr>
            </w:pPr>
            <w:r>
              <w:rPr>
                <w:rFonts w:hint="eastAsia"/>
                <w:color w:val="auto"/>
                <w:highlight w:val="none"/>
                <w:lang w:val="en-US" w:eastAsia="zh-CN"/>
              </w:rPr>
              <w:t>三、</w:t>
            </w:r>
            <w:r>
              <w:rPr>
                <w:rFonts w:hint="eastAsia" w:hAnsi="宋体" w:cs="宋体"/>
                <w:color w:val="auto"/>
                <w:sz w:val="24"/>
                <w:highlight w:val="none"/>
              </w:rPr>
              <w:t>其他（非商务条款）</w:t>
            </w:r>
          </w:p>
          <w:p w14:paraId="09797718">
            <w:pPr>
              <w:keepNext w:val="0"/>
              <w:keepLines w:val="0"/>
              <w:pageBreakBefore w:val="0"/>
              <w:kinsoku/>
              <w:wordWrap/>
              <w:overflowPunct/>
              <w:topLinePunct w:val="0"/>
              <w:autoSpaceDE/>
              <w:autoSpaceDN/>
              <w:bidi w:val="0"/>
              <w:snapToGrid w:val="0"/>
              <w:spacing w:line="360" w:lineRule="auto"/>
              <w:jc w:val="both"/>
              <w:textAlignment w:val="auto"/>
              <w:rPr>
                <w:rFonts w:hAnsi="宋体" w:cs="宋体"/>
                <w:color w:val="auto"/>
                <w:sz w:val="24"/>
                <w:highlight w:val="none"/>
              </w:rPr>
            </w:pPr>
            <w:r>
              <w:rPr>
                <w:rFonts w:hint="eastAsia" w:hAnsi="宋体" w:cs="宋体"/>
                <w:color w:val="auto"/>
                <w:sz w:val="24"/>
                <w:highlight w:val="none"/>
              </w:rPr>
              <w:t>投标人结合自身能力及本项目采购需求提供以下内容</w:t>
            </w:r>
          </w:p>
          <w:p w14:paraId="27D87648">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1.</w:t>
            </w:r>
            <w:r>
              <w:rPr>
                <w:rFonts w:hint="eastAsia" w:hAnsi="宋体" w:cs="宋体"/>
                <w:bCs/>
                <w:color w:val="auto"/>
                <w:sz w:val="24"/>
                <w:highlight w:val="none"/>
              </w:rPr>
              <w:t>实施方案</w:t>
            </w:r>
            <w:r>
              <w:rPr>
                <w:rFonts w:hint="eastAsia" w:hAnsi="宋体" w:cs="宋体"/>
                <w:color w:val="auto"/>
                <w:sz w:val="24"/>
                <w:highlight w:val="none"/>
              </w:rPr>
              <w:t>。</w:t>
            </w:r>
          </w:p>
          <w:p w14:paraId="4A3D1C85">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2.售后服务承诺。</w:t>
            </w:r>
          </w:p>
          <w:p w14:paraId="581B3171">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bCs/>
                <w:color w:val="auto"/>
                <w:sz w:val="24"/>
                <w:highlight w:val="none"/>
              </w:rPr>
            </w:pPr>
            <w:r>
              <w:rPr>
                <w:rFonts w:hint="eastAsia" w:hAnsi="宋体" w:cs="宋体"/>
                <w:bCs/>
                <w:color w:val="auto"/>
                <w:sz w:val="24"/>
                <w:highlight w:val="none"/>
              </w:rPr>
              <w:t>3.投标人或核心产品生产厂商具有的质量管理体系认证证书。</w:t>
            </w:r>
          </w:p>
          <w:p w14:paraId="592B6D42">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rPr>
                <w:rFonts w:hAnsi="宋体" w:cs="宋体"/>
                <w:color w:val="auto"/>
                <w:sz w:val="24"/>
                <w:highlight w:val="none"/>
              </w:rPr>
            </w:pPr>
            <w:r>
              <w:rPr>
                <w:rFonts w:hint="eastAsia" w:hAnsi="宋体" w:cs="宋体"/>
                <w:color w:val="auto"/>
                <w:sz w:val="24"/>
                <w:highlight w:val="none"/>
              </w:rPr>
              <w:t>4.自202</w:t>
            </w:r>
            <w:r>
              <w:rPr>
                <w:rFonts w:hint="eastAsia" w:hAnsi="宋体" w:cs="宋体"/>
                <w:color w:val="auto"/>
                <w:sz w:val="24"/>
                <w:highlight w:val="none"/>
                <w:lang w:val="en-US" w:eastAsia="zh-CN"/>
              </w:rPr>
              <w:t>3</w:t>
            </w:r>
            <w:r>
              <w:rPr>
                <w:rFonts w:hint="eastAsia" w:hAnsi="宋体" w:cs="宋体"/>
                <w:color w:val="auto"/>
                <w:sz w:val="24"/>
                <w:highlight w:val="none"/>
              </w:rPr>
              <w:t>年1月1日以来投标人同类项目业绩[含镜架及镜片销售内容，以合同签订日期在时间内的合同原件扫描件为准（合同书中内容不得有任何涂改、遮挡，能清晰反映项目的名称、签订日期，提供用户名单及联系方式）]。</w:t>
            </w:r>
          </w:p>
        </w:tc>
      </w:tr>
    </w:tbl>
    <w:p w14:paraId="5E707230">
      <w:pPr>
        <w:snapToGrid w:val="0"/>
        <w:jc w:val="both"/>
        <w:rPr>
          <w:rFonts w:hAnsi="宋体" w:cs="宋体"/>
          <w:bCs/>
          <w:color w:val="auto"/>
          <w:sz w:val="24"/>
          <w:highlight w:val="none"/>
        </w:rPr>
        <w:sectPr>
          <w:footerReference r:id="rId7" w:type="default"/>
          <w:pgSz w:w="11906" w:h="16838"/>
          <w:pgMar w:top="1304" w:right="1134" w:bottom="1304" w:left="1134" w:header="851" w:footer="992" w:gutter="0"/>
          <w:pgNumType w:fmt="decimal" w:start="1"/>
          <w:cols w:space="720" w:num="1"/>
          <w:docGrid w:type="lines" w:linePitch="312" w:charSpace="0"/>
        </w:sectPr>
      </w:pPr>
    </w:p>
    <w:p w14:paraId="574AEE27">
      <w:pPr>
        <w:spacing w:before="120" w:after="360"/>
        <w:jc w:val="both"/>
        <w:rPr>
          <w:rFonts w:ascii="Calibri" w:hAnsi="Calibri" w:eastAsia="微软雅黑"/>
          <w:color w:val="auto"/>
          <w:sz w:val="44"/>
          <w:highlight w:val="none"/>
        </w:rPr>
      </w:pPr>
      <w:r>
        <w:rPr>
          <w:rFonts w:hint="eastAsia" w:ascii="Calibri" w:hAnsi="Calibri" w:eastAsia="微软雅黑"/>
          <w:color w:val="auto"/>
          <w:sz w:val="44"/>
          <w:highlight w:val="none"/>
        </w:rPr>
        <w:t>附件：产品技术参数要求</w:t>
      </w:r>
    </w:p>
    <w:p w14:paraId="11736DAC">
      <w:pPr>
        <w:spacing w:before="120" w:after="360"/>
        <w:jc w:val="center"/>
        <w:rPr>
          <w:color w:val="auto"/>
          <w:highlight w:val="none"/>
        </w:rPr>
      </w:pPr>
      <w:r>
        <w:rPr>
          <w:rFonts w:ascii="Calibri" w:hAnsi="Calibri" w:eastAsia="微软雅黑"/>
          <w:color w:val="auto"/>
          <w:sz w:val="44"/>
          <w:highlight w:val="none"/>
        </w:rPr>
        <w:t>一、眼镜架采购清单</w:t>
      </w:r>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423"/>
        <w:gridCol w:w="1533"/>
        <w:gridCol w:w="365"/>
        <w:gridCol w:w="9939"/>
        <w:gridCol w:w="481"/>
        <w:gridCol w:w="715"/>
      </w:tblGrid>
      <w:tr w14:paraId="7DC60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00" w:hRule="atLeast"/>
          <w:tblHeader/>
        </w:trPr>
        <w:tc>
          <w:tcPr>
            <w:tcW w:w="448" w:type="dxa"/>
            <w:vAlign w:val="center"/>
          </w:tcPr>
          <w:p w14:paraId="0FA924C2">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序号</w:t>
            </w:r>
          </w:p>
        </w:tc>
        <w:tc>
          <w:tcPr>
            <w:tcW w:w="1623" w:type="dxa"/>
            <w:vAlign w:val="center"/>
          </w:tcPr>
          <w:p w14:paraId="7C9E320F">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标的名称</w:t>
            </w:r>
          </w:p>
        </w:tc>
        <w:tc>
          <w:tcPr>
            <w:tcW w:w="386" w:type="dxa"/>
            <w:vAlign w:val="center"/>
          </w:tcPr>
          <w:p w14:paraId="48839525">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单位</w:t>
            </w:r>
          </w:p>
        </w:tc>
        <w:tc>
          <w:tcPr>
            <w:tcW w:w="10526" w:type="dxa"/>
            <w:vAlign w:val="center"/>
          </w:tcPr>
          <w:p w14:paraId="56F84101">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技术参数</w:t>
            </w:r>
          </w:p>
        </w:tc>
        <w:tc>
          <w:tcPr>
            <w:tcW w:w="510" w:type="dxa"/>
            <w:vAlign w:val="center"/>
          </w:tcPr>
          <w:p w14:paraId="199AC149">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规格</w:t>
            </w:r>
          </w:p>
        </w:tc>
        <w:tc>
          <w:tcPr>
            <w:tcW w:w="757" w:type="dxa"/>
            <w:vAlign w:val="center"/>
          </w:tcPr>
          <w:p w14:paraId="0BB3138F">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单价预控价（元）</w:t>
            </w:r>
          </w:p>
        </w:tc>
      </w:tr>
      <w:tr w14:paraId="6FC49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15747C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w:t>
            </w:r>
          </w:p>
        </w:tc>
        <w:tc>
          <w:tcPr>
            <w:tcW w:w="1623" w:type="dxa"/>
            <w:vAlign w:val="center"/>
          </w:tcPr>
          <w:p w14:paraId="4114723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散瞳专用防护镜</w:t>
            </w:r>
          </w:p>
        </w:tc>
        <w:tc>
          <w:tcPr>
            <w:tcW w:w="386" w:type="dxa"/>
            <w:vAlign w:val="center"/>
          </w:tcPr>
          <w:p w14:paraId="0C7301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C21BDE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TPEE+TAC材质。适配医学验光散瞳后的儿童群体。可有效</w:t>
            </w:r>
            <w:r>
              <w:rPr>
                <w:rFonts w:hint="eastAsia" w:hAnsi="宋体" w:cs="宋体"/>
                <w:color w:val="auto"/>
                <w:sz w:val="18"/>
                <w:szCs w:val="18"/>
                <w:highlight w:val="none"/>
                <w:lang w:eastAsia="zh-CN"/>
              </w:rPr>
              <w:t>降低</w:t>
            </w:r>
            <w:r>
              <w:rPr>
                <w:rFonts w:hint="eastAsia" w:hAnsi="宋体" w:cs="宋体"/>
                <w:color w:val="auto"/>
                <w:sz w:val="18"/>
                <w:szCs w:val="18"/>
                <w:highlight w:val="none"/>
              </w:rPr>
              <w:t>散瞳后孩童畏强光，畏眩晕等现象。有效</w:t>
            </w:r>
            <w:r>
              <w:rPr>
                <w:rFonts w:hint="eastAsia" w:hAnsi="宋体" w:cs="宋体"/>
                <w:color w:val="auto"/>
                <w:sz w:val="18"/>
                <w:szCs w:val="18"/>
                <w:highlight w:val="none"/>
                <w:lang w:eastAsia="zh-CN"/>
              </w:rPr>
              <w:t>阻挡</w:t>
            </w:r>
            <w:r>
              <w:rPr>
                <w:rFonts w:hint="eastAsia" w:hAnsi="宋体" w:cs="宋体"/>
                <w:color w:val="auto"/>
                <w:sz w:val="18"/>
                <w:szCs w:val="18"/>
                <w:highlight w:val="none"/>
              </w:rPr>
              <w:t>风沙粉尘</w:t>
            </w:r>
            <w:r>
              <w:rPr>
                <w:rFonts w:hint="eastAsia" w:hAnsi="宋体" w:cs="宋体"/>
                <w:color w:val="auto"/>
                <w:sz w:val="18"/>
                <w:szCs w:val="18"/>
                <w:highlight w:val="none"/>
                <w:lang w:eastAsia="zh-CN"/>
              </w:rPr>
              <w:t>和有害光线</w:t>
            </w:r>
            <w:r>
              <w:rPr>
                <w:rFonts w:hint="eastAsia" w:hAnsi="宋体" w:cs="宋体"/>
                <w:color w:val="auto"/>
                <w:sz w:val="18"/>
                <w:szCs w:val="18"/>
                <w:highlight w:val="none"/>
              </w:rPr>
              <w:t>对眼部的不适与伤害。符合GB/T 10810.3-2025.GB/T 13511.1-2025标准。镜架总长度137</w:t>
            </w:r>
            <w:r>
              <w:rPr>
                <w:rFonts w:hint="eastAsia" w:hAnsi="宋体" w:cs="宋体"/>
                <w:color w:val="auto"/>
                <w:sz w:val="18"/>
                <w:szCs w:val="18"/>
                <w:highlight w:val="none"/>
                <w:lang w:eastAsia="zh-CN"/>
              </w:rPr>
              <w:t>—</w:t>
            </w:r>
            <w:r>
              <w:rPr>
                <w:rFonts w:hint="eastAsia" w:hAnsi="宋体" w:cs="宋体"/>
                <w:color w:val="auto"/>
                <w:sz w:val="18"/>
                <w:szCs w:val="18"/>
                <w:highlight w:val="none"/>
              </w:rPr>
              <w:t>152mm，单个镜框长度41</w:t>
            </w:r>
            <w:r>
              <w:rPr>
                <w:rFonts w:hint="eastAsia" w:hAnsi="宋体" w:cs="宋体"/>
                <w:color w:val="auto"/>
                <w:sz w:val="18"/>
                <w:szCs w:val="18"/>
                <w:highlight w:val="none"/>
                <w:lang w:eastAsia="zh-CN"/>
              </w:rPr>
              <w:t>—</w:t>
            </w:r>
            <w:r>
              <w:rPr>
                <w:rFonts w:hint="eastAsia" w:hAnsi="宋体" w:cs="宋体"/>
                <w:color w:val="auto"/>
                <w:sz w:val="18"/>
                <w:szCs w:val="18"/>
                <w:highlight w:val="none"/>
              </w:rPr>
              <w:t>56mm，镜框高度40</w:t>
            </w:r>
            <w:r>
              <w:rPr>
                <w:rFonts w:hint="eastAsia" w:hAnsi="宋体" w:cs="宋体"/>
                <w:color w:val="auto"/>
                <w:sz w:val="18"/>
                <w:szCs w:val="18"/>
                <w:highlight w:val="none"/>
                <w:lang w:eastAsia="zh-CN"/>
              </w:rPr>
              <w:t>—</w:t>
            </w:r>
            <w:r>
              <w:rPr>
                <w:rFonts w:hint="eastAsia" w:hAnsi="宋体" w:cs="宋体"/>
                <w:color w:val="auto"/>
                <w:sz w:val="18"/>
                <w:szCs w:val="18"/>
                <w:highlight w:val="none"/>
              </w:rPr>
              <w:t>59mm，鼻梁长度14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20mm，镜腿长度118</w:t>
            </w:r>
            <w:r>
              <w:rPr>
                <w:rFonts w:hint="eastAsia" w:hAnsi="宋体" w:cs="宋体"/>
                <w:color w:val="auto"/>
                <w:sz w:val="18"/>
                <w:szCs w:val="18"/>
                <w:highlight w:val="none"/>
                <w:lang w:eastAsia="zh-CN"/>
              </w:rPr>
              <w:t>—</w:t>
            </w:r>
            <w:r>
              <w:rPr>
                <w:rFonts w:hint="eastAsia" w:hAnsi="宋体" w:cs="宋体"/>
                <w:color w:val="auto"/>
                <w:sz w:val="18"/>
                <w:szCs w:val="18"/>
                <w:highlight w:val="none"/>
              </w:rPr>
              <w:t>152mm，</w:t>
            </w:r>
            <w:r>
              <w:rPr>
                <w:rFonts w:hint="eastAsia" w:hAnsi="宋体" w:cs="宋体"/>
                <w:color w:val="auto"/>
                <w:sz w:val="18"/>
                <w:szCs w:val="18"/>
                <w:highlight w:val="none"/>
                <w:lang w:eastAsia="zh-CN"/>
              </w:rPr>
              <w:t>前倾角6-7</w:t>
            </w:r>
            <w:r>
              <w:rPr>
                <w:rFonts w:hint="eastAsia" w:hAnsi="宋体" w:cs="宋体"/>
                <w:color w:val="auto"/>
                <w:sz w:val="18"/>
                <w:szCs w:val="18"/>
                <w:highlight w:val="none"/>
              </w:rPr>
              <w:t>。</w:t>
            </w:r>
          </w:p>
        </w:tc>
        <w:tc>
          <w:tcPr>
            <w:tcW w:w="510" w:type="dxa"/>
            <w:vAlign w:val="center"/>
          </w:tcPr>
          <w:p w14:paraId="24B737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A840BB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w:t>
            </w:r>
          </w:p>
        </w:tc>
      </w:tr>
      <w:tr w14:paraId="27817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F5FBA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w:t>
            </w:r>
          </w:p>
        </w:tc>
        <w:tc>
          <w:tcPr>
            <w:tcW w:w="1623" w:type="dxa"/>
            <w:vAlign w:val="center"/>
          </w:tcPr>
          <w:p w14:paraId="6B77707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商务休闲板材镜架</w:t>
            </w:r>
          </w:p>
        </w:tc>
        <w:tc>
          <w:tcPr>
            <w:tcW w:w="386" w:type="dxa"/>
            <w:vAlign w:val="center"/>
          </w:tcPr>
          <w:p w14:paraId="7F7CDEB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ECE1EC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板材+β钛材质。适配 20 岁以上商务群体。冷加工制造，真空电镀，镜身精细，强度高，结实耐用。设计风格成熟稳重商务。符合GB/T 14214-2019 标准。镜架总长度138</w:t>
            </w:r>
            <w:r>
              <w:rPr>
                <w:rFonts w:hint="eastAsia" w:hAnsi="宋体" w:cs="宋体"/>
                <w:color w:val="auto"/>
                <w:sz w:val="18"/>
                <w:szCs w:val="18"/>
                <w:highlight w:val="none"/>
                <w:lang w:eastAsia="zh-CN"/>
              </w:rPr>
              <w:t>—</w:t>
            </w:r>
            <w:r>
              <w:rPr>
                <w:rFonts w:hint="eastAsia" w:hAnsi="宋体" w:cs="宋体"/>
                <w:color w:val="auto"/>
                <w:sz w:val="18"/>
                <w:szCs w:val="18"/>
                <w:highlight w:val="none"/>
              </w:rPr>
              <w:t>153mm，单个镜框长度51</w:t>
            </w:r>
            <w:r>
              <w:rPr>
                <w:rFonts w:hint="eastAsia" w:hAnsi="宋体" w:cs="宋体"/>
                <w:color w:val="auto"/>
                <w:sz w:val="18"/>
                <w:szCs w:val="18"/>
                <w:highlight w:val="none"/>
                <w:lang w:eastAsia="zh-CN"/>
              </w:rPr>
              <w:t>—</w:t>
            </w:r>
            <w:r>
              <w:rPr>
                <w:rFonts w:hint="eastAsia" w:hAnsi="宋体" w:cs="宋体"/>
                <w:color w:val="auto"/>
                <w:sz w:val="18"/>
                <w:szCs w:val="18"/>
                <w:highlight w:val="none"/>
              </w:rPr>
              <w:t>58mm，镜框高度41</w:t>
            </w:r>
            <w:r>
              <w:rPr>
                <w:rFonts w:hint="eastAsia" w:hAnsi="宋体" w:cs="宋体"/>
                <w:color w:val="auto"/>
                <w:sz w:val="18"/>
                <w:szCs w:val="18"/>
                <w:highlight w:val="none"/>
                <w:lang w:eastAsia="zh-CN"/>
              </w:rPr>
              <w:t>—</w:t>
            </w:r>
            <w:r>
              <w:rPr>
                <w:rFonts w:hint="eastAsia" w:hAnsi="宋体" w:cs="宋体"/>
                <w:color w:val="auto"/>
                <w:sz w:val="18"/>
                <w:szCs w:val="18"/>
                <w:highlight w:val="none"/>
              </w:rPr>
              <w:t>50mm，鼻梁长度17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19mm，镜腿长度148</w:t>
            </w:r>
            <w:r>
              <w:rPr>
                <w:rFonts w:hint="eastAsia" w:hAnsi="宋体" w:cs="宋体"/>
                <w:color w:val="auto"/>
                <w:sz w:val="18"/>
                <w:szCs w:val="18"/>
                <w:highlight w:val="none"/>
                <w:lang w:eastAsia="zh-CN"/>
              </w:rPr>
              <w:t>—</w:t>
            </w:r>
            <w:r>
              <w:rPr>
                <w:rFonts w:hint="eastAsia" w:hAnsi="宋体" w:cs="宋体"/>
                <w:color w:val="auto"/>
                <w:sz w:val="18"/>
                <w:szCs w:val="18"/>
                <w:highlight w:val="none"/>
              </w:rPr>
              <w:t>152mm，前倾角参数6-7°。</w:t>
            </w:r>
          </w:p>
        </w:tc>
        <w:tc>
          <w:tcPr>
            <w:tcW w:w="510" w:type="dxa"/>
            <w:vAlign w:val="center"/>
          </w:tcPr>
          <w:p w14:paraId="185502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663130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199.2</w:t>
            </w:r>
          </w:p>
        </w:tc>
      </w:tr>
      <w:tr w14:paraId="52898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111FC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w:t>
            </w:r>
          </w:p>
        </w:tc>
        <w:tc>
          <w:tcPr>
            <w:tcW w:w="1623" w:type="dxa"/>
            <w:vAlign w:val="center"/>
          </w:tcPr>
          <w:p w14:paraId="45974C5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功能型防护用太阳镜成镜</w:t>
            </w:r>
          </w:p>
        </w:tc>
        <w:tc>
          <w:tcPr>
            <w:tcW w:w="386" w:type="dxa"/>
            <w:vAlign w:val="center"/>
          </w:tcPr>
          <w:p w14:paraId="518302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F100A3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TR/合金镜架+偏光镜片。适配 18 岁以上患有光敏感或青光眼的人群。防强光、眩光、紫外线、频闪等，4个不同镜片系列，细分人群的极致防护，减少阳光对眼睛的损害。符合GB 39552.1-2020 标准。镜架总长度137</w:t>
            </w:r>
            <w:r>
              <w:rPr>
                <w:rFonts w:hint="eastAsia" w:hAnsi="宋体" w:cs="宋体"/>
                <w:color w:val="auto"/>
                <w:sz w:val="18"/>
                <w:szCs w:val="18"/>
                <w:highlight w:val="none"/>
                <w:lang w:eastAsia="zh-CN"/>
              </w:rPr>
              <w:t>—</w:t>
            </w:r>
            <w:r>
              <w:rPr>
                <w:rFonts w:hint="eastAsia" w:hAnsi="宋体" w:cs="宋体"/>
                <w:color w:val="auto"/>
                <w:sz w:val="18"/>
                <w:szCs w:val="18"/>
                <w:highlight w:val="none"/>
              </w:rPr>
              <w:t>152mm，单个镜框长度54</w:t>
            </w:r>
            <w:r>
              <w:rPr>
                <w:rFonts w:hint="eastAsia" w:hAnsi="宋体" w:cs="宋体"/>
                <w:color w:val="auto"/>
                <w:sz w:val="18"/>
                <w:szCs w:val="18"/>
                <w:highlight w:val="none"/>
                <w:lang w:eastAsia="zh-CN"/>
              </w:rPr>
              <w:t>—</w:t>
            </w:r>
            <w:r>
              <w:rPr>
                <w:rFonts w:hint="eastAsia" w:hAnsi="宋体" w:cs="宋体"/>
                <w:color w:val="auto"/>
                <w:sz w:val="18"/>
                <w:szCs w:val="18"/>
                <w:highlight w:val="none"/>
              </w:rPr>
              <w:t>66mm，镜框高度45</w:t>
            </w:r>
            <w:r>
              <w:rPr>
                <w:rFonts w:hint="eastAsia" w:hAnsi="宋体" w:cs="宋体"/>
                <w:color w:val="auto"/>
                <w:sz w:val="18"/>
                <w:szCs w:val="18"/>
                <w:highlight w:val="none"/>
                <w:lang w:eastAsia="zh-CN"/>
              </w:rPr>
              <w:t>—</w:t>
            </w:r>
            <w:r>
              <w:rPr>
                <w:rFonts w:hint="eastAsia" w:hAnsi="宋体" w:cs="宋体"/>
                <w:color w:val="auto"/>
                <w:sz w:val="18"/>
                <w:szCs w:val="18"/>
                <w:highlight w:val="none"/>
              </w:rPr>
              <w:t>59mm，鼻梁长度14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21mm，镜腿长度136</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148mm，前倾角参数6-7°。</w:t>
            </w:r>
          </w:p>
        </w:tc>
        <w:tc>
          <w:tcPr>
            <w:tcW w:w="510" w:type="dxa"/>
            <w:vAlign w:val="center"/>
          </w:tcPr>
          <w:p w14:paraId="73F14B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24442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100</w:t>
            </w:r>
          </w:p>
        </w:tc>
      </w:tr>
      <w:tr w14:paraId="61893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9B640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w:t>
            </w:r>
          </w:p>
        </w:tc>
        <w:tc>
          <w:tcPr>
            <w:tcW w:w="1623" w:type="dxa"/>
            <w:vAlign w:val="center"/>
          </w:tcPr>
          <w:p w14:paraId="7F476EB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设计师纯钛商务镜架</w:t>
            </w:r>
          </w:p>
        </w:tc>
        <w:tc>
          <w:tcPr>
            <w:tcW w:w="386" w:type="dxa"/>
            <w:vAlign w:val="center"/>
          </w:tcPr>
          <w:p w14:paraId="4A4EA7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0D7CED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纯钛材质。适配 30岁以上对佩戴品质要求较高的群体。真空电镀工艺，超轻纯钛，不腐蚀皮肤，柔韧舒适，风格商务。符合GB/T 14214-2019 标准。镜架总长度130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140mm，单个镜框长度47</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52mm，镜框高度38</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145mm，前倾角6-7°。</w:t>
            </w:r>
          </w:p>
        </w:tc>
        <w:tc>
          <w:tcPr>
            <w:tcW w:w="510" w:type="dxa"/>
            <w:vAlign w:val="center"/>
          </w:tcPr>
          <w:p w14:paraId="34A218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全框、半框</w:t>
            </w:r>
          </w:p>
        </w:tc>
        <w:tc>
          <w:tcPr>
            <w:tcW w:w="757" w:type="dxa"/>
            <w:vAlign w:val="center"/>
          </w:tcPr>
          <w:p w14:paraId="3CD6A09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394</w:t>
            </w:r>
          </w:p>
        </w:tc>
      </w:tr>
      <w:tr w14:paraId="043A8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BCB7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w:t>
            </w:r>
          </w:p>
        </w:tc>
        <w:tc>
          <w:tcPr>
            <w:tcW w:w="1623" w:type="dxa"/>
            <w:vAlign w:val="center"/>
          </w:tcPr>
          <w:p w14:paraId="22DE868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淘气儿童专用经久耐用型镜架</w:t>
            </w:r>
          </w:p>
        </w:tc>
        <w:tc>
          <w:tcPr>
            <w:tcW w:w="386" w:type="dxa"/>
            <w:vAlign w:val="center"/>
          </w:tcPr>
          <w:p w14:paraId="5B3632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241905A">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。健康环保材质，达到</w:t>
            </w:r>
            <w:r>
              <w:rPr>
                <w:rFonts w:hint="eastAsia" w:hAnsi="宋体" w:cs="宋体"/>
                <w:color w:val="auto"/>
                <w:sz w:val="18"/>
                <w:szCs w:val="18"/>
                <w:highlight w:val="none"/>
                <w:lang w:eastAsia="zh-CN"/>
              </w:rPr>
              <w:t>食品级器械</w:t>
            </w:r>
            <w:r>
              <w:rPr>
                <w:rFonts w:hint="eastAsia" w:hAnsi="宋体" w:cs="宋体"/>
                <w:color w:val="auto"/>
                <w:sz w:val="18"/>
                <w:szCs w:val="18"/>
                <w:highlight w:val="none"/>
              </w:rPr>
              <w:t>标准。适配 3-10岁淘气活泼的儿童群体。弹性桩头，镜框镜腿可分离设计，镜腿具有超强的韧性和回弹性，孩童佩戴时不易损坏。符合GB/T 14214-2019 标准。镜架总长度91</w:t>
            </w:r>
            <w:r>
              <w:rPr>
                <w:rFonts w:hint="eastAsia" w:hAnsi="宋体" w:cs="宋体"/>
                <w:color w:val="auto"/>
                <w:sz w:val="18"/>
                <w:szCs w:val="18"/>
                <w:highlight w:val="none"/>
                <w:lang w:eastAsia="zh-CN"/>
              </w:rPr>
              <w:t>—</w:t>
            </w:r>
            <w:r>
              <w:rPr>
                <w:rFonts w:hint="eastAsia" w:hAnsi="宋体" w:cs="宋体"/>
                <w:color w:val="auto"/>
                <w:sz w:val="18"/>
                <w:szCs w:val="18"/>
                <w:highlight w:val="none"/>
              </w:rPr>
              <w:t>120mm，单个镜框长度38</w:t>
            </w:r>
            <w:r>
              <w:rPr>
                <w:rFonts w:hint="eastAsia" w:hAnsi="宋体" w:cs="宋体"/>
                <w:color w:val="auto"/>
                <w:sz w:val="18"/>
                <w:szCs w:val="18"/>
                <w:highlight w:val="none"/>
                <w:lang w:eastAsia="zh-CN"/>
              </w:rPr>
              <w:t>—</w:t>
            </w:r>
            <w:r>
              <w:rPr>
                <w:rFonts w:hint="eastAsia" w:hAnsi="宋体" w:cs="宋体"/>
                <w:color w:val="auto"/>
                <w:sz w:val="18"/>
                <w:szCs w:val="18"/>
                <w:highlight w:val="none"/>
              </w:rPr>
              <w:t>49mm，镜框高度27</w:t>
            </w:r>
            <w:r>
              <w:rPr>
                <w:rFonts w:hint="eastAsia" w:hAnsi="宋体" w:cs="宋体"/>
                <w:color w:val="auto"/>
                <w:sz w:val="18"/>
                <w:szCs w:val="18"/>
                <w:highlight w:val="none"/>
                <w:lang w:eastAsia="zh-CN"/>
              </w:rPr>
              <w:t>—</w:t>
            </w:r>
            <w:r>
              <w:rPr>
                <w:rFonts w:hint="eastAsia" w:hAnsi="宋体" w:cs="宋体"/>
                <w:color w:val="auto"/>
                <w:sz w:val="18"/>
                <w:szCs w:val="18"/>
                <w:highlight w:val="none"/>
              </w:rPr>
              <w:t>35mm，鼻梁长度14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16mm，镜腿长度125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138mm，前倾角6-7°。</w:t>
            </w:r>
          </w:p>
        </w:tc>
        <w:tc>
          <w:tcPr>
            <w:tcW w:w="510" w:type="dxa"/>
            <w:vAlign w:val="center"/>
          </w:tcPr>
          <w:p w14:paraId="3389FB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67FD1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118</w:t>
            </w:r>
          </w:p>
        </w:tc>
      </w:tr>
      <w:tr w14:paraId="0E14B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27AFD3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w:t>
            </w:r>
          </w:p>
        </w:tc>
        <w:tc>
          <w:tcPr>
            <w:tcW w:w="1623" w:type="dxa"/>
            <w:vAlign w:val="center"/>
          </w:tcPr>
          <w:p w14:paraId="2BA8CB3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淘气儿童专用安全设计型镜架</w:t>
            </w:r>
          </w:p>
        </w:tc>
        <w:tc>
          <w:tcPr>
            <w:tcW w:w="386" w:type="dxa"/>
            <w:vAlign w:val="center"/>
          </w:tcPr>
          <w:p w14:paraId="1026AD3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50A6AEF">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。安全健康柔软的儿童用材料，挂钩式脚套，可调式镜腿，安全固定绳带，符合儿童头部尺寸。符合GB/T 14214-2019 标准。镜架总长度90</w:t>
            </w:r>
            <w:r>
              <w:rPr>
                <w:rFonts w:hint="eastAsia" w:hAnsi="宋体" w:cs="宋体"/>
                <w:color w:val="auto"/>
                <w:sz w:val="18"/>
                <w:szCs w:val="18"/>
                <w:highlight w:val="none"/>
                <w:lang w:eastAsia="zh-CN"/>
              </w:rPr>
              <w:t>—</w:t>
            </w:r>
            <w:r>
              <w:rPr>
                <w:rFonts w:hint="eastAsia" w:hAnsi="宋体" w:cs="宋体"/>
                <w:color w:val="auto"/>
                <w:sz w:val="18"/>
                <w:szCs w:val="18"/>
                <w:highlight w:val="none"/>
              </w:rPr>
              <w:t>114mm，单个镜框长度45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3AA2889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9A32C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132</w:t>
            </w:r>
          </w:p>
        </w:tc>
      </w:tr>
      <w:tr w14:paraId="6EAF4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A0924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w:t>
            </w:r>
          </w:p>
        </w:tc>
        <w:tc>
          <w:tcPr>
            <w:tcW w:w="1623" w:type="dxa"/>
            <w:vAlign w:val="center"/>
          </w:tcPr>
          <w:p w14:paraId="73DB02E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青少年硅胶组合镜架</w:t>
            </w:r>
          </w:p>
        </w:tc>
        <w:tc>
          <w:tcPr>
            <w:tcW w:w="386" w:type="dxa"/>
            <w:vAlign w:val="center"/>
          </w:tcPr>
          <w:p w14:paraId="63D6F83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981BF0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TR90＋硅胶材质。适配10-16岁青少年群体。皮肤接触面均为硅胶材质，同时配有防滑耳钩，安全不过敏，耐用不变形。符合GB/T 14214-2019 标准。镜架总长度123</w:t>
            </w:r>
            <w:r>
              <w:rPr>
                <w:rFonts w:hint="eastAsia" w:hAnsi="宋体" w:cs="宋体"/>
                <w:color w:val="auto"/>
                <w:sz w:val="18"/>
                <w:szCs w:val="18"/>
                <w:highlight w:val="none"/>
                <w:lang w:eastAsia="zh-CN"/>
              </w:rPr>
              <w:t>—</w:t>
            </w:r>
            <w:r>
              <w:rPr>
                <w:rFonts w:hint="eastAsia" w:hAnsi="宋体" w:cs="宋体"/>
                <w:color w:val="auto"/>
                <w:sz w:val="18"/>
                <w:szCs w:val="18"/>
                <w:highlight w:val="none"/>
              </w:rPr>
              <w:t>137mm，单个镜框长度45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49mm，镜框高度32</w:t>
            </w:r>
            <w:r>
              <w:rPr>
                <w:rFonts w:hint="eastAsia" w:hAnsi="宋体" w:cs="宋体"/>
                <w:color w:val="auto"/>
                <w:sz w:val="18"/>
                <w:szCs w:val="18"/>
                <w:highlight w:val="none"/>
                <w:lang w:eastAsia="zh-CN"/>
              </w:rPr>
              <w:t>—</w:t>
            </w:r>
            <w:r>
              <w:rPr>
                <w:rFonts w:hint="eastAsia" w:hAnsi="宋体" w:cs="宋体"/>
                <w:color w:val="auto"/>
                <w:sz w:val="18"/>
                <w:szCs w:val="18"/>
                <w:highlight w:val="none"/>
              </w:rPr>
              <w:t>41mm，鼻梁长度14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17mm，镜腿长度130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135mm，前倾角6-7 °。</w:t>
            </w:r>
          </w:p>
        </w:tc>
        <w:tc>
          <w:tcPr>
            <w:tcW w:w="510" w:type="dxa"/>
            <w:vAlign w:val="center"/>
          </w:tcPr>
          <w:p w14:paraId="76F1F32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00FDCAE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w:t>
            </w:r>
          </w:p>
        </w:tc>
      </w:tr>
      <w:tr w14:paraId="7BA09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0B675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w:t>
            </w:r>
          </w:p>
        </w:tc>
        <w:tc>
          <w:tcPr>
            <w:tcW w:w="1623" w:type="dxa"/>
            <w:vAlign w:val="center"/>
          </w:tcPr>
          <w:p w14:paraId="06C8EC0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学生常规TR 镜架</w:t>
            </w:r>
          </w:p>
        </w:tc>
        <w:tc>
          <w:tcPr>
            <w:tcW w:w="386" w:type="dxa"/>
            <w:vAlign w:val="center"/>
          </w:tcPr>
          <w:p w14:paraId="5978FD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53D4B6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TR90材质。适配10岁以上中小学生群体。耐撞耐磨，摩擦系数低，佩戴轻便舒适。符合GB/T 14214-2019 标准。镜架总长度116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145mm，单个镜框长度46</w:t>
            </w:r>
            <w:r>
              <w:rPr>
                <w:rFonts w:hint="eastAsia" w:hAnsi="宋体" w:cs="宋体"/>
                <w:color w:val="auto"/>
                <w:sz w:val="18"/>
                <w:szCs w:val="18"/>
                <w:highlight w:val="none"/>
                <w:lang w:eastAsia="zh-CN"/>
              </w:rPr>
              <w:t>—</w:t>
            </w:r>
            <w:r>
              <w:rPr>
                <w:rFonts w:hint="eastAsia" w:hAnsi="宋体" w:cs="宋体"/>
                <w:color w:val="auto"/>
                <w:sz w:val="18"/>
                <w:szCs w:val="18"/>
                <w:highlight w:val="none"/>
              </w:rPr>
              <w:t>55mm，镜框高度35</w:t>
            </w:r>
            <w:r>
              <w:rPr>
                <w:rFonts w:hint="eastAsia" w:hAnsi="宋体" w:cs="宋体"/>
                <w:color w:val="auto"/>
                <w:sz w:val="18"/>
                <w:szCs w:val="18"/>
                <w:highlight w:val="none"/>
                <w:lang w:eastAsia="zh-CN"/>
              </w:rPr>
              <w:t>—</w:t>
            </w:r>
            <w:r>
              <w:rPr>
                <w:rFonts w:hint="eastAsia" w:hAnsi="宋体" w:cs="宋体"/>
                <w:color w:val="auto"/>
                <w:sz w:val="18"/>
                <w:szCs w:val="18"/>
                <w:highlight w:val="none"/>
              </w:rPr>
              <w:t>47mm，鼻梁长度15</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19mm，镜腿长度139</w:t>
            </w:r>
            <w:r>
              <w:rPr>
                <w:rFonts w:hint="eastAsia" w:hAnsi="宋体" w:cs="宋体"/>
                <w:color w:val="auto"/>
                <w:sz w:val="18"/>
                <w:szCs w:val="18"/>
                <w:highlight w:val="none"/>
                <w:lang w:eastAsia="zh-CN"/>
              </w:rPr>
              <w:t>—</w:t>
            </w:r>
            <w:r>
              <w:rPr>
                <w:rFonts w:hint="eastAsia" w:hAnsi="宋体" w:cs="宋体"/>
                <w:color w:val="auto"/>
                <w:sz w:val="18"/>
                <w:szCs w:val="18"/>
                <w:highlight w:val="none"/>
              </w:rPr>
              <w:t>152mm，前倾角5-7°。</w:t>
            </w:r>
          </w:p>
        </w:tc>
        <w:tc>
          <w:tcPr>
            <w:tcW w:w="510" w:type="dxa"/>
            <w:vAlign w:val="center"/>
          </w:tcPr>
          <w:p w14:paraId="3C077BF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A7F1BF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r>
      <w:tr w14:paraId="13AAD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A66548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w:t>
            </w:r>
          </w:p>
        </w:tc>
        <w:tc>
          <w:tcPr>
            <w:tcW w:w="1623" w:type="dxa"/>
            <w:vAlign w:val="center"/>
          </w:tcPr>
          <w:p w14:paraId="73BA941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中高光度学生复古时尚β钛镜架</w:t>
            </w:r>
          </w:p>
        </w:tc>
        <w:tc>
          <w:tcPr>
            <w:tcW w:w="386" w:type="dxa"/>
            <w:vAlign w:val="center"/>
          </w:tcPr>
          <w:p w14:paraId="06F1CB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B3420F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β钛材质。适配 13-20 岁中高光度学生群体。镜架轻盈，佩戴无负担。IP电镀高级感光泽。前框加厚，适配中高度数镜片，保护镜片不崩边。符合GB/T 14214-2019 标准。镜架总长度119</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53mm，镜框高度39</w:t>
            </w:r>
            <w:r>
              <w:rPr>
                <w:rFonts w:hint="eastAsia" w:hAnsi="宋体" w:cs="宋体"/>
                <w:color w:val="auto"/>
                <w:sz w:val="18"/>
                <w:szCs w:val="18"/>
                <w:highlight w:val="none"/>
                <w:lang w:eastAsia="zh-CN"/>
              </w:rPr>
              <w:t>—</w:t>
            </w:r>
            <w:r>
              <w:rPr>
                <w:rFonts w:hint="eastAsia" w:hAnsi="宋体" w:cs="宋体"/>
                <w:color w:val="auto"/>
                <w:sz w:val="18"/>
                <w:szCs w:val="18"/>
                <w:highlight w:val="none"/>
              </w:rPr>
              <w:t>47mm，鼻梁长度16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20mm，镜腿长度135</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148mm，前倾角6-8°。</w:t>
            </w:r>
          </w:p>
        </w:tc>
        <w:tc>
          <w:tcPr>
            <w:tcW w:w="510" w:type="dxa"/>
            <w:vAlign w:val="center"/>
          </w:tcPr>
          <w:p w14:paraId="3AEA01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6D86A2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w:t>
            </w:r>
          </w:p>
        </w:tc>
      </w:tr>
      <w:tr w14:paraId="56748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FFA7DD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w:t>
            </w:r>
          </w:p>
        </w:tc>
        <w:tc>
          <w:tcPr>
            <w:tcW w:w="1623" w:type="dxa"/>
            <w:vAlign w:val="center"/>
          </w:tcPr>
          <w:p w14:paraId="52C44CE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常规商务型镜架（合金混合架）</w:t>
            </w:r>
          </w:p>
        </w:tc>
        <w:tc>
          <w:tcPr>
            <w:tcW w:w="386" w:type="dxa"/>
            <w:vAlign w:val="center"/>
          </w:tcPr>
          <w:p w14:paraId="5A8CC17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E1FC10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合金混合材质。适配 20 岁以上成人群体。真空电镀工艺。符合GB/T 14214-2019 标准。镜架总长度128</w:t>
            </w:r>
            <w:r>
              <w:rPr>
                <w:rFonts w:hint="eastAsia" w:hAnsi="宋体" w:cs="宋体"/>
                <w:color w:val="auto"/>
                <w:sz w:val="18"/>
                <w:szCs w:val="18"/>
                <w:highlight w:val="none"/>
                <w:lang w:eastAsia="zh-CN"/>
              </w:rPr>
              <w:t>—</w:t>
            </w:r>
            <w:r>
              <w:rPr>
                <w:rFonts w:hint="eastAsia" w:hAnsi="宋体" w:cs="宋体"/>
                <w:color w:val="auto"/>
                <w:sz w:val="18"/>
                <w:szCs w:val="18"/>
                <w:highlight w:val="none"/>
              </w:rPr>
              <w:t>146mm，单个镜框长度48</w:t>
            </w:r>
            <w:r>
              <w:rPr>
                <w:rFonts w:hint="eastAsia" w:hAnsi="宋体" w:cs="宋体"/>
                <w:color w:val="auto"/>
                <w:sz w:val="18"/>
                <w:szCs w:val="18"/>
                <w:highlight w:val="none"/>
                <w:lang w:eastAsia="zh-CN"/>
              </w:rPr>
              <w:t>—</w:t>
            </w:r>
            <w:r>
              <w:rPr>
                <w:rFonts w:hint="eastAsia" w:hAnsi="宋体" w:cs="宋体"/>
                <w:color w:val="auto"/>
                <w:sz w:val="18"/>
                <w:szCs w:val="18"/>
                <w:highlight w:val="none"/>
              </w:rPr>
              <w:t>57mm，镜框高度31</w:t>
            </w:r>
            <w:r>
              <w:rPr>
                <w:rFonts w:hint="eastAsia" w:hAnsi="宋体" w:cs="宋体"/>
                <w:color w:val="auto"/>
                <w:sz w:val="18"/>
                <w:szCs w:val="18"/>
                <w:highlight w:val="none"/>
                <w:lang w:eastAsia="zh-CN"/>
              </w:rPr>
              <w:t>—</w:t>
            </w:r>
            <w:r>
              <w:rPr>
                <w:rFonts w:hint="eastAsia" w:hAnsi="宋体" w:cs="宋体"/>
                <w:color w:val="auto"/>
                <w:sz w:val="18"/>
                <w:szCs w:val="18"/>
                <w:highlight w:val="none"/>
              </w:rPr>
              <w:t>45mm，鼻梁长度 16</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163mm，前倾角6-7°。</w:t>
            </w:r>
          </w:p>
        </w:tc>
        <w:tc>
          <w:tcPr>
            <w:tcW w:w="510" w:type="dxa"/>
            <w:vAlign w:val="center"/>
          </w:tcPr>
          <w:p w14:paraId="1B173E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全框、半框</w:t>
            </w:r>
          </w:p>
        </w:tc>
        <w:tc>
          <w:tcPr>
            <w:tcW w:w="757" w:type="dxa"/>
            <w:vAlign w:val="center"/>
          </w:tcPr>
          <w:p w14:paraId="76713E8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88</w:t>
            </w:r>
          </w:p>
        </w:tc>
      </w:tr>
      <w:tr w14:paraId="011F6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B59089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w:t>
            </w:r>
          </w:p>
        </w:tc>
        <w:tc>
          <w:tcPr>
            <w:tcW w:w="1623" w:type="dxa"/>
            <w:vAlign w:val="center"/>
          </w:tcPr>
          <w:p w14:paraId="1407034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学生时尚复古&amp;常规合金镜架</w:t>
            </w:r>
          </w:p>
        </w:tc>
        <w:tc>
          <w:tcPr>
            <w:tcW w:w="386" w:type="dxa"/>
            <w:vAlign w:val="center"/>
          </w:tcPr>
          <w:p w14:paraId="4CD9D1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CC5EE4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合金材质。适配 12 岁以上学生群体。框形时尚复古，多处可调节，硅胶防滑鼻托，佩戴稳定，提升舒适感。符合GB/T 14214-2019 标准。镜架总长度125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4FBF07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2CD5D0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2085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38395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w:t>
            </w:r>
          </w:p>
        </w:tc>
        <w:tc>
          <w:tcPr>
            <w:tcW w:w="1623" w:type="dxa"/>
            <w:vAlign w:val="center"/>
          </w:tcPr>
          <w:p w14:paraId="69FCB4A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敏感肤质儿童专用健康材质镜架</w:t>
            </w:r>
          </w:p>
        </w:tc>
        <w:tc>
          <w:tcPr>
            <w:tcW w:w="386" w:type="dxa"/>
            <w:vAlign w:val="center"/>
          </w:tcPr>
          <w:p w14:paraId="4D464E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94C574E">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。健康环保材质，达到食品器械级标准，不易过敏。适配 6-12 岁肤质敏感的儿童群体。符合GB/T 14214-2019 标准。镜架总长度117</w:t>
            </w:r>
            <w:r>
              <w:rPr>
                <w:rFonts w:hint="eastAsia" w:hAnsi="宋体" w:cs="宋体"/>
                <w:color w:val="auto"/>
                <w:sz w:val="18"/>
                <w:szCs w:val="18"/>
                <w:highlight w:val="none"/>
                <w:lang w:eastAsia="zh-CN"/>
              </w:rPr>
              <w:t>—</w:t>
            </w:r>
            <w:r>
              <w:rPr>
                <w:rFonts w:hint="eastAsia" w:hAnsi="宋体" w:cs="宋体"/>
                <w:color w:val="auto"/>
                <w:sz w:val="18"/>
                <w:szCs w:val="18"/>
                <w:highlight w:val="none"/>
              </w:rPr>
              <w:t>139mm，单个镜框长度43</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52mm，镜框高度31</w:t>
            </w:r>
            <w:r>
              <w:rPr>
                <w:rFonts w:hint="eastAsia" w:hAnsi="宋体" w:cs="宋体"/>
                <w:color w:val="auto"/>
                <w:sz w:val="18"/>
                <w:szCs w:val="18"/>
                <w:highlight w:val="none"/>
                <w:lang w:eastAsia="zh-CN"/>
              </w:rPr>
              <w:t>—</w:t>
            </w:r>
            <w:r>
              <w:rPr>
                <w:rFonts w:hint="eastAsia" w:hAnsi="宋体" w:cs="宋体"/>
                <w:color w:val="auto"/>
                <w:sz w:val="18"/>
                <w:szCs w:val="18"/>
                <w:highlight w:val="none"/>
              </w:rPr>
              <w:t>41mm，鼻梁长度13</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138mm，前倾角6-7°。</w:t>
            </w:r>
          </w:p>
        </w:tc>
        <w:tc>
          <w:tcPr>
            <w:tcW w:w="510" w:type="dxa"/>
            <w:vAlign w:val="center"/>
          </w:tcPr>
          <w:p w14:paraId="1DE800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0D67DEA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71</w:t>
            </w:r>
          </w:p>
        </w:tc>
      </w:tr>
      <w:tr w14:paraId="547B8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A7029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w:t>
            </w:r>
          </w:p>
        </w:tc>
        <w:tc>
          <w:tcPr>
            <w:tcW w:w="1623" w:type="dxa"/>
            <w:vAlign w:val="center"/>
          </w:tcPr>
          <w:p w14:paraId="654DC3A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淘气儿童专用经久耐用型镜架</w:t>
            </w:r>
          </w:p>
        </w:tc>
        <w:tc>
          <w:tcPr>
            <w:tcW w:w="386" w:type="dxa"/>
            <w:vAlign w:val="center"/>
          </w:tcPr>
          <w:p w14:paraId="3A693C6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96D1339">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。健康环保材质，达到食品器械级标准。适配 3-10岁淘气活泼的儿童群体。弹性桩头，镜框镜腿可分离设计，镜腿具有超强的韧性和回弹性，孩童佩戴时不易损坏。符合GB/T 14214-2019 标准。镜架总长度91</w:t>
            </w:r>
            <w:r>
              <w:rPr>
                <w:rFonts w:hint="eastAsia" w:hAnsi="宋体" w:cs="宋体"/>
                <w:color w:val="auto"/>
                <w:sz w:val="18"/>
                <w:szCs w:val="18"/>
                <w:highlight w:val="none"/>
                <w:lang w:eastAsia="zh-CN"/>
              </w:rPr>
              <w:t>—</w:t>
            </w:r>
            <w:r>
              <w:rPr>
                <w:rFonts w:hint="eastAsia" w:hAnsi="宋体" w:cs="宋体"/>
                <w:color w:val="auto"/>
                <w:sz w:val="18"/>
                <w:szCs w:val="18"/>
                <w:highlight w:val="none"/>
              </w:rPr>
              <w:t>120mm，单个镜框长度38</w:t>
            </w:r>
            <w:r>
              <w:rPr>
                <w:rFonts w:hint="eastAsia" w:hAnsi="宋体" w:cs="宋体"/>
                <w:color w:val="auto"/>
                <w:sz w:val="18"/>
                <w:szCs w:val="18"/>
                <w:highlight w:val="none"/>
                <w:lang w:eastAsia="zh-CN"/>
              </w:rPr>
              <w:t>—</w:t>
            </w:r>
            <w:r>
              <w:rPr>
                <w:rFonts w:hint="eastAsia" w:hAnsi="宋体" w:cs="宋体"/>
                <w:color w:val="auto"/>
                <w:sz w:val="18"/>
                <w:szCs w:val="18"/>
                <w:highlight w:val="none"/>
              </w:rPr>
              <w:t>49mm，镜框高度27</w:t>
            </w:r>
            <w:r>
              <w:rPr>
                <w:rFonts w:hint="eastAsia" w:hAnsi="宋体" w:cs="宋体"/>
                <w:color w:val="auto"/>
                <w:sz w:val="18"/>
                <w:szCs w:val="18"/>
                <w:highlight w:val="none"/>
                <w:lang w:eastAsia="zh-CN"/>
              </w:rPr>
              <w:t>—</w:t>
            </w:r>
            <w:r>
              <w:rPr>
                <w:rFonts w:hint="eastAsia" w:hAnsi="宋体" w:cs="宋体"/>
                <w:color w:val="auto"/>
                <w:sz w:val="18"/>
                <w:szCs w:val="18"/>
                <w:highlight w:val="none"/>
              </w:rPr>
              <w:t>35mm，鼻梁长度14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16mm，镜腿长度125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138mm，前倾角6-7°。</w:t>
            </w:r>
          </w:p>
        </w:tc>
        <w:tc>
          <w:tcPr>
            <w:tcW w:w="510" w:type="dxa"/>
            <w:vAlign w:val="center"/>
          </w:tcPr>
          <w:p w14:paraId="3FA74A0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E7BF5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132</w:t>
            </w:r>
          </w:p>
        </w:tc>
      </w:tr>
      <w:tr w14:paraId="18F27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BA5B5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w:t>
            </w:r>
          </w:p>
        </w:tc>
        <w:tc>
          <w:tcPr>
            <w:tcW w:w="1623" w:type="dxa"/>
            <w:vAlign w:val="center"/>
          </w:tcPr>
          <w:p w14:paraId="2507911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学生时尚复古常规合金镜架</w:t>
            </w:r>
          </w:p>
        </w:tc>
        <w:tc>
          <w:tcPr>
            <w:tcW w:w="386" w:type="dxa"/>
            <w:vAlign w:val="center"/>
          </w:tcPr>
          <w:p w14:paraId="33E0C4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1C6356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合金材质。适配 12 岁以上学生群体。框形时尚复古，多处可调节，硅胶防滑鼻托，佩戴稳定，提升舒适感。符合GB/T 14214-2019 标准。镜架总长度125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16C57B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4924E4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454B9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19DAB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w:t>
            </w:r>
          </w:p>
        </w:tc>
        <w:tc>
          <w:tcPr>
            <w:tcW w:w="1623" w:type="dxa"/>
            <w:vAlign w:val="center"/>
          </w:tcPr>
          <w:p w14:paraId="5163A84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淘气儿童专用安全设计型镜架</w:t>
            </w:r>
          </w:p>
        </w:tc>
        <w:tc>
          <w:tcPr>
            <w:tcW w:w="386" w:type="dxa"/>
            <w:vAlign w:val="center"/>
          </w:tcPr>
          <w:p w14:paraId="52E01F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B7AFD8F">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。安全健康柔软的儿童用材料，挂钩式脚套，可调式镜腿，安全固定绳带，符合儿童头部尺寸。符合GB/T 14214-2019 标准。镜架总长度90</w:t>
            </w:r>
            <w:r>
              <w:rPr>
                <w:rFonts w:hint="eastAsia" w:hAnsi="宋体" w:cs="宋体"/>
                <w:color w:val="auto"/>
                <w:sz w:val="18"/>
                <w:szCs w:val="18"/>
                <w:highlight w:val="none"/>
                <w:lang w:eastAsia="zh-CN"/>
              </w:rPr>
              <w:t>—</w:t>
            </w:r>
            <w:r>
              <w:rPr>
                <w:rFonts w:hint="eastAsia" w:hAnsi="宋体" w:cs="宋体"/>
                <w:color w:val="auto"/>
                <w:sz w:val="18"/>
                <w:szCs w:val="18"/>
                <w:highlight w:val="none"/>
              </w:rPr>
              <w:t>114mm，单个镜框长度45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5E6570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C86BE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123</w:t>
            </w:r>
          </w:p>
        </w:tc>
      </w:tr>
      <w:tr w14:paraId="252F5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5270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w:t>
            </w:r>
          </w:p>
        </w:tc>
        <w:tc>
          <w:tcPr>
            <w:tcW w:w="1623" w:type="dxa"/>
            <w:vAlign w:val="center"/>
          </w:tcPr>
          <w:p w14:paraId="2ACD15A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常规TR系列</w:t>
            </w:r>
          </w:p>
        </w:tc>
        <w:tc>
          <w:tcPr>
            <w:tcW w:w="386" w:type="dxa"/>
            <w:vAlign w:val="center"/>
          </w:tcPr>
          <w:p w14:paraId="643FF8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801A98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TR90材质。适配10岁以上中小学生群体。耐撞耐磨，摩擦系数低，佩戴轻便舒适。符合GB/T 14214-2019 标准。镜架总长度116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145mm，单个镜框长度46</w:t>
            </w:r>
            <w:r>
              <w:rPr>
                <w:rFonts w:hint="eastAsia" w:hAnsi="宋体" w:cs="宋体"/>
                <w:color w:val="auto"/>
                <w:sz w:val="18"/>
                <w:szCs w:val="18"/>
                <w:highlight w:val="none"/>
                <w:lang w:eastAsia="zh-CN"/>
              </w:rPr>
              <w:t>—</w:t>
            </w:r>
            <w:r>
              <w:rPr>
                <w:rFonts w:hint="eastAsia" w:hAnsi="宋体" w:cs="宋体"/>
                <w:color w:val="auto"/>
                <w:sz w:val="18"/>
                <w:szCs w:val="18"/>
                <w:highlight w:val="none"/>
              </w:rPr>
              <w:t>55mm，镜框高度35</w:t>
            </w:r>
            <w:r>
              <w:rPr>
                <w:rFonts w:hint="eastAsia" w:hAnsi="宋体" w:cs="宋体"/>
                <w:color w:val="auto"/>
                <w:sz w:val="18"/>
                <w:szCs w:val="18"/>
                <w:highlight w:val="none"/>
                <w:lang w:eastAsia="zh-CN"/>
              </w:rPr>
              <w:t>—</w:t>
            </w:r>
            <w:r>
              <w:rPr>
                <w:rFonts w:hint="eastAsia" w:hAnsi="宋体" w:cs="宋体"/>
                <w:color w:val="auto"/>
                <w:sz w:val="18"/>
                <w:szCs w:val="18"/>
                <w:highlight w:val="none"/>
              </w:rPr>
              <w:t>47mm，鼻梁长度15</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19mm，镜腿长度139</w:t>
            </w:r>
            <w:r>
              <w:rPr>
                <w:rFonts w:hint="eastAsia" w:hAnsi="宋体" w:cs="宋体"/>
                <w:color w:val="auto"/>
                <w:sz w:val="18"/>
                <w:szCs w:val="18"/>
                <w:highlight w:val="none"/>
                <w:lang w:eastAsia="zh-CN"/>
              </w:rPr>
              <w:t>—</w:t>
            </w:r>
            <w:r>
              <w:rPr>
                <w:rFonts w:hint="eastAsia" w:hAnsi="宋体" w:cs="宋体"/>
                <w:color w:val="auto"/>
                <w:sz w:val="18"/>
                <w:szCs w:val="18"/>
                <w:highlight w:val="none"/>
              </w:rPr>
              <w:t>152mm，前倾角5-7°。</w:t>
            </w:r>
          </w:p>
        </w:tc>
        <w:tc>
          <w:tcPr>
            <w:tcW w:w="510" w:type="dxa"/>
            <w:vAlign w:val="center"/>
          </w:tcPr>
          <w:p w14:paraId="3939C5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973DCB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r>
      <w:tr w14:paraId="0BC22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C5C7C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w:t>
            </w:r>
          </w:p>
        </w:tc>
        <w:tc>
          <w:tcPr>
            <w:tcW w:w="1623" w:type="dxa"/>
            <w:vAlign w:val="center"/>
          </w:tcPr>
          <w:p w14:paraId="6A92137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商务板材系列镜架</w:t>
            </w:r>
          </w:p>
        </w:tc>
        <w:tc>
          <w:tcPr>
            <w:tcW w:w="386" w:type="dxa"/>
            <w:vAlign w:val="center"/>
          </w:tcPr>
          <w:p w14:paraId="065A62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6031CA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板材+β钛材质。适配 20 岁以上商务群体。冷加工制造，真空电镀，镜身精细，强度高，结实耐用。设计风格成熟稳重商务。符合GB/T 14214-2019 标准。镜架总长度138</w:t>
            </w:r>
            <w:r>
              <w:rPr>
                <w:rFonts w:hint="eastAsia" w:hAnsi="宋体" w:cs="宋体"/>
                <w:color w:val="auto"/>
                <w:sz w:val="18"/>
                <w:szCs w:val="18"/>
                <w:highlight w:val="none"/>
                <w:lang w:eastAsia="zh-CN"/>
              </w:rPr>
              <w:t>—</w:t>
            </w:r>
            <w:r>
              <w:rPr>
                <w:rFonts w:hint="eastAsia" w:hAnsi="宋体" w:cs="宋体"/>
                <w:color w:val="auto"/>
                <w:sz w:val="18"/>
                <w:szCs w:val="18"/>
                <w:highlight w:val="none"/>
              </w:rPr>
              <w:t>153mm，单个镜框长度51</w:t>
            </w:r>
            <w:r>
              <w:rPr>
                <w:rFonts w:hint="eastAsia" w:hAnsi="宋体" w:cs="宋体"/>
                <w:color w:val="auto"/>
                <w:sz w:val="18"/>
                <w:szCs w:val="18"/>
                <w:highlight w:val="none"/>
                <w:lang w:eastAsia="zh-CN"/>
              </w:rPr>
              <w:t>—</w:t>
            </w:r>
            <w:r>
              <w:rPr>
                <w:rFonts w:hint="eastAsia" w:hAnsi="宋体" w:cs="宋体"/>
                <w:color w:val="auto"/>
                <w:sz w:val="18"/>
                <w:szCs w:val="18"/>
                <w:highlight w:val="none"/>
              </w:rPr>
              <w:t>58mm，镜框高度41</w:t>
            </w:r>
            <w:r>
              <w:rPr>
                <w:rFonts w:hint="eastAsia" w:hAnsi="宋体" w:cs="宋体"/>
                <w:color w:val="auto"/>
                <w:sz w:val="18"/>
                <w:szCs w:val="18"/>
                <w:highlight w:val="none"/>
                <w:lang w:eastAsia="zh-CN"/>
              </w:rPr>
              <w:t>—</w:t>
            </w:r>
            <w:r>
              <w:rPr>
                <w:rFonts w:hint="eastAsia" w:hAnsi="宋体" w:cs="宋体"/>
                <w:color w:val="auto"/>
                <w:sz w:val="18"/>
                <w:szCs w:val="18"/>
                <w:highlight w:val="none"/>
              </w:rPr>
              <w:t>50mm，鼻梁长度17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19mm，镜腿长度148</w:t>
            </w:r>
            <w:r>
              <w:rPr>
                <w:rFonts w:hint="eastAsia" w:hAnsi="宋体" w:cs="宋体"/>
                <w:color w:val="auto"/>
                <w:sz w:val="18"/>
                <w:szCs w:val="18"/>
                <w:highlight w:val="none"/>
                <w:lang w:eastAsia="zh-CN"/>
              </w:rPr>
              <w:t>—</w:t>
            </w:r>
            <w:r>
              <w:rPr>
                <w:rFonts w:hint="eastAsia" w:hAnsi="宋体" w:cs="宋体"/>
                <w:color w:val="auto"/>
                <w:sz w:val="18"/>
                <w:szCs w:val="18"/>
                <w:highlight w:val="none"/>
              </w:rPr>
              <w:t>152mm，前倾角参数6-7°。</w:t>
            </w:r>
          </w:p>
        </w:tc>
        <w:tc>
          <w:tcPr>
            <w:tcW w:w="510" w:type="dxa"/>
            <w:vAlign w:val="center"/>
          </w:tcPr>
          <w:p w14:paraId="46A9CF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3369D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172</w:t>
            </w:r>
          </w:p>
        </w:tc>
      </w:tr>
      <w:tr w14:paraId="230CA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566363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w:t>
            </w:r>
          </w:p>
        </w:tc>
        <w:tc>
          <w:tcPr>
            <w:tcW w:w="1623" w:type="dxa"/>
            <w:vAlign w:val="center"/>
          </w:tcPr>
          <w:p w14:paraId="2486A0D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敏感肤质儿童专用健康材质镜架</w:t>
            </w:r>
          </w:p>
        </w:tc>
        <w:tc>
          <w:tcPr>
            <w:tcW w:w="386" w:type="dxa"/>
            <w:vAlign w:val="center"/>
          </w:tcPr>
          <w:p w14:paraId="63A183C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3360F3B">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。健康环保材质，达到食品器械级标准，不易过敏。适配 6-12 岁肤质敏感的儿童群体。符合GB/T 14214-2019 标准。镜架总长度117</w:t>
            </w:r>
            <w:r>
              <w:rPr>
                <w:rFonts w:hint="eastAsia" w:hAnsi="宋体" w:cs="宋体"/>
                <w:color w:val="auto"/>
                <w:sz w:val="18"/>
                <w:szCs w:val="18"/>
                <w:highlight w:val="none"/>
                <w:lang w:eastAsia="zh-CN"/>
              </w:rPr>
              <w:t>—</w:t>
            </w:r>
            <w:r>
              <w:rPr>
                <w:rFonts w:hint="eastAsia" w:hAnsi="宋体" w:cs="宋体"/>
                <w:color w:val="auto"/>
                <w:sz w:val="18"/>
                <w:szCs w:val="18"/>
                <w:highlight w:val="none"/>
              </w:rPr>
              <w:t>139mm，单个镜框长度43</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52mm，镜框高度31</w:t>
            </w:r>
            <w:r>
              <w:rPr>
                <w:rFonts w:hint="eastAsia" w:hAnsi="宋体" w:cs="宋体"/>
                <w:color w:val="auto"/>
                <w:sz w:val="18"/>
                <w:szCs w:val="18"/>
                <w:highlight w:val="none"/>
                <w:lang w:eastAsia="zh-CN"/>
              </w:rPr>
              <w:t>—</w:t>
            </w:r>
            <w:r>
              <w:rPr>
                <w:rFonts w:hint="eastAsia" w:hAnsi="宋体" w:cs="宋体"/>
                <w:color w:val="auto"/>
                <w:sz w:val="18"/>
                <w:szCs w:val="18"/>
                <w:highlight w:val="none"/>
              </w:rPr>
              <w:t>41mm，鼻梁长度13</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138mm，前倾角6-7°。</w:t>
            </w:r>
          </w:p>
        </w:tc>
        <w:tc>
          <w:tcPr>
            <w:tcW w:w="510" w:type="dxa"/>
            <w:vAlign w:val="center"/>
          </w:tcPr>
          <w:p w14:paraId="6250FB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8DBB74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88</w:t>
            </w:r>
          </w:p>
        </w:tc>
      </w:tr>
      <w:tr w14:paraId="595A8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EE3E6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w:t>
            </w:r>
          </w:p>
        </w:tc>
        <w:tc>
          <w:tcPr>
            <w:tcW w:w="1623" w:type="dxa"/>
            <w:vAlign w:val="center"/>
          </w:tcPr>
          <w:p w14:paraId="66EF078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中高光度学生复古时尚β钛镜架</w:t>
            </w:r>
          </w:p>
        </w:tc>
        <w:tc>
          <w:tcPr>
            <w:tcW w:w="386" w:type="dxa"/>
            <w:vAlign w:val="center"/>
          </w:tcPr>
          <w:p w14:paraId="4AE852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332F1EE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β钛材质。适配 13-20 岁中高光度学生群体。镜架轻盈，佩戴无负担。IP电镀高级感光泽。前框加厚，适配中高度数镜片，保护镜片不崩边。符合GB/T 14214-2019 标准。镜架总长度119</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53mm，镜框高度39</w:t>
            </w:r>
            <w:r>
              <w:rPr>
                <w:rFonts w:hint="eastAsia" w:hAnsi="宋体" w:cs="宋体"/>
                <w:color w:val="auto"/>
                <w:sz w:val="18"/>
                <w:szCs w:val="18"/>
                <w:highlight w:val="none"/>
                <w:lang w:eastAsia="zh-CN"/>
              </w:rPr>
              <w:t>—</w:t>
            </w:r>
            <w:r>
              <w:rPr>
                <w:rFonts w:hint="eastAsia" w:hAnsi="宋体" w:cs="宋体"/>
                <w:color w:val="auto"/>
                <w:sz w:val="18"/>
                <w:szCs w:val="18"/>
                <w:highlight w:val="none"/>
              </w:rPr>
              <w:t>47mm，鼻梁长度16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20mm，镜腿长度135</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148mm，前倾角6-8°。</w:t>
            </w:r>
          </w:p>
        </w:tc>
        <w:tc>
          <w:tcPr>
            <w:tcW w:w="510" w:type="dxa"/>
            <w:vAlign w:val="center"/>
          </w:tcPr>
          <w:p w14:paraId="488923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0F599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w:t>
            </w:r>
          </w:p>
        </w:tc>
      </w:tr>
      <w:tr w14:paraId="64340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3BCBE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w:t>
            </w:r>
          </w:p>
        </w:tc>
        <w:tc>
          <w:tcPr>
            <w:tcW w:w="1623" w:type="dxa"/>
            <w:vAlign w:val="center"/>
          </w:tcPr>
          <w:p w14:paraId="3032E95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不等像矫正镜片专用镜架</w:t>
            </w:r>
          </w:p>
        </w:tc>
        <w:tc>
          <w:tcPr>
            <w:tcW w:w="386" w:type="dxa"/>
            <w:vAlign w:val="center"/>
          </w:tcPr>
          <w:p w14:paraId="1900948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0B1146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β钛&amp;板材材质。适配8-16岁佩戴各类功能性镜片的青少年群体。前圈内侧加厚，稳固镜片。前倾角与弧形镜腿设计，契合面部轮廓，佩戴稳定不夹脸。特殊鼻托与夹片设计，有效阻挡紫外线。符合GB/T 14214-2019</w:t>
            </w:r>
            <w:r>
              <w:rPr>
                <w:rFonts w:hint="eastAsia" w:hAnsi="宋体" w:cs="宋体"/>
                <w:color w:val="auto"/>
                <w:sz w:val="18"/>
                <w:szCs w:val="18"/>
                <w:highlight w:val="none"/>
                <w:lang w:eastAsia="zh-CN"/>
              </w:rPr>
              <w:t>标准。</w:t>
            </w:r>
            <w:r>
              <w:rPr>
                <w:rFonts w:hint="eastAsia" w:hAnsi="宋体" w:cs="宋体"/>
                <w:color w:val="auto"/>
                <w:sz w:val="18"/>
                <w:szCs w:val="18"/>
                <w:highlight w:val="none"/>
              </w:rPr>
              <w:t>镜架总长度128</w:t>
            </w:r>
            <w:r>
              <w:rPr>
                <w:rFonts w:hint="eastAsia" w:hAnsi="宋体" w:cs="宋体"/>
                <w:color w:val="auto"/>
                <w:sz w:val="18"/>
                <w:szCs w:val="18"/>
                <w:highlight w:val="none"/>
                <w:lang w:eastAsia="zh-CN"/>
              </w:rPr>
              <w:t>—</w:t>
            </w:r>
            <w:r>
              <w:rPr>
                <w:rFonts w:hint="eastAsia" w:hAnsi="宋体" w:cs="宋体"/>
                <w:color w:val="auto"/>
                <w:sz w:val="18"/>
                <w:szCs w:val="18"/>
                <w:highlight w:val="none"/>
              </w:rPr>
              <w:t>145mm，单个镜框长度45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51mm，镜框高度40</w:t>
            </w:r>
            <w:r>
              <w:rPr>
                <w:rFonts w:hint="eastAsia" w:hAnsi="宋体" w:cs="宋体"/>
                <w:color w:val="auto"/>
                <w:sz w:val="18"/>
                <w:szCs w:val="18"/>
                <w:highlight w:val="none"/>
                <w:lang w:eastAsia="zh-CN"/>
              </w:rPr>
              <w:t>—</w:t>
            </w:r>
            <w:r>
              <w:rPr>
                <w:rFonts w:hint="eastAsia" w:hAnsi="宋体" w:cs="宋体"/>
                <w:color w:val="auto"/>
                <w:sz w:val="18"/>
                <w:szCs w:val="18"/>
                <w:highlight w:val="none"/>
              </w:rPr>
              <w:t>42mm，鼻梁长度16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18mm，镜腿长度142</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145mm，前倾角5-7°。</w:t>
            </w:r>
          </w:p>
        </w:tc>
        <w:tc>
          <w:tcPr>
            <w:tcW w:w="510" w:type="dxa"/>
            <w:vAlign w:val="center"/>
          </w:tcPr>
          <w:p w14:paraId="7B4EE8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69BC06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175</w:t>
            </w:r>
          </w:p>
        </w:tc>
      </w:tr>
      <w:tr w14:paraId="5E3DE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DC116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w:t>
            </w:r>
          </w:p>
        </w:tc>
        <w:tc>
          <w:tcPr>
            <w:tcW w:w="1623" w:type="dxa"/>
            <w:vAlign w:val="center"/>
          </w:tcPr>
          <w:p w14:paraId="10FE243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学生舒适久戴型肌肤漆镜架</w:t>
            </w:r>
          </w:p>
        </w:tc>
        <w:tc>
          <w:tcPr>
            <w:tcW w:w="386" w:type="dxa"/>
            <w:vAlign w:val="center"/>
          </w:tcPr>
          <w:p w14:paraId="5214FE6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309FC9A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G870+硅胶材质。适配12岁以上学生群体。如婴儿般丝滑触感的肌肤漆</w:t>
            </w:r>
            <w:r>
              <w:rPr>
                <w:rFonts w:hint="eastAsia" w:hAnsi="宋体" w:cs="宋体"/>
                <w:color w:val="auto"/>
                <w:sz w:val="18"/>
                <w:szCs w:val="18"/>
                <w:highlight w:val="none"/>
                <w:lang w:eastAsia="zh-CN"/>
              </w:rPr>
              <w:t>涂层</w:t>
            </w:r>
            <w:r>
              <w:rPr>
                <w:rFonts w:hint="eastAsia" w:hAnsi="宋体" w:cs="宋体"/>
                <w:color w:val="auto"/>
                <w:sz w:val="18"/>
                <w:szCs w:val="18"/>
                <w:highlight w:val="none"/>
              </w:rPr>
              <w:t>，细腻柔滑，亲肤抑菌，久戴不累。3种鼻托和脚套可调节替换。符合GB/T 14214-2019 标准。镜架总长度118</w:t>
            </w:r>
            <w:r>
              <w:rPr>
                <w:rFonts w:hint="eastAsia" w:hAnsi="宋体" w:cs="宋体"/>
                <w:color w:val="auto"/>
                <w:sz w:val="18"/>
                <w:szCs w:val="18"/>
                <w:highlight w:val="none"/>
                <w:lang w:eastAsia="zh-CN"/>
              </w:rPr>
              <w:t>—</w:t>
            </w:r>
            <w:r>
              <w:rPr>
                <w:rFonts w:hint="eastAsia" w:hAnsi="宋体" w:cs="宋体"/>
                <w:color w:val="auto"/>
                <w:sz w:val="18"/>
                <w:szCs w:val="18"/>
                <w:highlight w:val="none"/>
              </w:rPr>
              <w:t>130mm，单个镜框长度45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51mm，镜框高度33</w:t>
            </w:r>
            <w:r>
              <w:rPr>
                <w:rFonts w:hint="eastAsia" w:hAnsi="宋体" w:cs="宋体"/>
                <w:color w:val="auto"/>
                <w:sz w:val="18"/>
                <w:szCs w:val="18"/>
                <w:highlight w:val="none"/>
                <w:lang w:eastAsia="zh-CN"/>
              </w:rPr>
              <w:t>—</w:t>
            </w:r>
            <w:r>
              <w:rPr>
                <w:rFonts w:hint="eastAsia" w:hAnsi="宋体" w:cs="宋体"/>
                <w:color w:val="auto"/>
                <w:sz w:val="18"/>
                <w:szCs w:val="18"/>
                <w:highlight w:val="none"/>
              </w:rPr>
              <w:t>40mm，鼻梁长度16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17mm，镜腿长度136</w:t>
            </w:r>
            <w:r>
              <w:rPr>
                <w:rFonts w:hint="eastAsia" w:hAnsi="宋体" w:cs="宋体"/>
                <w:color w:val="auto"/>
                <w:sz w:val="18"/>
                <w:szCs w:val="18"/>
                <w:highlight w:val="none"/>
                <w:lang w:eastAsia="zh-CN"/>
              </w:rPr>
              <w:t>—</w:t>
            </w:r>
            <w:r>
              <w:rPr>
                <w:rFonts w:hint="eastAsia" w:hAnsi="宋体" w:cs="宋体"/>
                <w:color w:val="auto"/>
                <w:sz w:val="18"/>
                <w:szCs w:val="18"/>
                <w:highlight w:val="none"/>
              </w:rPr>
              <w:t>140mm，前倾角6-7°。</w:t>
            </w:r>
          </w:p>
        </w:tc>
        <w:tc>
          <w:tcPr>
            <w:tcW w:w="510" w:type="dxa"/>
            <w:vAlign w:val="center"/>
          </w:tcPr>
          <w:p w14:paraId="575816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D0632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122</w:t>
            </w:r>
          </w:p>
        </w:tc>
      </w:tr>
      <w:tr w14:paraId="175C5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2EFD23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w:t>
            </w:r>
          </w:p>
        </w:tc>
        <w:tc>
          <w:tcPr>
            <w:tcW w:w="1623" w:type="dxa"/>
            <w:vAlign w:val="center"/>
          </w:tcPr>
          <w:p w14:paraId="7DCC0DC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TR架</w:t>
            </w:r>
          </w:p>
        </w:tc>
        <w:tc>
          <w:tcPr>
            <w:tcW w:w="386" w:type="dxa"/>
            <w:vAlign w:val="center"/>
          </w:tcPr>
          <w:p w14:paraId="0CF4C7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31D64C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TR材质，适配青少年群体。具有超柔韧性，耐撞、耐磨、耐擦系数低等特点，能有效防止在运动中镜架断裂，</w:t>
            </w:r>
            <w:r>
              <w:rPr>
                <w:rFonts w:hint="eastAsia" w:hAnsi="宋体" w:cs="宋体"/>
                <w:color w:val="auto"/>
                <w:sz w:val="18"/>
                <w:szCs w:val="18"/>
                <w:highlight w:val="none"/>
                <w:lang w:eastAsia="zh-CN"/>
              </w:rPr>
              <w:t>降低</w:t>
            </w:r>
            <w:r>
              <w:rPr>
                <w:rFonts w:hint="eastAsia" w:hAnsi="宋体" w:cs="宋体"/>
                <w:color w:val="auto"/>
                <w:sz w:val="18"/>
                <w:szCs w:val="18"/>
                <w:highlight w:val="none"/>
              </w:rPr>
              <w:t>摩擦对肌肤的伤害。符合GB/T 14214-2019标准。镜架标有单个镜框长度，鼻梁长度，镜腿长度。</w:t>
            </w:r>
          </w:p>
        </w:tc>
        <w:tc>
          <w:tcPr>
            <w:tcW w:w="510" w:type="dxa"/>
            <w:vAlign w:val="center"/>
          </w:tcPr>
          <w:p w14:paraId="24342F7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3578CF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65</w:t>
            </w:r>
          </w:p>
        </w:tc>
      </w:tr>
      <w:tr w14:paraId="07DC7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D441D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w:t>
            </w:r>
          </w:p>
        </w:tc>
        <w:tc>
          <w:tcPr>
            <w:tcW w:w="1623" w:type="dxa"/>
            <w:vAlign w:val="center"/>
          </w:tcPr>
          <w:p w14:paraId="2EE1695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TR架</w:t>
            </w:r>
          </w:p>
        </w:tc>
        <w:tc>
          <w:tcPr>
            <w:tcW w:w="386" w:type="dxa"/>
            <w:vAlign w:val="center"/>
          </w:tcPr>
          <w:p w14:paraId="600658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391E5F4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TR材质，适配青少年群体。具有超柔韧性，耐撞、耐磨、耐擦系数低等特点，搭配柔软可调鼻托，减少鼻梁的摩擦力。符合GB/T 14214-2019标准。镜架标有单个镜框长度，鼻梁长度，镜腿长度。</w:t>
            </w:r>
          </w:p>
        </w:tc>
        <w:tc>
          <w:tcPr>
            <w:tcW w:w="510" w:type="dxa"/>
            <w:vAlign w:val="center"/>
          </w:tcPr>
          <w:p w14:paraId="79C7757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F8A5E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59</w:t>
            </w:r>
          </w:p>
        </w:tc>
      </w:tr>
      <w:tr w14:paraId="538E5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E0A395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w:t>
            </w:r>
          </w:p>
        </w:tc>
        <w:tc>
          <w:tcPr>
            <w:tcW w:w="1623" w:type="dxa"/>
            <w:vAlign w:val="center"/>
          </w:tcPr>
          <w:p w14:paraId="650116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TR架</w:t>
            </w:r>
          </w:p>
        </w:tc>
        <w:tc>
          <w:tcPr>
            <w:tcW w:w="386" w:type="dxa"/>
            <w:vAlign w:val="center"/>
          </w:tcPr>
          <w:p w14:paraId="46351E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3D7DA1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硅胶和TR材质，适配儿童及青少年群体。优质硅胶镜腿，防过敏，不易变形，材料环保安全，相比传统镜架舒适感更好，儿童系列每副镜架搭配同色系耳钩，防止佩戴时滑落。此外该系列镜架</w:t>
            </w:r>
            <w:r>
              <w:rPr>
                <w:rFonts w:hint="eastAsia" w:hAnsi="宋体" w:cs="宋体"/>
                <w:color w:val="auto"/>
                <w:sz w:val="18"/>
                <w:szCs w:val="18"/>
                <w:highlight w:val="none"/>
                <w:lang w:eastAsia="zh-CN"/>
              </w:rPr>
              <w:t>分为</w:t>
            </w:r>
            <w:r>
              <w:rPr>
                <w:rFonts w:hint="eastAsia" w:hAnsi="宋体" w:cs="宋体"/>
                <w:color w:val="auto"/>
                <w:sz w:val="18"/>
                <w:szCs w:val="18"/>
                <w:highlight w:val="none"/>
              </w:rPr>
              <w:t>可调节鼻托和一体注塑鼻托，能满足不同客户的需求。符合GB/T 14214-2019标准。镜架标有单个镜框长度，鼻梁长度，镜腿长度。</w:t>
            </w:r>
          </w:p>
        </w:tc>
        <w:tc>
          <w:tcPr>
            <w:tcW w:w="510" w:type="dxa"/>
            <w:vAlign w:val="center"/>
          </w:tcPr>
          <w:p w14:paraId="2ED287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06CCDF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70</w:t>
            </w:r>
          </w:p>
        </w:tc>
      </w:tr>
      <w:tr w14:paraId="7508D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C4DE94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w:t>
            </w:r>
          </w:p>
        </w:tc>
        <w:tc>
          <w:tcPr>
            <w:tcW w:w="1623" w:type="dxa"/>
            <w:vAlign w:val="center"/>
          </w:tcPr>
          <w:p w14:paraId="4A4B409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TR架</w:t>
            </w:r>
          </w:p>
        </w:tc>
        <w:tc>
          <w:tcPr>
            <w:tcW w:w="386" w:type="dxa"/>
            <w:vAlign w:val="center"/>
          </w:tcPr>
          <w:p w14:paraId="1F88CBE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3BE5ACA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 材质，适配1-12岁儿童群体。 符合 GB/T 14214-2019 标准。镜架总长度 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 46</w:t>
            </w:r>
            <w:r>
              <w:rPr>
                <w:rFonts w:hint="eastAsia" w:hAnsi="宋体" w:cs="宋体"/>
                <w:color w:val="auto"/>
                <w:sz w:val="18"/>
                <w:szCs w:val="18"/>
                <w:highlight w:val="none"/>
                <w:lang w:eastAsia="zh-CN"/>
              </w:rPr>
              <w:t>—</w:t>
            </w:r>
            <w:r>
              <w:rPr>
                <w:rFonts w:hint="eastAsia" w:hAnsi="宋体" w:cs="宋体"/>
                <w:color w:val="auto"/>
                <w:sz w:val="18"/>
                <w:szCs w:val="18"/>
                <w:highlight w:val="none"/>
              </w:rPr>
              <w:t>50mm， 镜框高度 32</w:t>
            </w:r>
            <w:r>
              <w:rPr>
                <w:rFonts w:hint="eastAsia" w:hAnsi="宋体" w:cs="宋体"/>
                <w:color w:val="auto"/>
                <w:sz w:val="18"/>
                <w:szCs w:val="18"/>
                <w:highlight w:val="none"/>
                <w:lang w:eastAsia="zh-CN"/>
              </w:rPr>
              <w:t>—</w:t>
            </w:r>
            <w:r>
              <w:rPr>
                <w:rFonts w:hint="eastAsia" w:hAnsi="宋体" w:cs="宋体"/>
                <w:color w:val="auto"/>
                <w:sz w:val="18"/>
                <w:szCs w:val="18"/>
                <w:highlight w:val="none"/>
              </w:rPr>
              <w:t>45mm，鼻梁长度 15</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 度 136</w:t>
            </w:r>
            <w:r>
              <w:rPr>
                <w:rFonts w:hint="eastAsia" w:hAnsi="宋体" w:cs="宋体"/>
                <w:color w:val="auto"/>
                <w:sz w:val="18"/>
                <w:szCs w:val="18"/>
                <w:highlight w:val="none"/>
                <w:lang w:eastAsia="zh-CN"/>
              </w:rPr>
              <w:t>—</w:t>
            </w:r>
            <w:r>
              <w:rPr>
                <w:rFonts w:hint="eastAsia" w:hAnsi="宋体" w:cs="宋体"/>
                <w:color w:val="auto"/>
                <w:sz w:val="18"/>
                <w:szCs w:val="18"/>
                <w:highlight w:val="none"/>
              </w:rPr>
              <w:t>150mm，前倾角 5-7°。</w:t>
            </w:r>
          </w:p>
        </w:tc>
        <w:tc>
          <w:tcPr>
            <w:tcW w:w="510" w:type="dxa"/>
            <w:vAlign w:val="center"/>
          </w:tcPr>
          <w:p w14:paraId="64105DC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5066B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r>
      <w:tr w14:paraId="46D10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2287F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w:t>
            </w:r>
          </w:p>
        </w:tc>
        <w:tc>
          <w:tcPr>
            <w:tcW w:w="1623" w:type="dxa"/>
            <w:vAlign w:val="center"/>
          </w:tcPr>
          <w:p w14:paraId="095A51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TR镜架</w:t>
            </w:r>
          </w:p>
        </w:tc>
        <w:tc>
          <w:tcPr>
            <w:tcW w:w="386" w:type="dxa"/>
            <w:vAlign w:val="center"/>
          </w:tcPr>
          <w:p w14:paraId="204945C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906685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 材质，适配8-18岁学生群体。符合 GB/T 14214-2019 标准。镜架总长度 116</w:t>
            </w:r>
            <w:r>
              <w:rPr>
                <w:rFonts w:hint="eastAsia" w:hAnsi="宋体" w:cs="宋体"/>
                <w:color w:val="auto"/>
                <w:sz w:val="18"/>
                <w:szCs w:val="18"/>
                <w:highlight w:val="none"/>
                <w:lang w:eastAsia="zh-CN"/>
              </w:rPr>
              <w:t>—</w:t>
            </w:r>
            <w:r>
              <w:rPr>
                <w:rFonts w:hint="eastAsia" w:hAnsi="宋体" w:cs="宋体"/>
                <w:color w:val="auto"/>
                <w:sz w:val="18"/>
                <w:szCs w:val="18"/>
                <w:highlight w:val="none"/>
              </w:rPr>
              <w:t>145mm，单个镜框长度 46</w:t>
            </w:r>
            <w:r>
              <w:rPr>
                <w:rFonts w:hint="eastAsia" w:hAnsi="宋体" w:cs="宋体"/>
                <w:color w:val="auto"/>
                <w:sz w:val="18"/>
                <w:szCs w:val="18"/>
                <w:highlight w:val="none"/>
                <w:lang w:eastAsia="zh-CN"/>
              </w:rPr>
              <w:t>—</w:t>
            </w:r>
            <w:r>
              <w:rPr>
                <w:rFonts w:hint="eastAsia" w:hAnsi="宋体" w:cs="宋体"/>
                <w:color w:val="auto"/>
                <w:sz w:val="18"/>
                <w:szCs w:val="18"/>
                <w:highlight w:val="none"/>
              </w:rPr>
              <w:t>55mm， 镜框高度 35-47，鼻梁长度 15</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 139</w:t>
            </w:r>
            <w:r>
              <w:rPr>
                <w:rFonts w:hint="eastAsia" w:hAnsi="宋体" w:cs="宋体"/>
                <w:color w:val="auto"/>
                <w:sz w:val="18"/>
                <w:szCs w:val="18"/>
                <w:highlight w:val="none"/>
                <w:lang w:eastAsia="zh-CN"/>
              </w:rPr>
              <w:t>—</w:t>
            </w:r>
            <w:r>
              <w:rPr>
                <w:rFonts w:hint="eastAsia" w:hAnsi="宋体" w:cs="宋体"/>
                <w:color w:val="auto"/>
                <w:sz w:val="18"/>
                <w:szCs w:val="18"/>
                <w:highlight w:val="none"/>
              </w:rPr>
              <w:t>152mm，前倾角 5-7°。</w:t>
            </w:r>
          </w:p>
        </w:tc>
        <w:tc>
          <w:tcPr>
            <w:tcW w:w="510" w:type="dxa"/>
            <w:vAlign w:val="center"/>
          </w:tcPr>
          <w:p w14:paraId="05BA0F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464D7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r>
      <w:tr w14:paraId="3EA4D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E57433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w:t>
            </w:r>
          </w:p>
        </w:tc>
        <w:tc>
          <w:tcPr>
            <w:tcW w:w="1623" w:type="dxa"/>
            <w:vAlign w:val="center"/>
          </w:tcPr>
          <w:p w14:paraId="5B686CB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TR系列镜架</w:t>
            </w:r>
          </w:p>
        </w:tc>
        <w:tc>
          <w:tcPr>
            <w:tcW w:w="386" w:type="dxa"/>
            <w:vAlign w:val="center"/>
          </w:tcPr>
          <w:p w14:paraId="32FAC3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B28E27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1.重量轻</w:t>
            </w:r>
            <w:r>
              <w:rPr>
                <w:rFonts w:hint="eastAsia" w:hAnsi="宋体" w:cs="宋体"/>
                <w:color w:val="auto"/>
                <w:sz w:val="18"/>
                <w:szCs w:val="18"/>
                <w:highlight w:val="none"/>
                <w:lang w:eastAsia="zh-CN"/>
              </w:rPr>
              <w:t>，是</w:t>
            </w:r>
            <w:r>
              <w:rPr>
                <w:rFonts w:hint="eastAsia" w:hAnsi="宋体" w:cs="宋体"/>
                <w:color w:val="auto"/>
                <w:sz w:val="18"/>
                <w:szCs w:val="18"/>
                <w:highlight w:val="none"/>
              </w:rPr>
              <w:t>板材框重量的一半，占普通TR重量的85%，减少鼻梁、耳朵负担，长期佩戴舒适。色彩鲜艳。2.比普通塑料框架</w:t>
            </w:r>
            <w:r>
              <w:rPr>
                <w:rFonts w:hint="eastAsia" w:hAnsi="宋体" w:cs="宋体"/>
                <w:color w:val="auto"/>
                <w:sz w:val="18"/>
                <w:szCs w:val="18"/>
                <w:highlight w:val="none"/>
                <w:lang w:eastAsia="zh-CN"/>
              </w:rPr>
              <w:t>色彩更鲜艳</w:t>
            </w:r>
            <w:r>
              <w:rPr>
                <w:rFonts w:hint="eastAsia" w:hAnsi="宋体" w:cs="宋体"/>
                <w:color w:val="auto"/>
                <w:sz w:val="18"/>
                <w:szCs w:val="18"/>
                <w:highlight w:val="none"/>
              </w:rPr>
              <w:t>。耐撞击：耐撞击效果是一般TR材质的2倍以上，有效防止在运动中因撞击而对眼睛产生伤害。3.耐高温短时间内可耐350度高温，材质不易</w:t>
            </w:r>
            <w:r>
              <w:rPr>
                <w:rFonts w:hint="eastAsia" w:hAnsi="宋体" w:cs="宋体"/>
                <w:color w:val="auto"/>
                <w:sz w:val="18"/>
                <w:szCs w:val="18"/>
                <w:highlight w:val="none"/>
                <w:lang w:eastAsia="zh-CN"/>
              </w:rPr>
              <w:t>熔化</w:t>
            </w:r>
            <w:r>
              <w:rPr>
                <w:rFonts w:hint="eastAsia" w:hAnsi="宋体" w:cs="宋体"/>
                <w:color w:val="auto"/>
                <w:sz w:val="18"/>
                <w:szCs w:val="18"/>
                <w:highlight w:val="none"/>
              </w:rPr>
              <w:t>和燃烧，镜架不易变形变色，使镜架佩戴更持久。4.安全无化学残留物释放，</w:t>
            </w:r>
            <w:r>
              <w:rPr>
                <w:rFonts w:hint="eastAsia" w:hAnsi="宋体" w:cs="宋体"/>
                <w:color w:val="auto"/>
                <w:sz w:val="18"/>
                <w:szCs w:val="18"/>
                <w:highlight w:val="none"/>
                <w:lang w:eastAsia="zh-CN"/>
              </w:rPr>
              <w:t>食品级材质</w:t>
            </w:r>
            <w:r>
              <w:rPr>
                <w:rFonts w:hint="eastAsia"/>
                <w:color w:val="auto"/>
                <w:highlight w:val="none"/>
                <w:lang w:eastAsia="zh-CN"/>
              </w:rPr>
              <w:t>。</w:t>
            </w:r>
            <w:r>
              <w:rPr>
                <w:rFonts w:hint="eastAsia" w:hAnsi="宋体" w:cs="宋体"/>
                <w:color w:val="auto"/>
                <w:sz w:val="18"/>
                <w:szCs w:val="18"/>
                <w:highlight w:val="none"/>
              </w:rPr>
              <w:t>5.要求符合GB/T 14214-2019标准。6.镜架总长度116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140mm，单个镜框长度44</w:t>
            </w:r>
            <w:r>
              <w:rPr>
                <w:rFonts w:hint="eastAsia" w:hAnsi="宋体" w:cs="宋体"/>
                <w:color w:val="auto"/>
                <w:sz w:val="18"/>
                <w:szCs w:val="18"/>
                <w:highlight w:val="none"/>
                <w:lang w:eastAsia="zh-CN"/>
              </w:rPr>
              <w:t>—</w:t>
            </w:r>
            <w:r>
              <w:rPr>
                <w:rFonts w:hint="eastAsia" w:hAnsi="宋体" w:cs="宋体"/>
                <w:color w:val="auto"/>
                <w:sz w:val="18"/>
                <w:szCs w:val="18"/>
                <w:highlight w:val="none"/>
              </w:rPr>
              <w:t>51mm，镜框高度30</w:t>
            </w:r>
            <w:r>
              <w:rPr>
                <w:rFonts w:hint="eastAsia" w:hAnsi="宋体" w:cs="宋体"/>
                <w:color w:val="auto"/>
                <w:sz w:val="18"/>
                <w:szCs w:val="18"/>
                <w:highlight w:val="none"/>
                <w:lang w:eastAsia="zh-CN"/>
              </w:rPr>
              <w:t>—</w:t>
            </w:r>
            <w:r>
              <w:rPr>
                <w:rFonts w:hint="eastAsia" w:hAnsi="宋体" w:cs="宋体"/>
                <w:color w:val="auto"/>
                <w:sz w:val="18"/>
                <w:szCs w:val="18"/>
                <w:highlight w:val="none"/>
              </w:rPr>
              <w:t>42mm，鼻梁长度14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17mm，镜腿长度132</w:t>
            </w:r>
            <w:r>
              <w:rPr>
                <w:rFonts w:hint="eastAsia" w:hAnsi="宋体" w:cs="宋体"/>
                <w:color w:val="auto"/>
                <w:sz w:val="18"/>
                <w:szCs w:val="18"/>
                <w:highlight w:val="none"/>
                <w:lang w:eastAsia="zh-CN"/>
              </w:rPr>
              <w:t>—</w:t>
            </w:r>
            <w:r>
              <w:rPr>
                <w:rFonts w:hint="eastAsia" w:hAnsi="宋体" w:cs="宋体"/>
                <w:color w:val="auto"/>
                <w:sz w:val="18"/>
                <w:szCs w:val="18"/>
                <w:highlight w:val="none"/>
              </w:rPr>
              <w:t>140mm，前倾角5-7°。</w:t>
            </w:r>
          </w:p>
        </w:tc>
        <w:tc>
          <w:tcPr>
            <w:tcW w:w="510" w:type="dxa"/>
            <w:vAlign w:val="center"/>
          </w:tcPr>
          <w:p w14:paraId="1582C9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1B513E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r>
      <w:tr w14:paraId="6CBFD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A4CA6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w:t>
            </w:r>
          </w:p>
        </w:tc>
        <w:tc>
          <w:tcPr>
            <w:tcW w:w="1623" w:type="dxa"/>
            <w:vAlign w:val="center"/>
          </w:tcPr>
          <w:p w14:paraId="1795E68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离焦专用镜架</w:t>
            </w:r>
          </w:p>
        </w:tc>
        <w:tc>
          <w:tcPr>
            <w:tcW w:w="386" w:type="dxa"/>
            <w:vAlign w:val="center"/>
          </w:tcPr>
          <w:p w14:paraId="2B59DA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0FE0917A">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采用高性能聚酰胺材质</w:t>
            </w:r>
            <w:r>
              <w:rPr>
                <w:rFonts w:hint="eastAsia" w:hAnsi="宋体" w:cs="宋体"/>
                <w:color w:val="auto"/>
                <w:sz w:val="18"/>
                <w:szCs w:val="18"/>
                <w:highlight w:val="none"/>
              </w:rPr>
              <w:t>。适配5-15岁佩戴离焦镜片的青少年群体。可调镜腿，精准定位，款式时尚，材料通透靓丽，不伤皮肤，不易变形。符合GB/T 14214-2019 标准。镜架总长度125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50mm， 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1DF0BE2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259033F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488</w:t>
            </w:r>
          </w:p>
        </w:tc>
      </w:tr>
      <w:tr w14:paraId="641AA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8FE097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w:t>
            </w:r>
          </w:p>
        </w:tc>
        <w:tc>
          <w:tcPr>
            <w:tcW w:w="1623" w:type="dxa"/>
            <w:vAlign w:val="center"/>
          </w:tcPr>
          <w:p w14:paraId="2AEE1FD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β钛架</w:t>
            </w:r>
          </w:p>
        </w:tc>
        <w:tc>
          <w:tcPr>
            <w:tcW w:w="386" w:type="dxa"/>
            <w:vAlign w:val="center"/>
          </w:tcPr>
          <w:p w14:paraId="27591D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ACA7C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β钛材质，适配青少年及成人群体。镜框通常采用镍合金和β钛等质轻、强韧耐用的材料制成，真空电镀，不易掉色，光泽性好，韧性强。符合GB/T 14214-2019标准。镜架标有单个镜框长度，鼻梁长度，镜腿长度。</w:t>
            </w:r>
          </w:p>
        </w:tc>
        <w:tc>
          <w:tcPr>
            <w:tcW w:w="510" w:type="dxa"/>
            <w:vAlign w:val="center"/>
          </w:tcPr>
          <w:p w14:paraId="7B3A4D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370005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157</w:t>
            </w:r>
          </w:p>
        </w:tc>
      </w:tr>
      <w:tr w14:paraId="5F2AE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7FDC8C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w:t>
            </w:r>
          </w:p>
        </w:tc>
        <w:tc>
          <w:tcPr>
            <w:tcW w:w="1623" w:type="dxa"/>
            <w:vAlign w:val="center"/>
          </w:tcPr>
          <w:p w14:paraId="497D09A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β钛系列镜架</w:t>
            </w:r>
          </w:p>
        </w:tc>
        <w:tc>
          <w:tcPr>
            <w:tcW w:w="386" w:type="dxa"/>
            <w:vAlign w:val="center"/>
          </w:tcPr>
          <w:p w14:paraId="7AF68A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13E9680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w:t>
            </w:r>
            <w:r>
              <w:rPr>
                <w:rFonts w:hint="eastAsia" w:hAnsi="宋体" w:cs="宋体"/>
                <w:color w:val="auto"/>
                <w:sz w:val="18"/>
                <w:szCs w:val="18"/>
                <w:highlight w:val="none"/>
                <w:lang w:eastAsia="zh-CN"/>
              </w:rPr>
              <w:t>定制</w:t>
            </w:r>
            <w:r>
              <w:rPr>
                <w:rFonts w:hint="eastAsia" w:hAnsi="宋体" w:cs="宋体"/>
                <w:color w:val="auto"/>
                <w:sz w:val="18"/>
                <w:szCs w:val="18"/>
                <w:highlight w:val="none"/>
              </w:rPr>
              <w:t>配件，抛弧形脚丝，带垫片开合顺畅，佩戴舒适</w:t>
            </w:r>
            <w:r>
              <w:rPr>
                <w:rFonts w:hint="eastAsia" w:hAnsi="宋体" w:cs="宋体"/>
                <w:color w:val="auto"/>
                <w:sz w:val="18"/>
                <w:szCs w:val="18"/>
                <w:highlight w:val="none"/>
                <w:lang w:eastAsia="zh-CN"/>
              </w:rPr>
              <w:t>，采用标准</w:t>
            </w:r>
            <w:r>
              <w:rPr>
                <w:rFonts w:hint="eastAsia" w:hAnsi="宋体" w:cs="宋体"/>
                <w:color w:val="auto"/>
                <w:sz w:val="18"/>
                <w:szCs w:val="18"/>
                <w:highlight w:val="none"/>
              </w:rPr>
              <w:t>S型酒杯+圆弧鼻托。2.</w:t>
            </w:r>
            <w:r>
              <w:rPr>
                <w:rFonts w:hint="eastAsia" w:hAnsi="宋体" w:cs="宋体"/>
                <w:color w:val="auto"/>
                <w:sz w:val="18"/>
                <w:szCs w:val="18"/>
                <w:highlight w:val="none"/>
                <w:lang w:eastAsia="zh-CN"/>
              </w:rPr>
              <w:t>是渐进</w:t>
            </w:r>
            <w:r>
              <w:rPr>
                <w:rFonts w:hint="eastAsia" w:hAnsi="宋体" w:cs="宋体"/>
                <w:color w:val="auto"/>
                <w:sz w:val="18"/>
                <w:szCs w:val="18"/>
                <w:highlight w:val="none"/>
              </w:rPr>
              <w:t>镜片的最佳选择</w:t>
            </w:r>
            <w:r>
              <w:rPr>
                <w:rFonts w:hint="eastAsia" w:hAnsi="宋体" w:cs="宋体"/>
                <w:color w:val="auto"/>
                <w:sz w:val="18"/>
                <w:szCs w:val="18"/>
                <w:highlight w:val="none"/>
                <w:lang w:eastAsia="zh-CN"/>
              </w:rPr>
              <w:t>，采用IP</w:t>
            </w:r>
            <w:r>
              <w:rPr>
                <w:rFonts w:hint="eastAsia" w:hAnsi="宋体" w:cs="宋体"/>
                <w:color w:val="auto"/>
                <w:sz w:val="18"/>
                <w:szCs w:val="18"/>
                <w:highlight w:val="none"/>
              </w:rPr>
              <w:t>电镀，镀层牢固，颜色亮丽</w:t>
            </w:r>
            <w:r>
              <w:rPr>
                <w:rFonts w:hint="eastAsia" w:hAnsi="宋体" w:cs="宋体"/>
                <w:color w:val="auto"/>
                <w:sz w:val="18"/>
                <w:szCs w:val="18"/>
                <w:highlight w:val="none"/>
                <w:lang w:eastAsia="zh-CN"/>
              </w:rPr>
              <w:t>；</w:t>
            </w:r>
            <w:r>
              <w:rPr>
                <w:rFonts w:hint="eastAsia" w:hAnsi="宋体" w:cs="宋体"/>
                <w:color w:val="auto"/>
                <w:sz w:val="18"/>
                <w:szCs w:val="18"/>
                <w:highlight w:val="none"/>
              </w:rPr>
              <w:t>特定设计的圆头脚套，</w:t>
            </w:r>
            <w:r>
              <w:rPr>
                <w:rFonts w:hint="eastAsia" w:hAnsi="宋体" w:cs="宋体"/>
                <w:color w:val="auto"/>
                <w:sz w:val="18"/>
                <w:szCs w:val="18"/>
                <w:highlight w:val="none"/>
                <w:lang w:eastAsia="zh-CN"/>
              </w:rPr>
              <w:t>童趣盎然</w:t>
            </w:r>
            <w:r>
              <w:rPr>
                <w:rFonts w:hint="eastAsia" w:hAnsi="宋体" w:cs="宋体"/>
                <w:color w:val="auto"/>
                <w:sz w:val="18"/>
                <w:szCs w:val="18"/>
                <w:highlight w:val="none"/>
              </w:rPr>
              <w:t>，佩戴更舒服。3.要求符合GB/T 14214-2019标准。4.镜架总长度116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140mm，单个镜框长度44</w:t>
            </w:r>
            <w:r>
              <w:rPr>
                <w:rFonts w:hint="eastAsia" w:hAnsi="宋体" w:cs="宋体"/>
                <w:color w:val="auto"/>
                <w:sz w:val="18"/>
                <w:szCs w:val="18"/>
                <w:highlight w:val="none"/>
                <w:lang w:eastAsia="zh-CN"/>
              </w:rPr>
              <w:t>—</w:t>
            </w:r>
            <w:r>
              <w:rPr>
                <w:rFonts w:hint="eastAsia" w:hAnsi="宋体" w:cs="宋体"/>
                <w:color w:val="auto"/>
                <w:sz w:val="18"/>
                <w:szCs w:val="18"/>
                <w:highlight w:val="none"/>
              </w:rPr>
              <w:t>53mm，镜框高度39</w:t>
            </w:r>
            <w:r>
              <w:rPr>
                <w:rFonts w:hint="eastAsia" w:hAnsi="宋体" w:cs="宋体"/>
                <w:color w:val="auto"/>
                <w:sz w:val="18"/>
                <w:szCs w:val="18"/>
                <w:highlight w:val="none"/>
                <w:lang w:eastAsia="zh-CN"/>
              </w:rPr>
              <w:t>—</w:t>
            </w:r>
            <w:r>
              <w:rPr>
                <w:rFonts w:hint="eastAsia" w:hAnsi="宋体" w:cs="宋体"/>
                <w:color w:val="auto"/>
                <w:sz w:val="18"/>
                <w:szCs w:val="18"/>
                <w:highlight w:val="none"/>
              </w:rPr>
              <w:t>50mm，鼻梁长度14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145mm，前倾角5-7°。</w:t>
            </w:r>
          </w:p>
        </w:tc>
        <w:tc>
          <w:tcPr>
            <w:tcW w:w="510" w:type="dxa"/>
            <w:vAlign w:val="center"/>
          </w:tcPr>
          <w:p w14:paraId="4C0430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3047DBD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w:t>
            </w:r>
          </w:p>
        </w:tc>
      </w:tr>
      <w:tr w14:paraId="6CEF2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943EC7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w:t>
            </w:r>
          </w:p>
        </w:tc>
        <w:tc>
          <w:tcPr>
            <w:tcW w:w="1623" w:type="dxa"/>
            <w:vAlign w:val="center"/>
          </w:tcPr>
          <w:p w14:paraId="41FC63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板材防蓝光镜架</w:t>
            </w:r>
          </w:p>
        </w:tc>
        <w:tc>
          <w:tcPr>
            <w:tcW w:w="386" w:type="dxa"/>
            <w:vAlign w:val="center"/>
          </w:tcPr>
          <w:p w14:paraId="7E1EFD1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1988322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板材材质。适配 20 岁以上商务成人群体。 符合 GB/T 14214-2019 标准。镜架总长度 138</w:t>
            </w:r>
            <w:r>
              <w:rPr>
                <w:rFonts w:hint="eastAsia" w:hAnsi="宋体" w:cs="宋体"/>
                <w:color w:val="auto"/>
                <w:sz w:val="18"/>
                <w:szCs w:val="18"/>
                <w:highlight w:val="none"/>
                <w:lang w:eastAsia="zh-CN"/>
              </w:rPr>
              <w:t>—</w:t>
            </w:r>
            <w:r>
              <w:rPr>
                <w:rFonts w:hint="eastAsia" w:hAnsi="宋体" w:cs="宋体"/>
                <w:color w:val="auto"/>
                <w:sz w:val="18"/>
                <w:szCs w:val="18"/>
                <w:highlight w:val="none"/>
              </w:rPr>
              <w:t>153mm，单个镜框长度 51</w:t>
            </w:r>
            <w:r>
              <w:rPr>
                <w:rFonts w:hint="eastAsia" w:hAnsi="宋体" w:cs="宋体"/>
                <w:color w:val="auto"/>
                <w:sz w:val="18"/>
                <w:szCs w:val="18"/>
                <w:highlight w:val="none"/>
                <w:lang w:eastAsia="zh-CN"/>
              </w:rPr>
              <w:t>—</w:t>
            </w:r>
            <w:r>
              <w:rPr>
                <w:rFonts w:hint="eastAsia" w:hAnsi="宋体" w:cs="宋体"/>
                <w:color w:val="auto"/>
                <w:sz w:val="18"/>
                <w:szCs w:val="18"/>
                <w:highlight w:val="none"/>
              </w:rPr>
              <w:t>58mm， 镜框高度 41</w:t>
            </w:r>
            <w:r>
              <w:rPr>
                <w:rFonts w:hint="eastAsia" w:hAnsi="宋体" w:cs="宋体"/>
                <w:color w:val="auto"/>
                <w:sz w:val="18"/>
                <w:szCs w:val="18"/>
                <w:highlight w:val="none"/>
                <w:lang w:eastAsia="zh-CN"/>
              </w:rPr>
              <w:t>—</w:t>
            </w:r>
            <w:r>
              <w:rPr>
                <w:rFonts w:hint="eastAsia" w:hAnsi="宋体" w:cs="宋体"/>
                <w:color w:val="auto"/>
                <w:sz w:val="18"/>
                <w:szCs w:val="18"/>
                <w:highlight w:val="none"/>
              </w:rPr>
              <w:t>50mm，鼻梁长度 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 度 148</w:t>
            </w:r>
            <w:r>
              <w:rPr>
                <w:rFonts w:hint="eastAsia" w:hAnsi="宋体" w:cs="宋体"/>
                <w:color w:val="auto"/>
                <w:sz w:val="18"/>
                <w:szCs w:val="18"/>
                <w:highlight w:val="none"/>
                <w:lang w:eastAsia="zh-CN"/>
              </w:rPr>
              <w:t>—</w:t>
            </w:r>
            <w:r>
              <w:rPr>
                <w:rFonts w:hint="eastAsia" w:hAnsi="宋体" w:cs="宋体"/>
                <w:color w:val="auto"/>
                <w:sz w:val="18"/>
                <w:szCs w:val="18"/>
                <w:highlight w:val="none"/>
              </w:rPr>
              <w:t>152mm，</w:t>
            </w:r>
            <w:r>
              <w:rPr>
                <w:rFonts w:hint="eastAsia" w:hAnsi="宋体" w:cs="宋体"/>
                <w:color w:val="auto"/>
                <w:sz w:val="18"/>
                <w:szCs w:val="18"/>
                <w:highlight w:val="none"/>
                <w:lang w:eastAsia="zh-CN"/>
              </w:rPr>
              <w:t>前倾角6-7</w:t>
            </w:r>
            <w:r>
              <w:rPr>
                <w:rFonts w:hint="eastAsia" w:hAnsi="宋体" w:cs="宋体"/>
                <w:color w:val="auto"/>
                <w:sz w:val="18"/>
                <w:szCs w:val="18"/>
                <w:highlight w:val="none"/>
              </w:rPr>
              <w:t>。</w:t>
            </w:r>
          </w:p>
        </w:tc>
        <w:tc>
          <w:tcPr>
            <w:tcW w:w="510" w:type="dxa"/>
            <w:vAlign w:val="center"/>
          </w:tcPr>
          <w:p w14:paraId="3C54914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3F07509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65</w:t>
            </w:r>
          </w:p>
        </w:tc>
      </w:tr>
      <w:tr w14:paraId="2C34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ECB790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w:t>
            </w:r>
          </w:p>
        </w:tc>
        <w:tc>
          <w:tcPr>
            <w:tcW w:w="1623" w:type="dxa"/>
            <w:vAlign w:val="center"/>
          </w:tcPr>
          <w:p w14:paraId="5F91F64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半钛架</w:t>
            </w:r>
          </w:p>
        </w:tc>
        <w:tc>
          <w:tcPr>
            <w:tcW w:w="386" w:type="dxa"/>
            <w:vAlign w:val="center"/>
          </w:tcPr>
          <w:p w14:paraId="6CDEB00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FE3015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半钛材质，适合成人及商务人士群体。钛是一种</w:t>
            </w:r>
            <w:r>
              <w:rPr>
                <w:rFonts w:hint="eastAsia" w:hAnsi="宋体" w:cs="宋体"/>
                <w:color w:val="auto"/>
                <w:sz w:val="18"/>
                <w:szCs w:val="18"/>
                <w:highlight w:val="none"/>
                <w:lang w:eastAsia="zh-CN"/>
              </w:rPr>
              <w:t>纯</w:t>
            </w:r>
            <w:r>
              <w:rPr>
                <w:rFonts w:hint="eastAsia" w:hAnsi="宋体" w:cs="宋体"/>
                <w:color w:val="auto"/>
                <w:sz w:val="18"/>
                <w:szCs w:val="18"/>
                <w:highlight w:val="none"/>
              </w:rPr>
              <w:t>金属，韧度高，无磁性反应，重量较一般金属轻，相比传统镜架更轻盈，韧性更好</w:t>
            </w:r>
            <w:r>
              <w:rPr>
                <w:rFonts w:hint="eastAsia" w:hAnsi="宋体" w:cs="宋体"/>
                <w:color w:val="auto"/>
                <w:sz w:val="18"/>
                <w:szCs w:val="18"/>
                <w:highlight w:val="none"/>
                <w:lang w:eastAsia="zh-CN"/>
              </w:rPr>
              <w:t>。</w:t>
            </w:r>
            <w:r>
              <w:rPr>
                <w:rFonts w:hint="eastAsia" w:hAnsi="宋体" w:cs="宋体"/>
                <w:color w:val="auto"/>
                <w:sz w:val="18"/>
                <w:szCs w:val="18"/>
                <w:highlight w:val="none"/>
              </w:rPr>
              <w:t>现产品大部分已采用真空电镀，不易掉漆，不易氧化，色泽更好。符合GB/T 14214-2019标准。镜架标有单个镜框长度，鼻梁长度，镜腿长度。</w:t>
            </w:r>
          </w:p>
        </w:tc>
        <w:tc>
          <w:tcPr>
            <w:tcW w:w="510" w:type="dxa"/>
            <w:vAlign w:val="center"/>
          </w:tcPr>
          <w:p w14:paraId="621122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2BC0B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173</w:t>
            </w:r>
          </w:p>
        </w:tc>
      </w:tr>
      <w:tr w14:paraId="0E78E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BBB908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w:t>
            </w:r>
          </w:p>
        </w:tc>
        <w:tc>
          <w:tcPr>
            <w:tcW w:w="1623" w:type="dxa"/>
            <w:vAlign w:val="center"/>
          </w:tcPr>
          <w:p w14:paraId="71011FE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纯钛架</w:t>
            </w:r>
          </w:p>
        </w:tc>
        <w:tc>
          <w:tcPr>
            <w:tcW w:w="386" w:type="dxa"/>
            <w:vAlign w:val="center"/>
          </w:tcPr>
          <w:p w14:paraId="772898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5E3F0B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纯钛材质，适合成人及商务人士群体。材质高端，也是眼镜材质中最轻的，韧性好，耐腐蚀。该系列全部采用真空电镀，抗氧化，防过敏，不易掉色。符合GB/T 14214-2019标准。镜架标有单个镜框长度，鼻梁长度，镜腿长度。</w:t>
            </w:r>
          </w:p>
        </w:tc>
        <w:tc>
          <w:tcPr>
            <w:tcW w:w="510" w:type="dxa"/>
            <w:vAlign w:val="center"/>
          </w:tcPr>
          <w:p w14:paraId="7A5FA6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693C29F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392</w:t>
            </w:r>
          </w:p>
        </w:tc>
      </w:tr>
      <w:tr w14:paraId="36C88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AA373C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w:t>
            </w:r>
          </w:p>
        </w:tc>
        <w:tc>
          <w:tcPr>
            <w:tcW w:w="1623" w:type="dxa"/>
            <w:vAlign w:val="center"/>
          </w:tcPr>
          <w:p w14:paraId="798EF69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纯钛架</w:t>
            </w:r>
          </w:p>
        </w:tc>
        <w:tc>
          <w:tcPr>
            <w:tcW w:w="386" w:type="dxa"/>
            <w:vAlign w:val="center"/>
          </w:tcPr>
          <w:p w14:paraId="28D4CE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3A97FC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纯钛材质，适合商务人士群体。纯钛的材质具有轻、韧、耐腐蚀的特性，更符合追求品质的人群。符合GB/T 14214-2019标准。镜架标有单个镜框长度，鼻梁长度，镜腿长度。</w:t>
            </w:r>
          </w:p>
        </w:tc>
        <w:tc>
          <w:tcPr>
            <w:tcW w:w="510" w:type="dxa"/>
            <w:vAlign w:val="center"/>
          </w:tcPr>
          <w:p w14:paraId="61C2F5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0B9AF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343</w:t>
            </w:r>
          </w:p>
        </w:tc>
      </w:tr>
      <w:tr w14:paraId="24067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238414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w:t>
            </w:r>
          </w:p>
        </w:tc>
        <w:tc>
          <w:tcPr>
            <w:tcW w:w="1623" w:type="dxa"/>
            <w:vAlign w:val="center"/>
          </w:tcPr>
          <w:p w14:paraId="5DF54E9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纯钛镜架</w:t>
            </w:r>
          </w:p>
        </w:tc>
        <w:tc>
          <w:tcPr>
            <w:tcW w:w="386" w:type="dxa"/>
            <w:vAlign w:val="center"/>
          </w:tcPr>
          <w:p w14:paraId="4425749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4BE22C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纯钛材质。适配 30岁以上对佩戴品质要求较高的群体。真空电镀工艺，超轻纯钛，不腐蚀皮肤，柔韧舒适，风格商务。符合GB/T 14214-2019 标准。镜架总长度130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140mm，单个镜框长度47</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52mm，镜框高度38</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145mm，前倾角6-7°。</w:t>
            </w:r>
          </w:p>
        </w:tc>
        <w:tc>
          <w:tcPr>
            <w:tcW w:w="510" w:type="dxa"/>
            <w:vAlign w:val="center"/>
          </w:tcPr>
          <w:p w14:paraId="473D0BF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全框、半框</w:t>
            </w:r>
          </w:p>
        </w:tc>
        <w:tc>
          <w:tcPr>
            <w:tcW w:w="757" w:type="dxa"/>
            <w:vAlign w:val="center"/>
          </w:tcPr>
          <w:p w14:paraId="45ECE1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380</w:t>
            </w:r>
          </w:p>
        </w:tc>
      </w:tr>
      <w:tr w14:paraId="12F50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F2A2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w:t>
            </w:r>
          </w:p>
        </w:tc>
        <w:tc>
          <w:tcPr>
            <w:tcW w:w="1623" w:type="dxa"/>
            <w:vAlign w:val="center"/>
          </w:tcPr>
          <w:p w14:paraId="4D9B8D5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纯钛镜架</w:t>
            </w:r>
          </w:p>
        </w:tc>
        <w:tc>
          <w:tcPr>
            <w:tcW w:w="386" w:type="dxa"/>
            <w:vAlign w:val="center"/>
          </w:tcPr>
          <w:p w14:paraId="76915A2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410251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纯钛材质，真空电镀工艺，适配 35 岁以上高品质需求群体，轻巧舒适。符合 GB/T 14214-2019 标准。镜架总长度 130</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 47</w:t>
            </w:r>
            <w:r>
              <w:rPr>
                <w:rFonts w:hint="eastAsia" w:hAnsi="宋体" w:cs="宋体"/>
                <w:color w:val="auto"/>
                <w:sz w:val="18"/>
                <w:szCs w:val="18"/>
                <w:highlight w:val="none"/>
                <w:lang w:eastAsia="zh-CN"/>
              </w:rPr>
              <w:t>—</w:t>
            </w:r>
            <w:r>
              <w:rPr>
                <w:rFonts w:hint="eastAsia" w:hAnsi="宋体" w:cs="宋体"/>
                <w:color w:val="auto"/>
                <w:sz w:val="18"/>
                <w:szCs w:val="18"/>
                <w:highlight w:val="none"/>
              </w:rPr>
              <w:t>52mm， 镜框高度 38</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 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 度 140</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 6-7°。</w:t>
            </w:r>
          </w:p>
        </w:tc>
        <w:tc>
          <w:tcPr>
            <w:tcW w:w="510" w:type="dxa"/>
            <w:vAlign w:val="center"/>
          </w:tcPr>
          <w:p w14:paraId="4A8E1C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307004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329</w:t>
            </w:r>
          </w:p>
        </w:tc>
      </w:tr>
      <w:tr w14:paraId="73664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7935C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w:t>
            </w:r>
          </w:p>
        </w:tc>
        <w:tc>
          <w:tcPr>
            <w:tcW w:w="1623" w:type="dxa"/>
            <w:vAlign w:val="center"/>
          </w:tcPr>
          <w:p w14:paraId="78D4EEA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儿童全硅胶镜架</w:t>
            </w:r>
          </w:p>
        </w:tc>
        <w:tc>
          <w:tcPr>
            <w:tcW w:w="386" w:type="dxa"/>
            <w:vAlign w:val="center"/>
          </w:tcPr>
          <w:p w14:paraId="1A55FA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FF1C44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硅胶材质，适合儿童群体。符合 GB/T 14214-2019 标准。镜架总长度 91</w:t>
            </w:r>
            <w:r>
              <w:rPr>
                <w:rFonts w:hint="eastAsia" w:hAnsi="宋体" w:cs="宋体"/>
                <w:color w:val="auto"/>
                <w:sz w:val="18"/>
                <w:szCs w:val="18"/>
                <w:highlight w:val="none"/>
                <w:lang w:eastAsia="zh-CN"/>
              </w:rPr>
              <w:t>—</w:t>
            </w:r>
            <w:r>
              <w:rPr>
                <w:rFonts w:hint="eastAsia" w:hAnsi="宋体" w:cs="宋体"/>
                <w:color w:val="auto"/>
                <w:sz w:val="18"/>
                <w:szCs w:val="18"/>
                <w:highlight w:val="none"/>
              </w:rPr>
              <w:t>120mm，单个镜框长度 39</w:t>
            </w:r>
            <w:r>
              <w:rPr>
                <w:rFonts w:hint="eastAsia" w:hAnsi="宋体" w:cs="宋体"/>
                <w:color w:val="auto"/>
                <w:sz w:val="18"/>
                <w:szCs w:val="18"/>
                <w:highlight w:val="none"/>
                <w:lang w:eastAsia="zh-CN"/>
              </w:rPr>
              <w:t>—</w:t>
            </w:r>
            <w:r>
              <w:rPr>
                <w:rFonts w:hint="eastAsia" w:hAnsi="宋体" w:cs="宋体"/>
                <w:color w:val="auto"/>
                <w:sz w:val="18"/>
                <w:szCs w:val="18"/>
                <w:highlight w:val="none"/>
              </w:rPr>
              <w:t>52mm， 镜框高度 28</w:t>
            </w:r>
            <w:r>
              <w:rPr>
                <w:rFonts w:hint="eastAsia" w:hAnsi="宋体" w:cs="宋体"/>
                <w:color w:val="auto"/>
                <w:sz w:val="18"/>
                <w:szCs w:val="18"/>
                <w:highlight w:val="none"/>
                <w:lang w:eastAsia="zh-CN"/>
              </w:rPr>
              <w:t>—</w:t>
            </w:r>
            <w:r>
              <w:rPr>
                <w:rFonts w:hint="eastAsia" w:hAnsi="宋体" w:cs="宋体"/>
                <w:color w:val="auto"/>
                <w:sz w:val="18"/>
                <w:szCs w:val="18"/>
                <w:highlight w:val="none"/>
              </w:rPr>
              <w:t>43mm，鼻梁长度 13</w:t>
            </w:r>
            <w:r>
              <w:rPr>
                <w:rFonts w:hint="eastAsia" w:hAnsi="宋体" w:cs="宋体"/>
                <w:color w:val="auto"/>
                <w:sz w:val="18"/>
                <w:szCs w:val="18"/>
                <w:highlight w:val="none"/>
                <w:lang w:eastAsia="zh-CN"/>
              </w:rPr>
              <w:t>—</w:t>
            </w:r>
            <w:r>
              <w:rPr>
                <w:rFonts w:hint="eastAsia" w:hAnsi="宋体" w:cs="宋体"/>
                <w:color w:val="auto"/>
                <w:sz w:val="18"/>
                <w:szCs w:val="18"/>
                <w:highlight w:val="none"/>
              </w:rPr>
              <w:t>16mm，镜腿长 度 133</w:t>
            </w:r>
            <w:r>
              <w:rPr>
                <w:rFonts w:hint="eastAsia" w:hAnsi="宋体" w:cs="宋体"/>
                <w:color w:val="auto"/>
                <w:sz w:val="18"/>
                <w:szCs w:val="18"/>
                <w:highlight w:val="none"/>
                <w:lang w:eastAsia="zh-CN"/>
              </w:rPr>
              <w:t>—</w:t>
            </w:r>
            <w:r>
              <w:rPr>
                <w:rFonts w:hint="eastAsia" w:hAnsi="宋体" w:cs="宋体"/>
                <w:color w:val="auto"/>
                <w:sz w:val="18"/>
                <w:szCs w:val="18"/>
                <w:highlight w:val="none"/>
              </w:rPr>
              <w:t>142mm，前倾角 6-7°。</w:t>
            </w:r>
          </w:p>
        </w:tc>
        <w:tc>
          <w:tcPr>
            <w:tcW w:w="510" w:type="dxa"/>
            <w:vAlign w:val="center"/>
          </w:tcPr>
          <w:p w14:paraId="0C1853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7F3E2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142</w:t>
            </w:r>
          </w:p>
        </w:tc>
      </w:tr>
      <w:tr w14:paraId="4DD1B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27054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w:t>
            </w:r>
          </w:p>
        </w:tc>
        <w:tc>
          <w:tcPr>
            <w:tcW w:w="1623" w:type="dxa"/>
            <w:vAlign w:val="center"/>
          </w:tcPr>
          <w:p w14:paraId="56D5F57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复古金属镜架</w:t>
            </w:r>
          </w:p>
        </w:tc>
        <w:tc>
          <w:tcPr>
            <w:tcW w:w="386" w:type="dxa"/>
            <w:vAlign w:val="center"/>
          </w:tcPr>
          <w:p w14:paraId="517E62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3B1DFE98">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合金</w:t>
            </w:r>
            <w:r>
              <w:rPr>
                <w:rFonts w:hint="eastAsia" w:hAnsi="宋体" w:cs="宋体"/>
                <w:color w:val="auto"/>
                <w:sz w:val="18"/>
                <w:szCs w:val="18"/>
                <w:highlight w:val="none"/>
              </w:rPr>
              <w:t>材质，适配 12 岁以上学生群体。 符合 GB/T 14214-2019 标准。镜架总长度 125</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 46</w:t>
            </w:r>
            <w:r>
              <w:rPr>
                <w:rFonts w:hint="eastAsia" w:hAnsi="宋体" w:cs="宋体"/>
                <w:color w:val="auto"/>
                <w:sz w:val="18"/>
                <w:szCs w:val="18"/>
                <w:highlight w:val="none"/>
                <w:lang w:eastAsia="zh-CN"/>
              </w:rPr>
              <w:t>—</w:t>
            </w:r>
            <w:r>
              <w:rPr>
                <w:rFonts w:hint="eastAsia" w:hAnsi="宋体" w:cs="宋体"/>
                <w:color w:val="auto"/>
                <w:sz w:val="18"/>
                <w:szCs w:val="18"/>
                <w:highlight w:val="none"/>
              </w:rPr>
              <w:t>53mm， 镜框高度 36</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 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w:t>
            </w:r>
            <w:r>
              <w:rPr>
                <w:rFonts w:hint="eastAsia" w:hAnsi="宋体" w:cs="宋体"/>
                <w:color w:val="auto"/>
                <w:sz w:val="18"/>
                <w:szCs w:val="18"/>
                <w:highlight w:val="none"/>
                <w:lang w:eastAsia="zh-CN"/>
              </w:rPr>
              <w:t>长度</w:t>
            </w:r>
            <w:r>
              <w:rPr>
                <w:rFonts w:hint="eastAsia" w:hAnsi="宋体" w:cs="宋体"/>
                <w:color w:val="auto"/>
                <w:sz w:val="18"/>
                <w:szCs w:val="18"/>
                <w:highlight w:val="none"/>
              </w:rPr>
              <w:t xml:space="preserve"> 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 5-7°。</w:t>
            </w:r>
          </w:p>
        </w:tc>
        <w:tc>
          <w:tcPr>
            <w:tcW w:w="510" w:type="dxa"/>
            <w:vAlign w:val="center"/>
          </w:tcPr>
          <w:p w14:paraId="792AFD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7CA04E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78</w:t>
            </w:r>
          </w:p>
        </w:tc>
      </w:tr>
      <w:tr w14:paraId="34D9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0899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w:t>
            </w:r>
          </w:p>
        </w:tc>
        <w:tc>
          <w:tcPr>
            <w:tcW w:w="1623" w:type="dxa"/>
            <w:vAlign w:val="center"/>
          </w:tcPr>
          <w:p w14:paraId="7F5CFFA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复古金属镜架</w:t>
            </w:r>
          </w:p>
        </w:tc>
        <w:tc>
          <w:tcPr>
            <w:tcW w:w="386" w:type="dxa"/>
            <w:vAlign w:val="center"/>
          </w:tcPr>
          <w:p w14:paraId="1288EB9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1CFEFC2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金属材质，适配青少年及成人群体。采用铝合金、不锈钢等质轻、强韧耐用的金属材料制成，相较于塑料或其他材质的眼镜框，具有更轻便、透气、舒适的特点。该系列搭配上有韧性、有弧度的镜腿后，整体佩戴舒适感更强。符合GB/T 14214-2019标准。镜架标有单个镜框长度，鼻梁长度，镜腿长度。</w:t>
            </w:r>
          </w:p>
        </w:tc>
        <w:tc>
          <w:tcPr>
            <w:tcW w:w="510" w:type="dxa"/>
            <w:vAlign w:val="center"/>
          </w:tcPr>
          <w:p w14:paraId="6D6FB00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6151C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0FDFB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D8B1A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w:t>
            </w:r>
          </w:p>
        </w:tc>
        <w:tc>
          <w:tcPr>
            <w:tcW w:w="1623" w:type="dxa"/>
            <w:vAlign w:val="center"/>
          </w:tcPr>
          <w:p w14:paraId="061379D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复古金属镜架</w:t>
            </w:r>
          </w:p>
        </w:tc>
        <w:tc>
          <w:tcPr>
            <w:tcW w:w="386" w:type="dxa"/>
            <w:vAlign w:val="center"/>
          </w:tcPr>
          <w:p w14:paraId="6CED22B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6F4863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金属材质，适配青少年学生及成人群体。采用合金等质轻、强韧耐用的金属材料制成，相较于塑料或其他材质的眼镜框，具有更轻便、透气、舒适的特点。该系列搭配上有韧性、有弧度的镜腿后，整体佩戴舒适感更强。符合GB/T 14214-2019标准。镜架标有单个镜框长度，鼻梁长度，镜腿长度。</w:t>
            </w:r>
          </w:p>
        </w:tc>
        <w:tc>
          <w:tcPr>
            <w:tcW w:w="510" w:type="dxa"/>
            <w:vAlign w:val="center"/>
          </w:tcPr>
          <w:p w14:paraId="326294A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2D031B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79D0F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3F453C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41</w:t>
            </w:r>
          </w:p>
        </w:tc>
        <w:tc>
          <w:tcPr>
            <w:tcW w:w="1623" w:type="dxa"/>
            <w:vAlign w:val="center"/>
          </w:tcPr>
          <w:p w14:paraId="004AD4A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高端纯钛商务镜架</w:t>
            </w:r>
          </w:p>
        </w:tc>
        <w:tc>
          <w:tcPr>
            <w:tcW w:w="386" w:type="dxa"/>
            <w:vAlign w:val="center"/>
          </w:tcPr>
          <w:p w14:paraId="74EF08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0D0768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纯钛材质。适配 30岁以上对佩戴品质要求较高的群体。真空电镀工艺，超轻纯钛，不腐蚀皮肤，柔韧舒适，风格商务。符合GB/T 14214-2019 标准。镜架总长度130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140mm，单个镜框长度47</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52mm，镜框高度38</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145mm，前倾角6-7°。</w:t>
            </w:r>
          </w:p>
        </w:tc>
        <w:tc>
          <w:tcPr>
            <w:tcW w:w="510" w:type="dxa"/>
            <w:vAlign w:val="center"/>
          </w:tcPr>
          <w:p w14:paraId="7792C2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全框、半框</w:t>
            </w:r>
          </w:p>
        </w:tc>
        <w:tc>
          <w:tcPr>
            <w:tcW w:w="757" w:type="dxa"/>
            <w:vAlign w:val="center"/>
          </w:tcPr>
          <w:p w14:paraId="48EC7E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386</w:t>
            </w:r>
          </w:p>
        </w:tc>
      </w:tr>
      <w:tr w14:paraId="396FD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4CE4E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42</w:t>
            </w:r>
          </w:p>
        </w:tc>
        <w:tc>
          <w:tcPr>
            <w:tcW w:w="1623" w:type="dxa"/>
            <w:vAlign w:val="center"/>
          </w:tcPr>
          <w:p w14:paraId="288C9F4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硅胶架</w:t>
            </w:r>
          </w:p>
        </w:tc>
        <w:tc>
          <w:tcPr>
            <w:tcW w:w="386" w:type="dxa"/>
            <w:vAlign w:val="center"/>
          </w:tcPr>
          <w:p w14:paraId="0A9162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4A47CE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材质，适合儿童及青少年群体。高性能TR材料，有更高的稳定性，更高的刚性和更高的弹性，可以让脚丝实现超薄设计，框型也可以更轻便；韩国品质，镜面效果，不喷漆环保安全；材料有更好的抗酒精腐蚀性；人体工程学设计和TR硅胶双重材料应用，安全舒适符合大多数孩子鼻型的佩戴，鼻托结构稳定不易损坏，锁螺丝结构方便更换。符合GB/T 14214-2019标准。镜架标有单个镜框长度，鼻梁长度，镜腿长度。</w:t>
            </w:r>
          </w:p>
        </w:tc>
        <w:tc>
          <w:tcPr>
            <w:tcW w:w="510" w:type="dxa"/>
            <w:vAlign w:val="center"/>
          </w:tcPr>
          <w:p w14:paraId="477AFD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E75EE0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96.03</w:t>
            </w:r>
          </w:p>
        </w:tc>
      </w:tr>
      <w:tr w14:paraId="1CB66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80ECF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w:t>
            </w:r>
          </w:p>
        </w:tc>
        <w:tc>
          <w:tcPr>
            <w:tcW w:w="1623" w:type="dxa"/>
            <w:vAlign w:val="center"/>
          </w:tcPr>
          <w:p w14:paraId="6FBB615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硅胶镜架</w:t>
            </w:r>
          </w:p>
        </w:tc>
        <w:tc>
          <w:tcPr>
            <w:tcW w:w="386" w:type="dxa"/>
            <w:vAlign w:val="center"/>
          </w:tcPr>
          <w:p w14:paraId="3E296C8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FFEFBB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硅胶材质，环保材质达到</w:t>
            </w:r>
            <w:r>
              <w:rPr>
                <w:rFonts w:hint="eastAsia" w:hAnsi="宋体" w:cs="宋体"/>
                <w:color w:val="auto"/>
                <w:sz w:val="18"/>
                <w:szCs w:val="18"/>
                <w:highlight w:val="none"/>
                <w:lang w:eastAsia="zh-CN"/>
              </w:rPr>
              <w:t>食品机械</w:t>
            </w:r>
            <w:r>
              <w:rPr>
                <w:rFonts w:hint="eastAsia" w:hAnsi="宋体" w:cs="宋体"/>
                <w:color w:val="auto"/>
                <w:sz w:val="18"/>
                <w:szCs w:val="18"/>
                <w:highlight w:val="none"/>
              </w:rPr>
              <w:t>级标准。 适配8-18岁淘气活泼</w:t>
            </w:r>
            <w:r>
              <w:rPr>
                <w:rFonts w:hint="eastAsia" w:hAnsi="宋体" w:cs="宋体"/>
                <w:color w:val="auto"/>
                <w:sz w:val="18"/>
                <w:szCs w:val="18"/>
                <w:highlight w:val="none"/>
                <w:lang w:eastAsia="zh-CN"/>
              </w:rPr>
              <w:t>的儿童</w:t>
            </w:r>
            <w:r>
              <w:rPr>
                <w:rFonts w:hint="eastAsia" w:hAnsi="宋体" w:cs="宋体"/>
                <w:color w:val="auto"/>
                <w:sz w:val="18"/>
                <w:szCs w:val="18"/>
                <w:highlight w:val="none"/>
              </w:rPr>
              <w:t>青少年群体。符合 GB/T 14214-2019 标准。镜架总长度90</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 38</w:t>
            </w:r>
            <w:r>
              <w:rPr>
                <w:rFonts w:hint="eastAsia" w:hAnsi="宋体" w:cs="宋体"/>
                <w:color w:val="auto"/>
                <w:sz w:val="18"/>
                <w:szCs w:val="18"/>
                <w:highlight w:val="none"/>
                <w:lang w:eastAsia="zh-CN"/>
              </w:rPr>
              <w:t>—</w:t>
            </w:r>
            <w:r>
              <w:rPr>
                <w:rFonts w:hint="eastAsia" w:hAnsi="宋体" w:cs="宋体"/>
                <w:color w:val="auto"/>
                <w:sz w:val="18"/>
                <w:szCs w:val="18"/>
                <w:highlight w:val="none"/>
              </w:rPr>
              <w:t>49mm， 镜框高度 27</w:t>
            </w:r>
            <w:r>
              <w:rPr>
                <w:rFonts w:hint="eastAsia" w:hAnsi="宋体" w:cs="宋体"/>
                <w:color w:val="auto"/>
                <w:sz w:val="18"/>
                <w:szCs w:val="18"/>
                <w:highlight w:val="none"/>
                <w:lang w:eastAsia="zh-CN"/>
              </w:rPr>
              <w:t>—</w:t>
            </w:r>
            <w:r>
              <w:rPr>
                <w:rFonts w:hint="eastAsia" w:hAnsi="宋体" w:cs="宋体"/>
                <w:color w:val="auto"/>
                <w:sz w:val="18"/>
                <w:szCs w:val="18"/>
                <w:highlight w:val="none"/>
              </w:rPr>
              <w:t>35mm，鼻梁长度 14</w:t>
            </w:r>
            <w:r>
              <w:rPr>
                <w:rFonts w:hint="eastAsia" w:hAnsi="宋体" w:cs="宋体"/>
                <w:color w:val="auto"/>
                <w:sz w:val="18"/>
                <w:szCs w:val="18"/>
                <w:highlight w:val="none"/>
                <w:lang w:eastAsia="zh-CN"/>
              </w:rPr>
              <w:t>—</w:t>
            </w:r>
            <w:r>
              <w:rPr>
                <w:rFonts w:hint="eastAsia" w:hAnsi="宋体" w:cs="宋体"/>
                <w:color w:val="auto"/>
                <w:sz w:val="18"/>
                <w:szCs w:val="18"/>
                <w:highlight w:val="none"/>
              </w:rPr>
              <w:t>16mm，镜腿长 度 138</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 6-7°。</w:t>
            </w:r>
          </w:p>
        </w:tc>
        <w:tc>
          <w:tcPr>
            <w:tcW w:w="510" w:type="dxa"/>
            <w:vAlign w:val="center"/>
          </w:tcPr>
          <w:p w14:paraId="76C8D6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21EE359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71</w:t>
            </w:r>
          </w:p>
        </w:tc>
      </w:tr>
      <w:tr w14:paraId="186D9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6C4CC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44</w:t>
            </w:r>
          </w:p>
        </w:tc>
        <w:tc>
          <w:tcPr>
            <w:tcW w:w="1623" w:type="dxa"/>
            <w:vAlign w:val="center"/>
          </w:tcPr>
          <w:p w14:paraId="50B2E5B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硅胶系列镜架</w:t>
            </w:r>
          </w:p>
        </w:tc>
        <w:tc>
          <w:tcPr>
            <w:tcW w:w="386" w:type="dxa"/>
            <w:vAlign w:val="center"/>
          </w:tcPr>
          <w:p w14:paraId="244FAF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AA293E7">
            <w:pPr>
              <w:spacing w:before="30" w:after="30" w:line="320" w:lineRule="auto"/>
              <w:rPr>
                <w:rFonts w:hAnsi="宋体" w:cs="宋体"/>
                <w:color w:val="auto"/>
                <w:sz w:val="18"/>
                <w:szCs w:val="18"/>
                <w:highlight w:val="none"/>
              </w:rPr>
            </w:pPr>
            <w:r>
              <w:rPr>
                <w:rFonts w:hint="eastAsia"/>
                <w:color w:val="auto"/>
                <w:highlight w:val="none"/>
                <w:lang w:val="en-US" w:eastAsia="zh-CN"/>
              </w:rPr>
              <w:t>1</w:t>
            </w:r>
            <w:r>
              <w:rPr>
                <w:rFonts w:hint="eastAsia" w:hAnsi="宋体" w:cs="宋体"/>
                <w:color w:val="auto"/>
                <w:sz w:val="18"/>
                <w:szCs w:val="18"/>
                <w:highlight w:val="none"/>
              </w:rPr>
              <w:t>.通体硅胶和TR材质双面拼合而成，TR材质的质感轻柔，新时代纳米耐脏硅胶材质的亲肤安全舒适。</w:t>
            </w:r>
            <w:r>
              <w:rPr>
                <w:rFonts w:hint="eastAsia" w:hAnsi="宋体" w:cs="宋体"/>
                <w:color w:val="auto"/>
                <w:sz w:val="18"/>
                <w:szCs w:val="18"/>
                <w:highlight w:val="none"/>
                <w:lang w:val="en-US" w:eastAsia="zh-CN"/>
              </w:rPr>
              <w:t>2</w:t>
            </w:r>
            <w:r>
              <w:rPr>
                <w:rFonts w:hint="eastAsia" w:hAnsi="宋体" w:cs="宋体"/>
                <w:color w:val="auto"/>
                <w:sz w:val="18"/>
                <w:szCs w:val="18"/>
                <w:highlight w:val="none"/>
              </w:rPr>
              <w:t>.镜架优化结构，达到舒适稳定的佩戴体验。</w:t>
            </w:r>
            <w:r>
              <w:rPr>
                <w:rFonts w:hint="eastAsia" w:hAnsi="宋体" w:cs="宋体"/>
                <w:color w:val="auto"/>
                <w:sz w:val="18"/>
                <w:szCs w:val="18"/>
                <w:highlight w:val="none"/>
                <w:lang w:val="en-US" w:eastAsia="zh-CN"/>
              </w:rPr>
              <w:t>3</w:t>
            </w:r>
            <w:r>
              <w:rPr>
                <w:rFonts w:hint="eastAsia" w:hAnsi="宋体" w:cs="宋体"/>
                <w:color w:val="auto"/>
                <w:sz w:val="18"/>
                <w:szCs w:val="18"/>
                <w:highlight w:val="none"/>
              </w:rPr>
              <w:t xml:space="preserve">.硅胶鼻托柔韧性好，垫高的高位软性设计，适合儿童娇嫩的鼻梁。镜腿尾端软性耳钩，可随意调整，不滑落，更安全。 </w:t>
            </w:r>
            <w:r>
              <w:rPr>
                <w:rFonts w:hint="eastAsia" w:hAnsi="宋体" w:cs="宋体"/>
                <w:color w:val="auto"/>
                <w:sz w:val="18"/>
                <w:szCs w:val="18"/>
                <w:highlight w:val="none"/>
                <w:lang w:val="en-US" w:eastAsia="zh-CN"/>
              </w:rPr>
              <w:t>4</w:t>
            </w:r>
            <w:r>
              <w:rPr>
                <w:rFonts w:hint="eastAsia" w:hAnsi="宋体" w:cs="宋体"/>
                <w:color w:val="auto"/>
                <w:sz w:val="18"/>
                <w:szCs w:val="18"/>
                <w:highlight w:val="none"/>
              </w:rPr>
              <w:t>.符合GB/T 14214-2019标准。</w:t>
            </w:r>
            <w:r>
              <w:rPr>
                <w:rFonts w:hint="eastAsia" w:hAnsi="宋体" w:cs="宋体"/>
                <w:color w:val="auto"/>
                <w:sz w:val="18"/>
                <w:szCs w:val="18"/>
                <w:highlight w:val="none"/>
                <w:lang w:val="en-US" w:eastAsia="zh-CN"/>
              </w:rPr>
              <w:t>5</w:t>
            </w:r>
            <w:r>
              <w:rPr>
                <w:rFonts w:hint="eastAsia" w:hAnsi="宋体" w:cs="宋体"/>
                <w:color w:val="auto"/>
                <w:sz w:val="18"/>
                <w:szCs w:val="18"/>
                <w:highlight w:val="none"/>
              </w:rPr>
              <w:t>.镜架总长度116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140mm，单个镜框长度38</w:t>
            </w:r>
            <w:r>
              <w:rPr>
                <w:rFonts w:hint="eastAsia" w:hAnsi="宋体" w:cs="宋体"/>
                <w:color w:val="auto"/>
                <w:sz w:val="18"/>
                <w:szCs w:val="18"/>
                <w:highlight w:val="none"/>
                <w:lang w:eastAsia="zh-CN"/>
              </w:rPr>
              <w:t>—</w:t>
            </w:r>
            <w:r>
              <w:rPr>
                <w:rFonts w:hint="eastAsia" w:hAnsi="宋体" w:cs="宋体"/>
                <w:color w:val="auto"/>
                <w:sz w:val="18"/>
                <w:szCs w:val="18"/>
                <w:highlight w:val="none"/>
              </w:rPr>
              <w:t>51mm，镜框高度29</w:t>
            </w:r>
            <w:r>
              <w:rPr>
                <w:rFonts w:hint="eastAsia" w:hAnsi="宋体" w:cs="宋体"/>
                <w:color w:val="auto"/>
                <w:sz w:val="18"/>
                <w:szCs w:val="18"/>
                <w:highlight w:val="none"/>
                <w:lang w:eastAsia="zh-CN"/>
              </w:rPr>
              <w:t>—</w:t>
            </w:r>
            <w:r>
              <w:rPr>
                <w:rFonts w:hint="eastAsia" w:hAnsi="宋体" w:cs="宋体"/>
                <w:color w:val="auto"/>
                <w:sz w:val="18"/>
                <w:szCs w:val="18"/>
                <w:highlight w:val="none"/>
              </w:rPr>
              <w:t>37mm，鼻梁长度14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17mm，镜腿长度132</w:t>
            </w:r>
            <w:r>
              <w:rPr>
                <w:rFonts w:hint="eastAsia" w:hAnsi="宋体" w:cs="宋体"/>
                <w:color w:val="auto"/>
                <w:sz w:val="18"/>
                <w:szCs w:val="18"/>
                <w:highlight w:val="none"/>
                <w:lang w:eastAsia="zh-CN"/>
              </w:rPr>
              <w:t>—</w:t>
            </w:r>
            <w:r>
              <w:rPr>
                <w:rFonts w:hint="eastAsia" w:hAnsi="宋体" w:cs="宋体"/>
                <w:color w:val="auto"/>
                <w:sz w:val="18"/>
                <w:szCs w:val="18"/>
                <w:highlight w:val="none"/>
              </w:rPr>
              <w:t>140mm，前倾角5-7°。</w:t>
            </w:r>
          </w:p>
        </w:tc>
        <w:tc>
          <w:tcPr>
            <w:tcW w:w="510" w:type="dxa"/>
            <w:vAlign w:val="center"/>
          </w:tcPr>
          <w:p w14:paraId="5B1CFD1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5AECCF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96.03</w:t>
            </w:r>
          </w:p>
        </w:tc>
      </w:tr>
      <w:tr w14:paraId="63990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C4C5B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w:t>
            </w:r>
          </w:p>
        </w:tc>
        <w:tc>
          <w:tcPr>
            <w:tcW w:w="1623" w:type="dxa"/>
            <w:vAlign w:val="center"/>
          </w:tcPr>
          <w:p w14:paraId="6A9A1A7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国中系列镜架</w:t>
            </w:r>
          </w:p>
        </w:tc>
        <w:tc>
          <w:tcPr>
            <w:tcW w:w="386" w:type="dxa"/>
            <w:vAlign w:val="center"/>
          </w:tcPr>
          <w:p w14:paraId="579EA1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DBA85A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1.可拆卸鼻托，可调整鼻托，佩戴柔软，舒适，不下滑，色彩漂亮，颜色纯正，很有</w:t>
            </w:r>
            <w:r>
              <w:rPr>
                <w:rFonts w:hint="eastAsia" w:hAnsi="宋体" w:cs="宋体"/>
                <w:color w:val="auto"/>
                <w:sz w:val="18"/>
                <w:szCs w:val="18"/>
                <w:highlight w:val="none"/>
                <w:lang w:eastAsia="zh-CN"/>
              </w:rPr>
              <w:t>品位</w:t>
            </w:r>
            <w:r>
              <w:rPr>
                <w:rFonts w:hint="eastAsia" w:hAnsi="宋体" w:cs="宋体"/>
                <w:color w:val="auto"/>
                <w:sz w:val="18"/>
                <w:szCs w:val="18"/>
                <w:highlight w:val="none"/>
              </w:rPr>
              <w:t>，适合配离焦镜片。2.要求符合GB/T 14214-2019标准。3.镜架总长度116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53mm，镜框高度31</w:t>
            </w:r>
            <w:r>
              <w:rPr>
                <w:rFonts w:hint="eastAsia" w:hAnsi="宋体" w:cs="宋体"/>
                <w:color w:val="auto"/>
                <w:sz w:val="18"/>
                <w:szCs w:val="18"/>
                <w:highlight w:val="none"/>
                <w:lang w:eastAsia="zh-CN"/>
              </w:rPr>
              <w:t>—</w:t>
            </w:r>
            <w:r>
              <w:rPr>
                <w:rFonts w:hint="eastAsia" w:hAnsi="宋体" w:cs="宋体"/>
                <w:color w:val="auto"/>
                <w:sz w:val="18"/>
                <w:szCs w:val="18"/>
                <w:highlight w:val="none"/>
              </w:rPr>
              <w:t>43mm，鼻梁长度14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18mm，镜腿长度130</w:t>
            </w:r>
            <w:r>
              <w:rPr>
                <w:rFonts w:hint="eastAsia" w:hAnsi="宋体" w:cs="宋体"/>
                <w:color w:val="auto"/>
                <w:sz w:val="18"/>
                <w:szCs w:val="18"/>
                <w:highlight w:val="none"/>
                <w:lang w:eastAsia="zh-CN"/>
              </w:rPr>
              <w:t>—</w:t>
            </w:r>
            <w:r>
              <w:rPr>
                <w:rFonts w:hint="eastAsia" w:hAnsi="宋体" w:cs="宋体"/>
                <w:color w:val="auto"/>
                <w:sz w:val="18"/>
                <w:szCs w:val="18"/>
                <w:highlight w:val="none"/>
              </w:rPr>
              <w:t>143mm，前倾角5-7°。</w:t>
            </w:r>
          </w:p>
        </w:tc>
        <w:tc>
          <w:tcPr>
            <w:tcW w:w="510" w:type="dxa"/>
            <w:vAlign w:val="center"/>
          </w:tcPr>
          <w:p w14:paraId="7328A8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28501C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124</w:t>
            </w:r>
          </w:p>
        </w:tc>
      </w:tr>
      <w:tr w14:paraId="77C19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20C244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46</w:t>
            </w:r>
          </w:p>
        </w:tc>
        <w:tc>
          <w:tcPr>
            <w:tcW w:w="1623" w:type="dxa"/>
            <w:vAlign w:val="center"/>
          </w:tcPr>
          <w:p w14:paraId="406C394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合金架</w:t>
            </w:r>
          </w:p>
        </w:tc>
        <w:tc>
          <w:tcPr>
            <w:tcW w:w="386" w:type="dxa"/>
            <w:vAlign w:val="center"/>
          </w:tcPr>
          <w:p w14:paraId="198CCB3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A5A70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金属材质，适配青少年群体。系列产品颜色丰富，价格适中，总体性价比很高。符合GB/T 14214-2019标准。镜架标有单个镜框长度，鼻梁长度，镜腿长度。</w:t>
            </w:r>
          </w:p>
        </w:tc>
        <w:tc>
          <w:tcPr>
            <w:tcW w:w="510" w:type="dxa"/>
            <w:vAlign w:val="center"/>
          </w:tcPr>
          <w:p w14:paraId="26169DA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0B4BE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w:t>
            </w:r>
          </w:p>
        </w:tc>
      </w:tr>
      <w:tr w14:paraId="3109B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9B377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47</w:t>
            </w:r>
          </w:p>
        </w:tc>
        <w:tc>
          <w:tcPr>
            <w:tcW w:w="1623" w:type="dxa"/>
            <w:vAlign w:val="center"/>
          </w:tcPr>
          <w:p w14:paraId="123EC4F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合金架</w:t>
            </w:r>
          </w:p>
        </w:tc>
        <w:tc>
          <w:tcPr>
            <w:tcW w:w="386" w:type="dxa"/>
            <w:vAlign w:val="center"/>
          </w:tcPr>
          <w:p w14:paraId="1670E9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90C710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金属材质，适配青少年及成人群体。采用铝合金、不锈钢等质轻、强韧耐用的金属材料制成，相较于塑料或其他材质的眼镜框，具有更轻便、透气、舒适的特点。该系列搭配上有韧性、有弧度的镜腿后，整体佩戴舒适感更强。符合GB/T 14214-2019标准。镜架标有单个镜框长度，鼻梁长度，镜腿长度。</w:t>
            </w:r>
          </w:p>
        </w:tc>
        <w:tc>
          <w:tcPr>
            <w:tcW w:w="510" w:type="dxa"/>
            <w:vAlign w:val="center"/>
          </w:tcPr>
          <w:p w14:paraId="43EF5AB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5774B72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044A0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4AB51A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w:t>
            </w:r>
          </w:p>
        </w:tc>
        <w:tc>
          <w:tcPr>
            <w:tcW w:w="1623" w:type="dxa"/>
            <w:vAlign w:val="center"/>
          </w:tcPr>
          <w:p w14:paraId="7931AA9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活泼爱动儿童系列镜架</w:t>
            </w:r>
          </w:p>
        </w:tc>
        <w:tc>
          <w:tcPr>
            <w:tcW w:w="386" w:type="dxa"/>
            <w:vAlign w:val="center"/>
          </w:tcPr>
          <w:p w14:paraId="747202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DDA0AB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1.依据专业数据设计的中梁高度，符合高性能镜片的装配</w:t>
            </w:r>
            <w:r>
              <w:rPr>
                <w:rFonts w:hint="eastAsia" w:hAnsi="宋体" w:cs="宋体"/>
                <w:color w:val="auto"/>
                <w:sz w:val="18"/>
                <w:szCs w:val="18"/>
                <w:highlight w:val="none"/>
                <w:lang w:eastAsia="zh-CN"/>
              </w:rPr>
              <w:t>，不同</w:t>
            </w:r>
            <w:r>
              <w:rPr>
                <w:rFonts w:hint="eastAsia" w:hAnsi="宋体" w:cs="宋体"/>
                <w:color w:val="auto"/>
                <w:sz w:val="18"/>
                <w:szCs w:val="18"/>
                <w:highlight w:val="none"/>
              </w:rPr>
              <w:t>部位不同材料结合</w:t>
            </w:r>
            <w:r>
              <w:rPr>
                <w:rFonts w:hint="eastAsia" w:hAnsi="宋体" w:cs="宋体"/>
                <w:color w:val="auto"/>
                <w:sz w:val="18"/>
                <w:szCs w:val="18"/>
                <w:highlight w:val="none"/>
                <w:lang w:eastAsia="zh-CN"/>
              </w:rPr>
              <w:t>。</w:t>
            </w:r>
            <w:r>
              <w:rPr>
                <w:rFonts w:hint="eastAsia" w:hAnsi="宋体" w:cs="宋体"/>
                <w:color w:val="auto"/>
                <w:sz w:val="18"/>
                <w:szCs w:val="18"/>
                <w:highlight w:val="none"/>
              </w:rPr>
              <w:t>2.让佩戴舒适稳定，就像妈妈的怀抱，安全温暖。3.小小童最齐全的尺码，</w:t>
            </w:r>
            <w:r>
              <w:rPr>
                <w:rFonts w:hint="eastAsia" w:hAnsi="宋体" w:cs="宋体"/>
                <w:color w:val="auto"/>
                <w:sz w:val="18"/>
                <w:szCs w:val="18"/>
                <w:highlight w:val="none"/>
                <w:lang w:eastAsia="zh-CN"/>
              </w:rPr>
              <w:t>每副</w:t>
            </w:r>
            <w:r>
              <w:rPr>
                <w:rFonts w:hint="eastAsia" w:hAnsi="宋体" w:cs="宋体"/>
                <w:color w:val="auto"/>
                <w:sz w:val="18"/>
                <w:szCs w:val="18"/>
                <w:highlight w:val="none"/>
              </w:rPr>
              <w:t>配有耳钩挂绳，保证不滑落弱视、先天性白内障等婴童病理型专用眼镜。 4.符合GB/T 14214-2019标准。5.镜架总长度116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140mm，单个镜框长度39</w:t>
            </w:r>
            <w:r>
              <w:rPr>
                <w:rFonts w:hint="eastAsia" w:hAnsi="宋体" w:cs="宋体"/>
                <w:color w:val="auto"/>
                <w:sz w:val="18"/>
                <w:szCs w:val="18"/>
                <w:highlight w:val="none"/>
                <w:lang w:eastAsia="zh-CN"/>
              </w:rPr>
              <w:t>—</w:t>
            </w:r>
            <w:r>
              <w:rPr>
                <w:rFonts w:hint="eastAsia" w:hAnsi="宋体" w:cs="宋体"/>
                <w:color w:val="auto"/>
                <w:sz w:val="18"/>
                <w:szCs w:val="18"/>
                <w:highlight w:val="none"/>
              </w:rPr>
              <w:t>51mm，镜框高度31</w:t>
            </w:r>
            <w:r>
              <w:rPr>
                <w:rFonts w:hint="eastAsia" w:hAnsi="宋体" w:cs="宋体"/>
                <w:color w:val="auto"/>
                <w:sz w:val="18"/>
                <w:szCs w:val="18"/>
                <w:highlight w:val="none"/>
                <w:lang w:eastAsia="zh-CN"/>
              </w:rPr>
              <w:t>—</w:t>
            </w:r>
            <w:r>
              <w:rPr>
                <w:rFonts w:hint="eastAsia" w:hAnsi="宋体" w:cs="宋体"/>
                <w:color w:val="auto"/>
                <w:sz w:val="18"/>
                <w:szCs w:val="18"/>
                <w:highlight w:val="none"/>
              </w:rPr>
              <w:t>40mm，鼻梁长度14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17mm，镜腿长度136</w:t>
            </w:r>
            <w:r>
              <w:rPr>
                <w:rFonts w:hint="eastAsia" w:hAnsi="宋体" w:cs="宋体"/>
                <w:color w:val="auto"/>
                <w:sz w:val="18"/>
                <w:szCs w:val="18"/>
                <w:highlight w:val="none"/>
                <w:lang w:eastAsia="zh-CN"/>
              </w:rPr>
              <w:t>—</w:t>
            </w:r>
            <w:r>
              <w:rPr>
                <w:rFonts w:hint="eastAsia" w:hAnsi="宋体" w:cs="宋体"/>
                <w:color w:val="auto"/>
                <w:sz w:val="18"/>
                <w:szCs w:val="18"/>
                <w:highlight w:val="none"/>
              </w:rPr>
              <w:t>140mm，前倾角5-7°。</w:t>
            </w:r>
          </w:p>
        </w:tc>
        <w:tc>
          <w:tcPr>
            <w:tcW w:w="510" w:type="dxa"/>
            <w:vAlign w:val="center"/>
          </w:tcPr>
          <w:p w14:paraId="726A0B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9FC3B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116</w:t>
            </w:r>
          </w:p>
        </w:tc>
      </w:tr>
      <w:tr w14:paraId="4A9F7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D47FF3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49</w:t>
            </w:r>
          </w:p>
        </w:tc>
        <w:tc>
          <w:tcPr>
            <w:tcW w:w="1623" w:type="dxa"/>
            <w:vAlign w:val="center"/>
          </w:tcPr>
          <w:p w14:paraId="3E2B801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青少年软托系列镜架</w:t>
            </w:r>
          </w:p>
        </w:tc>
        <w:tc>
          <w:tcPr>
            <w:tcW w:w="386" w:type="dxa"/>
            <w:vAlign w:val="center"/>
          </w:tcPr>
          <w:p w14:paraId="4EC6EB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2724C85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1.根据亚洲鼻型设计的一体式软鼻托，适合长时间佩戴，抛弧形镜腿设计不夹脸，不变形，不滑落。2.优质原材料，不同部位不同材料结合，达到最佳佩戴效果。3.要求符合GB/T 14214-2019标准。4.镜架总长度116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140mm，单个镜框长度44</w:t>
            </w:r>
            <w:r>
              <w:rPr>
                <w:rFonts w:hint="eastAsia" w:hAnsi="宋体" w:cs="宋体"/>
                <w:color w:val="auto"/>
                <w:sz w:val="18"/>
                <w:szCs w:val="18"/>
                <w:highlight w:val="none"/>
                <w:lang w:eastAsia="zh-CN"/>
              </w:rPr>
              <w:t>—</w:t>
            </w:r>
            <w:r>
              <w:rPr>
                <w:rFonts w:hint="eastAsia" w:hAnsi="宋体" w:cs="宋体"/>
                <w:color w:val="auto"/>
                <w:sz w:val="18"/>
                <w:szCs w:val="18"/>
                <w:highlight w:val="none"/>
              </w:rPr>
              <w:t>56mm，镜框高度30</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19mm，镜腿长度132</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3DD043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8B23B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198</w:t>
            </w:r>
          </w:p>
        </w:tc>
      </w:tr>
      <w:tr w14:paraId="554E1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C8728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50</w:t>
            </w:r>
          </w:p>
        </w:tc>
        <w:tc>
          <w:tcPr>
            <w:tcW w:w="1623" w:type="dxa"/>
            <w:vAlign w:val="center"/>
          </w:tcPr>
          <w:p w14:paraId="33E919E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精品钛镜架</w:t>
            </w:r>
          </w:p>
        </w:tc>
        <w:tc>
          <w:tcPr>
            <w:tcW w:w="386" w:type="dxa"/>
            <w:vAlign w:val="center"/>
          </w:tcPr>
          <w:p w14:paraId="5AD389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FE0B60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纯钛材质，真空电镀工艺，适配学生群体。 符合 GB/T 14214-2019 标准。镜架总长度 130</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 47</w:t>
            </w:r>
            <w:r>
              <w:rPr>
                <w:rFonts w:hint="eastAsia" w:hAnsi="宋体" w:cs="宋体"/>
                <w:color w:val="auto"/>
                <w:sz w:val="18"/>
                <w:szCs w:val="18"/>
                <w:highlight w:val="none"/>
                <w:lang w:eastAsia="zh-CN"/>
              </w:rPr>
              <w:t>—</w:t>
            </w:r>
            <w:r>
              <w:rPr>
                <w:rFonts w:hint="eastAsia" w:hAnsi="宋体" w:cs="宋体"/>
                <w:color w:val="auto"/>
                <w:sz w:val="18"/>
                <w:szCs w:val="18"/>
                <w:highlight w:val="none"/>
              </w:rPr>
              <w:t>52mm， 镜框高度 38</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 17</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w:t>
            </w:r>
            <w:r>
              <w:rPr>
                <w:rFonts w:hint="eastAsia" w:hAnsi="宋体" w:cs="宋体"/>
                <w:color w:val="auto"/>
                <w:sz w:val="18"/>
                <w:szCs w:val="18"/>
                <w:highlight w:val="none"/>
                <w:lang w:eastAsia="zh-CN"/>
              </w:rPr>
              <w:t>长度</w:t>
            </w:r>
            <w:r>
              <w:rPr>
                <w:rFonts w:hint="eastAsia" w:hAnsi="宋体" w:cs="宋体"/>
                <w:color w:val="auto"/>
                <w:sz w:val="18"/>
                <w:szCs w:val="18"/>
                <w:highlight w:val="none"/>
              </w:rPr>
              <w:t xml:space="preserve"> 140</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 6-7°。</w:t>
            </w:r>
          </w:p>
        </w:tc>
        <w:tc>
          <w:tcPr>
            <w:tcW w:w="510" w:type="dxa"/>
            <w:vAlign w:val="center"/>
          </w:tcPr>
          <w:p w14:paraId="0CA7733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02690B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404</w:t>
            </w:r>
          </w:p>
        </w:tc>
      </w:tr>
      <w:tr w14:paraId="26308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0A1DA2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w:t>
            </w:r>
          </w:p>
        </w:tc>
        <w:tc>
          <w:tcPr>
            <w:tcW w:w="1623" w:type="dxa"/>
            <w:vAlign w:val="center"/>
          </w:tcPr>
          <w:p w14:paraId="0A96A3B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老花镜架</w:t>
            </w:r>
          </w:p>
        </w:tc>
        <w:tc>
          <w:tcPr>
            <w:tcW w:w="386" w:type="dxa"/>
            <w:vAlign w:val="center"/>
          </w:tcPr>
          <w:p w14:paraId="6F8BF6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0952DE1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金属材质，适合中老年老花镜专用，款式多样，售后无忧。符合GB/T 14214-2019标准。镜架标有单个镜框长度，鼻梁长度，镜腿长度。</w:t>
            </w:r>
          </w:p>
        </w:tc>
        <w:tc>
          <w:tcPr>
            <w:tcW w:w="510" w:type="dxa"/>
            <w:vAlign w:val="center"/>
          </w:tcPr>
          <w:p w14:paraId="54B643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716540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w:t>
            </w:r>
          </w:p>
        </w:tc>
      </w:tr>
      <w:tr w14:paraId="30DAD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80040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52</w:t>
            </w:r>
          </w:p>
        </w:tc>
        <w:tc>
          <w:tcPr>
            <w:tcW w:w="1623" w:type="dxa"/>
            <w:vAlign w:val="center"/>
          </w:tcPr>
          <w:p w14:paraId="2B2D2D3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青少年硅胶系列镜架</w:t>
            </w:r>
          </w:p>
        </w:tc>
        <w:tc>
          <w:tcPr>
            <w:tcW w:w="386" w:type="dxa"/>
            <w:vAlign w:val="center"/>
          </w:tcPr>
          <w:p w14:paraId="11B0EC2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53E7261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不下滑又好看，佩戴不变形，镜腿可调长短不需耳钩，中梁三个空位可调，中心位很准，气垫连体鼻托。2.镜架中梁高度，符合高性能镜片的装配，硅胶加TR两种材质结合，结构进一步优化，软胶鼻托，镜腿尾部有软针，可随意调整，不滑落，更贴合，多种颜色可选。3.要求符合GB/T 14214-2019标准。4.镜架总长度116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140mm，单个镜框长度40</w:t>
            </w:r>
            <w:r>
              <w:rPr>
                <w:rFonts w:hint="eastAsia" w:hAnsi="宋体" w:cs="宋体"/>
                <w:color w:val="auto"/>
                <w:sz w:val="18"/>
                <w:szCs w:val="18"/>
                <w:highlight w:val="none"/>
                <w:lang w:eastAsia="zh-CN"/>
              </w:rPr>
              <w:t>—</w:t>
            </w:r>
            <w:r>
              <w:rPr>
                <w:rFonts w:hint="eastAsia" w:hAnsi="宋体" w:cs="宋体"/>
                <w:color w:val="auto"/>
                <w:sz w:val="18"/>
                <w:szCs w:val="18"/>
                <w:highlight w:val="none"/>
              </w:rPr>
              <w:t>56mm，镜框高度30</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19mm，镜腿长度132</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019076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0CA57E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96.03</w:t>
            </w:r>
          </w:p>
        </w:tc>
      </w:tr>
      <w:tr w14:paraId="768CF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E1BCD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w:t>
            </w:r>
          </w:p>
        </w:tc>
        <w:tc>
          <w:tcPr>
            <w:tcW w:w="1623" w:type="dxa"/>
            <w:vAlign w:val="center"/>
          </w:tcPr>
          <w:p w14:paraId="605CFEF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青少年镜架</w:t>
            </w:r>
          </w:p>
        </w:tc>
        <w:tc>
          <w:tcPr>
            <w:tcW w:w="386" w:type="dxa"/>
            <w:vAlign w:val="center"/>
          </w:tcPr>
          <w:p w14:paraId="656245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40B321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硅胶＋TR 材质。适配青少年群体。 符合 GB/T 14214-2019 标准。镜架总长度 123</w:t>
            </w:r>
            <w:r>
              <w:rPr>
                <w:rFonts w:hint="eastAsia" w:hAnsi="宋体" w:cs="宋体"/>
                <w:color w:val="auto"/>
                <w:sz w:val="18"/>
                <w:szCs w:val="18"/>
                <w:highlight w:val="none"/>
                <w:lang w:eastAsia="zh-CN"/>
              </w:rPr>
              <w:t>—</w:t>
            </w:r>
            <w:r>
              <w:rPr>
                <w:rFonts w:hint="eastAsia" w:hAnsi="宋体" w:cs="宋体"/>
                <w:color w:val="auto"/>
                <w:sz w:val="18"/>
                <w:szCs w:val="18"/>
                <w:highlight w:val="none"/>
              </w:rPr>
              <w:t>137mm，单个镜框长度 45</w:t>
            </w:r>
            <w:r>
              <w:rPr>
                <w:rFonts w:hint="eastAsia" w:hAnsi="宋体" w:cs="宋体"/>
                <w:color w:val="auto"/>
                <w:sz w:val="18"/>
                <w:szCs w:val="18"/>
                <w:highlight w:val="none"/>
                <w:lang w:eastAsia="zh-CN"/>
              </w:rPr>
              <w:t>—</w:t>
            </w:r>
            <w:r>
              <w:rPr>
                <w:rFonts w:hint="eastAsia" w:hAnsi="宋体" w:cs="宋体"/>
                <w:color w:val="auto"/>
                <w:sz w:val="18"/>
                <w:szCs w:val="18"/>
                <w:highlight w:val="none"/>
              </w:rPr>
              <w:t>52mm镜框高度 32</w:t>
            </w:r>
            <w:r>
              <w:rPr>
                <w:rFonts w:hint="eastAsia" w:hAnsi="宋体" w:cs="宋体"/>
                <w:color w:val="auto"/>
                <w:sz w:val="18"/>
                <w:szCs w:val="18"/>
                <w:highlight w:val="none"/>
                <w:lang w:eastAsia="zh-CN"/>
              </w:rPr>
              <w:t>—</w:t>
            </w:r>
            <w:r>
              <w:rPr>
                <w:rFonts w:hint="eastAsia" w:hAnsi="宋体" w:cs="宋体"/>
                <w:color w:val="auto"/>
                <w:sz w:val="18"/>
                <w:szCs w:val="18"/>
                <w:highlight w:val="none"/>
              </w:rPr>
              <w:t>41mm，鼻梁长度 14</w:t>
            </w:r>
            <w:r>
              <w:rPr>
                <w:rFonts w:hint="eastAsia" w:hAnsi="宋体" w:cs="宋体"/>
                <w:color w:val="auto"/>
                <w:sz w:val="18"/>
                <w:szCs w:val="18"/>
                <w:highlight w:val="none"/>
                <w:lang w:eastAsia="zh-CN"/>
              </w:rPr>
              <w:t>—</w:t>
            </w:r>
            <w:r>
              <w:rPr>
                <w:rFonts w:hint="eastAsia" w:hAnsi="宋体" w:cs="宋体"/>
                <w:color w:val="auto"/>
                <w:sz w:val="18"/>
                <w:szCs w:val="18"/>
                <w:highlight w:val="none"/>
              </w:rPr>
              <w:t>17mm，镜腿</w:t>
            </w:r>
            <w:r>
              <w:rPr>
                <w:rFonts w:hint="eastAsia" w:hAnsi="宋体" w:cs="宋体"/>
                <w:color w:val="auto"/>
                <w:sz w:val="18"/>
                <w:szCs w:val="18"/>
                <w:highlight w:val="none"/>
                <w:lang w:eastAsia="zh-CN"/>
              </w:rPr>
              <w:t>长度</w:t>
            </w:r>
            <w:r>
              <w:rPr>
                <w:rFonts w:hint="eastAsia" w:hAnsi="宋体" w:cs="宋体"/>
                <w:color w:val="auto"/>
                <w:sz w:val="18"/>
                <w:szCs w:val="18"/>
                <w:highlight w:val="none"/>
              </w:rPr>
              <w:t xml:space="preserve"> 138</w:t>
            </w:r>
            <w:r>
              <w:rPr>
                <w:rFonts w:hint="eastAsia" w:hAnsi="宋体" w:cs="宋体"/>
                <w:color w:val="auto"/>
                <w:sz w:val="18"/>
                <w:szCs w:val="18"/>
                <w:highlight w:val="none"/>
                <w:lang w:eastAsia="zh-CN"/>
              </w:rPr>
              <w:t>—</w:t>
            </w:r>
            <w:r>
              <w:rPr>
                <w:rFonts w:hint="eastAsia" w:hAnsi="宋体" w:cs="宋体"/>
                <w:color w:val="auto"/>
                <w:sz w:val="18"/>
                <w:szCs w:val="18"/>
                <w:highlight w:val="none"/>
              </w:rPr>
              <w:t>145mm，前倾角 6-7 °。</w:t>
            </w:r>
          </w:p>
        </w:tc>
        <w:tc>
          <w:tcPr>
            <w:tcW w:w="510" w:type="dxa"/>
            <w:vAlign w:val="center"/>
          </w:tcPr>
          <w:p w14:paraId="361BD3D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62BBE9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326E9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312BC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54</w:t>
            </w:r>
          </w:p>
        </w:tc>
        <w:tc>
          <w:tcPr>
            <w:tcW w:w="1623" w:type="dxa"/>
            <w:vAlign w:val="center"/>
          </w:tcPr>
          <w:p w14:paraId="165521D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青少年镜片防控镜片专用纯钛镜架</w:t>
            </w:r>
          </w:p>
        </w:tc>
        <w:tc>
          <w:tcPr>
            <w:tcW w:w="386" w:type="dxa"/>
            <w:vAlign w:val="center"/>
          </w:tcPr>
          <w:p w14:paraId="5A8FFC8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34E27A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纯钛材质。适配5-15岁佩戴离焦镜片的青少年群体。可调镜腿，精准定位，款式时尚，材料通透靓丽，不伤皮肤，不易变形。符合GB/T 14214-2019 标准。镜架总长度125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50mm， 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5C7DCC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1994BB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688</w:t>
            </w:r>
          </w:p>
        </w:tc>
      </w:tr>
      <w:tr w14:paraId="72040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8D66A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55</w:t>
            </w:r>
          </w:p>
        </w:tc>
        <w:tc>
          <w:tcPr>
            <w:tcW w:w="1623" w:type="dxa"/>
            <w:vAlign w:val="center"/>
          </w:tcPr>
          <w:p w14:paraId="7CBE7919">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青少年</w:t>
            </w:r>
            <w:r>
              <w:rPr>
                <w:rFonts w:hint="eastAsia" w:hAnsi="宋体" w:cs="宋体"/>
                <w:color w:val="auto"/>
                <w:sz w:val="18"/>
                <w:szCs w:val="18"/>
                <w:highlight w:val="none"/>
              </w:rPr>
              <w:t>防控镜片专用合金镜架</w:t>
            </w:r>
          </w:p>
        </w:tc>
        <w:tc>
          <w:tcPr>
            <w:tcW w:w="386" w:type="dxa"/>
            <w:vAlign w:val="center"/>
          </w:tcPr>
          <w:p w14:paraId="105C4D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4D09FFC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合金材质。适配5-15岁佩戴离焦镜片的青少年群体。可调镜腿，精准定位，款式时尚，材料通透靓丽，不伤皮肤，不易变形。符合GB/T 14214-2019 标准。镜架总长度125</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144mm，单个镜框长度45</w:t>
            </w:r>
            <w:r>
              <w:rPr>
                <w:rFonts w:hint="eastAsia" w:hAnsi="宋体" w:cs="宋体"/>
                <w:color w:val="auto"/>
                <w:sz w:val="18"/>
                <w:szCs w:val="18"/>
                <w:highlight w:val="none"/>
                <w:lang w:eastAsia="zh-CN"/>
              </w:rPr>
              <w:t>—</w:t>
            </w:r>
            <w:r>
              <w:rPr>
                <w:rFonts w:hint="eastAsia" w:hAnsi="宋体" w:cs="宋体"/>
                <w:color w:val="auto"/>
                <w:sz w:val="18"/>
                <w:szCs w:val="18"/>
                <w:highlight w:val="none"/>
              </w:rPr>
              <w:t>50mm， 镜框高度37</w:t>
            </w:r>
            <w:r>
              <w:rPr>
                <w:rFonts w:hint="eastAsia" w:hAnsi="宋体" w:cs="宋体"/>
                <w:color w:val="auto"/>
                <w:sz w:val="18"/>
                <w:szCs w:val="18"/>
                <w:highlight w:val="none"/>
                <w:lang w:eastAsia="zh-CN"/>
              </w:rPr>
              <w:t>—</w:t>
            </w:r>
            <w:r>
              <w:rPr>
                <w:rFonts w:hint="eastAsia" w:hAnsi="宋体" w:cs="宋体"/>
                <w:color w:val="auto"/>
                <w:sz w:val="18"/>
                <w:szCs w:val="18"/>
                <w:highlight w:val="none"/>
              </w:rPr>
              <w:t>49mm，鼻梁长度16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20mm，镜腿长度140</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721D23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756E3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588</w:t>
            </w:r>
          </w:p>
        </w:tc>
      </w:tr>
      <w:tr w14:paraId="0C894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00A09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56</w:t>
            </w:r>
          </w:p>
        </w:tc>
        <w:tc>
          <w:tcPr>
            <w:tcW w:w="1623" w:type="dxa"/>
            <w:vAlign w:val="center"/>
          </w:tcPr>
          <w:p w14:paraId="326B83F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轻运动系列镜架</w:t>
            </w:r>
          </w:p>
        </w:tc>
        <w:tc>
          <w:tcPr>
            <w:tcW w:w="386" w:type="dxa"/>
            <w:vAlign w:val="center"/>
          </w:tcPr>
          <w:p w14:paraId="009B5C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1B7ECAD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1.根据亚洲鼻型设计的一体式软鼻托，适合长时间佩戴，抛弧形镜腿设计不夹脸，不变形，不滑落。2.优质原材料，不同部位不同材料结合，达到最佳佩戴效果。3.要求符合GB/T 14214-2019标准。4.镜架总长度116</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140mm，单个镜框长度44</w:t>
            </w:r>
            <w:r>
              <w:rPr>
                <w:rFonts w:hint="eastAsia" w:hAnsi="宋体" w:cs="宋体"/>
                <w:color w:val="auto"/>
                <w:sz w:val="18"/>
                <w:szCs w:val="18"/>
                <w:highlight w:val="none"/>
                <w:lang w:eastAsia="zh-CN"/>
              </w:rPr>
              <w:t>—</w:t>
            </w:r>
            <w:r>
              <w:rPr>
                <w:rFonts w:hint="eastAsia" w:hAnsi="宋体" w:cs="宋体"/>
                <w:color w:val="auto"/>
                <w:sz w:val="18"/>
                <w:szCs w:val="18"/>
                <w:highlight w:val="none"/>
              </w:rPr>
              <w:t>56mm，镜框高度30</w:t>
            </w:r>
            <w:r>
              <w:rPr>
                <w:rFonts w:hint="eastAsia" w:hAnsi="宋体" w:cs="宋体"/>
                <w:color w:val="auto"/>
                <w:sz w:val="18"/>
                <w:szCs w:val="18"/>
                <w:highlight w:val="none"/>
                <w:lang w:eastAsia="zh-CN"/>
              </w:rPr>
              <w:t>—</w:t>
            </w:r>
            <w:r>
              <w:rPr>
                <w:rFonts w:hint="eastAsia" w:hAnsi="宋体" w:cs="宋体"/>
                <w:color w:val="auto"/>
                <w:sz w:val="18"/>
                <w:szCs w:val="18"/>
                <w:highlight w:val="none"/>
              </w:rPr>
              <w:t>46mm，鼻梁长度14</w:t>
            </w:r>
            <w:r>
              <w:rPr>
                <w:rFonts w:hint="eastAsia" w:hAnsi="宋体" w:cs="宋体"/>
                <w:color w:val="auto"/>
                <w:sz w:val="18"/>
                <w:szCs w:val="18"/>
                <w:highlight w:val="none"/>
                <w:lang w:eastAsia="zh-CN"/>
              </w:rPr>
              <w:t>—</w:t>
            </w:r>
            <w:r>
              <w:rPr>
                <w:rFonts w:hint="eastAsia" w:hAnsi="宋体" w:cs="宋体"/>
                <w:color w:val="auto"/>
                <w:sz w:val="18"/>
                <w:szCs w:val="18"/>
                <w:highlight w:val="none"/>
              </w:rPr>
              <w:t>19mm，镜腿长度132</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148mm，前倾角5-7°。</w:t>
            </w:r>
          </w:p>
        </w:tc>
        <w:tc>
          <w:tcPr>
            <w:tcW w:w="510" w:type="dxa"/>
            <w:vAlign w:val="center"/>
          </w:tcPr>
          <w:p w14:paraId="5A49B29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6F71E1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488</w:t>
            </w:r>
          </w:p>
        </w:tc>
      </w:tr>
      <w:tr w14:paraId="0007B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DC0A09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w:t>
            </w:r>
          </w:p>
        </w:tc>
        <w:tc>
          <w:tcPr>
            <w:tcW w:w="1623" w:type="dxa"/>
            <w:vAlign w:val="center"/>
          </w:tcPr>
          <w:p w14:paraId="2360C96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商务金属镜架</w:t>
            </w:r>
          </w:p>
        </w:tc>
        <w:tc>
          <w:tcPr>
            <w:tcW w:w="386" w:type="dxa"/>
            <w:vAlign w:val="center"/>
          </w:tcPr>
          <w:p w14:paraId="1F8D1D5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79D2490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合金材质，无镍电镀。适配 20 岁以上商务人群。 符合 GB/T 14214-2019 标准。镜架总长度 128</w:t>
            </w:r>
            <w:r>
              <w:rPr>
                <w:rFonts w:hint="eastAsia" w:hAnsi="宋体" w:cs="宋体"/>
                <w:color w:val="auto"/>
                <w:sz w:val="18"/>
                <w:szCs w:val="18"/>
                <w:highlight w:val="none"/>
                <w:lang w:eastAsia="zh-CN"/>
              </w:rPr>
              <w:t>—</w:t>
            </w:r>
            <w:r>
              <w:rPr>
                <w:rFonts w:hint="eastAsia" w:hAnsi="宋体" w:cs="宋体"/>
                <w:color w:val="auto"/>
                <w:sz w:val="18"/>
                <w:szCs w:val="18"/>
                <w:highlight w:val="none"/>
              </w:rPr>
              <w:t>146mm，单个镜框长度 49</w:t>
            </w:r>
            <w:r>
              <w:rPr>
                <w:rFonts w:hint="eastAsia" w:hAnsi="宋体" w:cs="宋体"/>
                <w:color w:val="auto"/>
                <w:sz w:val="18"/>
                <w:szCs w:val="18"/>
                <w:highlight w:val="none"/>
                <w:lang w:eastAsia="zh-CN"/>
              </w:rPr>
              <w:t>—</w:t>
            </w:r>
            <w:r>
              <w:rPr>
                <w:rFonts w:hint="eastAsia" w:hAnsi="宋体" w:cs="宋体"/>
                <w:color w:val="auto"/>
                <w:sz w:val="18"/>
                <w:szCs w:val="18"/>
                <w:highlight w:val="none"/>
              </w:rPr>
              <w:t>57mm， 镜框高度 31</w:t>
            </w:r>
            <w:r>
              <w:rPr>
                <w:rFonts w:hint="eastAsia" w:hAnsi="宋体" w:cs="宋体"/>
                <w:color w:val="auto"/>
                <w:sz w:val="18"/>
                <w:szCs w:val="18"/>
                <w:highlight w:val="none"/>
                <w:lang w:eastAsia="zh-CN"/>
              </w:rPr>
              <w:t>—</w:t>
            </w:r>
            <w:r>
              <w:rPr>
                <w:rFonts w:hint="eastAsia" w:hAnsi="宋体" w:cs="宋体"/>
                <w:color w:val="auto"/>
                <w:sz w:val="18"/>
                <w:szCs w:val="18"/>
                <w:highlight w:val="none"/>
              </w:rPr>
              <w:t>45mm，鼻梁长度 16</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 度 140</w:t>
            </w:r>
            <w:r>
              <w:rPr>
                <w:rFonts w:hint="eastAsia" w:hAnsi="宋体" w:cs="宋体"/>
                <w:color w:val="auto"/>
                <w:sz w:val="18"/>
                <w:szCs w:val="18"/>
                <w:highlight w:val="none"/>
                <w:lang w:eastAsia="zh-CN"/>
              </w:rPr>
              <w:t>—</w:t>
            </w:r>
            <w:r>
              <w:rPr>
                <w:rFonts w:hint="eastAsia" w:hAnsi="宋体" w:cs="宋体"/>
                <w:color w:val="auto"/>
                <w:sz w:val="18"/>
                <w:szCs w:val="18"/>
                <w:highlight w:val="none"/>
              </w:rPr>
              <w:t>163mm，前倾角 6-7°。</w:t>
            </w:r>
          </w:p>
        </w:tc>
        <w:tc>
          <w:tcPr>
            <w:tcW w:w="510" w:type="dxa"/>
            <w:vAlign w:val="center"/>
          </w:tcPr>
          <w:p w14:paraId="62729F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2501EE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162</w:t>
            </w:r>
          </w:p>
        </w:tc>
      </w:tr>
      <w:tr w14:paraId="4D41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7094F4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c>
          <w:tcPr>
            <w:tcW w:w="1623" w:type="dxa"/>
            <w:vAlign w:val="center"/>
          </w:tcPr>
          <w:p w14:paraId="79511E0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时尚金属镜架</w:t>
            </w:r>
          </w:p>
        </w:tc>
        <w:tc>
          <w:tcPr>
            <w:tcW w:w="386" w:type="dxa"/>
            <w:vAlign w:val="center"/>
          </w:tcPr>
          <w:p w14:paraId="32C106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E8A0C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合金材质，无镍电镀。适配12 岁以上</w:t>
            </w:r>
            <w:r>
              <w:rPr>
                <w:rFonts w:hint="eastAsia" w:hAnsi="宋体" w:cs="宋体"/>
                <w:color w:val="auto"/>
                <w:sz w:val="18"/>
                <w:szCs w:val="18"/>
                <w:highlight w:val="none"/>
                <w:lang w:eastAsia="zh-CN"/>
              </w:rPr>
              <w:t>青少年</w:t>
            </w:r>
            <w:r>
              <w:rPr>
                <w:rFonts w:hint="eastAsia" w:hAnsi="宋体" w:cs="宋体"/>
                <w:color w:val="auto"/>
                <w:sz w:val="18"/>
                <w:szCs w:val="18"/>
                <w:highlight w:val="none"/>
              </w:rPr>
              <w:t>。 符合 GB/T 14214-2019 标准。镜架总长度 128</w:t>
            </w:r>
            <w:r>
              <w:rPr>
                <w:rFonts w:hint="eastAsia" w:hAnsi="宋体" w:cs="宋体"/>
                <w:color w:val="auto"/>
                <w:sz w:val="18"/>
                <w:szCs w:val="18"/>
                <w:highlight w:val="none"/>
                <w:lang w:eastAsia="zh-CN"/>
              </w:rPr>
              <w:t>—</w:t>
            </w:r>
            <w:r>
              <w:rPr>
                <w:rFonts w:hint="eastAsia" w:hAnsi="宋体" w:cs="宋体"/>
                <w:color w:val="auto"/>
                <w:sz w:val="18"/>
                <w:szCs w:val="18"/>
                <w:highlight w:val="none"/>
              </w:rPr>
              <w:t>146mm，单个镜框长度 49</w:t>
            </w:r>
            <w:r>
              <w:rPr>
                <w:rFonts w:hint="eastAsia" w:hAnsi="宋体" w:cs="宋体"/>
                <w:color w:val="auto"/>
                <w:sz w:val="18"/>
                <w:szCs w:val="18"/>
                <w:highlight w:val="none"/>
                <w:lang w:eastAsia="zh-CN"/>
              </w:rPr>
              <w:t>—</w:t>
            </w:r>
            <w:r>
              <w:rPr>
                <w:rFonts w:hint="eastAsia" w:hAnsi="宋体" w:cs="宋体"/>
                <w:color w:val="auto"/>
                <w:sz w:val="18"/>
                <w:szCs w:val="18"/>
                <w:highlight w:val="none"/>
              </w:rPr>
              <w:t>57mm， 镜框高度 31</w:t>
            </w:r>
            <w:r>
              <w:rPr>
                <w:rFonts w:hint="eastAsia" w:hAnsi="宋体" w:cs="宋体"/>
                <w:color w:val="auto"/>
                <w:sz w:val="18"/>
                <w:szCs w:val="18"/>
                <w:highlight w:val="none"/>
                <w:lang w:eastAsia="zh-CN"/>
              </w:rPr>
              <w:t>—</w:t>
            </w:r>
            <w:r>
              <w:rPr>
                <w:rFonts w:hint="eastAsia" w:hAnsi="宋体" w:cs="宋体"/>
                <w:color w:val="auto"/>
                <w:sz w:val="18"/>
                <w:szCs w:val="18"/>
                <w:highlight w:val="none"/>
              </w:rPr>
              <w:t>45mm，鼻梁长度 16</w:t>
            </w:r>
            <w:r>
              <w:rPr>
                <w:rFonts w:hint="eastAsia" w:hAnsi="宋体" w:cs="宋体"/>
                <w:color w:val="auto"/>
                <w:sz w:val="18"/>
                <w:szCs w:val="18"/>
                <w:highlight w:val="none"/>
                <w:lang w:eastAsia="zh-CN"/>
              </w:rPr>
              <w:t>—</w:t>
            </w:r>
            <w:r>
              <w:rPr>
                <w:rFonts w:hint="eastAsia" w:hAnsi="宋体" w:cs="宋体"/>
                <w:color w:val="auto"/>
                <w:sz w:val="18"/>
                <w:szCs w:val="18"/>
                <w:highlight w:val="none"/>
              </w:rPr>
              <w:t>18mm，镜腿长 度 140</w:t>
            </w:r>
            <w:r>
              <w:rPr>
                <w:rFonts w:hint="eastAsia" w:hAnsi="宋体" w:cs="宋体"/>
                <w:color w:val="auto"/>
                <w:sz w:val="18"/>
                <w:szCs w:val="18"/>
                <w:highlight w:val="none"/>
                <w:lang w:eastAsia="zh-CN"/>
              </w:rPr>
              <w:t>—</w:t>
            </w:r>
            <w:r>
              <w:rPr>
                <w:rFonts w:hint="eastAsia" w:hAnsi="宋体" w:cs="宋体"/>
                <w:color w:val="auto"/>
                <w:sz w:val="18"/>
                <w:szCs w:val="18"/>
                <w:highlight w:val="none"/>
              </w:rPr>
              <w:t>163mm，前倾角 6-7°。</w:t>
            </w:r>
          </w:p>
        </w:tc>
        <w:tc>
          <w:tcPr>
            <w:tcW w:w="510" w:type="dxa"/>
            <w:vAlign w:val="center"/>
          </w:tcPr>
          <w:p w14:paraId="18D6470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448602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162</w:t>
            </w:r>
          </w:p>
        </w:tc>
      </w:tr>
      <w:tr w14:paraId="1CB58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56FC62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59</w:t>
            </w:r>
          </w:p>
        </w:tc>
        <w:tc>
          <w:tcPr>
            <w:tcW w:w="1623" w:type="dxa"/>
            <w:vAlign w:val="center"/>
          </w:tcPr>
          <w:p w14:paraId="73062DC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钛镜架</w:t>
            </w:r>
          </w:p>
        </w:tc>
        <w:tc>
          <w:tcPr>
            <w:tcW w:w="386" w:type="dxa"/>
            <w:vAlign w:val="center"/>
          </w:tcPr>
          <w:p w14:paraId="4FA09C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48ECBC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β钛材质。真空电镀工艺，适配青少年学生和商务成人群体， 符合 GB/T 14214-2019 标准。镜架总长度 119</w:t>
            </w:r>
            <w:r>
              <w:rPr>
                <w:rFonts w:hint="eastAsia" w:hAnsi="宋体" w:cs="宋体"/>
                <w:color w:val="auto"/>
                <w:sz w:val="18"/>
                <w:szCs w:val="18"/>
                <w:highlight w:val="none"/>
                <w:lang w:eastAsia="zh-CN"/>
              </w:rPr>
              <w:t>—</w:t>
            </w:r>
            <w:r>
              <w:rPr>
                <w:rFonts w:hint="eastAsia" w:hAnsi="宋体" w:cs="宋体"/>
                <w:color w:val="auto"/>
                <w:sz w:val="18"/>
                <w:szCs w:val="18"/>
                <w:highlight w:val="none"/>
              </w:rPr>
              <w:t>140mm，单个镜框长度 45</w:t>
            </w:r>
            <w:r>
              <w:rPr>
                <w:rFonts w:hint="eastAsia" w:hAnsi="宋体" w:cs="宋体"/>
                <w:color w:val="auto"/>
                <w:sz w:val="18"/>
                <w:szCs w:val="18"/>
                <w:highlight w:val="none"/>
                <w:lang w:eastAsia="zh-CN"/>
              </w:rPr>
              <w:t>—</w:t>
            </w:r>
            <w:r>
              <w:rPr>
                <w:rFonts w:hint="eastAsia" w:hAnsi="宋体" w:cs="宋体"/>
                <w:color w:val="auto"/>
                <w:sz w:val="18"/>
                <w:szCs w:val="18"/>
                <w:highlight w:val="none"/>
              </w:rPr>
              <w:t>55mm， 镜框高度 39</w:t>
            </w:r>
            <w:r>
              <w:rPr>
                <w:rFonts w:hint="eastAsia" w:hAnsi="宋体" w:cs="宋体"/>
                <w:color w:val="auto"/>
                <w:sz w:val="18"/>
                <w:szCs w:val="18"/>
                <w:highlight w:val="none"/>
                <w:lang w:eastAsia="zh-CN"/>
              </w:rPr>
              <w:t>—</w:t>
            </w:r>
            <w:r>
              <w:rPr>
                <w:rFonts w:hint="eastAsia" w:hAnsi="宋体" w:cs="宋体"/>
                <w:color w:val="auto"/>
                <w:sz w:val="18"/>
                <w:szCs w:val="18"/>
                <w:highlight w:val="none"/>
              </w:rPr>
              <w:t>47mm，鼻梁长度 16</w:t>
            </w:r>
            <w:r>
              <w:rPr>
                <w:rFonts w:hint="eastAsia" w:hAnsi="宋体" w:cs="宋体"/>
                <w:color w:val="auto"/>
                <w:sz w:val="18"/>
                <w:szCs w:val="18"/>
                <w:highlight w:val="none"/>
                <w:lang w:eastAsia="zh-CN"/>
              </w:rPr>
              <w:t>—</w:t>
            </w:r>
            <w:r>
              <w:rPr>
                <w:rFonts w:hint="eastAsia" w:hAnsi="宋体" w:cs="宋体"/>
                <w:color w:val="auto"/>
                <w:sz w:val="18"/>
                <w:szCs w:val="18"/>
                <w:highlight w:val="none"/>
              </w:rPr>
              <w:t>20mm，镜腿长 度 135</w:t>
            </w:r>
            <w:r>
              <w:rPr>
                <w:rFonts w:hint="eastAsia" w:hAnsi="宋体" w:cs="宋体"/>
                <w:color w:val="auto"/>
                <w:sz w:val="18"/>
                <w:szCs w:val="18"/>
                <w:highlight w:val="none"/>
                <w:lang w:eastAsia="zh-CN"/>
              </w:rPr>
              <w:t>—</w:t>
            </w:r>
            <w:r>
              <w:rPr>
                <w:rFonts w:hint="eastAsia" w:hAnsi="宋体" w:cs="宋体"/>
                <w:color w:val="auto"/>
                <w:sz w:val="18"/>
                <w:szCs w:val="18"/>
                <w:highlight w:val="none"/>
              </w:rPr>
              <w:t>148mm，前倾角 6-8°。</w:t>
            </w:r>
          </w:p>
        </w:tc>
        <w:tc>
          <w:tcPr>
            <w:tcW w:w="510" w:type="dxa"/>
            <w:vAlign w:val="center"/>
          </w:tcPr>
          <w:p w14:paraId="378144B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03EB72F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252</w:t>
            </w:r>
          </w:p>
        </w:tc>
      </w:tr>
      <w:tr w14:paraId="36624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CA95C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60</w:t>
            </w:r>
          </w:p>
        </w:tc>
        <w:tc>
          <w:tcPr>
            <w:tcW w:w="1623" w:type="dxa"/>
            <w:vAlign w:val="center"/>
          </w:tcPr>
          <w:p w14:paraId="689209A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运动镜架</w:t>
            </w:r>
          </w:p>
        </w:tc>
        <w:tc>
          <w:tcPr>
            <w:tcW w:w="386" w:type="dxa"/>
            <w:vAlign w:val="center"/>
          </w:tcPr>
          <w:p w14:paraId="424158D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096901CC">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采用优质硅胶材质</w:t>
            </w:r>
            <w:r>
              <w:rPr>
                <w:rFonts w:hint="eastAsia" w:hAnsi="宋体" w:cs="宋体"/>
                <w:color w:val="auto"/>
                <w:sz w:val="18"/>
                <w:szCs w:val="18"/>
                <w:highlight w:val="none"/>
              </w:rPr>
              <w:t>，环保材质达到食品器械级标准。 适配8-18岁淘气活泼儿童青少年群体。解决孩童打闹暴力脱镜时腿部划过面部带来的安全隐患。符合 GB/T 14214-2019 标准。镜架总长度 90</w:t>
            </w:r>
            <w:r>
              <w:rPr>
                <w:rFonts w:hint="eastAsia" w:hAnsi="宋体" w:cs="宋体"/>
                <w:color w:val="auto"/>
                <w:sz w:val="18"/>
                <w:szCs w:val="18"/>
                <w:highlight w:val="none"/>
                <w:lang w:eastAsia="zh-CN"/>
              </w:rPr>
              <w:t>—</w:t>
            </w:r>
            <w:r>
              <w:rPr>
                <w:rFonts w:hint="eastAsia" w:hAnsi="宋体" w:cs="宋体"/>
                <w:color w:val="auto"/>
                <w:sz w:val="18"/>
                <w:szCs w:val="18"/>
                <w:highlight w:val="none"/>
              </w:rPr>
              <w:t>144mm，单个镜框长度 38</w:t>
            </w:r>
            <w:r>
              <w:rPr>
                <w:rFonts w:hint="eastAsia" w:hAnsi="宋体" w:cs="宋体"/>
                <w:color w:val="auto"/>
                <w:sz w:val="18"/>
                <w:szCs w:val="18"/>
                <w:highlight w:val="none"/>
                <w:lang w:eastAsia="zh-CN"/>
              </w:rPr>
              <w:t>—</w:t>
            </w:r>
            <w:r>
              <w:rPr>
                <w:rFonts w:hint="eastAsia" w:hAnsi="宋体" w:cs="宋体"/>
                <w:color w:val="auto"/>
                <w:sz w:val="18"/>
                <w:szCs w:val="18"/>
                <w:highlight w:val="none"/>
              </w:rPr>
              <w:t>49mm， 镜框高度 27</w:t>
            </w:r>
            <w:r>
              <w:rPr>
                <w:rFonts w:hint="eastAsia" w:hAnsi="宋体" w:cs="宋体"/>
                <w:color w:val="auto"/>
                <w:sz w:val="18"/>
                <w:szCs w:val="18"/>
                <w:highlight w:val="none"/>
                <w:lang w:eastAsia="zh-CN"/>
              </w:rPr>
              <w:t>—</w:t>
            </w:r>
            <w:r>
              <w:rPr>
                <w:rFonts w:hint="eastAsia" w:hAnsi="宋体" w:cs="宋体"/>
                <w:color w:val="auto"/>
                <w:sz w:val="18"/>
                <w:szCs w:val="18"/>
                <w:highlight w:val="none"/>
              </w:rPr>
              <w:t>35mm，鼻梁长度 14</w:t>
            </w:r>
            <w:r>
              <w:rPr>
                <w:rFonts w:hint="eastAsia" w:hAnsi="宋体" w:cs="宋体"/>
                <w:color w:val="auto"/>
                <w:sz w:val="18"/>
                <w:szCs w:val="18"/>
                <w:highlight w:val="none"/>
                <w:lang w:eastAsia="zh-CN"/>
              </w:rPr>
              <w:t>—</w:t>
            </w:r>
            <w:r>
              <w:rPr>
                <w:rFonts w:hint="eastAsia" w:hAnsi="宋体" w:cs="宋体"/>
                <w:color w:val="auto"/>
                <w:sz w:val="18"/>
                <w:szCs w:val="18"/>
                <w:highlight w:val="none"/>
              </w:rPr>
              <w:t>16mm，镜腿长 度 125</w:t>
            </w:r>
            <w:r>
              <w:rPr>
                <w:rFonts w:hint="eastAsia" w:hAnsi="宋体" w:cs="宋体"/>
                <w:color w:val="auto"/>
                <w:sz w:val="18"/>
                <w:szCs w:val="18"/>
                <w:highlight w:val="none"/>
                <w:lang w:eastAsia="zh-CN"/>
              </w:rPr>
              <w:t>—</w:t>
            </w:r>
            <w:r>
              <w:rPr>
                <w:rFonts w:hint="eastAsia" w:hAnsi="宋体" w:cs="宋体"/>
                <w:color w:val="auto"/>
                <w:sz w:val="18"/>
                <w:szCs w:val="18"/>
                <w:highlight w:val="none"/>
              </w:rPr>
              <w:t>138mm，前倾角 6-7°。</w:t>
            </w:r>
          </w:p>
        </w:tc>
        <w:tc>
          <w:tcPr>
            <w:tcW w:w="510" w:type="dxa"/>
            <w:vAlign w:val="center"/>
          </w:tcPr>
          <w:p w14:paraId="551301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全框</w:t>
            </w:r>
          </w:p>
        </w:tc>
        <w:tc>
          <w:tcPr>
            <w:tcW w:w="757" w:type="dxa"/>
            <w:vAlign w:val="center"/>
          </w:tcPr>
          <w:p w14:paraId="0E1087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110</w:t>
            </w:r>
          </w:p>
        </w:tc>
      </w:tr>
    </w:tbl>
    <w:p w14:paraId="4E5C7D0D">
      <w:pPr>
        <w:rPr>
          <w:color w:val="auto"/>
          <w:highlight w:val="none"/>
        </w:rPr>
      </w:pPr>
      <w:r>
        <w:rPr>
          <w:color w:val="auto"/>
          <w:highlight w:val="none"/>
        </w:rPr>
        <w:br w:type="page"/>
      </w:r>
    </w:p>
    <w:p w14:paraId="5A404A33">
      <w:pPr>
        <w:spacing w:before="120" w:after="360"/>
        <w:jc w:val="center"/>
        <w:rPr>
          <w:color w:val="auto"/>
          <w:highlight w:val="none"/>
        </w:rPr>
      </w:pPr>
      <w:r>
        <w:rPr>
          <w:rFonts w:ascii="Calibri" w:hAnsi="Calibri" w:eastAsia="微软雅黑"/>
          <w:color w:val="auto"/>
          <w:sz w:val="44"/>
          <w:highlight w:val="none"/>
        </w:rPr>
        <w:t>二、眼镜片采购清单</w:t>
      </w:r>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423"/>
        <w:gridCol w:w="1533"/>
        <w:gridCol w:w="365"/>
        <w:gridCol w:w="9939"/>
        <w:gridCol w:w="481"/>
        <w:gridCol w:w="715"/>
      </w:tblGrid>
      <w:tr w14:paraId="794C4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00" w:hRule="atLeast"/>
          <w:tblHeader/>
        </w:trPr>
        <w:tc>
          <w:tcPr>
            <w:tcW w:w="448" w:type="dxa"/>
            <w:vAlign w:val="center"/>
          </w:tcPr>
          <w:p w14:paraId="7C882150">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序号</w:t>
            </w:r>
          </w:p>
        </w:tc>
        <w:tc>
          <w:tcPr>
            <w:tcW w:w="1623" w:type="dxa"/>
            <w:vAlign w:val="center"/>
          </w:tcPr>
          <w:p w14:paraId="181D91E5">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标的名称</w:t>
            </w:r>
          </w:p>
        </w:tc>
        <w:tc>
          <w:tcPr>
            <w:tcW w:w="386" w:type="dxa"/>
            <w:vAlign w:val="center"/>
          </w:tcPr>
          <w:p w14:paraId="6EEBD27C">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单位</w:t>
            </w:r>
          </w:p>
        </w:tc>
        <w:tc>
          <w:tcPr>
            <w:tcW w:w="10526" w:type="dxa"/>
            <w:vAlign w:val="center"/>
          </w:tcPr>
          <w:p w14:paraId="6A403027">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技术参数</w:t>
            </w:r>
          </w:p>
        </w:tc>
        <w:tc>
          <w:tcPr>
            <w:tcW w:w="510" w:type="dxa"/>
            <w:vAlign w:val="center"/>
          </w:tcPr>
          <w:p w14:paraId="01B3A5A4">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规格</w:t>
            </w:r>
          </w:p>
        </w:tc>
        <w:tc>
          <w:tcPr>
            <w:tcW w:w="757" w:type="dxa"/>
            <w:vAlign w:val="center"/>
          </w:tcPr>
          <w:p w14:paraId="05176BF1">
            <w:pPr>
              <w:spacing w:before="40" w:after="40" w:line="320" w:lineRule="auto"/>
              <w:jc w:val="center"/>
              <w:rPr>
                <w:rFonts w:hAnsi="宋体" w:cs="宋体"/>
                <w:color w:val="auto"/>
                <w:sz w:val="18"/>
                <w:szCs w:val="18"/>
                <w:highlight w:val="none"/>
              </w:rPr>
            </w:pPr>
            <w:r>
              <w:rPr>
                <w:rFonts w:hint="eastAsia" w:hAnsi="宋体" w:cs="宋体"/>
                <w:color w:val="auto"/>
                <w:sz w:val="18"/>
                <w:szCs w:val="18"/>
                <w:highlight w:val="none"/>
              </w:rPr>
              <w:t>单价预控价（元）</w:t>
            </w:r>
          </w:p>
        </w:tc>
      </w:tr>
      <w:tr w14:paraId="7AF9C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461E6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w:t>
            </w:r>
          </w:p>
        </w:tc>
        <w:tc>
          <w:tcPr>
            <w:tcW w:w="1623" w:type="dxa"/>
            <w:vAlign w:val="center"/>
          </w:tcPr>
          <w:p w14:paraId="6CB9708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1.50高清球面树脂镜片</w:t>
            </w:r>
          </w:p>
        </w:tc>
        <w:tc>
          <w:tcPr>
            <w:tcW w:w="386" w:type="dxa"/>
            <w:vAlign w:val="center"/>
          </w:tcPr>
          <w:p w14:paraId="78D53FC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C1692A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w:t>
            </w:r>
            <w:r>
              <w:rPr>
                <w:rFonts w:hint="eastAsia" w:hAnsi="宋体" w:cs="宋体"/>
                <w:color w:val="auto"/>
                <w:sz w:val="18"/>
                <w:szCs w:val="18"/>
                <w:highlight w:val="none"/>
                <w:lang w:eastAsia="zh-CN"/>
              </w:rPr>
              <w:t>、</w:t>
            </w:r>
            <w:r>
              <w:rPr>
                <w:rFonts w:hint="eastAsia" w:hAnsi="宋体" w:cs="宋体"/>
                <w:color w:val="auto"/>
                <w:sz w:val="18"/>
                <w:szCs w:val="18"/>
                <w:highlight w:val="none"/>
              </w:rPr>
              <w:t>光度范围：球镜+3.00~-3.00，柱镜-0.00~-2.00</w:t>
            </w:r>
          </w:p>
        </w:tc>
        <w:tc>
          <w:tcPr>
            <w:tcW w:w="510" w:type="dxa"/>
            <w:vAlign w:val="center"/>
          </w:tcPr>
          <w:p w14:paraId="5A89B7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0A920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37.91</w:t>
            </w:r>
          </w:p>
        </w:tc>
      </w:tr>
      <w:tr w14:paraId="2F96E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C5F88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w:t>
            </w:r>
          </w:p>
        </w:tc>
        <w:tc>
          <w:tcPr>
            <w:tcW w:w="1623" w:type="dxa"/>
            <w:vAlign w:val="center"/>
          </w:tcPr>
          <w:p w14:paraId="600235A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1.50高清球面树脂镜片</w:t>
            </w:r>
          </w:p>
        </w:tc>
        <w:tc>
          <w:tcPr>
            <w:tcW w:w="386" w:type="dxa"/>
            <w:vAlign w:val="center"/>
          </w:tcPr>
          <w:p w14:paraId="3039FF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5EBF9B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+8.00~-12.00，柱镜-0.00~-4.00，联合光度+8.00（-12.00）</w:t>
            </w:r>
          </w:p>
        </w:tc>
        <w:tc>
          <w:tcPr>
            <w:tcW w:w="510" w:type="dxa"/>
            <w:vAlign w:val="center"/>
          </w:tcPr>
          <w:p w14:paraId="5D33F4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78912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43.32</w:t>
            </w:r>
          </w:p>
        </w:tc>
      </w:tr>
      <w:tr w14:paraId="659EE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E932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w:t>
            </w:r>
          </w:p>
        </w:tc>
        <w:tc>
          <w:tcPr>
            <w:tcW w:w="1623" w:type="dxa"/>
            <w:vAlign w:val="center"/>
          </w:tcPr>
          <w:p w14:paraId="78877E0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1.56高清非球抗冲击安全树脂镜片</w:t>
            </w:r>
          </w:p>
        </w:tc>
        <w:tc>
          <w:tcPr>
            <w:tcW w:w="386" w:type="dxa"/>
            <w:vAlign w:val="center"/>
          </w:tcPr>
          <w:p w14:paraId="521FE8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C3EBD7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w:t>
            </w:r>
            <w:r>
              <w:rPr>
                <w:rFonts w:hint="eastAsia" w:hAnsi="宋体" w:cs="宋体"/>
                <w:color w:val="auto"/>
                <w:sz w:val="18"/>
                <w:szCs w:val="18"/>
                <w:highlight w:val="none"/>
              </w:rPr>
              <w:t>多层镀膜结构，包含了加硬膜、超级减反射膜及清洁膜</w:t>
            </w:r>
            <w:r>
              <w:rPr>
                <w:rFonts w:hint="eastAsia" w:hAnsi="宋体" w:cs="宋体"/>
                <w:color w:val="auto"/>
                <w:sz w:val="18"/>
                <w:szCs w:val="18"/>
                <w:highlight w:val="none"/>
                <w:lang w:eastAsia="zh-CN"/>
              </w:rPr>
              <w:t>，</w:t>
            </w:r>
            <w:r>
              <w:rPr>
                <w:rFonts w:hint="eastAsia" w:hAnsi="宋体" w:cs="宋体"/>
                <w:color w:val="auto"/>
                <w:sz w:val="18"/>
                <w:szCs w:val="18"/>
                <w:highlight w:val="none"/>
              </w:rPr>
              <w:t>同时具有抗静电功能，为镜片提供全方位的保护。 2.防水和防油镀膜呈现极强的水珠效应，液体和灰尘会从镜片滴落或掉落，镜片</w:t>
            </w:r>
            <w:r>
              <w:rPr>
                <w:rFonts w:hint="eastAsia" w:hAnsi="宋体" w:cs="宋体"/>
                <w:color w:val="auto"/>
                <w:sz w:val="18"/>
                <w:szCs w:val="18"/>
                <w:highlight w:val="none"/>
                <w:lang w:eastAsia="zh-CN"/>
              </w:rPr>
              <w:t>沾</w:t>
            </w:r>
            <w:r>
              <w:rPr>
                <w:rFonts w:hint="eastAsia" w:hAnsi="宋体" w:cs="宋体"/>
                <w:color w:val="auto"/>
                <w:sz w:val="18"/>
                <w:szCs w:val="18"/>
                <w:highlight w:val="none"/>
              </w:rPr>
              <w:t>到污垢时的清洁和保养工作也会变得更为容易，能有效简化清洁工作。 3.宽带减反射镀膜可消除刺眼的眩光和反光，4.洁净镀膜防水、防污、防油。5.超级滤光多层膜：多层结构，透明度好。 二、光度范围：球镜+4.00~-10.00，柱镜-0.00~-2.00</w:t>
            </w:r>
          </w:p>
        </w:tc>
        <w:tc>
          <w:tcPr>
            <w:tcW w:w="510" w:type="dxa"/>
            <w:vAlign w:val="center"/>
          </w:tcPr>
          <w:p w14:paraId="19BC513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C75C5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54</w:t>
            </w:r>
          </w:p>
        </w:tc>
      </w:tr>
      <w:tr w14:paraId="04017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35EBD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w:t>
            </w:r>
          </w:p>
        </w:tc>
        <w:tc>
          <w:tcPr>
            <w:tcW w:w="1623" w:type="dxa"/>
            <w:vAlign w:val="center"/>
          </w:tcPr>
          <w:p w14:paraId="66C1222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1.56高清非球抗冲击安全树脂镜片</w:t>
            </w:r>
          </w:p>
        </w:tc>
        <w:tc>
          <w:tcPr>
            <w:tcW w:w="386" w:type="dxa"/>
            <w:vAlign w:val="center"/>
          </w:tcPr>
          <w:p w14:paraId="2E32FD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4469C1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w:t>
            </w:r>
            <w:r>
              <w:rPr>
                <w:rFonts w:hint="eastAsia" w:hAnsi="宋体" w:cs="宋体"/>
                <w:color w:val="auto"/>
                <w:sz w:val="18"/>
                <w:szCs w:val="18"/>
                <w:highlight w:val="none"/>
              </w:rPr>
              <w:t>多层镀膜结构，包含了加硬膜、超级减反射膜及清洁膜</w:t>
            </w:r>
            <w:r>
              <w:rPr>
                <w:rFonts w:hint="eastAsia" w:hAnsi="宋体" w:cs="宋体"/>
                <w:color w:val="auto"/>
                <w:sz w:val="18"/>
                <w:szCs w:val="18"/>
                <w:highlight w:val="none"/>
                <w:lang w:eastAsia="zh-CN"/>
              </w:rPr>
              <w:t>，</w:t>
            </w:r>
            <w:r>
              <w:rPr>
                <w:rFonts w:hint="eastAsia" w:hAnsi="宋体" w:cs="宋体"/>
                <w:color w:val="auto"/>
                <w:sz w:val="18"/>
                <w:szCs w:val="18"/>
                <w:highlight w:val="none"/>
              </w:rPr>
              <w:t>同时具有抗静电功能，为镜片提供全方位的保护。 2.防水和防油镀膜呈现极强的水珠效应，液体和灰尘会从镜片滴落或掉落，镜片</w:t>
            </w:r>
            <w:r>
              <w:rPr>
                <w:rFonts w:hint="eastAsia" w:hAnsi="宋体" w:cs="宋体"/>
                <w:color w:val="auto"/>
                <w:sz w:val="18"/>
                <w:szCs w:val="18"/>
                <w:highlight w:val="none"/>
                <w:lang w:eastAsia="zh-CN"/>
              </w:rPr>
              <w:t>沾上</w:t>
            </w:r>
            <w:r>
              <w:rPr>
                <w:rFonts w:hint="eastAsia" w:hAnsi="宋体" w:cs="宋体"/>
                <w:color w:val="auto"/>
                <w:sz w:val="18"/>
                <w:szCs w:val="18"/>
                <w:highlight w:val="none"/>
              </w:rPr>
              <w:t>污垢时的清洁和保养工作也会变得更为容易，能有效简化清洁工作。 3.宽带减反射镀膜可消除刺眼的眩光和反光</w:t>
            </w:r>
            <w:r>
              <w:rPr>
                <w:rFonts w:hint="eastAsia" w:hAnsi="宋体" w:cs="宋体"/>
                <w:color w:val="auto"/>
                <w:sz w:val="18"/>
                <w:szCs w:val="18"/>
                <w:highlight w:val="none"/>
                <w:lang w:eastAsia="zh-CN"/>
              </w:rPr>
              <w:t>；</w:t>
            </w:r>
            <w:r>
              <w:rPr>
                <w:rFonts w:hint="eastAsia" w:hAnsi="宋体" w:cs="宋体"/>
                <w:color w:val="auto"/>
                <w:sz w:val="18"/>
                <w:szCs w:val="18"/>
                <w:highlight w:val="none"/>
              </w:rPr>
              <w:t>4.洁净镀膜防水、防污、防油。5.超级滤光多层膜：多层结构，透明度好。 二、光度范围：球镜+6.00~-24.00，柱镜-0.00~-6.00，联合光度+6.00（-24.00）</w:t>
            </w:r>
          </w:p>
        </w:tc>
        <w:tc>
          <w:tcPr>
            <w:tcW w:w="510" w:type="dxa"/>
            <w:vAlign w:val="center"/>
          </w:tcPr>
          <w:p w14:paraId="6BDF92A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E7374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99.28</w:t>
            </w:r>
          </w:p>
        </w:tc>
      </w:tr>
      <w:tr w14:paraId="62899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20E5A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w:t>
            </w:r>
          </w:p>
        </w:tc>
        <w:tc>
          <w:tcPr>
            <w:tcW w:w="1623" w:type="dxa"/>
            <w:vAlign w:val="center"/>
          </w:tcPr>
          <w:p w14:paraId="3517900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1.56球面树脂镜片</w:t>
            </w:r>
          </w:p>
        </w:tc>
        <w:tc>
          <w:tcPr>
            <w:tcW w:w="386" w:type="dxa"/>
            <w:vAlign w:val="center"/>
          </w:tcPr>
          <w:p w14:paraId="6A4158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35BF76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w:t>
            </w:r>
            <w:r>
              <w:rPr>
                <w:rFonts w:hint="eastAsia" w:hAnsi="宋体" w:cs="宋体"/>
                <w:color w:val="auto"/>
                <w:sz w:val="18"/>
                <w:szCs w:val="18"/>
                <w:highlight w:val="none"/>
                <w:lang w:eastAsia="zh-CN"/>
              </w:rPr>
              <w:t>清晰</w:t>
            </w:r>
            <w:r>
              <w:rPr>
                <w:rFonts w:hint="eastAsia" w:hAnsi="宋体" w:cs="宋体"/>
                <w:color w:val="auto"/>
                <w:sz w:val="18"/>
                <w:szCs w:val="18"/>
                <w:highlight w:val="none"/>
              </w:rPr>
              <w:t>的视界。2.库存片采用科学曲面优化设计：曲率是镜片</w:t>
            </w:r>
            <w:r>
              <w:rPr>
                <w:rFonts w:hint="eastAsia" w:hAnsi="宋体" w:cs="宋体"/>
                <w:color w:val="auto"/>
                <w:sz w:val="18"/>
                <w:szCs w:val="18"/>
                <w:highlight w:val="none"/>
                <w:lang w:eastAsia="zh-CN"/>
              </w:rPr>
              <w:t>实现良好</w:t>
            </w:r>
            <w:r>
              <w:rPr>
                <w:rFonts w:hint="eastAsia" w:hAnsi="宋体" w:cs="宋体"/>
                <w:color w:val="auto"/>
                <w:sz w:val="18"/>
                <w:szCs w:val="18"/>
                <w:highlight w:val="none"/>
              </w:rPr>
              <w:t>成像</w:t>
            </w:r>
            <w:r>
              <w:rPr>
                <w:rFonts w:hint="eastAsia" w:hAnsi="宋体" w:cs="宋体"/>
                <w:color w:val="auto"/>
                <w:sz w:val="18"/>
                <w:szCs w:val="18"/>
                <w:highlight w:val="none"/>
                <w:lang w:eastAsia="zh-CN"/>
              </w:rPr>
              <w:t>的</w:t>
            </w:r>
            <w:r>
              <w:rPr>
                <w:rFonts w:hint="eastAsia" w:hAnsi="宋体" w:cs="宋体"/>
                <w:color w:val="auto"/>
                <w:sz w:val="18"/>
                <w:szCs w:val="18"/>
                <w:highlight w:val="none"/>
              </w:rPr>
              <w:t>重要因素，根据眼球的运动规律，通过科学计算</w:t>
            </w:r>
            <w:r>
              <w:rPr>
                <w:rFonts w:hint="eastAsia" w:hAnsi="宋体" w:cs="宋体"/>
                <w:color w:val="auto"/>
                <w:sz w:val="18"/>
                <w:szCs w:val="18"/>
                <w:highlight w:val="none"/>
                <w:lang w:eastAsia="zh-CN"/>
              </w:rPr>
              <w:t>使</w:t>
            </w:r>
            <w:r>
              <w:rPr>
                <w:rFonts w:hint="eastAsia" w:hAnsi="宋体" w:cs="宋体"/>
                <w:color w:val="auto"/>
                <w:sz w:val="18"/>
                <w:szCs w:val="18"/>
                <w:highlight w:val="none"/>
              </w:rPr>
              <w:t>镜片的内表面弯度接近，达到科学的矫正效果。3.树脂镜片，膜层易清洁、防静电、防水、防污、耐磨。二、光度范围：球镜+6</w:t>
            </w:r>
            <w:r>
              <w:rPr>
                <w:rFonts w:hint="eastAsia" w:hAnsi="宋体" w:cs="宋体"/>
                <w:color w:val="auto"/>
                <w:sz w:val="18"/>
                <w:szCs w:val="18"/>
                <w:highlight w:val="none"/>
                <w:lang w:eastAsia="zh-CN"/>
              </w:rPr>
              <w:t>.</w:t>
            </w:r>
            <w:r>
              <w:rPr>
                <w:rFonts w:hint="eastAsia" w:hAnsi="宋体" w:cs="宋体"/>
                <w:color w:val="auto"/>
                <w:sz w:val="18"/>
                <w:szCs w:val="18"/>
                <w:highlight w:val="none"/>
              </w:rPr>
              <w:t>00~-8.00，柱镜-0.00~-2.00</w:t>
            </w:r>
          </w:p>
        </w:tc>
        <w:tc>
          <w:tcPr>
            <w:tcW w:w="510" w:type="dxa"/>
            <w:vAlign w:val="center"/>
          </w:tcPr>
          <w:p w14:paraId="013822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2BBB9D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w:t>
            </w:r>
          </w:p>
        </w:tc>
      </w:tr>
      <w:tr w14:paraId="65899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800DD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w:t>
            </w:r>
          </w:p>
        </w:tc>
        <w:tc>
          <w:tcPr>
            <w:tcW w:w="1623" w:type="dxa"/>
            <w:vAlign w:val="center"/>
          </w:tcPr>
          <w:p w14:paraId="67B8BE2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1.56球面树脂镜片</w:t>
            </w:r>
          </w:p>
        </w:tc>
        <w:tc>
          <w:tcPr>
            <w:tcW w:w="386" w:type="dxa"/>
            <w:vAlign w:val="center"/>
          </w:tcPr>
          <w:p w14:paraId="45C034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3E0BCB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+10.00~-16.00，柱镜-0.00~-6.00，联合光度+10.00（-16.00）</w:t>
            </w:r>
          </w:p>
        </w:tc>
        <w:tc>
          <w:tcPr>
            <w:tcW w:w="510" w:type="dxa"/>
            <w:vAlign w:val="center"/>
          </w:tcPr>
          <w:p w14:paraId="244DAD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5AABD0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40.61</w:t>
            </w:r>
          </w:p>
        </w:tc>
      </w:tr>
      <w:tr w14:paraId="14113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B7A88E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w:t>
            </w:r>
          </w:p>
        </w:tc>
        <w:tc>
          <w:tcPr>
            <w:tcW w:w="1623" w:type="dxa"/>
            <w:vAlign w:val="center"/>
          </w:tcPr>
          <w:p w14:paraId="1EACD7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1.56非球面树脂镜片</w:t>
            </w:r>
          </w:p>
        </w:tc>
        <w:tc>
          <w:tcPr>
            <w:tcW w:w="386" w:type="dxa"/>
            <w:vAlign w:val="center"/>
          </w:tcPr>
          <w:p w14:paraId="12AB5E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E2AF70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w:t>
            </w:r>
            <w:r>
              <w:rPr>
                <w:rFonts w:hint="eastAsia" w:hAnsi="宋体" w:cs="宋体"/>
                <w:color w:val="auto"/>
                <w:sz w:val="18"/>
                <w:szCs w:val="18"/>
                <w:highlight w:val="none"/>
              </w:rPr>
              <w:t>非球面设计，糅合先进的曲面设计，带来宽阔的视野和</w:t>
            </w:r>
            <w:r>
              <w:rPr>
                <w:rFonts w:hint="eastAsia" w:hAnsi="宋体" w:cs="宋体"/>
                <w:color w:val="auto"/>
                <w:sz w:val="18"/>
                <w:szCs w:val="18"/>
                <w:highlight w:val="none"/>
                <w:lang w:eastAsia="zh-CN"/>
              </w:rPr>
              <w:t>清晰</w:t>
            </w:r>
            <w:r>
              <w:rPr>
                <w:rFonts w:hint="eastAsia" w:hAnsi="宋体" w:cs="宋体"/>
                <w:color w:val="auto"/>
                <w:sz w:val="18"/>
                <w:szCs w:val="18"/>
                <w:highlight w:val="none"/>
              </w:rPr>
              <w:t>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+6.00~-8.00，柱镜-0.00~-2.00，联合光度+6.00</w:t>
            </w:r>
          </w:p>
        </w:tc>
        <w:tc>
          <w:tcPr>
            <w:tcW w:w="510" w:type="dxa"/>
            <w:vAlign w:val="center"/>
          </w:tcPr>
          <w:p w14:paraId="723526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093A3B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w:t>
            </w:r>
          </w:p>
        </w:tc>
      </w:tr>
      <w:tr w14:paraId="487C2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3B55F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w:t>
            </w:r>
          </w:p>
        </w:tc>
        <w:tc>
          <w:tcPr>
            <w:tcW w:w="1623" w:type="dxa"/>
            <w:vAlign w:val="center"/>
          </w:tcPr>
          <w:p w14:paraId="2616CD8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1.56非球面树脂镜片</w:t>
            </w:r>
          </w:p>
        </w:tc>
        <w:tc>
          <w:tcPr>
            <w:tcW w:w="386" w:type="dxa"/>
            <w:vAlign w:val="center"/>
          </w:tcPr>
          <w:p w14:paraId="23F9A3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9012C6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+10.00~-16.00，柱镜-0.00~-6.00，联合光度+10.00（-16.00）</w:t>
            </w:r>
          </w:p>
        </w:tc>
        <w:tc>
          <w:tcPr>
            <w:tcW w:w="510" w:type="dxa"/>
            <w:vAlign w:val="center"/>
          </w:tcPr>
          <w:p w14:paraId="1F555F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66F833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59</w:t>
            </w:r>
          </w:p>
        </w:tc>
      </w:tr>
      <w:tr w14:paraId="5BD32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D1052E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w:t>
            </w:r>
          </w:p>
        </w:tc>
        <w:tc>
          <w:tcPr>
            <w:tcW w:w="1623" w:type="dxa"/>
            <w:vAlign w:val="center"/>
          </w:tcPr>
          <w:p w14:paraId="5A09DF1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1.60球面树脂镜片</w:t>
            </w:r>
          </w:p>
        </w:tc>
        <w:tc>
          <w:tcPr>
            <w:tcW w:w="386" w:type="dxa"/>
            <w:vAlign w:val="center"/>
          </w:tcPr>
          <w:p w14:paraId="52099F6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74C3C6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重要因素，根据眼球的运动规律，通过科学计算使得镜片的内表面弯度接近，达到科学的矫正效果。3.树脂镜片，膜层易清洁、防静电、防水、防污、耐磨。二、光度范围：球镜+6.00~-10.00，柱镜-0.50~-2.00</w:t>
            </w:r>
          </w:p>
        </w:tc>
        <w:tc>
          <w:tcPr>
            <w:tcW w:w="510" w:type="dxa"/>
            <w:vAlign w:val="center"/>
          </w:tcPr>
          <w:p w14:paraId="2576D77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04BABD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56.86</w:t>
            </w:r>
          </w:p>
        </w:tc>
      </w:tr>
      <w:tr w14:paraId="3902C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40740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w:t>
            </w:r>
          </w:p>
        </w:tc>
        <w:tc>
          <w:tcPr>
            <w:tcW w:w="1623" w:type="dxa"/>
            <w:vAlign w:val="center"/>
          </w:tcPr>
          <w:p w14:paraId="21A51A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1.60球面树脂镜片</w:t>
            </w:r>
          </w:p>
        </w:tc>
        <w:tc>
          <w:tcPr>
            <w:tcW w:w="386" w:type="dxa"/>
            <w:vAlign w:val="center"/>
          </w:tcPr>
          <w:p w14:paraId="33E58A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F62340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+9.00~-18.00，柱镜-0.00~-6.00，联合光度+9.00（-18.00）</w:t>
            </w:r>
          </w:p>
        </w:tc>
        <w:tc>
          <w:tcPr>
            <w:tcW w:w="510" w:type="dxa"/>
            <w:vAlign w:val="center"/>
          </w:tcPr>
          <w:p w14:paraId="70B6F59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18DAC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72.2</w:t>
            </w:r>
          </w:p>
        </w:tc>
      </w:tr>
      <w:tr w14:paraId="0C623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9996B4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w:t>
            </w:r>
          </w:p>
        </w:tc>
        <w:tc>
          <w:tcPr>
            <w:tcW w:w="1623" w:type="dxa"/>
            <w:vAlign w:val="center"/>
          </w:tcPr>
          <w:p w14:paraId="15C000F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1.60非球面树脂镜片</w:t>
            </w:r>
          </w:p>
        </w:tc>
        <w:tc>
          <w:tcPr>
            <w:tcW w:w="386" w:type="dxa"/>
            <w:vAlign w:val="center"/>
          </w:tcPr>
          <w:p w14:paraId="5596BE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F3DEE2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重要因素，根据眼球的运动规律，通过科学计算使得镜片的内表面弯度接近，达到科学的矫正效果。3.树脂镜片，膜层易清洁、防静电、防水、防污、耐磨。二、光度范围：球镜+6.00~-10.00，柱镜-0.50~-2.00</w:t>
            </w:r>
          </w:p>
        </w:tc>
        <w:tc>
          <w:tcPr>
            <w:tcW w:w="510" w:type="dxa"/>
            <w:vAlign w:val="center"/>
          </w:tcPr>
          <w:p w14:paraId="1437FFF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A17E0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55</w:t>
            </w:r>
          </w:p>
        </w:tc>
      </w:tr>
      <w:tr w14:paraId="14016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F08105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w:t>
            </w:r>
          </w:p>
        </w:tc>
        <w:tc>
          <w:tcPr>
            <w:tcW w:w="1623" w:type="dxa"/>
            <w:vAlign w:val="center"/>
          </w:tcPr>
          <w:p w14:paraId="72DEF08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1.60非球面树脂镜片</w:t>
            </w:r>
          </w:p>
        </w:tc>
        <w:tc>
          <w:tcPr>
            <w:tcW w:w="386" w:type="dxa"/>
            <w:vAlign w:val="center"/>
          </w:tcPr>
          <w:p w14:paraId="58DE42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C21B4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 光度范围：球镜+9.00~-18.00，柱镜-0.00~-6.00，联合光度+9.00（-18.00）</w:t>
            </w:r>
          </w:p>
        </w:tc>
        <w:tc>
          <w:tcPr>
            <w:tcW w:w="510" w:type="dxa"/>
            <w:vAlign w:val="center"/>
          </w:tcPr>
          <w:p w14:paraId="2BF1ECC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D2AF9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85.74</w:t>
            </w:r>
          </w:p>
        </w:tc>
      </w:tr>
      <w:tr w14:paraId="79B62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83910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w:t>
            </w:r>
          </w:p>
        </w:tc>
        <w:tc>
          <w:tcPr>
            <w:tcW w:w="1623" w:type="dxa"/>
            <w:vAlign w:val="center"/>
          </w:tcPr>
          <w:p w14:paraId="05CBB12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1.67非球面树脂镜片</w:t>
            </w:r>
          </w:p>
        </w:tc>
        <w:tc>
          <w:tcPr>
            <w:tcW w:w="386" w:type="dxa"/>
            <w:vAlign w:val="center"/>
          </w:tcPr>
          <w:p w14:paraId="1C75A1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54CD45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重要因素，根据眼球的运动规律，通过科学计算使得镜片的内表面弯度接近，达到科学的矫正效果。3.树脂镜片，膜层易清洁、防静电、防水、防污、耐磨。二、光度范围：球镜0</w:t>
            </w:r>
            <w:r>
              <w:rPr>
                <w:rFonts w:hint="eastAsia" w:hAnsi="宋体" w:cs="宋体"/>
                <w:color w:val="auto"/>
                <w:sz w:val="18"/>
                <w:szCs w:val="18"/>
                <w:highlight w:val="none"/>
                <w:lang w:eastAsia="zh-CN"/>
              </w:rPr>
              <w:t>.00~</w:t>
            </w:r>
            <w:r>
              <w:rPr>
                <w:rFonts w:hint="eastAsia" w:hAnsi="宋体" w:cs="宋体"/>
                <w:color w:val="auto"/>
                <w:sz w:val="18"/>
                <w:szCs w:val="18"/>
                <w:highlight w:val="none"/>
              </w:rPr>
              <w:t>+6</w:t>
            </w:r>
            <w:r>
              <w:rPr>
                <w:rFonts w:hint="eastAsia" w:hAnsi="宋体" w:cs="宋体"/>
                <w:color w:val="auto"/>
                <w:sz w:val="18"/>
                <w:szCs w:val="18"/>
                <w:highlight w:val="none"/>
                <w:lang w:eastAsia="zh-CN"/>
              </w:rPr>
              <w:t>.</w:t>
            </w:r>
            <w:r>
              <w:rPr>
                <w:rFonts w:hint="eastAsia" w:hAnsi="宋体" w:cs="宋体"/>
                <w:color w:val="auto"/>
                <w:sz w:val="18"/>
                <w:szCs w:val="18"/>
                <w:highlight w:val="none"/>
              </w:rPr>
              <w:t>00，-3.00~-12.00，柱镜-0.00~-2.00，球镜-12.00</w:t>
            </w:r>
            <w:r>
              <w:rPr>
                <w:rFonts w:hint="eastAsia" w:hAnsi="宋体" w:cs="宋体"/>
                <w:color w:val="auto"/>
                <w:sz w:val="18"/>
                <w:szCs w:val="18"/>
                <w:highlight w:val="none"/>
                <w:lang w:eastAsia="zh-CN"/>
              </w:rPr>
              <w:t>~</w:t>
            </w:r>
            <w:r>
              <w:rPr>
                <w:rFonts w:hint="eastAsia" w:hAnsi="宋体" w:cs="宋体"/>
                <w:color w:val="auto"/>
                <w:sz w:val="18"/>
                <w:szCs w:val="18"/>
                <w:highlight w:val="none"/>
              </w:rPr>
              <w:t>-15.00</w:t>
            </w:r>
          </w:p>
        </w:tc>
        <w:tc>
          <w:tcPr>
            <w:tcW w:w="510" w:type="dxa"/>
            <w:vAlign w:val="center"/>
          </w:tcPr>
          <w:p w14:paraId="2FD7C9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03B3F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99</w:t>
            </w:r>
          </w:p>
        </w:tc>
      </w:tr>
      <w:tr w14:paraId="533F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B65E8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w:t>
            </w:r>
          </w:p>
        </w:tc>
        <w:tc>
          <w:tcPr>
            <w:tcW w:w="1623" w:type="dxa"/>
            <w:vAlign w:val="center"/>
          </w:tcPr>
          <w:p w14:paraId="0335979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1.67非球面树脂镜片</w:t>
            </w:r>
          </w:p>
        </w:tc>
        <w:tc>
          <w:tcPr>
            <w:tcW w:w="386" w:type="dxa"/>
            <w:vAlign w:val="center"/>
          </w:tcPr>
          <w:p w14:paraId="2A30DE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4102C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+9.00~-20.00，柱镜-0.00~-6.00，联合光度+9.00（-20.00）</w:t>
            </w:r>
          </w:p>
        </w:tc>
        <w:tc>
          <w:tcPr>
            <w:tcW w:w="510" w:type="dxa"/>
            <w:vAlign w:val="center"/>
          </w:tcPr>
          <w:p w14:paraId="6FC2F32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7EDFD5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153.43</w:t>
            </w:r>
          </w:p>
        </w:tc>
      </w:tr>
      <w:tr w14:paraId="666E9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9D7A8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w:t>
            </w:r>
          </w:p>
        </w:tc>
        <w:tc>
          <w:tcPr>
            <w:tcW w:w="1623" w:type="dxa"/>
            <w:vAlign w:val="center"/>
          </w:tcPr>
          <w:p w14:paraId="565BC5C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1.71非球面树脂镜片</w:t>
            </w:r>
          </w:p>
        </w:tc>
        <w:tc>
          <w:tcPr>
            <w:tcW w:w="386" w:type="dxa"/>
            <w:vAlign w:val="center"/>
          </w:tcPr>
          <w:p w14:paraId="4DED12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4EE008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-3.00~-10.00，柱镜-0.50~-2.00，球镜-10.50~-15.00</w:t>
            </w:r>
          </w:p>
        </w:tc>
        <w:tc>
          <w:tcPr>
            <w:tcW w:w="510" w:type="dxa"/>
            <w:vAlign w:val="center"/>
          </w:tcPr>
          <w:p w14:paraId="1186F1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301AC7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150</w:t>
            </w:r>
          </w:p>
        </w:tc>
      </w:tr>
      <w:tr w14:paraId="3C9BE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E3F82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w:t>
            </w:r>
          </w:p>
        </w:tc>
        <w:tc>
          <w:tcPr>
            <w:tcW w:w="1623" w:type="dxa"/>
            <w:vAlign w:val="center"/>
          </w:tcPr>
          <w:p w14:paraId="4D0310D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1.71非球面树脂镜片</w:t>
            </w:r>
          </w:p>
        </w:tc>
        <w:tc>
          <w:tcPr>
            <w:tcW w:w="386" w:type="dxa"/>
            <w:vAlign w:val="center"/>
          </w:tcPr>
          <w:p w14:paraId="572C8A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58EC6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+9.00~-20.00，柱镜-0.00~-6.00，联合光度+9.00（-20.00）</w:t>
            </w:r>
          </w:p>
        </w:tc>
        <w:tc>
          <w:tcPr>
            <w:tcW w:w="510" w:type="dxa"/>
            <w:vAlign w:val="center"/>
          </w:tcPr>
          <w:p w14:paraId="69863D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998C93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234.65</w:t>
            </w:r>
          </w:p>
        </w:tc>
      </w:tr>
      <w:tr w14:paraId="254ED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F366B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w:t>
            </w:r>
          </w:p>
        </w:tc>
        <w:tc>
          <w:tcPr>
            <w:tcW w:w="1623" w:type="dxa"/>
            <w:vAlign w:val="center"/>
          </w:tcPr>
          <w:p w14:paraId="5E54FD2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1.50高清非球面树脂镜片</w:t>
            </w:r>
          </w:p>
        </w:tc>
        <w:tc>
          <w:tcPr>
            <w:tcW w:w="386" w:type="dxa"/>
            <w:vAlign w:val="center"/>
          </w:tcPr>
          <w:p w14:paraId="0D1A990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1944F7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1.双核智能成像技术，成像精准，视觉清晰，在视近区域减少60%的度数误差和散光。 2.符合国标要求。3.膜层特性</w:t>
            </w:r>
            <w:r>
              <w:rPr>
                <w:rFonts w:hint="eastAsia" w:hAnsi="宋体" w:cs="宋体"/>
                <w:color w:val="auto"/>
                <w:sz w:val="18"/>
                <w:szCs w:val="18"/>
                <w:highlight w:val="none"/>
                <w:lang w:eastAsia="zh-CN"/>
              </w:rPr>
              <w:t>：</w:t>
            </w:r>
            <w:r>
              <w:rPr>
                <w:rFonts w:hint="eastAsia" w:hAnsi="宋体" w:cs="宋体"/>
                <w:color w:val="auto"/>
                <w:sz w:val="18"/>
                <w:szCs w:val="18"/>
                <w:highlight w:val="none"/>
              </w:rPr>
              <w:t>具有360°全角度减反射技术和智能蓝光捕捉技术。4.双面紫外线防护、耐刮划、防水、防尘、耐污。二、光度范围：球镜+</w:t>
            </w:r>
            <w:r>
              <w:rPr>
                <w:rFonts w:hint="eastAsia" w:hAnsi="宋体" w:cs="宋体"/>
                <w:color w:val="auto"/>
                <w:sz w:val="18"/>
                <w:szCs w:val="18"/>
                <w:highlight w:val="none"/>
                <w:lang w:eastAsia="zh-CN"/>
              </w:rPr>
              <w:t>4</w:t>
            </w:r>
            <w:r>
              <w:rPr>
                <w:rFonts w:hint="eastAsia" w:hAnsi="宋体" w:cs="宋体"/>
                <w:color w:val="auto"/>
                <w:sz w:val="18"/>
                <w:szCs w:val="18"/>
                <w:highlight w:val="none"/>
              </w:rPr>
              <w:t>.00~-4.00，柱镜-0.00~-2.00</w:t>
            </w:r>
          </w:p>
        </w:tc>
        <w:tc>
          <w:tcPr>
            <w:tcW w:w="510" w:type="dxa"/>
            <w:vAlign w:val="center"/>
          </w:tcPr>
          <w:p w14:paraId="0F004E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4F8E2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64.98</w:t>
            </w:r>
          </w:p>
        </w:tc>
      </w:tr>
      <w:tr w14:paraId="58B4B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CF08D9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w:t>
            </w:r>
          </w:p>
        </w:tc>
        <w:tc>
          <w:tcPr>
            <w:tcW w:w="1623" w:type="dxa"/>
            <w:vAlign w:val="center"/>
          </w:tcPr>
          <w:p w14:paraId="7F622E3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1.50高清非球面树脂镜片</w:t>
            </w:r>
          </w:p>
        </w:tc>
        <w:tc>
          <w:tcPr>
            <w:tcW w:w="386" w:type="dxa"/>
            <w:vAlign w:val="center"/>
          </w:tcPr>
          <w:p w14:paraId="393E8A7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5B1B29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1.双核智能成像技术，成像精准，视觉清晰，在视近区域减少60%的度数误差和散光。 2.符合国标要求。3.膜层特性：3.具有360°全角度减反射技术和智能蓝光捕捉技术。4.双面紫外线防护、耐刮划、防水、防尘、耐污。二、光度范围：球镜+6.00~-6.00，柱镜-0.00~-4.00，联合光度+6.00（-10.00）</w:t>
            </w:r>
          </w:p>
        </w:tc>
        <w:tc>
          <w:tcPr>
            <w:tcW w:w="510" w:type="dxa"/>
            <w:vAlign w:val="center"/>
          </w:tcPr>
          <w:p w14:paraId="6D38C0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43787E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83</w:t>
            </w:r>
          </w:p>
        </w:tc>
      </w:tr>
      <w:tr w14:paraId="25361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0BA01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w:t>
            </w:r>
          </w:p>
        </w:tc>
        <w:tc>
          <w:tcPr>
            <w:tcW w:w="1623" w:type="dxa"/>
            <w:vAlign w:val="center"/>
          </w:tcPr>
          <w:p w14:paraId="0004E7A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非球面树脂镜片</w:t>
            </w:r>
          </w:p>
        </w:tc>
        <w:tc>
          <w:tcPr>
            <w:tcW w:w="386" w:type="dxa"/>
            <w:vAlign w:val="center"/>
          </w:tcPr>
          <w:p w14:paraId="6A077F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C2C8BD3">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重要因素，根据眼球的运动规律，通过科学计算使得镜片的内表面弯度接近，达到科学的矫正效果。3.树脂镜片，膜层易清洁、防静电、防水、防污、耐磨。二、光度范围：球镜+6.00~-10.00，柱镜-0.50~-2.00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58390A0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C86A9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65.25</w:t>
            </w:r>
          </w:p>
        </w:tc>
      </w:tr>
      <w:tr w14:paraId="468D1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6E4D8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w:t>
            </w:r>
          </w:p>
        </w:tc>
        <w:tc>
          <w:tcPr>
            <w:tcW w:w="1623" w:type="dxa"/>
            <w:vAlign w:val="center"/>
          </w:tcPr>
          <w:p w14:paraId="205E881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非球面树脂镜片</w:t>
            </w:r>
          </w:p>
        </w:tc>
        <w:tc>
          <w:tcPr>
            <w:tcW w:w="386" w:type="dxa"/>
            <w:vAlign w:val="center"/>
          </w:tcPr>
          <w:p w14:paraId="6D482A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5619F93">
            <w:pPr>
              <w:spacing w:before="30" w:after="30" w:line="320" w:lineRule="auto"/>
              <w:rPr>
                <w:rFonts w:hint="default" w:hAnsi="宋体" w:eastAsia="宋体" w:cs="宋体"/>
                <w:color w:val="auto"/>
                <w:sz w:val="18"/>
                <w:szCs w:val="18"/>
                <w:highlight w:val="none"/>
                <w:lang w:val="en-US" w:eastAsia="zh-CN"/>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光度范围：球镜+9.00~-20.00，柱镜-0.00~-6.00，联合光度+9.00（-20.00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4.</w:t>
            </w:r>
            <w:r>
              <w:rPr>
                <w:rFonts w:hint="eastAsia" w:hAnsi="宋体" w:cs="宋体"/>
                <w:color w:val="auto"/>
                <w:sz w:val="18"/>
                <w:szCs w:val="18"/>
                <w:highlight w:val="none"/>
                <w:lang w:val="en-US" w:eastAsia="zh-CN"/>
              </w:rPr>
              <w:t>阿贝数约40，色散系数低。</w:t>
            </w:r>
          </w:p>
        </w:tc>
        <w:tc>
          <w:tcPr>
            <w:tcW w:w="510" w:type="dxa"/>
            <w:vAlign w:val="center"/>
          </w:tcPr>
          <w:p w14:paraId="192C527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38BE1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w:t>
            </w:r>
          </w:p>
        </w:tc>
      </w:tr>
      <w:tr w14:paraId="6B80B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20975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w:t>
            </w:r>
          </w:p>
        </w:tc>
        <w:tc>
          <w:tcPr>
            <w:tcW w:w="1623" w:type="dxa"/>
            <w:vAlign w:val="center"/>
          </w:tcPr>
          <w:p w14:paraId="777D9CC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非球面树脂镜片</w:t>
            </w:r>
          </w:p>
        </w:tc>
        <w:tc>
          <w:tcPr>
            <w:tcW w:w="386" w:type="dxa"/>
            <w:vAlign w:val="center"/>
          </w:tcPr>
          <w:p w14:paraId="5676F0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EE2C14C">
            <w:pPr>
              <w:spacing w:before="30" w:after="30" w:line="320" w:lineRule="auto"/>
              <w:rPr>
                <w:rFonts w:hint="default" w:hAnsi="宋体" w:eastAsia="宋体" w:cs="宋体"/>
                <w:color w:val="auto"/>
                <w:sz w:val="18"/>
                <w:szCs w:val="18"/>
                <w:highlight w:val="none"/>
                <w:lang w:val="en-US" w:eastAsia="zh-CN"/>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w:t>
            </w:r>
            <w:r>
              <w:rPr>
                <w:rFonts w:hint="eastAsia" w:hAnsi="宋体" w:cs="宋体"/>
                <w:color w:val="auto"/>
                <w:sz w:val="18"/>
                <w:szCs w:val="18"/>
                <w:highlight w:val="none"/>
                <w:lang w:eastAsia="zh-CN"/>
              </w:rPr>
              <w:t>耐磨</w:t>
            </w:r>
            <w:r>
              <w:rPr>
                <w:rFonts w:hint="eastAsia" w:hAnsi="宋体" w:cs="宋体"/>
                <w:color w:val="auto"/>
                <w:sz w:val="18"/>
                <w:szCs w:val="18"/>
                <w:highlight w:val="none"/>
              </w:rPr>
              <w:t>。光度范围：球镜-3.00~-12.00，球镜+0.00~+6.00柱镜-0.00~-2.00，球镜-12.50~-15.00，柱镜：无</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4.阿贝数约32，色散系数低</w:t>
            </w:r>
          </w:p>
        </w:tc>
        <w:tc>
          <w:tcPr>
            <w:tcW w:w="510" w:type="dxa"/>
            <w:vAlign w:val="center"/>
          </w:tcPr>
          <w:p w14:paraId="776819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609593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110.5</w:t>
            </w:r>
          </w:p>
        </w:tc>
      </w:tr>
      <w:tr w14:paraId="3BDD5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0702D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w:t>
            </w:r>
          </w:p>
        </w:tc>
        <w:tc>
          <w:tcPr>
            <w:tcW w:w="1623" w:type="dxa"/>
            <w:vAlign w:val="center"/>
          </w:tcPr>
          <w:p w14:paraId="1FD417A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非球面树脂镜片</w:t>
            </w:r>
          </w:p>
        </w:tc>
        <w:tc>
          <w:tcPr>
            <w:tcW w:w="386" w:type="dxa"/>
            <w:vAlign w:val="center"/>
          </w:tcPr>
          <w:p w14:paraId="238EFF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7DC3404">
            <w:pPr>
              <w:numPr>
                <w:ilvl w:val="0"/>
                <w:numId w:val="3"/>
              </w:numPr>
              <w:spacing w:before="30" w:after="30" w:line="320" w:lineRule="auto"/>
              <w:rPr>
                <w:rFonts w:hint="default" w:hAnsi="宋体" w:cs="宋体"/>
                <w:color w:val="auto"/>
                <w:sz w:val="18"/>
                <w:szCs w:val="18"/>
                <w:highlight w:val="none"/>
                <w:lang w:val="en-US" w:eastAsia="zh-CN"/>
              </w:rPr>
            </w:pPr>
            <w:r>
              <w:rPr>
                <w:rFonts w:hint="eastAsia" w:hAnsi="宋体" w:cs="宋体"/>
                <w:color w:val="auto"/>
                <w:sz w:val="18"/>
                <w:szCs w:val="18"/>
                <w:highlight w:val="none"/>
              </w:rPr>
              <w:t>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+9.00~-20.00，柱镜-0.00~-6.00，联合光度+9.00（-20.00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47777B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9C4518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171.48</w:t>
            </w:r>
          </w:p>
        </w:tc>
      </w:tr>
      <w:tr w14:paraId="5D553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009488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w:t>
            </w:r>
          </w:p>
        </w:tc>
        <w:tc>
          <w:tcPr>
            <w:tcW w:w="1623" w:type="dxa"/>
            <w:vAlign w:val="center"/>
          </w:tcPr>
          <w:p w14:paraId="2AFB73F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1.74高清非球面树脂镜片</w:t>
            </w:r>
          </w:p>
        </w:tc>
        <w:tc>
          <w:tcPr>
            <w:tcW w:w="386" w:type="dxa"/>
            <w:vAlign w:val="center"/>
          </w:tcPr>
          <w:p w14:paraId="54E435A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9833D0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一、性能特点：1.非球面设计，糅合先进的曲面设计，带来宽阔的视野和真实的视界。2.库存片采用科学曲面优化设计：曲率是镜片良好成像的一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-3.00~-12.00，柱镜-0.00~-2.00，球镜-12.50~-15.00，柱镜；无</w:t>
            </w:r>
          </w:p>
        </w:tc>
        <w:tc>
          <w:tcPr>
            <w:tcW w:w="510" w:type="dxa"/>
            <w:vAlign w:val="center"/>
          </w:tcPr>
          <w:p w14:paraId="7DCF8F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3EB193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234</w:t>
            </w:r>
          </w:p>
        </w:tc>
      </w:tr>
      <w:tr w14:paraId="4F90F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B52DD0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w:t>
            </w:r>
          </w:p>
        </w:tc>
        <w:tc>
          <w:tcPr>
            <w:tcW w:w="1623" w:type="dxa"/>
            <w:vAlign w:val="center"/>
          </w:tcPr>
          <w:p w14:paraId="33361E0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1.74高清非球面树脂镜片</w:t>
            </w:r>
          </w:p>
        </w:tc>
        <w:tc>
          <w:tcPr>
            <w:tcW w:w="386" w:type="dxa"/>
            <w:vAlign w:val="center"/>
          </w:tcPr>
          <w:p w14:paraId="0340BF2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4B1A98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w:t>
            </w:r>
            <w:r>
              <w:rPr>
                <w:rFonts w:hint="eastAsia" w:hAnsi="宋体" w:cs="宋体"/>
                <w:color w:val="auto"/>
                <w:sz w:val="18"/>
                <w:szCs w:val="18"/>
                <w:highlight w:val="none"/>
                <w:lang w:eastAsia="zh-CN"/>
              </w:rPr>
              <w:t>个</w:t>
            </w:r>
            <w:r>
              <w:rPr>
                <w:rFonts w:hint="eastAsia" w:hAnsi="宋体" w:cs="宋体"/>
                <w:color w:val="auto"/>
                <w:sz w:val="18"/>
                <w:szCs w:val="18"/>
                <w:highlight w:val="none"/>
              </w:rPr>
              <w:t>重要因素，根据眼球的运动规律，通过科学计算使得镜片的内表面弯度接近，达到科学的矫正效果。3.树脂镜片，膜层易清洁、防静电、防水、防污、耐磨。二、光度范围：球镜+9.00~-20.00，柱镜-0.00~-6.00，联合光度+9.00（-20.00）</w:t>
            </w:r>
          </w:p>
        </w:tc>
        <w:tc>
          <w:tcPr>
            <w:tcW w:w="510" w:type="dxa"/>
            <w:vAlign w:val="center"/>
          </w:tcPr>
          <w:p w14:paraId="41C1E8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9ECAB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496.38</w:t>
            </w:r>
          </w:p>
        </w:tc>
      </w:tr>
      <w:tr w14:paraId="6EC00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6BE995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w:t>
            </w:r>
          </w:p>
        </w:tc>
        <w:tc>
          <w:tcPr>
            <w:tcW w:w="1623" w:type="dxa"/>
            <w:vAlign w:val="center"/>
          </w:tcPr>
          <w:p w14:paraId="1546B4C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1.56美薄抗辐射树脂镜片</w:t>
            </w:r>
          </w:p>
        </w:tc>
        <w:tc>
          <w:tcPr>
            <w:tcW w:w="386" w:type="dxa"/>
            <w:vAlign w:val="center"/>
          </w:tcPr>
          <w:p w14:paraId="24D2860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501752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1.提供更自然的视觉效果，并保护眼睛免受伤害，有利于眼睛在防蓝光保护的同时得到清晰自然的视野。2更高的透光率，减少偏色程度，降低蓝光辐射</w:t>
            </w:r>
            <w:r>
              <w:rPr>
                <w:rFonts w:hint="eastAsia" w:hAnsi="宋体" w:cs="宋体"/>
                <w:color w:val="auto"/>
                <w:sz w:val="18"/>
                <w:szCs w:val="18"/>
                <w:highlight w:val="none"/>
                <w:lang w:eastAsia="zh-CN"/>
              </w:rPr>
              <w:t>。</w:t>
            </w:r>
            <w:r>
              <w:rPr>
                <w:rFonts w:hint="eastAsia" w:hAnsi="宋体" w:cs="宋体"/>
                <w:color w:val="auto"/>
                <w:sz w:val="18"/>
                <w:szCs w:val="18"/>
                <w:highlight w:val="none"/>
              </w:rPr>
              <w:t>树脂镜片，膜层易清洁、防污、耐磨、防蓝光、防静电。二、光度范围：球镜+0.00~+6.00，柱镜-0.00~-2.00</w:t>
            </w:r>
          </w:p>
        </w:tc>
        <w:tc>
          <w:tcPr>
            <w:tcW w:w="510" w:type="dxa"/>
            <w:vAlign w:val="center"/>
          </w:tcPr>
          <w:p w14:paraId="7C6679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446440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40.5</w:t>
            </w:r>
          </w:p>
        </w:tc>
      </w:tr>
      <w:tr w14:paraId="459E6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1187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w:t>
            </w:r>
          </w:p>
        </w:tc>
        <w:tc>
          <w:tcPr>
            <w:tcW w:w="1623" w:type="dxa"/>
            <w:vAlign w:val="center"/>
          </w:tcPr>
          <w:p w14:paraId="1333042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1.56美薄抗辐射树脂镜片</w:t>
            </w:r>
          </w:p>
        </w:tc>
        <w:tc>
          <w:tcPr>
            <w:tcW w:w="386" w:type="dxa"/>
            <w:vAlign w:val="center"/>
          </w:tcPr>
          <w:p w14:paraId="6671F2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252732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1.提供更自然的视觉效果，并保护眼睛免受伤害，有利于眼睛在防蓝光保护的同时得到清晰自然的视野。2更高的透光率，减少偏色程度，降低蓝光辐射</w:t>
            </w:r>
            <w:r>
              <w:rPr>
                <w:rFonts w:hint="eastAsia" w:hAnsi="宋体" w:cs="宋体"/>
                <w:color w:val="auto"/>
                <w:sz w:val="18"/>
                <w:szCs w:val="18"/>
                <w:highlight w:val="none"/>
                <w:lang w:eastAsia="zh-CN"/>
              </w:rPr>
              <w:t>。</w:t>
            </w:r>
            <w:r>
              <w:rPr>
                <w:rFonts w:hint="eastAsia" w:hAnsi="宋体" w:cs="宋体"/>
                <w:color w:val="auto"/>
                <w:sz w:val="18"/>
                <w:szCs w:val="18"/>
                <w:highlight w:val="none"/>
              </w:rPr>
              <w:t>树脂镜片，膜层易清洁、防污、耐磨、防蓝光、防静电。二、光度范围：球镜+0.00~+13.50，柱镜-0.00~-6.00联合光度+10.00</w:t>
            </w:r>
          </w:p>
        </w:tc>
        <w:tc>
          <w:tcPr>
            <w:tcW w:w="510" w:type="dxa"/>
            <w:vAlign w:val="center"/>
          </w:tcPr>
          <w:p w14:paraId="0C91D5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13D46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59</w:t>
            </w:r>
          </w:p>
        </w:tc>
      </w:tr>
      <w:tr w14:paraId="0B959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4FE2E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w:t>
            </w:r>
          </w:p>
        </w:tc>
        <w:tc>
          <w:tcPr>
            <w:tcW w:w="1623" w:type="dxa"/>
            <w:vAlign w:val="center"/>
          </w:tcPr>
          <w:p w14:paraId="406F08F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1.60美薄抗辐射树脂镜片</w:t>
            </w:r>
          </w:p>
        </w:tc>
        <w:tc>
          <w:tcPr>
            <w:tcW w:w="386" w:type="dxa"/>
            <w:vAlign w:val="center"/>
          </w:tcPr>
          <w:p w14:paraId="306A7FE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CD7DDE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1.提供更自然的视觉效果，并保护眼睛免受伤害，有利于眼睛在防蓝光保护的同时得到清晰自然的视野。2更高的透光率，减少偏色程度，降低蓝光辐射</w:t>
            </w:r>
            <w:r>
              <w:rPr>
                <w:rFonts w:hint="eastAsia" w:hAnsi="宋体" w:cs="宋体"/>
                <w:color w:val="auto"/>
                <w:sz w:val="18"/>
                <w:szCs w:val="18"/>
                <w:highlight w:val="none"/>
                <w:lang w:eastAsia="zh-CN"/>
              </w:rPr>
              <w:t>。</w:t>
            </w:r>
            <w:r>
              <w:rPr>
                <w:rFonts w:hint="eastAsia" w:hAnsi="宋体" w:cs="宋体"/>
                <w:color w:val="auto"/>
                <w:sz w:val="18"/>
                <w:szCs w:val="18"/>
                <w:highlight w:val="none"/>
              </w:rPr>
              <w:t>树脂镜片，膜层易清洁、防污、耐磨、防蓝光、防静电。二、光度范围：球镜+0.00~+13.50，柱镜-0.00~-6.00联合光度+10.00</w:t>
            </w:r>
          </w:p>
        </w:tc>
        <w:tc>
          <w:tcPr>
            <w:tcW w:w="510" w:type="dxa"/>
            <w:vAlign w:val="center"/>
          </w:tcPr>
          <w:p w14:paraId="77B5505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136892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103</w:t>
            </w:r>
          </w:p>
        </w:tc>
      </w:tr>
      <w:tr w14:paraId="68922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1A049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w:t>
            </w:r>
          </w:p>
        </w:tc>
        <w:tc>
          <w:tcPr>
            <w:tcW w:w="1623" w:type="dxa"/>
            <w:vAlign w:val="center"/>
          </w:tcPr>
          <w:p w14:paraId="3438B8E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75B57A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B1B3C6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二、光度范围：球镜+0.50～+17.00，柱镜-0.25～-6.00 联合光度+17.00</w:t>
            </w:r>
          </w:p>
        </w:tc>
        <w:tc>
          <w:tcPr>
            <w:tcW w:w="510" w:type="dxa"/>
            <w:vAlign w:val="center"/>
          </w:tcPr>
          <w:p w14:paraId="3BB839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7DF72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137</w:t>
            </w:r>
          </w:p>
        </w:tc>
      </w:tr>
      <w:tr w14:paraId="3E3CA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1F2C4E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w:t>
            </w:r>
          </w:p>
        </w:tc>
        <w:tc>
          <w:tcPr>
            <w:tcW w:w="1623" w:type="dxa"/>
            <w:vAlign w:val="center"/>
          </w:tcPr>
          <w:p w14:paraId="61945D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59C0885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D9C8B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二、光度范围：球镜+0.50～+17.00，柱镜-0.25～-6.00 联合光度+17.00</w:t>
            </w:r>
          </w:p>
        </w:tc>
        <w:tc>
          <w:tcPr>
            <w:tcW w:w="510" w:type="dxa"/>
            <w:vAlign w:val="center"/>
          </w:tcPr>
          <w:p w14:paraId="79A790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683848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145</w:t>
            </w:r>
          </w:p>
        </w:tc>
      </w:tr>
      <w:tr w14:paraId="0EE1E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BA481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w:t>
            </w:r>
          </w:p>
        </w:tc>
        <w:tc>
          <w:tcPr>
            <w:tcW w:w="1623" w:type="dxa"/>
            <w:vAlign w:val="center"/>
          </w:tcPr>
          <w:p w14:paraId="537EBFA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1.56变色双面复合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3F54DE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F9A75A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遇紫外线变色，双重技术，后面表加工技术提高了佩戴舒适性，膜层易洁双面防紫外线，同一镜片提供两个区域，看远清晰，看近缓解疲劳，清晰舒适。二、光度范围：球镜+0.50～+17.00，柱镜-0.25～-6.00 联合光度+17.00</w:t>
            </w:r>
          </w:p>
        </w:tc>
        <w:tc>
          <w:tcPr>
            <w:tcW w:w="510" w:type="dxa"/>
            <w:vAlign w:val="center"/>
          </w:tcPr>
          <w:p w14:paraId="373C36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0A3ACC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175</w:t>
            </w:r>
          </w:p>
        </w:tc>
      </w:tr>
      <w:tr w14:paraId="51EAE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07BB8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w:t>
            </w:r>
          </w:p>
        </w:tc>
        <w:tc>
          <w:tcPr>
            <w:tcW w:w="1623" w:type="dxa"/>
            <w:vAlign w:val="center"/>
          </w:tcPr>
          <w:p w14:paraId="486B0D0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659AFBE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F75781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二、光度范围：球镜+0.50～+18.00，柱镜-0.25～-6.00 联合光度+19.00</w:t>
            </w:r>
          </w:p>
        </w:tc>
        <w:tc>
          <w:tcPr>
            <w:tcW w:w="510" w:type="dxa"/>
            <w:vAlign w:val="center"/>
          </w:tcPr>
          <w:p w14:paraId="386A21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C73BB0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157.94</w:t>
            </w:r>
          </w:p>
        </w:tc>
      </w:tr>
      <w:tr w14:paraId="76288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A2C0A0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w:t>
            </w:r>
          </w:p>
        </w:tc>
        <w:tc>
          <w:tcPr>
            <w:tcW w:w="1623" w:type="dxa"/>
            <w:vAlign w:val="center"/>
          </w:tcPr>
          <w:p w14:paraId="3A716A2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1.60防蓝光双面复合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76CD79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58D6DF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w:t>
            </w:r>
            <w:r>
              <w:rPr>
                <w:rFonts w:hint="eastAsia" w:hAnsi="宋体" w:cs="宋体"/>
                <w:color w:val="auto"/>
                <w:sz w:val="18"/>
                <w:szCs w:val="18"/>
                <w:highlight w:val="none"/>
                <w:lang w:eastAsia="zh-CN"/>
              </w:rPr>
              <w:t>、</w:t>
            </w:r>
            <w:r>
              <w:rPr>
                <w:rFonts w:hint="eastAsia" w:hAnsi="宋体" w:cs="宋体"/>
                <w:color w:val="auto"/>
                <w:sz w:val="18"/>
                <w:szCs w:val="18"/>
                <w:highlight w:val="none"/>
              </w:rPr>
              <w:t>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二、光度范围：球镜+0.50～+18.00，柱镜-0.25～-6.00 联合光度+19.00</w:t>
            </w:r>
          </w:p>
        </w:tc>
        <w:tc>
          <w:tcPr>
            <w:tcW w:w="510" w:type="dxa"/>
            <w:vAlign w:val="center"/>
          </w:tcPr>
          <w:p w14:paraId="1953E6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D58A0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181.4</w:t>
            </w:r>
          </w:p>
        </w:tc>
      </w:tr>
      <w:tr w14:paraId="0C0EE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441D3D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w:t>
            </w:r>
          </w:p>
        </w:tc>
        <w:tc>
          <w:tcPr>
            <w:tcW w:w="1623" w:type="dxa"/>
            <w:vAlign w:val="center"/>
          </w:tcPr>
          <w:p w14:paraId="7458CE6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1.60变色双面复合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657681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4D8839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一、性能特点：遇紫外线变色，双重技术，</w:t>
            </w:r>
            <w:r>
              <w:rPr>
                <w:rFonts w:hint="eastAsia" w:hAnsi="宋体" w:cs="宋体"/>
                <w:color w:val="auto"/>
                <w:sz w:val="18"/>
                <w:szCs w:val="18"/>
                <w:highlight w:val="none"/>
                <w:lang w:eastAsia="zh-CN"/>
              </w:rPr>
              <w:t>表面</w:t>
            </w:r>
            <w:r>
              <w:rPr>
                <w:rFonts w:hint="eastAsia" w:hAnsi="宋体" w:cs="宋体"/>
                <w:color w:val="auto"/>
                <w:sz w:val="18"/>
                <w:szCs w:val="18"/>
                <w:highlight w:val="none"/>
              </w:rPr>
              <w:t>加工技术提高了佩戴舒适性，膜层易洁双面防紫外线，同一镜片提供两个区域，看远清晰，看近缓解疲劳，清晰舒适。二、光度范围：球镜+0.50～+18.00，柱镜-0.25～-6.00 联合光度+19.00</w:t>
            </w:r>
          </w:p>
        </w:tc>
        <w:tc>
          <w:tcPr>
            <w:tcW w:w="510" w:type="dxa"/>
            <w:vAlign w:val="center"/>
          </w:tcPr>
          <w:p w14:paraId="7D2AA70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8E9F6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245</w:t>
            </w:r>
          </w:p>
        </w:tc>
      </w:tr>
      <w:tr w14:paraId="1CA87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165C8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w:t>
            </w:r>
          </w:p>
        </w:tc>
        <w:tc>
          <w:tcPr>
            <w:tcW w:w="1623" w:type="dxa"/>
            <w:vAlign w:val="center"/>
          </w:tcPr>
          <w:p w14:paraId="3A32DBB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783B6DA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BFD2546">
            <w:pPr>
              <w:spacing w:before="30" w:after="30" w:line="320" w:lineRule="auto"/>
              <w:rPr>
                <w:rFonts w:hint="default" w:hAnsi="宋体" w:eastAsia="宋体" w:cs="宋体"/>
                <w:color w:val="auto"/>
                <w:sz w:val="18"/>
                <w:szCs w:val="18"/>
                <w:highlight w:val="none"/>
                <w:lang w:val="en-US" w:eastAsia="zh-CN"/>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二、光度范围：球镜+0.50～+20.00，柱镜-0.25～-6.00 联合光度+20.00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0EBEB9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FD357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205.32</w:t>
            </w:r>
          </w:p>
        </w:tc>
      </w:tr>
      <w:tr w14:paraId="717DB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FFDD9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w:t>
            </w:r>
          </w:p>
        </w:tc>
        <w:tc>
          <w:tcPr>
            <w:tcW w:w="1623" w:type="dxa"/>
            <w:vAlign w:val="center"/>
          </w:tcPr>
          <w:p w14:paraId="6348F8A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3D1192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4FA37A4">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二、光度范围：球镜+0.50～+20.00，柱镜-0.25～-6.00 联合光度+20.00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3014AB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50519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221.11</w:t>
            </w:r>
          </w:p>
        </w:tc>
      </w:tr>
      <w:tr w14:paraId="3F684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DE9FFF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w:t>
            </w:r>
          </w:p>
        </w:tc>
        <w:tc>
          <w:tcPr>
            <w:tcW w:w="1623" w:type="dxa"/>
            <w:vAlign w:val="center"/>
          </w:tcPr>
          <w:p w14:paraId="57FCDE0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353B0D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AC27B8E">
            <w:pPr>
              <w:spacing w:before="30" w:after="30" w:line="320" w:lineRule="auto"/>
              <w:rPr>
                <w:rFonts w:hint="default" w:hAnsi="宋体" w:eastAsia="宋体" w:cs="宋体"/>
                <w:color w:val="auto"/>
                <w:sz w:val="18"/>
                <w:szCs w:val="18"/>
                <w:highlight w:val="none"/>
                <w:lang w:val="en-US" w:eastAsia="zh-CN"/>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二、光度范围：球镜+0.50～+20.00，柱镜-0.25～-6.00 联合光度+20.00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38A4C1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C4745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244.44</w:t>
            </w:r>
          </w:p>
        </w:tc>
      </w:tr>
      <w:tr w14:paraId="75721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8912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w:t>
            </w:r>
          </w:p>
        </w:tc>
        <w:tc>
          <w:tcPr>
            <w:tcW w:w="1623" w:type="dxa"/>
            <w:vAlign w:val="center"/>
          </w:tcPr>
          <w:p w14:paraId="27C6DFB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防蓝光双面复合</w:t>
            </w:r>
            <w:r>
              <w:rPr>
                <w:rFonts w:hint="eastAsia" w:hAnsi="宋体" w:cs="宋体"/>
                <w:color w:val="auto"/>
                <w:sz w:val="18"/>
                <w:szCs w:val="18"/>
                <w:highlight w:val="none"/>
                <w:lang w:eastAsia="zh-CN"/>
              </w:rPr>
              <w:t>老视</w:t>
            </w:r>
            <w:r>
              <w:rPr>
                <w:rFonts w:hint="eastAsia" w:hAnsi="宋体" w:cs="宋体"/>
                <w:color w:val="auto"/>
                <w:sz w:val="18"/>
                <w:szCs w:val="18"/>
                <w:highlight w:val="none"/>
              </w:rPr>
              <w:t>树脂镜片</w:t>
            </w:r>
          </w:p>
        </w:tc>
        <w:tc>
          <w:tcPr>
            <w:tcW w:w="386" w:type="dxa"/>
            <w:vAlign w:val="center"/>
          </w:tcPr>
          <w:p w14:paraId="158EC4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3F180E0">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一、性能特点：双面复合锐薄远视系列最大优点在于薄、极致的薄。相同折射率、相同光度的双面复合锐薄远视镜片要比普通远视镜片薄1/2，重量也会轻1/2，使佩戴者毫无压迫感，让佩戴更舒适，美观</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二、光度范围：球镜+0.50～+20.00，柱镜-0.25～-6.00 联合光度+20.00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78734C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CEE79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273.54</w:t>
            </w:r>
          </w:p>
        </w:tc>
      </w:tr>
      <w:tr w14:paraId="5B371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4E1565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w:t>
            </w:r>
          </w:p>
        </w:tc>
        <w:tc>
          <w:tcPr>
            <w:tcW w:w="1623" w:type="dxa"/>
            <w:vAlign w:val="center"/>
          </w:tcPr>
          <w:p w14:paraId="3CE970A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1.56双面复合内渐进树脂镜片</w:t>
            </w:r>
          </w:p>
        </w:tc>
        <w:tc>
          <w:tcPr>
            <w:tcW w:w="386" w:type="dxa"/>
            <w:vAlign w:val="center"/>
          </w:tcPr>
          <w:p w14:paraId="09FE7DA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E697C6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一、性能特点：双眼验光处方平衡技术，优化左右眼验光处方差异，左右视网膜图像可在大脑精准重叠，从远到近视觉切换</w:t>
            </w:r>
            <w:r>
              <w:rPr>
                <w:rFonts w:hint="eastAsia" w:hAnsi="宋体" w:cs="宋体"/>
                <w:color w:val="auto"/>
                <w:sz w:val="18"/>
                <w:szCs w:val="18"/>
                <w:highlight w:val="none"/>
                <w:lang w:eastAsia="zh-CN"/>
              </w:rPr>
              <w:t>更加</w:t>
            </w:r>
            <w:r>
              <w:rPr>
                <w:rFonts w:hint="eastAsia" w:hAnsi="宋体" w:cs="宋体"/>
                <w:color w:val="auto"/>
                <w:sz w:val="18"/>
                <w:szCs w:val="18"/>
                <w:highlight w:val="none"/>
              </w:rPr>
              <w:t>顺畅，二、光度范围：球镜+5.00～-8.00，柱镜-0.25～-4.00</w:t>
            </w:r>
          </w:p>
        </w:tc>
        <w:tc>
          <w:tcPr>
            <w:tcW w:w="510" w:type="dxa"/>
            <w:vAlign w:val="center"/>
          </w:tcPr>
          <w:p w14:paraId="5D2CDB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55FED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191</w:t>
            </w:r>
          </w:p>
        </w:tc>
      </w:tr>
      <w:tr w14:paraId="4AD54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BA072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w:t>
            </w:r>
          </w:p>
        </w:tc>
        <w:tc>
          <w:tcPr>
            <w:tcW w:w="1623" w:type="dxa"/>
            <w:vAlign w:val="center"/>
          </w:tcPr>
          <w:p w14:paraId="4E880B7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1.56防蓝光双面复合内渐进树脂镜片</w:t>
            </w:r>
          </w:p>
        </w:tc>
        <w:tc>
          <w:tcPr>
            <w:tcW w:w="386" w:type="dxa"/>
            <w:vAlign w:val="center"/>
          </w:tcPr>
          <w:p w14:paraId="4032991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ADEE2C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加</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。4.树脂镜片，膜层易清洁、防污、耐磨、防静电，防蓝光。二、光度范围：球镜+5.00～-8.00，柱镜-0.25～-4.00</w:t>
            </w:r>
          </w:p>
        </w:tc>
        <w:tc>
          <w:tcPr>
            <w:tcW w:w="510" w:type="dxa"/>
            <w:vAlign w:val="center"/>
          </w:tcPr>
          <w:p w14:paraId="31555AB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7C3052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216</w:t>
            </w:r>
          </w:p>
        </w:tc>
      </w:tr>
      <w:tr w14:paraId="0F15D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5BA75F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w:t>
            </w:r>
          </w:p>
        </w:tc>
        <w:tc>
          <w:tcPr>
            <w:tcW w:w="1623" w:type="dxa"/>
            <w:vAlign w:val="center"/>
          </w:tcPr>
          <w:p w14:paraId="6BA854D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1.56变色双面复合内渐进树脂镜片</w:t>
            </w:r>
          </w:p>
        </w:tc>
        <w:tc>
          <w:tcPr>
            <w:tcW w:w="386" w:type="dxa"/>
            <w:vAlign w:val="center"/>
          </w:tcPr>
          <w:p w14:paraId="4A7D80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4B44EC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一、性能特点：双眼验光处方平衡技术，优化左右眼验光处方差异，左右视网膜图像可在大脑精准重叠，从远到近视觉切换</w:t>
            </w:r>
            <w:r>
              <w:rPr>
                <w:rFonts w:hint="eastAsia" w:hAnsi="宋体" w:cs="宋体"/>
                <w:color w:val="auto"/>
                <w:sz w:val="18"/>
                <w:szCs w:val="18"/>
                <w:highlight w:val="none"/>
                <w:lang w:eastAsia="zh-CN"/>
              </w:rPr>
              <w:t>更加</w:t>
            </w:r>
            <w:r>
              <w:rPr>
                <w:rFonts w:hint="eastAsia" w:hAnsi="宋体" w:cs="宋体"/>
                <w:color w:val="auto"/>
                <w:sz w:val="18"/>
                <w:szCs w:val="18"/>
                <w:highlight w:val="none"/>
              </w:rPr>
              <w:t>顺畅，二、光度范围：球镜+5.00～-8.00，柱镜-0.25～-4.00</w:t>
            </w:r>
          </w:p>
        </w:tc>
        <w:tc>
          <w:tcPr>
            <w:tcW w:w="510" w:type="dxa"/>
            <w:vAlign w:val="center"/>
          </w:tcPr>
          <w:p w14:paraId="5658AC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4617D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276.17</w:t>
            </w:r>
          </w:p>
        </w:tc>
      </w:tr>
      <w:tr w14:paraId="5B844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29D1F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41</w:t>
            </w:r>
          </w:p>
        </w:tc>
        <w:tc>
          <w:tcPr>
            <w:tcW w:w="1623" w:type="dxa"/>
            <w:vAlign w:val="center"/>
          </w:tcPr>
          <w:p w14:paraId="58E06D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1.60双面复合内渐进树脂镜片</w:t>
            </w:r>
          </w:p>
        </w:tc>
        <w:tc>
          <w:tcPr>
            <w:tcW w:w="386" w:type="dxa"/>
            <w:vAlign w:val="center"/>
          </w:tcPr>
          <w:p w14:paraId="114E9F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F8D6AF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一、性能特点：双眼验光处方平衡技术，优化左右眼验光处方差异，左右视网膜图像可在大脑精准重叠，从远到近视觉切换</w:t>
            </w:r>
            <w:r>
              <w:rPr>
                <w:rFonts w:hint="eastAsia" w:hAnsi="宋体" w:cs="宋体"/>
                <w:color w:val="auto"/>
                <w:sz w:val="18"/>
                <w:szCs w:val="18"/>
                <w:highlight w:val="none"/>
                <w:lang w:eastAsia="zh-CN"/>
              </w:rPr>
              <w:t>更加</w:t>
            </w:r>
            <w:r>
              <w:rPr>
                <w:rFonts w:hint="eastAsia" w:hAnsi="宋体" w:cs="宋体"/>
                <w:color w:val="auto"/>
                <w:sz w:val="18"/>
                <w:szCs w:val="18"/>
                <w:highlight w:val="none"/>
              </w:rPr>
              <w:t>顺畅，光度范围：球镜+6.00～-8.00，柱镜-0.25～-4.00</w:t>
            </w:r>
          </w:p>
        </w:tc>
        <w:tc>
          <w:tcPr>
            <w:tcW w:w="510" w:type="dxa"/>
            <w:vAlign w:val="center"/>
          </w:tcPr>
          <w:p w14:paraId="35C26C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6AB21E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254.625</w:t>
            </w:r>
          </w:p>
        </w:tc>
      </w:tr>
      <w:tr w14:paraId="0481D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11D34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42</w:t>
            </w:r>
          </w:p>
        </w:tc>
        <w:tc>
          <w:tcPr>
            <w:tcW w:w="1623" w:type="dxa"/>
            <w:vAlign w:val="center"/>
          </w:tcPr>
          <w:p w14:paraId="4BA1508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1.60防蓝光双面复合内渐进树脂镜片</w:t>
            </w:r>
          </w:p>
        </w:tc>
        <w:tc>
          <w:tcPr>
            <w:tcW w:w="386" w:type="dxa"/>
            <w:vAlign w:val="center"/>
          </w:tcPr>
          <w:p w14:paraId="37CFED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49B009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。4.树脂镜片，膜层易清洁、防污、耐磨、防静电，防蓝光。二、光度范围：球镜+6.00～-8.00，柱镜-0.25～-4.00</w:t>
            </w:r>
          </w:p>
        </w:tc>
        <w:tc>
          <w:tcPr>
            <w:tcW w:w="510" w:type="dxa"/>
            <w:vAlign w:val="center"/>
          </w:tcPr>
          <w:p w14:paraId="203FC1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85DFBA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276.17</w:t>
            </w:r>
          </w:p>
        </w:tc>
      </w:tr>
      <w:tr w14:paraId="34872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532DD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w:t>
            </w:r>
          </w:p>
        </w:tc>
        <w:tc>
          <w:tcPr>
            <w:tcW w:w="1623" w:type="dxa"/>
            <w:vAlign w:val="center"/>
          </w:tcPr>
          <w:p w14:paraId="4BCA2DB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1.60变色双面复合内渐进树脂镜片</w:t>
            </w:r>
          </w:p>
        </w:tc>
        <w:tc>
          <w:tcPr>
            <w:tcW w:w="386" w:type="dxa"/>
            <w:vAlign w:val="center"/>
          </w:tcPr>
          <w:p w14:paraId="6356C4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87EF98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一、性能特点：双眼验光处方平衡技术，优化左右眼验光处方差异，左右视网膜图像可在大脑精准重叠，从远到近视觉切换</w:t>
            </w:r>
            <w:r>
              <w:rPr>
                <w:rFonts w:hint="eastAsia" w:hAnsi="宋体" w:cs="宋体"/>
                <w:color w:val="auto"/>
                <w:sz w:val="18"/>
                <w:szCs w:val="18"/>
                <w:highlight w:val="none"/>
                <w:lang w:eastAsia="zh-CN"/>
              </w:rPr>
              <w:t>更加</w:t>
            </w:r>
            <w:r>
              <w:rPr>
                <w:rFonts w:hint="eastAsia" w:hAnsi="宋体" w:cs="宋体"/>
                <w:color w:val="auto"/>
                <w:sz w:val="18"/>
                <w:szCs w:val="18"/>
                <w:highlight w:val="none"/>
              </w:rPr>
              <w:t>顺畅，二、光度范围：球镜+6.00～-8.00，柱镜-0.25～-4.00</w:t>
            </w:r>
          </w:p>
        </w:tc>
        <w:tc>
          <w:tcPr>
            <w:tcW w:w="510" w:type="dxa"/>
            <w:vAlign w:val="center"/>
          </w:tcPr>
          <w:p w14:paraId="3D98A2E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54A79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360</w:t>
            </w:r>
          </w:p>
        </w:tc>
      </w:tr>
      <w:tr w14:paraId="2318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9A802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44</w:t>
            </w:r>
          </w:p>
        </w:tc>
        <w:tc>
          <w:tcPr>
            <w:tcW w:w="1623" w:type="dxa"/>
            <w:vAlign w:val="center"/>
          </w:tcPr>
          <w:p w14:paraId="6A6A8B6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双面复合内渐进树脂镜片</w:t>
            </w:r>
          </w:p>
        </w:tc>
        <w:tc>
          <w:tcPr>
            <w:tcW w:w="386" w:type="dxa"/>
            <w:vAlign w:val="center"/>
          </w:tcPr>
          <w:p w14:paraId="706F33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1E7469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一、性能特点：双眼验光处方平衡技术，优化左右眼验光处方差异，左右视网膜图像可在大脑精准重叠，从远到近视觉切换</w:t>
            </w:r>
            <w:r>
              <w:rPr>
                <w:rFonts w:hint="eastAsia" w:hAnsi="宋体" w:cs="宋体"/>
                <w:color w:val="auto"/>
                <w:sz w:val="18"/>
                <w:szCs w:val="18"/>
                <w:highlight w:val="none"/>
                <w:lang w:eastAsia="zh-CN"/>
              </w:rPr>
              <w:t>更加</w:t>
            </w:r>
            <w:r>
              <w:rPr>
                <w:rFonts w:hint="eastAsia" w:hAnsi="宋体" w:cs="宋体"/>
                <w:color w:val="auto"/>
                <w:sz w:val="18"/>
                <w:szCs w:val="18"/>
                <w:highlight w:val="none"/>
              </w:rPr>
              <w:t>顺畅，二、光度范围：球镜+8.00～-8.00，柱镜-0.25～-4.00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6F5C149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B6C91A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312.9</w:t>
            </w:r>
          </w:p>
        </w:tc>
      </w:tr>
      <w:tr w14:paraId="34CAE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DF4E79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w:t>
            </w:r>
          </w:p>
        </w:tc>
        <w:tc>
          <w:tcPr>
            <w:tcW w:w="1623" w:type="dxa"/>
            <w:vAlign w:val="center"/>
          </w:tcPr>
          <w:p w14:paraId="28C7738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防蓝光双面复合内渐进树脂镜片</w:t>
            </w:r>
          </w:p>
        </w:tc>
        <w:tc>
          <w:tcPr>
            <w:tcW w:w="386" w:type="dxa"/>
            <w:vAlign w:val="center"/>
          </w:tcPr>
          <w:p w14:paraId="4C31E35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DC7549C">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加</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。4.树脂镜片，膜层易清洁、防污、耐磨、防静电，防蓝光。二、光度范围：球镜+8.00～-8.00，柱镜-0.25～-4.00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41720B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4816A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339.34</w:t>
            </w:r>
          </w:p>
        </w:tc>
      </w:tr>
      <w:tr w14:paraId="65770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2A4FF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46</w:t>
            </w:r>
          </w:p>
        </w:tc>
        <w:tc>
          <w:tcPr>
            <w:tcW w:w="1623" w:type="dxa"/>
            <w:vAlign w:val="center"/>
          </w:tcPr>
          <w:p w14:paraId="18AC3A0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双面复合内渐进树脂镜片</w:t>
            </w:r>
          </w:p>
        </w:tc>
        <w:tc>
          <w:tcPr>
            <w:tcW w:w="386" w:type="dxa"/>
            <w:vAlign w:val="center"/>
          </w:tcPr>
          <w:p w14:paraId="303AB2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9ACE921">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一、性能特点：双眼验光处方平衡技术，优化左右眼验光处方差异，左右视网膜图像可在大脑精准重叠，从远到近视觉切换</w:t>
            </w:r>
            <w:r>
              <w:rPr>
                <w:rFonts w:hint="eastAsia" w:hAnsi="宋体" w:cs="宋体"/>
                <w:color w:val="auto"/>
                <w:sz w:val="18"/>
                <w:szCs w:val="18"/>
                <w:highlight w:val="none"/>
                <w:lang w:eastAsia="zh-CN"/>
              </w:rPr>
              <w:t>更加</w:t>
            </w:r>
            <w:r>
              <w:rPr>
                <w:rFonts w:hint="eastAsia" w:hAnsi="宋体" w:cs="宋体"/>
                <w:color w:val="auto"/>
                <w:sz w:val="18"/>
                <w:szCs w:val="18"/>
                <w:highlight w:val="none"/>
              </w:rPr>
              <w:t>顺畅，二、光度范围：球镜+8.00～-8.00，柱镜-0.25～-4.00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58B42D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718AE4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385.6</w:t>
            </w:r>
          </w:p>
        </w:tc>
      </w:tr>
      <w:tr w14:paraId="0A448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11696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47</w:t>
            </w:r>
          </w:p>
        </w:tc>
        <w:tc>
          <w:tcPr>
            <w:tcW w:w="1623" w:type="dxa"/>
            <w:vAlign w:val="center"/>
          </w:tcPr>
          <w:p w14:paraId="524824C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防蓝光双面复合内渐进树脂镜片</w:t>
            </w:r>
          </w:p>
        </w:tc>
        <w:tc>
          <w:tcPr>
            <w:tcW w:w="386" w:type="dxa"/>
            <w:vAlign w:val="center"/>
          </w:tcPr>
          <w:p w14:paraId="3EA8AF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BF59261">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加</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。4.树脂镜片，膜层易清洁、防污、耐磨、防静电，防蓝光。二、光度范围：球镜+8.00～-8.00，柱镜-0.25～-4.00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2FADB8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F0C56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413.6</w:t>
            </w:r>
          </w:p>
        </w:tc>
      </w:tr>
      <w:tr w14:paraId="64062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2D4A6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w:t>
            </w:r>
          </w:p>
        </w:tc>
        <w:tc>
          <w:tcPr>
            <w:tcW w:w="1623" w:type="dxa"/>
            <w:vAlign w:val="center"/>
          </w:tcPr>
          <w:p w14:paraId="08A30DE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1.56基变树脂镜片</w:t>
            </w:r>
          </w:p>
        </w:tc>
        <w:tc>
          <w:tcPr>
            <w:tcW w:w="386" w:type="dxa"/>
            <w:vAlign w:val="center"/>
          </w:tcPr>
          <w:p w14:paraId="36F5AF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605696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遇紫外线变色，双重技术，后面表加工技术提高了佩戴舒适性，膜层易洁双面防紫外线，同一镜片提供两个区域，看远清晰，看近缓解疲劳，清晰舒适。二、光度范围：球镜-0.00~-6.00，柱镜-0.00~-2.00</w:t>
            </w:r>
          </w:p>
        </w:tc>
        <w:tc>
          <w:tcPr>
            <w:tcW w:w="510" w:type="dxa"/>
            <w:vAlign w:val="center"/>
          </w:tcPr>
          <w:p w14:paraId="3D25EA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83DF5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73</w:t>
            </w:r>
          </w:p>
        </w:tc>
      </w:tr>
      <w:tr w14:paraId="7720D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E3064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49</w:t>
            </w:r>
          </w:p>
        </w:tc>
        <w:tc>
          <w:tcPr>
            <w:tcW w:w="1623" w:type="dxa"/>
            <w:vAlign w:val="center"/>
          </w:tcPr>
          <w:p w14:paraId="408BEA7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1.56基变树脂镜片</w:t>
            </w:r>
          </w:p>
        </w:tc>
        <w:tc>
          <w:tcPr>
            <w:tcW w:w="386" w:type="dxa"/>
            <w:vAlign w:val="center"/>
          </w:tcPr>
          <w:p w14:paraId="08EB020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602DD0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遇紫外线变色，双重技术，后面表加工技术提高了佩戴舒适性，膜层易洁双面防紫外线，同一镜片提供两个区域，看远清晰，看近缓解疲劳，清晰舒适。二、光度范围：球镜+10.00~-18.00，柱镜-0.00~-6.00联合光度+10.00（-18.00）</w:t>
            </w:r>
          </w:p>
        </w:tc>
        <w:tc>
          <w:tcPr>
            <w:tcW w:w="510" w:type="dxa"/>
            <w:vAlign w:val="center"/>
          </w:tcPr>
          <w:p w14:paraId="6FC9EB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01D412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118.5</w:t>
            </w:r>
          </w:p>
        </w:tc>
      </w:tr>
      <w:tr w14:paraId="63030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6A051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50</w:t>
            </w:r>
          </w:p>
        </w:tc>
        <w:tc>
          <w:tcPr>
            <w:tcW w:w="1623" w:type="dxa"/>
            <w:vAlign w:val="center"/>
          </w:tcPr>
          <w:p w14:paraId="25564D9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1.56全天候驾驶树脂镜片</w:t>
            </w:r>
          </w:p>
        </w:tc>
        <w:tc>
          <w:tcPr>
            <w:tcW w:w="386" w:type="dxa"/>
            <w:vAlign w:val="center"/>
          </w:tcPr>
          <w:p w14:paraId="3DEA255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4510F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在雨天、阴天、黄昏或夜晚驾驶时，能快速识别物体。2.减少路面强光造成的不适应，瞳孔光感平衡设计，在弱光环境下体验舒适视觉，驾驶型渐进快转换，准确看清道路、仪表盘、后视镜和侧视镜。3.膜层特性：超硬耐磨、易清洁、防静电。二、光度范围：球镜0.00，柱镜0.00</w:t>
            </w:r>
          </w:p>
        </w:tc>
        <w:tc>
          <w:tcPr>
            <w:tcW w:w="510" w:type="dxa"/>
            <w:vAlign w:val="center"/>
          </w:tcPr>
          <w:p w14:paraId="142031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平光</w:t>
            </w:r>
          </w:p>
        </w:tc>
        <w:tc>
          <w:tcPr>
            <w:tcW w:w="757" w:type="dxa"/>
            <w:vAlign w:val="center"/>
          </w:tcPr>
          <w:p w14:paraId="17B387F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96.5</w:t>
            </w:r>
          </w:p>
        </w:tc>
      </w:tr>
      <w:tr w14:paraId="11242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778379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w:t>
            </w:r>
          </w:p>
        </w:tc>
        <w:tc>
          <w:tcPr>
            <w:tcW w:w="1623" w:type="dxa"/>
            <w:vAlign w:val="center"/>
          </w:tcPr>
          <w:p w14:paraId="3835F0E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1.56全天候驾驶树脂镜片</w:t>
            </w:r>
          </w:p>
        </w:tc>
        <w:tc>
          <w:tcPr>
            <w:tcW w:w="386" w:type="dxa"/>
            <w:vAlign w:val="center"/>
          </w:tcPr>
          <w:p w14:paraId="63C66FA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077D60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在雨天、阴天、黄昏或夜晚驾驶时，能快速识别物体。2.减少路面强光造成的不适应，瞳孔光感平衡设计，在弱光环境下体验舒适视觉，驾驶型渐进快转换，准确看清道路、仪表盘、后视镜和侧视镜。3.膜层特性：超硬耐磨、易清洁、防静电。二、光度范围：球镜-0.00~-10.00，柱镜-0.00~-4.00联合光度-14.00</w:t>
            </w:r>
          </w:p>
        </w:tc>
        <w:tc>
          <w:tcPr>
            <w:tcW w:w="510" w:type="dxa"/>
            <w:vAlign w:val="center"/>
          </w:tcPr>
          <w:p w14:paraId="4F6021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BE32F7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189</w:t>
            </w:r>
          </w:p>
        </w:tc>
      </w:tr>
      <w:tr w14:paraId="39422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7FF8D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52</w:t>
            </w:r>
          </w:p>
        </w:tc>
        <w:tc>
          <w:tcPr>
            <w:tcW w:w="1623" w:type="dxa"/>
            <w:vAlign w:val="center"/>
          </w:tcPr>
          <w:p w14:paraId="6C1C0AC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1.56非球面膜变树脂镜片</w:t>
            </w:r>
          </w:p>
        </w:tc>
        <w:tc>
          <w:tcPr>
            <w:tcW w:w="386" w:type="dxa"/>
            <w:vAlign w:val="center"/>
          </w:tcPr>
          <w:p w14:paraId="310E42E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3118ED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一、性能特点：1.非球面。2.阻止阳光刺眼、吸收紫外线、预防眼器官受紫外线照射过早老化、预防白内障等眼疾病，镜三用。3.保障佩戴者的安全及视力不</w:t>
            </w:r>
            <w:r>
              <w:rPr>
                <w:rFonts w:hint="eastAsia" w:hAnsi="宋体" w:cs="宋体"/>
                <w:color w:val="auto"/>
                <w:sz w:val="18"/>
                <w:szCs w:val="18"/>
                <w:highlight w:val="none"/>
                <w:lang w:eastAsia="zh-CN"/>
              </w:rPr>
              <w:t>受</w:t>
            </w:r>
            <w:r>
              <w:rPr>
                <w:rFonts w:hint="eastAsia" w:hAnsi="宋体" w:cs="宋体"/>
                <w:color w:val="auto"/>
                <w:sz w:val="18"/>
                <w:szCs w:val="18"/>
                <w:highlight w:val="none"/>
              </w:rPr>
              <w:t>损伤，能有效防护多种会影响视觉质量的眩光、电磁波和紫外线，快速变色，清晰视线。4.室外遇紫外线镜片快速变至灰色，阻挡紫外线和眩光，保护眼睛；室内透明不影响工作。5.膜层特性：双面膜层工艺，防油污、防尘、防水、照相不反光，耐磨、高清、16层镀膜。二、光度范围：球镜0.00~-6.00，柱镜 -0.00~-2.00</w:t>
            </w:r>
          </w:p>
        </w:tc>
        <w:tc>
          <w:tcPr>
            <w:tcW w:w="510" w:type="dxa"/>
            <w:vAlign w:val="center"/>
          </w:tcPr>
          <w:p w14:paraId="2DD7F07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4E501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129.96</w:t>
            </w:r>
          </w:p>
        </w:tc>
      </w:tr>
      <w:tr w14:paraId="1D3B1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D724D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w:t>
            </w:r>
          </w:p>
        </w:tc>
        <w:tc>
          <w:tcPr>
            <w:tcW w:w="1623" w:type="dxa"/>
            <w:vAlign w:val="center"/>
          </w:tcPr>
          <w:p w14:paraId="65B57AD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1.56非球面膜变树脂镜片</w:t>
            </w:r>
          </w:p>
        </w:tc>
        <w:tc>
          <w:tcPr>
            <w:tcW w:w="386" w:type="dxa"/>
            <w:vAlign w:val="center"/>
          </w:tcPr>
          <w:p w14:paraId="2AE01E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2B49D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一、性能特点：1.非球面。2.阻止阳光刺眼、吸收紫外线、预防眼器官受紫外线照射过早老化、预防白内障等眼疾病，镜三用。3.保障佩戴者的安全及视力不</w:t>
            </w:r>
            <w:r>
              <w:rPr>
                <w:rFonts w:hint="eastAsia" w:hAnsi="宋体" w:cs="宋体"/>
                <w:color w:val="auto"/>
                <w:sz w:val="18"/>
                <w:szCs w:val="18"/>
                <w:highlight w:val="none"/>
                <w:lang w:eastAsia="zh-CN"/>
              </w:rPr>
              <w:t>受</w:t>
            </w:r>
            <w:r>
              <w:rPr>
                <w:rFonts w:hint="eastAsia" w:hAnsi="宋体" w:cs="宋体"/>
                <w:color w:val="auto"/>
                <w:sz w:val="18"/>
                <w:szCs w:val="18"/>
                <w:highlight w:val="none"/>
              </w:rPr>
              <w:t>损伤，能有效防护多种会影响视觉质量的眩光、电磁波和紫外线，快速变色，清晰视线。4.室外遇紫外线镜片快速变至灰色，阻挡紫外线和眩光，保护眼睛；室内透明不影响工作。5.膜层特性：双面膜层工艺，防油污、防尘、防水、照相不反光，耐磨、高清、16层镀膜。二、光度范围：球镜+7.00~-10.00，柱镜-0.00~-4.00联合光度+7.00(-10.00)</w:t>
            </w:r>
          </w:p>
        </w:tc>
        <w:tc>
          <w:tcPr>
            <w:tcW w:w="510" w:type="dxa"/>
            <w:vAlign w:val="center"/>
          </w:tcPr>
          <w:p w14:paraId="26F8FB0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82FA3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216</w:t>
            </w:r>
          </w:p>
        </w:tc>
      </w:tr>
      <w:tr w14:paraId="0A519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3036A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54</w:t>
            </w:r>
          </w:p>
        </w:tc>
        <w:tc>
          <w:tcPr>
            <w:tcW w:w="1623" w:type="dxa"/>
            <w:vAlign w:val="center"/>
          </w:tcPr>
          <w:p w14:paraId="3BF9764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1.50偏光树脂镜片（灰、茶、绿）</w:t>
            </w:r>
          </w:p>
        </w:tc>
        <w:tc>
          <w:tcPr>
            <w:tcW w:w="386" w:type="dxa"/>
            <w:vAlign w:val="center"/>
          </w:tcPr>
          <w:p w14:paraId="70E8BB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C168A3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一、性能特点：满足近视患者戴上近视偏光镜要求的同时带防雾功能 1.镜片前后表面采用防护防油污及防水设置，镜片表面手感滑，镜片易清洁，雨天可减少水珠停留。2.镜片采用非球面技术，光学性能好，边缘像差大幅度降低，视物不变形，清晰、自然。3.舒适高清，在阳光反射下，镜片表面泛有黄绿色或绿色二、光度范围：球镜0.00～-8.00，柱镜0.00~-2.00联合光度-8.00</w:t>
            </w:r>
          </w:p>
        </w:tc>
        <w:tc>
          <w:tcPr>
            <w:tcW w:w="510" w:type="dxa"/>
            <w:vAlign w:val="center"/>
          </w:tcPr>
          <w:p w14:paraId="7A9DC9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B5FBA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r>
      <w:tr w14:paraId="76240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2F85B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55</w:t>
            </w:r>
          </w:p>
        </w:tc>
        <w:tc>
          <w:tcPr>
            <w:tcW w:w="1623" w:type="dxa"/>
            <w:vAlign w:val="center"/>
          </w:tcPr>
          <w:p w14:paraId="3CD2080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1.56偏光树脂镜片（灰、茶、绿）</w:t>
            </w:r>
          </w:p>
        </w:tc>
        <w:tc>
          <w:tcPr>
            <w:tcW w:w="386" w:type="dxa"/>
            <w:vAlign w:val="center"/>
          </w:tcPr>
          <w:p w14:paraId="449052E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E07A81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一、性能特点：满足近视患者戴上近视偏光镜要求的同时带防雾功能 1.镜片前后表面采用防护防油污及防水设置，镜片表面手感滑，镜片易清洁，雨天可减少水珠停留。2.镜片采用非球面技术，光学性能好，边缘像差大幅度降低，视物不变形，清晰、自然。3.舒适高清，在阳光反射下，镜片表面泛有黄绿色或绿色。二、光度范围：球镜+4.00~-8.00，柱镜0.00~-2.00，联合光度+4.00（-10.00）</w:t>
            </w:r>
          </w:p>
        </w:tc>
        <w:tc>
          <w:tcPr>
            <w:tcW w:w="510" w:type="dxa"/>
            <w:vAlign w:val="center"/>
          </w:tcPr>
          <w:p w14:paraId="5E5D64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3650B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150</w:t>
            </w:r>
          </w:p>
        </w:tc>
      </w:tr>
      <w:tr w14:paraId="2B584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8BC60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56</w:t>
            </w:r>
          </w:p>
        </w:tc>
        <w:tc>
          <w:tcPr>
            <w:tcW w:w="1623" w:type="dxa"/>
            <w:vAlign w:val="center"/>
          </w:tcPr>
          <w:p w14:paraId="0EBD174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1.60偏光树脂镜片（灰、茶、绿）</w:t>
            </w:r>
          </w:p>
        </w:tc>
        <w:tc>
          <w:tcPr>
            <w:tcW w:w="386" w:type="dxa"/>
            <w:vAlign w:val="center"/>
          </w:tcPr>
          <w:p w14:paraId="201C40B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DF24C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一、性能特点：满足近视患者戴上近视偏光镜要求的同时带防雾功能 1.镜片前后表面采用防护防油污及防水设置，镜片表面手感滑，镜片易清洁，雨天可减少水珠停留。2.镜片采用非球面技术，光学性能好，边缘像差大幅度降低，视物不变形，清晰、自然。3.舒适高清，在阳光反射下，镜片表面泛有黄绿色或绿色。二、光度范围：球镜+4.00~-8.00，柱镜0.00~-2.00，联合光度+4.00（-10.00）</w:t>
            </w:r>
          </w:p>
        </w:tc>
        <w:tc>
          <w:tcPr>
            <w:tcW w:w="510" w:type="dxa"/>
            <w:vAlign w:val="center"/>
          </w:tcPr>
          <w:p w14:paraId="720E33A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D87F4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492</w:t>
            </w:r>
          </w:p>
        </w:tc>
      </w:tr>
      <w:tr w14:paraId="1E9AC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87529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w:t>
            </w:r>
          </w:p>
        </w:tc>
        <w:tc>
          <w:tcPr>
            <w:tcW w:w="1623" w:type="dxa"/>
            <w:vAlign w:val="center"/>
          </w:tcPr>
          <w:p w14:paraId="46BDD1F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1.50炫彩偏光树脂镜片</w:t>
            </w:r>
          </w:p>
        </w:tc>
        <w:tc>
          <w:tcPr>
            <w:tcW w:w="386" w:type="dxa"/>
            <w:vAlign w:val="center"/>
          </w:tcPr>
          <w:p w14:paraId="2F0631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886D19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一、性能特点：满足近视患者戴上近视偏光镜要求的同时带防雾功能 1.镜片前后表面采用防护防油污及防水设置，镜片表面手感滑，镜片易清洁，雨天可减少水珠停留。2.镜片采用非球面技术，光学性能好，边缘像差大幅度降低，视物不变形，清晰、自然。3.舒适高清，在阳光反射下，镜片表面泛有黄绿色或绿色。二、光度范围：球镜-0.00~-4.00，柱镜-0.00~-2.00联合光度-6.00</w:t>
            </w:r>
          </w:p>
        </w:tc>
        <w:tc>
          <w:tcPr>
            <w:tcW w:w="510" w:type="dxa"/>
            <w:vAlign w:val="center"/>
          </w:tcPr>
          <w:p w14:paraId="2641D6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BD365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144.4</w:t>
            </w:r>
          </w:p>
        </w:tc>
      </w:tr>
      <w:tr w14:paraId="1FF9F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52A3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w:t>
            </w:r>
          </w:p>
        </w:tc>
        <w:tc>
          <w:tcPr>
            <w:tcW w:w="1623" w:type="dxa"/>
            <w:vAlign w:val="center"/>
          </w:tcPr>
          <w:p w14:paraId="70A2A67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1.50太阳镜染色树脂镜片</w:t>
            </w:r>
          </w:p>
        </w:tc>
        <w:tc>
          <w:tcPr>
            <w:tcW w:w="386" w:type="dxa"/>
            <w:vAlign w:val="center"/>
          </w:tcPr>
          <w:p w14:paraId="0E808F5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971BBB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近视太阳镜，双重技术，后面表加工技术提高了佩戴舒适性，膜层易洁双面防紫外线，同一镜片提供两个区域，看远清晰，看近缓解疲劳，清晰舒适。二、光度范围：球镜0.00~-6.00，柱镜0.00~-4.00联合光度-10.00</w:t>
            </w:r>
          </w:p>
        </w:tc>
        <w:tc>
          <w:tcPr>
            <w:tcW w:w="510" w:type="dxa"/>
            <w:vAlign w:val="center"/>
          </w:tcPr>
          <w:p w14:paraId="597A1E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CCF298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w:t>
            </w:r>
          </w:p>
        </w:tc>
      </w:tr>
      <w:tr w14:paraId="17D25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850DE0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59</w:t>
            </w:r>
          </w:p>
        </w:tc>
        <w:tc>
          <w:tcPr>
            <w:tcW w:w="1623" w:type="dxa"/>
            <w:vAlign w:val="center"/>
          </w:tcPr>
          <w:p w14:paraId="63C362E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1.56太阳镜染色树脂镜片</w:t>
            </w:r>
          </w:p>
        </w:tc>
        <w:tc>
          <w:tcPr>
            <w:tcW w:w="386" w:type="dxa"/>
            <w:vAlign w:val="center"/>
          </w:tcPr>
          <w:p w14:paraId="6929A8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6FDD33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近视太阳镜，双重技术，后面表加工技术提高了佩戴舒适性，膜层易洁双面防紫外线，同一镜片提供两个区域，看远清晰，看近缓解疲劳，清晰舒适。二、光度范围：球镜0.00~-8.00，柱镜0.00~-4.00联合光度-12.00</w:t>
            </w:r>
          </w:p>
        </w:tc>
        <w:tc>
          <w:tcPr>
            <w:tcW w:w="510" w:type="dxa"/>
            <w:vAlign w:val="center"/>
          </w:tcPr>
          <w:p w14:paraId="68D02A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15DC66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127</w:t>
            </w:r>
          </w:p>
        </w:tc>
      </w:tr>
      <w:tr w14:paraId="32C9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B8067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60</w:t>
            </w:r>
          </w:p>
        </w:tc>
        <w:tc>
          <w:tcPr>
            <w:tcW w:w="1623" w:type="dxa"/>
            <w:vAlign w:val="center"/>
          </w:tcPr>
          <w:p w14:paraId="1B6E04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1.60太阳镜染色树脂镜片</w:t>
            </w:r>
          </w:p>
        </w:tc>
        <w:tc>
          <w:tcPr>
            <w:tcW w:w="386" w:type="dxa"/>
            <w:vAlign w:val="center"/>
          </w:tcPr>
          <w:p w14:paraId="3D72356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6F8A37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近视太阳镜，双重技术，后面表加工技术提高了佩戴舒适性，膜层易洁双面防紫外线，同一镜片提供两个区域，看远清晰，看近缓解疲劳，清晰舒适。二、光度范围：球镜0.00~-10.00，柱镜0.00~-4.00联合光度-14.00</w:t>
            </w:r>
          </w:p>
        </w:tc>
        <w:tc>
          <w:tcPr>
            <w:tcW w:w="510" w:type="dxa"/>
            <w:vAlign w:val="center"/>
          </w:tcPr>
          <w:p w14:paraId="056E3C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769F3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192</w:t>
            </w:r>
          </w:p>
        </w:tc>
      </w:tr>
      <w:tr w14:paraId="4BF6D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0161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61</w:t>
            </w:r>
          </w:p>
        </w:tc>
        <w:tc>
          <w:tcPr>
            <w:tcW w:w="1623" w:type="dxa"/>
            <w:vAlign w:val="center"/>
          </w:tcPr>
          <w:p w14:paraId="560BCE0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1.56双抗减疲劳树脂镜片</w:t>
            </w:r>
          </w:p>
        </w:tc>
        <w:tc>
          <w:tcPr>
            <w:tcW w:w="386" w:type="dxa"/>
            <w:vAlign w:val="center"/>
          </w:tcPr>
          <w:p w14:paraId="195B9F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E16BB0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一、性能特点：双重技术，后面表加工技术提高了佩戴舒适性，膜层易洁双面防紫外线，同一镜片提供两个区域，看远清晰，看近缓解疲劳，清晰舒适。二、光度范围：球镜-0.00~-6.00</w:t>
            </w:r>
          </w:p>
        </w:tc>
        <w:tc>
          <w:tcPr>
            <w:tcW w:w="510" w:type="dxa"/>
            <w:vAlign w:val="center"/>
          </w:tcPr>
          <w:p w14:paraId="0A6357F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3CCE14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43.32</w:t>
            </w:r>
          </w:p>
        </w:tc>
      </w:tr>
      <w:tr w14:paraId="41B4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DA4AD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62</w:t>
            </w:r>
          </w:p>
        </w:tc>
        <w:tc>
          <w:tcPr>
            <w:tcW w:w="1623" w:type="dxa"/>
            <w:vAlign w:val="center"/>
          </w:tcPr>
          <w:p w14:paraId="392FA40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1.56双抗减疲劳树脂镜片</w:t>
            </w:r>
          </w:p>
        </w:tc>
        <w:tc>
          <w:tcPr>
            <w:tcW w:w="386" w:type="dxa"/>
            <w:vAlign w:val="center"/>
          </w:tcPr>
          <w:p w14:paraId="5EA8C7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B250A2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双重技术，后面表加工技术提高了佩戴舒适性，膜层易洁双面防紫外线，同一镜片提供两个区域，看远清晰，看近缓解疲劳，清晰舒适。二、光度范围：球镜+2.00~-10.00，柱镜-0.00~-4.00联合光度+2.00（-10.00）</w:t>
            </w:r>
          </w:p>
        </w:tc>
        <w:tc>
          <w:tcPr>
            <w:tcW w:w="510" w:type="dxa"/>
            <w:vAlign w:val="center"/>
          </w:tcPr>
          <w:p w14:paraId="30B72B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D55A6D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72</w:t>
            </w:r>
          </w:p>
        </w:tc>
      </w:tr>
      <w:tr w14:paraId="0779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5AFAB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63</w:t>
            </w:r>
          </w:p>
        </w:tc>
        <w:tc>
          <w:tcPr>
            <w:tcW w:w="1623" w:type="dxa"/>
            <w:vAlign w:val="center"/>
          </w:tcPr>
          <w:p w14:paraId="16F0E0E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1.56超韧减疲劳树脂镜片</w:t>
            </w:r>
          </w:p>
        </w:tc>
        <w:tc>
          <w:tcPr>
            <w:tcW w:w="386" w:type="dxa"/>
            <w:vAlign w:val="center"/>
          </w:tcPr>
          <w:p w14:paraId="55DA97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4D0DA8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二、光度范围：球镜+2.00~-10.00，柱镜-0.00~-4.00联合光度+2.00（-10.00）</w:t>
            </w:r>
          </w:p>
        </w:tc>
        <w:tc>
          <w:tcPr>
            <w:tcW w:w="510" w:type="dxa"/>
            <w:vAlign w:val="center"/>
          </w:tcPr>
          <w:p w14:paraId="720AD57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86ADA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101.98</w:t>
            </w:r>
          </w:p>
        </w:tc>
      </w:tr>
      <w:tr w14:paraId="28031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D568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64</w:t>
            </w:r>
          </w:p>
        </w:tc>
        <w:tc>
          <w:tcPr>
            <w:tcW w:w="1623" w:type="dxa"/>
            <w:vAlign w:val="center"/>
          </w:tcPr>
          <w:p w14:paraId="0A60306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减疲劳树脂镜片</w:t>
            </w:r>
          </w:p>
        </w:tc>
        <w:tc>
          <w:tcPr>
            <w:tcW w:w="386" w:type="dxa"/>
            <w:vAlign w:val="center"/>
          </w:tcPr>
          <w:p w14:paraId="7021D1E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B01571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二、光度范围：球镜+2.00~-10.00，柱镜-0.00~-4.00联合光度+2.00（-10.00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72D5EFF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06667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153.43</w:t>
            </w:r>
          </w:p>
        </w:tc>
      </w:tr>
      <w:tr w14:paraId="1078A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28603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65</w:t>
            </w:r>
          </w:p>
        </w:tc>
        <w:tc>
          <w:tcPr>
            <w:tcW w:w="1623" w:type="dxa"/>
            <w:vAlign w:val="center"/>
          </w:tcPr>
          <w:p w14:paraId="34D29D4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1.56变色减疲劳树脂镜片</w:t>
            </w:r>
          </w:p>
        </w:tc>
        <w:tc>
          <w:tcPr>
            <w:tcW w:w="386" w:type="dxa"/>
            <w:vAlign w:val="center"/>
          </w:tcPr>
          <w:p w14:paraId="76F90D5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D2576B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遇紫外线变色，双重技术，后面表加工技术提高了佩戴舒适性，膜层易洁双面防紫外线，同一镜片提供两个区域，看远清晰，看近缓解疲劳，清晰舒适。二、光度范围：球镜+2.00~-10.00，柱镜-0.00~-4.00联合光度+2.00（-10.00）</w:t>
            </w:r>
          </w:p>
        </w:tc>
        <w:tc>
          <w:tcPr>
            <w:tcW w:w="510" w:type="dxa"/>
            <w:vAlign w:val="center"/>
          </w:tcPr>
          <w:p w14:paraId="74A3D02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4C550A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192</w:t>
            </w:r>
          </w:p>
        </w:tc>
      </w:tr>
      <w:tr w14:paraId="63EC2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C857A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66</w:t>
            </w:r>
          </w:p>
        </w:tc>
        <w:tc>
          <w:tcPr>
            <w:tcW w:w="1623" w:type="dxa"/>
            <w:vAlign w:val="center"/>
          </w:tcPr>
          <w:p w14:paraId="311549B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1.56防蓝光非球面树脂镜片</w:t>
            </w:r>
          </w:p>
        </w:tc>
        <w:tc>
          <w:tcPr>
            <w:tcW w:w="386" w:type="dxa"/>
            <w:vAlign w:val="center"/>
          </w:tcPr>
          <w:p w14:paraId="3A6DBE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51B4F6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一、性能特点：1.阻隔高能短波等有害蓝光，保护双眼，视物舒适持久。2.镜片锐薄、</w:t>
            </w:r>
            <w:r>
              <w:rPr>
                <w:rFonts w:hint="eastAsia" w:hAnsi="宋体" w:cs="宋体"/>
                <w:color w:val="auto"/>
                <w:sz w:val="18"/>
                <w:szCs w:val="18"/>
                <w:highlight w:val="none"/>
                <w:lang w:eastAsia="zh-CN"/>
              </w:rPr>
              <w:t>成像</w:t>
            </w:r>
            <w:r>
              <w:rPr>
                <w:rFonts w:hint="eastAsia" w:hAnsi="宋体" w:cs="宋体"/>
                <w:color w:val="auto"/>
                <w:sz w:val="18"/>
                <w:szCs w:val="18"/>
                <w:highlight w:val="none"/>
              </w:rPr>
              <w:t>高清。3.非球面。4.膜层特性：防蓝光膜层。二、光度范围：球镜+6.00~-8.00，柱镜 -0.00~-2.00</w:t>
            </w:r>
          </w:p>
        </w:tc>
        <w:tc>
          <w:tcPr>
            <w:tcW w:w="510" w:type="dxa"/>
            <w:vAlign w:val="center"/>
          </w:tcPr>
          <w:p w14:paraId="7833CF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F1D6E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65.25</w:t>
            </w:r>
          </w:p>
        </w:tc>
      </w:tr>
      <w:tr w14:paraId="1019D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FD6C5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67</w:t>
            </w:r>
          </w:p>
        </w:tc>
        <w:tc>
          <w:tcPr>
            <w:tcW w:w="1623" w:type="dxa"/>
            <w:vAlign w:val="center"/>
          </w:tcPr>
          <w:p w14:paraId="1AA9F59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1.56防蓝光非球面树脂镜片</w:t>
            </w:r>
          </w:p>
        </w:tc>
        <w:tc>
          <w:tcPr>
            <w:tcW w:w="386" w:type="dxa"/>
            <w:vAlign w:val="center"/>
          </w:tcPr>
          <w:p w14:paraId="1A62B73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AB6D03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一、性能特点：1.阻隔高能短波等有害蓝光，保护双眼，视物舒适持久。2.镜片锐薄、</w:t>
            </w:r>
            <w:r>
              <w:rPr>
                <w:rFonts w:hint="eastAsia" w:hAnsi="宋体" w:cs="宋体"/>
                <w:color w:val="auto"/>
                <w:sz w:val="18"/>
                <w:szCs w:val="18"/>
                <w:highlight w:val="none"/>
                <w:lang w:eastAsia="zh-CN"/>
              </w:rPr>
              <w:t>成像</w:t>
            </w:r>
            <w:r>
              <w:rPr>
                <w:rFonts w:hint="eastAsia" w:hAnsi="宋体" w:cs="宋体"/>
                <w:color w:val="auto"/>
                <w:sz w:val="18"/>
                <w:szCs w:val="18"/>
                <w:highlight w:val="none"/>
              </w:rPr>
              <w:t>高清。3.非球面。4.膜层特性：防蓝光膜层。二、光度范围：球镜+8.00～-10.00，柱镜0.00~-4.00，联合光度+8.00（-12.00）</w:t>
            </w:r>
          </w:p>
        </w:tc>
        <w:tc>
          <w:tcPr>
            <w:tcW w:w="510" w:type="dxa"/>
            <w:vAlign w:val="center"/>
          </w:tcPr>
          <w:p w14:paraId="2758A47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3CCDB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111</w:t>
            </w:r>
          </w:p>
        </w:tc>
      </w:tr>
      <w:tr w14:paraId="30C4F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A8DEAB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68</w:t>
            </w:r>
          </w:p>
        </w:tc>
        <w:tc>
          <w:tcPr>
            <w:tcW w:w="1623" w:type="dxa"/>
            <w:vAlign w:val="center"/>
          </w:tcPr>
          <w:p w14:paraId="785D4DD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防蓝光非球面树脂镜片</w:t>
            </w:r>
          </w:p>
        </w:tc>
        <w:tc>
          <w:tcPr>
            <w:tcW w:w="386" w:type="dxa"/>
            <w:vAlign w:val="center"/>
          </w:tcPr>
          <w:p w14:paraId="76E1D7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62AA09E">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一、性能特点：1.阻隔高能短波等有害蓝光，保护双眼，视物舒适持久。2.镜片锐薄、</w:t>
            </w:r>
            <w:r>
              <w:rPr>
                <w:rFonts w:hint="eastAsia" w:hAnsi="宋体" w:cs="宋体"/>
                <w:color w:val="auto"/>
                <w:sz w:val="18"/>
                <w:szCs w:val="18"/>
                <w:highlight w:val="none"/>
                <w:lang w:eastAsia="zh-CN"/>
              </w:rPr>
              <w:t>成像</w:t>
            </w:r>
            <w:r>
              <w:rPr>
                <w:rFonts w:hint="eastAsia" w:hAnsi="宋体" w:cs="宋体"/>
                <w:color w:val="auto"/>
                <w:sz w:val="18"/>
                <w:szCs w:val="18"/>
                <w:highlight w:val="none"/>
              </w:rPr>
              <w:t>高清。3.非球面。4.膜层特性：防蓝光膜层。二、光度范围：球镜0.00～-8.00，柱镜0.00~-2.00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520493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0B57ED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119.13</w:t>
            </w:r>
          </w:p>
        </w:tc>
      </w:tr>
      <w:tr w14:paraId="78C53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F9641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69</w:t>
            </w:r>
          </w:p>
        </w:tc>
        <w:tc>
          <w:tcPr>
            <w:tcW w:w="1623" w:type="dxa"/>
            <w:vAlign w:val="center"/>
          </w:tcPr>
          <w:p w14:paraId="0CF2A40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防蓝光非球面树脂镜片</w:t>
            </w:r>
          </w:p>
        </w:tc>
        <w:tc>
          <w:tcPr>
            <w:tcW w:w="386" w:type="dxa"/>
            <w:vAlign w:val="center"/>
          </w:tcPr>
          <w:p w14:paraId="0D23BE5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B9E1B03">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一、性能特点：1.阻隔高能短波等有害蓝光，保护双眼，视物舒适持久。2.镜片锐薄、</w:t>
            </w:r>
            <w:r>
              <w:rPr>
                <w:rFonts w:hint="eastAsia" w:hAnsi="宋体" w:cs="宋体"/>
                <w:color w:val="auto"/>
                <w:sz w:val="18"/>
                <w:szCs w:val="18"/>
                <w:highlight w:val="none"/>
                <w:lang w:eastAsia="zh-CN"/>
              </w:rPr>
              <w:t>成像</w:t>
            </w:r>
            <w:r>
              <w:rPr>
                <w:rFonts w:hint="eastAsia" w:hAnsi="宋体" w:cs="宋体"/>
                <w:color w:val="auto"/>
                <w:sz w:val="18"/>
                <w:szCs w:val="18"/>
                <w:highlight w:val="none"/>
              </w:rPr>
              <w:t>高清。3.非球面。4.膜层特性：防蓝光膜层。二、光度范围：球镜+8.00～-20.00，柱镜0.00~-6.00，联合光度+8.00（-20.00）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1D077E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57F48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w:t>
            </w:r>
          </w:p>
        </w:tc>
      </w:tr>
      <w:tr w14:paraId="6E3E1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F57237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70</w:t>
            </w:r>
          </w:p>
        </w:tc>
        <w:tc>
          <w:tcPr>
            <w:tcW w:w="1623" w:type="dxa"/>
            <w:vAlign w:val="center"/>
          </w:tcPr>
          <w:p w14:paraId="12C1753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1.67防蓝光非球面树脂镜片</w:t>
            </w:r>
          </w:p>
        </w:tc>
        <w:tc>
          <w:tcPr>
            <w:tcW w:w="386" w:type="dxa"/>
            <w:vAlign w:val="center"/>
          </w:tcPr>
          <w:p w14:paraId="001D07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9B6020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一、性能特点：1.阻隔高能短波等有害蓝光，保护双眼，视物舒适持久。2.镜片锐薄、</w:t>
            </w:r>
            <w:r>
              <w:rPr>
                <w:rFonts w:hint="eastAsia" w:hAnsi="宋体" w:cs="宋体"/>
                <w:color w:val="auto"/>
                <w:sz w:val="18"/>
                <w:szCs w:val="18"/>
                <w:highlight w:val="none"/>
                <w:lang w:eastAsia="zh-CN"/>
              </w:rPr>
              <w:t>成像</w:t>
            </w:r>
            <w:r>
              <w:rPr>
                <w:rFonts w:hint="eastAsia" w:hAnsi="宋体" w:cs="宋体"/>
                <w:color w:val="auto"/>
                <w:sz w:val="18"/>
                <w:szCs w:val="18"/>
                <w:highlight w:val="none"/>
              </w:rPr>
              <w:t>高清。3.非球面。4.膜层特性：防蓝光膜层。二、光度范围：球镜0.00～-10.00，柱镜0.00~-2.00</w:t>
            </w:r>
          </w:p>
        </w:tc>
        <w:tc>
          <w:tcPr>
            <w:tcW w:w="510" w:type="dxa"/>
            <w:vAlign w:val="center"/>
          </w:tcPr>
          <w:p w14:paraId="16477E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0FEF47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129</w:t>
            </w:r>
          </w:p>
        </w:tc>
      </w:tr>
      <w:tr w14:paraId="3EBAE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9C45D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71</w:t>
            </w:r>
          </w:p>
        </w:tc>
        <w:tc>
          <w:tcPr>
            <w:tcW w:w="1623" w:type="dxa"/>
            <w:vAlign w:val="center"/>
          </w:tcPr>
          <w:p w14:paraId="2B0C423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1.67防蓝光非球面树脂镜片</w:t>
            </w:r>
          </w:p>
        </w:tc>
        <w:tc>
          <w:tcPr>
            <w:tcW w:w="386" w:type="dxa"/>
            <w:vAlign w:val="center"/>
          </w:tcPr>
          <w:p w14:paraId="745BDC3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939370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一、性能特点：1.阻隔高能短波等有害蓝光，保护双眼，视物舒适持久。2.镜片锐薄、</w:t>
            </w:r>
            <w:r>
              <w:rPr>
                <w:rFonts w:hint="eastAsia" w:hAnsi="宋体" w:cs="宋体"/>
                <w:color w:val="auto"/>
                <w:sz w:val="18"/>
                <w:szCs w:val="18"/>
                <w:highlight w:val="none"/>
                <w:lang w:eastAsia="zh-CN"/>
              </w:rPr>
              <w:t>成像</w:t>
            </w:r>
            <w:r>
              <w:rPr>
                <w:rFonts w:hint="eastAsia" w:hAnsi="宋体" w:cs="宋体"/>
                <w:color w:val="auto"/>
                <w:sz w:val="18"/>
                <w:szCs w:val="18"/>
                <w:highlight w:val="none"/>
              </w:rPr>
              <w:t>高清。3.非球面。4.膜层特性：防蓝光膜层。二、光度范围：球镜+8.00～-18.00，柱镜0.00~-6.00，联合光度+8.00（-16.00）</w:t>
            </w:r>
          </w:p>
        </w:tc>
        <w:tc>
          <w:tcPr>
            <w:tcW w:w="510" w:type="dxa"/>
            <w:vAlign w:val="center"/>
          </w:tcPr>
          <w:p w14:paraId="46A3B62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7CDEF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235</w:t>
            </w:r>
          </w:p>
        </w:tc>
      </w:tr>
      <w:tr w14:paraId="7F3C2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3A3ACA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72</w:t>
            </w:r>
          </w:p>
        </w:tc>
        <w:tc>
          <w:tcPr>
            <w:tcW w:w="1623" w:type="dxa"/>
            <w:vAlign w:val="center"/>
          </w:tcPr>
          <w:p w14:paraId="6810F32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1.56防蓝光减疲劳树脂镜片</w:t>
            </w:r>
          </w:p>
        </w:tc>
        <w:tc>
          <w:tcPr>
            <w:tcW w:w="386" w:type="dxa"/>
            <w:vAlign w:val="center"/>
          </w:tcPr>
          <w:p w14:paraId="25E4270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93E08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镜片度数的变化不会产生像跳，外观和普通单光镜片一样，不存在明显分界线。2.采用视区优化，减轻眼部压力，不断加大远、中、近三个区域的视野范围，左右两边盲区小。3.贴合眼球的自然转动。4.一副镜片看远看近，捕捉真实细节，远用区舒适，轻松看远看近，中区优化，无需转动头部，快速找到焦点，提供宽大近用视区，适合阅读。二、光度范围：球镜+6.00～-10.00，柱镜0.00~-4.00，联合光度+6.00（-10.00）</w:t>
            </w:r>
          </w:p>
        </w:tc>
        <w:tc>
          <w:tcPr>
            <w:tcW w:w="510" w:type="dxa"/>
            <w:vAlign w:val="center"/>
          </w:tcPr>
          <w:p w14:paraId="6D2425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A7547A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144</w:t>
            </w:r>
          </w:p>
        </w:tc>
      </w:tr>
      <w:tr w14:paraId="2A08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C5312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73</w:t>
            </w:r>
          </w:p>
        </w:tc>
        <w:tc>
          <w:tcPr>
            <w:tcW w:w="1623" w:type="dxa"/>
            <w:vAlign w:val="center"/>
          </w:tcPr>
          <w:p w14:paraId="7DEF5EC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1.56防蓝光青少年渐进树脂镜片</w:t>
            </w:r>
          </w:p>
        </w:tc>
        <w:tc>
          <w:tcPr>
            <w:tcW w:w="386" w:type="dxa"/>
            <w:vAlign w:val="center"/>
          </w:tcPr>
          <w:p w14:paraId="06F3F5E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BEACB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。4.树脂镜片，膜层易清洁、防污、耐磨、防静电，防蓝光。二、光度范围：球镜+6.00～-10.00，柱镜0.00~-4.00，联合光度+6.00（-10.00）</w:t>
            </w:r>
          </w:p>
        </w:tc>
        <w:tc>
          <w:tcPr>
            <w:tcW w:w="510" w:type="dxa"/>
            <w:vAlign w:val="center"/>
          </w:tcPr>
          <w:p w14:paraId="238ADF2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C7B47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155.69</w:t>
            </w:r>
          </w:p>
        </w:tc>
      </w:tr>
      <w:tr w14:paraId="6E47E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A9E849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74</w:t>
            </w:r>
          </w:p>
        </w:tc>
        <w:tc>
          <w:tcPr>
            <w:tcW w:w="1623" w:type="dxa"/>
            <w:vAlign w:val="center"/>
          </w:tcPr>
          <w:p w14:paraId="36E5292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1.56防蓝光中老年渐进树脂镜片</w:t>
            </w:r>
            <w:bookmarkStart w:id="45" w:name="修改1"/>
            <w:bookmarkEnd w:id="45"/>
          </w:p>
        </w:tc>
        <w:tc>
          <w:tcPr>
            <w:tcW w:w="386" w:type="dxa"/>
            <w:vAlign w:val="center"/>
          </w:tcPr>
          <w:p w14:paraId="3BB839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FE3E26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一、性能特点:1.根据中老年心理和生理特点设计的渐进片，短过渡通道，使中老年能在近距离阅读时充分利用下架光区域，符合用眼习惯。2宽阔的远用光区，符合中老年户外活动时对宽阔视野的要求。3 容易适应的边缘像散，使中老年长期佩戴使用产品时养成良好的用眼习惯 。4.树脂镜片，膜层易清洁、防污、耐磨、防静电，防蓝光。二、光度范围:球镜+6.00~-B.00，柱镜 0.00~-4.00，联合光度+6.00(-8.00)</w:t>
            </w:r>
          </w:p>
        </w:tc>
        <w:tc>
          <w:tcPr>
            <w:tcW w:w="510" w:type="dxa"/>
            <w:vAlign w:val="center"/>
          </w:tcPr>
          <w:p w14:paraId="3EDCBBA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060BF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157</w:t>
            </w:r>
          </w:p>
        </w:tc>
      </w:tr>
      <w:tr w14:paraId="5A0E9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65F21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w:t>
            </w:r>
          </w:p>
        </w:tc>
        <w:tc>
          <w:tcPr>
            <w:tcW w:w="1623" w:type="dxa"/>
            <w:vAlign w:val="center"/>
          </w:tcPr>
          <w:p w14:paraId="30EE8A4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1.56防蓝光内渐进减疲劳树脂镜片</w:t>
            </w:r>
          </w:p>
        </w:tc>
        <w:tc>
          <w:tcPr>
            <w:tcW w:w="386" w:type="dxa"/>
            <w:vAlign w:val="center"/>
          </w:tcPr>
          <w:p w14:paraId="0B3C5C7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38B65F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。4.树脂镜片，膜层易清洁、防污、耐磨、防静电，防蓝光。二、光度范围：球镜+6.00～-10.00，柱镜0.00~-4.00，联合光度+6.00（-10.00）</w:t>
            </w:r>
          </w:p>
        </w:tc>
        <w:tc>
          <w:tcPr>
            <w:tcW w:w="510" w:type="dxa"/>
            <w:vAlign w:val="center"/>
          </w:tcPr>
          <w:p w14:paraId="0535034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3CCAE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215</w:t>
            </w:r>
          </w:p>
        </w:tc>
      </w:tr>
      <w:tr w14:paraId="39886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FB3EE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76</w:t>
            </w:r>
          </w:p>
        </w:tc>
        <w:tc>
          <w:tcPr>
            <w:tcW w:w="1623" w:type="dxa"/>
            <w:vAlign w:val="center"/>
          </w:tcPr>
          <w:p w14:paraId="4A09EAF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1.56防蓝光内渐进树脂镜片</w:t>
            </w:r>
          </w:p>
        </w:tc>
        <w:tc>
          <w:tcPr>
            <w:tcW w:w="386" w:type="dxa"/>
            <w:vAlign w:val="center"/>
          </w:tcPr>
          <w:p w14:paraId="4A07DA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387CD9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。4.树脂镜片，膜层易清洁、防污、耐磨、防静电，防蓝光。二、光度范围：球镜+6.00～-8.00，柱镜0.00~-4.00，联合光度+6.00（-8.00）</w:t>
            </w:r>
          </w:p>
        </w:tc>
        <w:tc>
          <w:tcPr>
            <w:tcW w:w="510" w:type="dxa"/>
            <w:vAlign w:val="center"/>
          </w:tcPr>
          <w:p w14:paraId="4D5194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1F702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191</w:t>
            </w:r>
          </w:p>
        </w:tc>
      </w:tr>
      <w:tr w14:paraId="64CE9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A8B5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77</w:t>
            </w:r>
          </w:p>
        </w:tc>
        <w:tc>
          <w:tcPr>
            <w:tcW w:w="1623" w:type="dxa"/>
            <w:vAlign w:val="center"/>
          </w:tcPr>
          <w:p w14:paraId="34BDEC1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1.60多功能全焦树脂镜片</w:t>
            </w:r>
          </w:p>
        </w:tc>
        <w:tc>
          <w:tcPr>
            <w:tcW w:w="386" w:type="dxa"/>
            <w:vAlign w:val="center"/>
          </w:tcPr>
          <w:p w14:paraId="3A3AAB5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5B8AE6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一、性能特点：有效减缓近视度数加深。二、光度范围：球镜-0.00~-6.00，柱镜 -0.00~-2.00</w:t>
            </w:r>
          </w:p>
        </w:tc>
        <w:tc>
          <w:tcPr>
            <w:tcW w:w="510" w:type="dxa"/>
            <w:vAlign w:val="center"/>
          </w:tcPr>
          <w:p w14:paraId="7BFA92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16F4A1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126</w:t>
            </w:r>
          </w:p>
        </w:tc>
      </w:tr>
      <w:tr w14:paraId="0AE26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9975B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78</w:t>
            </w:r>
          </w:p>
        </w:tc>
        <w:tc>
          <w:tcPr>
            <w:tcW w:w="1623" w:type="dxa"/>
            <w:vAlign w:val="center"/>
          </w:tcPr>
          <w:p w14:paraId="7B95142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1.60多功能全焦树脂镜片</w:t>
            </w:r>
          </w:p>
        </w:tc>
        <w:tc>
          <w:tcPr>
            <w:tcW w:w="386" w:type="dxa"/>
            <w:vAlign w:val="center"/>
          </w:tcPr>
          <w:p w14:paraId="162280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A3CB6C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一、性能特点：有效减缓近视度数加深。二、光度范围：球镜-0.00~-10.00，柱镜 -0.00~-4.00联合光度-10.00</w:t>
            </w:r>
          </w:p>
        </w:tc>
        <w:tc>
          <w:tcPr>
            <w:tcW w:w="510" w:type="dxa"/>
            <w:vAlign w:val="center"/>
          </w:tcPr>
          <w:p w14:paraId="472D534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84B7DA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153.43</w:t>
            </w:r>
          </w:p>
        </w:tc>
      </w:tr>
      <w:tr w14:paraId="50E9D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ABE7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79</w:t>
            </w:r>
          </w:p>
        </w:tc>
        <w:tc>
          <w:tcPr>
            <w:tcW w:w="1623" w:type="dxa"/>
            <w:vAlign w:val="center"/>
          </w:tcPr>
          <w:p w14:paraId="3FC7659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1.50周边离焦树脂镜片</w:t>
            </w:r>
          </w:p>
        </w:tc>
        <w:tc>
          <w:tcPr>
            <w:tcW w:w="386" w:type="dxa"/>
            <w:vAlign w:val="center"/>
          </w:tcPr>
          <w:p w14:paraId="6F3029F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5ECEEF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离焦，有效减少周边远视性离焦现象，减缓眼轴拉长，减缓近视加深。2.膜层特性：双面膜层工艺，防油污、防尘、防水、照相不反光，耐磨性高。二、光度范围：球镜-1.00~-4.00</w:t>
            </w:r>
          </w:p>
        </w:tc>
        <w:tc>
          <w:tcPr>
            <w:tcW w:w="510" w:type="dxa"/>
            <w:vAlign w:val="center"/>
          </w:tcPr>
          <w:p w14:paraId="60F5D27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ACF83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132</w:t>
            </w:r>
          </w:p>
        </w:tc>
      </w:tr>
      <w:tr w14:paraId="65C57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3D3837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80</w:t>
            </w:r>
          </w:p>
        </w:tc>
        <w:tc>
          <w:tcPr>
            <w:tcW w:w="1623" w:type="dxa"/>
            <w:vAlign w:val="center"/>
          </w:tcPr>
          <w:p w14:paraId="71FFD2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1.50周边离焦树脂镜片</w:t>
            </w:r>
          </w:p>
        </w:tc>
        <w:tc>
          <w:tcPr>
            <w:tcW w:w="386" w:type="dxa"/>
            <w:vAlign w:val="center"/>
          </w:tcPr>
          <w:p w14:paraId="577093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BADAFA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离焦，有效减少周边远视性离焦现象，减缓眼轴拉长，减缓近视加深。2.膜层特性：双面膜层工艺，防油污、防尘、防水、照相不反光，耐磨性高。二、光度范围：球镜-0.00~-6.00，柱镜-0.00~-2.00联合光度-6.00</w:t>
            </w:r>
          </w:p>
        </w:tc>
        <w:tc>
          <w:tcPr>
            <w:tcW w:w="510" w:type="dxa"/>
            <w:vAlign w:val="center"/>
          </w:tcPr>
          <w:p w14:paraId="6D8209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AFBF4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142.59</w:t>
            </w:r>
          </w:p>
        </w:tc>
      </w:tr>
      <w:tr w14:paraId="74A8C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C7F8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81</w:t>
            </w:r>
          </w:p>
        </w:tc>
        <w:tc>
          <w:tcPr>
            <w:tcW w:w="1623" w:type="dxa"/>
            <w:vAlign w:val="center"/>
          </w:tcPr>
          <w:p w14:paraId="0BA3EDD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1.56周边离焦树脂镜片</w:t>
            </w:r>
          </w:p>
        </w:tc>
        <w:tc>
          <w:tcPr>
            <w:tcW w:w="386" w:type="dxa"/>
            <w:vAlign w:val="center"/>
          </w:tcPr>
          <w:p w14:paraId="7E46F9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8CB415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离焦，有效减少周边远视性离焦现象，减缓眼轴拉长，减缓近视加深。2.膜层特性：双面膜层工艺，防油污、防尘、防水、照相不反光，耐磨性高。二、光度范围：球镜-1.00~-4.00</w:t>
            </w:r>
          </w:p>
        </w:tc>
        <w:tc>
          <w:tcPr>
            <w:tcW w:w="510" w:type="dxa"/>
            <w:vAlign w:val="center"/>
          </w:tcPr>
          <w:p w14:paraId="6F13D1E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AC08D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147</w:t>
            </w:r>
          </w:p>
        </w:tc>
      </w:tr>
      <w:tr w14:paraId="0CF53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89765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82</w:t>
            </w:r>
          </w:p>
        </w:tc>
        <w:tc>
          <w:tcPr>
            <w:tcW w:w="1623" w:type="dxa"/>
            <w:vAlign w:val="center"/>
          </w:tcPr>
          <w:p w14:paraId="16B949A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1.56周边离焦树脂镜片</w:t>
            </w:r>
          </w:p>
        </w:tc>
        <w:tc>
          <w:tcPr>
            <w:tcW w:w="386" w:type="dxa"/>
            <w:vAlign w:val="center"/>
          </w:tcPr>
          <w:p w14:paraId="58B97F5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19569A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离焦，有效减少周边远视性离焦现象，减缓眼轴拉长，减缓近视加深。2.膜层特性：双面膜层工艺，防油污、防尘、防水、照相不反光，耐磨性高。二、光度范围：球镜-0.00~-6.00，柱镜-0.00~-2.00联合光度-6.00</w:t>
            </w:r>
          </w:p>
        </w:tc>
        <w:tc>
          <w:tcPr>
            <w:tcW w:w="510" w:type="dxa"/>
            <w:vAlign w:val="center"/>
          </w:tcPr>
          <w:p w14:paraId="2AE351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721F5B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157.14</w:t>
            </w:r>
          </w:p>
        </w:tc>
      </w:tr>
      <w:tr w14:paraId="05182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130B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83</w:t>
            </w:r>
          </w:p>
        </w:tc>
        <w:tc>
          <w:tcPr>
            <w:tcW w:w="1623" w:type="dxa"/>
            <w:vAlign w:val="center"/>
          </w:tcPr>
          <w:p w14:paraId="25F532A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1.60周边离焦树脂镜片</w:t>
            </w:r>
          </w:p>
        </w:tc>
        <w:tc>
          <w:tcPr>
            <w:tcW w:w="386" w:type="dxa"/>
            <w:vAlign w:val="center"/>
          </w:tcPr>
          <w:p w14:paraId="1E6FE6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7FDCF6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为超轻PC片，比重轻、抗冲击性强，其抗冲击性为普通树脂镜片的12倍，通过镜片中心光度区域的物体清晰成像在视网膜上，而且通过镜片周边区域的物体成像在视网膜上或前方，抑制儿童眼轴变长，延缓近视发展速度。防蓝光侵害。2.膜层特性：双面膜层工艺，防油污、防尘、防水、照相不反光，耐磨、高。二、光度范围：球镜-0.00~-8.00，柱镜-0.00~-2.00联合光度-8.00</w:t>
            </w:r>
          </w:p>
        </w:tc>
        <w:tc>
          <w:tcPr>
            <w:tcW w:w="510" w:type="dxa"/>
            <w:vAlign w:val="center"/>
          </w:tcPr>
          <w:p w14:paraId="23C2A2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0EE19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237</w:t>
            </w:r>
          </w:p>
        </w:tc>
      </w:tr>
      <w:tr w14:paraId="74CEF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347924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84</w:t>
            </w:r>
          </w:p>
        </w:tc>
        <w:tc>
          <w:tcPr>
            <w:tcW w:w="1623" w:type="dxa"/>
            <w:vAlign w:val="center"/>
          </w:tcPr>
          <w:p w14:paraId="00E56DA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1.50数码变焦树脂镜片</w:t>
            </w:r>
          </w:p>
        </w:tc>
        <w:tc>
          <w:tcPr>
            <w:tcW w:w="386" w:type="dxa"/>
            <w:vAlign w:val="center"/>
          </w:tcPr>
          <w:p w14:paraId="751A2D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0EE6B2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采用优化曲面设计，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+4.00.00~-4.00，柱镜-0.00~-2.00</w:t>
            </w:r>
          </w:p>
        </w:tc>
        <w:tc>
          <w:tcPr>
            <w:tcW w:w="510" w:type="dxa"/>
            <w:vAlign w:val="center"/>
          </w:tcPr>
          <w:p w14:paraId="62F7C1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F1144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43.87</w:t>
            </w:r>
          </w:p>
        </w:tc>
      </w:tr>
      <w:tr w14:paraId="03F43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24B7F3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85</w:t>
            </w:r>
          </w:p>
        </w:tc>
        <w:tc>
          <w:tcPr>
            <w:tcW w:w="1623" w:type="dxa"/>
            <w:vAlign w:val="center"/>
          </w:tcPr>
          <w:p w14:paraId="49F9FA8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1.50数码变焦树脂镜片</w:t>
            </w:r>
          </w:p>
        </w:tc>
        <w:tc>
          <w:tcPr>
            <w:tcW w:w="386" w:type="dxa"/>
            <w:vAlign w:val="center"/>
          </w:tcPr>
          <w:p w14:paraId="0451C4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7FD61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+6.00~-8.00，柱镜-0.00~-4.00</w:t>
            </w:r>
          </w:p>
        </w:tc>
        <w:tc>
          <w:tcPr>
            <w:tcW w:w="510" w:type="dxa"/>
            <w:vAlign w:val="center"/>
          </w:tcPr>
          <w:p w14:paraId="425EEB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2A7F3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117</w:t>
            </w:r>
          </w:p>
        </w:tc>
      </w:tr>
      <w:tr w14:paraId="3DE70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2F8D1C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86</w:t>
            </w:r>
          </w:p>
        </w:tc>
        <w:tc>
          <w:tcPr>
            <w:tcW w:w="1623" w:type="dxa"/>
            <w:vAlign w:val="center"/>
          </w:tcPr>
          <w:p w14:paraId="034AC4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数码变焦树脂镜片</w:t>
            </w:r>
          </w:p>
        </w:tc>
        <w:tc>
          <w:tcPr>
            <w:tcW w:w="386" w:type="dxa"/>
            <w:vAlign w:val="center"/>
          </w:tcPr>
          <w:p w14:paraId="43A2E0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DB69D90">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+6.00~-8.00，柱镜-0.00~-2.00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6020B2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42963B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92.06</w:t>
            </w:r>
          </w:p>
        </w:tc>
      </w:tr>
      <w:tr w14:paraId="32FDF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050A5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87</w:t>
            </w:r>
          </w:p>
        </w:tc>
        <w:tc>
          <w:tcPr>
            <w:tcW w:w="1623" w:type="dxa"/>
            <w:vAlign w:val="center"/>
          </w:tcPr>
          <w:p w14:paraId="5364D6B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数码变焦树脂镜片</w:t>
            </w:r>
          </w:p>
        </w:tc>
        <w:tc>
          <w:tcPr>
            <w:tcW w:w="386" w:type="dxa"/>
            <w:vAlign w:val="center"/>
          </w:tcPr>
          <w:p w14:paraId="348897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B8862D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+8.00~-12.00，柱镜-0.00~-6.00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2B5D4D8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B1597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192</w:t>
            </w:r>
          </w:p>
        </w:tc>
      </w:tr>
      <w:tr w14:paraId="3AE8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02F0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88</w:t>
            </w:r>
          </w:p>
        </w:tc>
        <w:tc>
          <w:tcPr>
            <w:tcW w:w="1623" w:type="dxa"/>
            <w:vAlign w:val="center"/>
          </w:tcPr>
          <w:p w14:paraId="5F07CEB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 xml:space="preserve"> Plus数码变焦树脂镜片</w:t>
            </w:r>
          </w:p>
        </w:tc>
        <w:tc>
          <w:tcPr>
            <w:tcW w:w="386" w:type="dxa"/>
            <w:vAlign w:val="center"/>
          </w:tcPr>
          <w:p w14:paraId="163152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07C6A3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-0.00~-10.00，柱镜-0.00~-2.00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751C51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04D59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99</w:t>
            </w:r>
          </w:p>
        </w:tc>
      </w:tr>
      <w:tr w14:paraId="212E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F4FAF9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89</w:t>
            </w:r>
          </w:p>
        </w:tc>
        <w:tc>
          <w:tcPr>
            <w:tcW w:w="1623" w:type="dxa"/>
            <w:vAlign w:val="center"/>
          </w:tcPr>
          <w:p w14:paraId="377F9FC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 xml:space="preserve"> Plus数码变焦树脂镜片</w:t>
            </w:r>
          </w:p>
        </w:tc>
        <w:tc>
          <w:tcPr>
            <w:tcW w:w="386" w:type="dxa"/>
            <w:vAlign w:val="center"/>
          </w:tcPr>
          <w:p w14:paraId="7E5FBD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E995375">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+10.00~-15.00，柱镜-0.00~-6.00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3B17BA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EFF59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237</w:t>
            </w:r>
          </w:p>
        </w:tc>
      </w:tr>
      <w:tr w14:paraId="6AD18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13401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90</w:t>
            </w:r>
          </w:p>
        </w:tc>
        <w:tc>
          <w:tcPr>
            <w:tcW w:w="1623" w:type="dxa"/>
            <w:vAlign w:val="center"/>
          </w:tcPr>
          <w:p w14:paraId="7C4228D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1.59PC双面复合多点微诱镜片定制</w:t>
            </w:r>
          </w:p>
        </w:tc>
        <w:tc>
          <w:tcPr>
            <w:tcW w:w="386" w:type="dxa"/>
            <w:vAlign w:val="center"/>
          </w:tcPr>
          <w:p w14:paraId="193C03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21BCB36">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一、</w:t>
            </w:r>
            <w:r>
              <w:rPr>
                <w:rFonts w:hint="eastAsia" w:hAnsi="宋体" w:cs="宋体"/>
                <w:color w:val="auto"/>
                <w:sz w:val="18"/>
                <w:szCs w:val="18"/>
                <w:highlight w:val="none"/>
              </w:rPr>
              <w:t>性能特点：1. 数控多点研磨设计，针对处方光度的优化融合设计来确保所有的日常活动及处方提供更加性能的解决方案2.美观、耐磨耐用3.清晰视域更为广阔，佩戴者会体验到更真实自如的视觉效果。4.树脂镜片，膜层易清洁、防污、耐磨、时尚。光度范围：球镜-0.00~-10.00，柱镜-0.00~-4.00</w:t>
            </w:r>
          </w:p>
        </w:tc>
        <w:tc>
          <w:tcPr>
            <w:tcW w:w="510" w:type="dxa"/>
            <w:vAlign w:val="center"/>
          </w:tcPr>
          <w:p w14:paraId="7B375B7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ED2BE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469</w:t>
            </w:r>
          </w:p>
        </w:tc>
      </w:tr>
      <w:tr w14:paraId="7380F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07A2E0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91</w:t>
            </w:r>
          </w:p>
        </w:tc>
        <w:tc>
          <w:tcPr>
            <w:tcW w:w="1623" w:type="dxa"/>
            <w:vAlign w:val="center"/>
          </w:tcPr>
          <w:p w14:paraId="65217C3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1.59PC防蓝光双面复合多点微诱镜片定制</w:t>
            </w:r>
          </w:p>
        </w:tc>
        <w:tc>
          <w:tcPr>
            <w:tcW w:w="386" w:type="dxa"/>
            <w:vAlign w:val="center"/>
          </w:tcPr>
          <w:p w14:paraId="3D5CCDD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556AA5C">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一、</w:t>
            </w:r>
            <w:r>
              <w:rPr>
                <w:rFonts w:hint="eastAsia" w:hAnsi="宋体" w:cs="宋体"/>
                <w:color w:val="auto"/>
                <w:sz w:val="18"/>
                <w:szCs w:val="18"/>
                <w:highlight w:val="none"/>
              </w:rPr>
              <w:t xml:space="preserve"> 性能特点：1. 数控多点研磨设计，针对处方光度的优化融合设计来确保所有的日常活动及处方提供更加性能的解决方案2.美观、耐磨耐用3.清晰视域更为广阔，佩戴者会体验到更真实自如的视觉效果。4.树脂镜片，膜层易清洁、防污、耐磨、时尚。5.防蓝光。二、光度范围：球镜-0.00~-10.00，柱镜-0.00~-4.00</w:t>
            </w:r>
          </w:p>
        </w:tc>
        <w:tc>
          <w:tcPr>
            <w:tcW w:w="510" w:type="dxa"/>
            <w:vAlign w:val="center"/>
          </w:tcPr>
          <w:p w14:paraId="07C291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51E764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521</w:t>
            </w:r>
          </w:p>
        </w:tc>
      </w:tr>
      <w:tr w14:paraId="6C32D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64BF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92</w:t>
            </w:r>
          </w:p>
        </w:tc>
        <w:tc>
          <w:tcPr>
            <w:tcW w:w="1623" w:type="dxa"/>
            <w:vAlign w:val="center"/>
          </w:tcPr>
          <w:p w14:paraId="5E7DD90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1.50高清青少年渐进树脂镜片</w:t>
            </w:r>
          </w:p>
        </w:tc>
        <w:tc>
          <w:tcPr>
            <w:tcW w:w="386" w:type="dxa"/>
            <w:vAlign w:val="center"/>
          </w:tcPr>
          <w:p w14:paraId="361AFD5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C6AC18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。4.树脂镜片，膜层易清洁、防污、耐磨、防静电。二、光度范围：球镜+4.00~-8.00，柱镜-0.00~-4.00联合光度+4.00（-8.00）</w:t>
            </w:r>
          </w:p>
        </w:tc>
        <w:tc>
          <w:tcPr>
            <w:tcW w:w="510" w:type="dxa"/>
            <w:vAlign w:val="center"/>
          </w:tcPr>
          <w:p w14:paraId="0B565E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1E8C35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80</w:t>
            </w:r>
          </w:p>
        </w:tc>
      </w:tr>
      <w:tr w14:paraId="39F07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AE444C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93</w:t>
            </w:r>
          </w:p>
        </w:tc>
        <w:tc>
          <w:tcPr>
            <w:tcW w:w="1623" w:type="dxa"/>
            <w:vAlign w:val="center"/>
          </w:tcPr>
          <w:p w14:paraId="685C240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1.56青少年渐进树脂镜片</w:t>
            </w:r>
          </w:p>
        </w:tc>
        <w:tc>
          <w:tcPr>
            <w:tcW w:w="386" w:type="dxa"/>
            <w:vAlign w:val="center"/>
          </w:tcPr>
          <w:p w14:paraId="77EDA6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BF78B1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。4.树脂镜片，膜层易清洁、防污、耐磨、防静电。二、光度范围：球镜-0.00~-6.00，柱镜-0.00 ADD+1.50/+1.75</w:t>
            </w:r>
          </w:p>
        </w:tc>
        <w:tc>
          <w:tcPr>
            <w:tcW w:w="510" w:type="dxa"/>
            <w:vAlign w:val="center"/>
          </w:tcPr>
          <w:p w14:paraId="28A9C7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03303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98</w:t>
            </w:r>
          </w:p>
        </w:tc>
      </w:tr>
      <w:tr w14:paraId="709AB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F9851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94</w:t>
            </w:r>
          </w:p>
        </w:tc>
        <w:tc>
          <w:tcPr>
            <w:tcW w:w="1623" w:type="dxa"/>
            <w:vAlign w:val="center"/>
          </w:tcPr>
          <w:p w14:paraId="0C6BE9A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1.56青少年渐进树脂镜片</w:t>
            </w:r>
          </w:p>
        </w:tc>
        <w:tc>
          <w:tcPr>
            <w:tcW w:w="386" w:type="dxa"/>
            <w:vAlign w:val="center"/>
          </w:tcPr>
          <w:p w14:paraId="76238D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41E249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。4.树脂镜片，膜层易清洁、防污、耐磨、防静电。二、光度范围：球镜+8.00~-10.00，柱镜-0.00~-4.00联合光度+8.00（-10.00）</w:t>
            </w:r>
          </w:p>
        </w:tc>
        <w:tc>
          <w:tcPr>
            <w:tcW w:w="510" w:type="dxa"/>
            <w:vAlign w:val="center"/>
          </w:tcPr>
          <w:p w14:paraId="614C890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F7785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112.81</w:t>
            </w:r>
          </w:p>
        </w:tc>
      </w:tr>
      <w:tr w14:paraId="27493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D8F6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95</w:t>
            </w:r>
          </w:p>
        </w:tc>
        <w:tc>
          <w:tcPr>
            <w:tcW w:w="1623" w:type="dxa"/>
            <w:vAlign w:val="center"/>
          </w:tcPr>
          <w:p w14:paraId="5627291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1.60青少年渐进树脂镜片</w:t>
            </w:r>
          </w:p>
        </w:tc>
        <w:tc>
          <w:tcPr>
            <w:tcW w:w="386" w:type="dxa"/>
            <w:vAlign w:val="center"/>
          </w:tcPr>
          <w:p w14:paraId="6A965E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3F1E6F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。4.树脂镜片，膜层易清洁、防污、耐磨、防静电。二、光度范围：球镜+6.00~-10.00，柱镜-0.00~-4.00联合光度+6.00（-10.00）</w:t>
            </w:r>
          </w:p>
        </w:tc>
        <w:tc>
          <w:tcPr>
            <w:tcW w:w="510" w:type="dxa"/>
            <w:vAlign w:val="center"/>
          </w:tcPr>
          <w:p w14:paraId="66A51A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11C0F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165.6</w:t>
            </w:r>
          </w:p>
        </w:tc>
      </w:tr>
      <w:tr w14:paraId="4AA1C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8241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96</w:t>
            </w:r>
          </w:p>
        </w:tc>
        <w:tc>
          <w:tcPr>
            <w:tcW w:w="1623" w:type="dxa"/>
            <w:vAlign w:val="center"/>
          </w:tcPr>
          <w:p w14:paraId="1AC8259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1.56变色青少年渐进树脂镜片</w:t>
            </w:r>
          </w:p>
        </w:tc>
        <w:tc>
          <w:tcPr>
            <w:tcW w:w="386" w:type="dxa"/>
            <w:vAlign w:val="center"/>
          </w:tcPr>
          <w:p w14:paraId="2CD3EDF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DFBD7E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。4.树脂镜片，膜层易清洁、防污、耐磨、防静电。二、光度范围：球镜+6.00~-10.00，柱镜-0.00~-4.00联合光度+6.00（-10.00）</w:t>
            </w:r>
          </w:p>
        </w:tc>
        <w:tc>
          <w:tcPr>
            <w:tcW w:w="510" w:type="dxa"/>
            <w:vAlign w:val="center"/>
          </w:tcPr>
          <w:p w14:paraId="034E91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87ED0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278FA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84929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97</w:t>
            </w:r>
          </w:p>
        </w:tc>
        <w:tc>
          <w:tcPr>
            <w:tcW w:w="1623" w:type="dxa"/>
            <w:vAlign w:val="center"/>
          </w:tcPr>
          <w:p w14:paraId="549242B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1.50高清渐进树脂镜片</w:t>
            </w:r>
          </w:p>
        </w:tc>
        <w:tc>
          <w:tcPr>
            <w:tcW w:w="386" w:type="dxa"/>
            <w:vAlign w:val="center"/>
          </w:tcPr>
          <w:p w14:paraId="20B107E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4A67FB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二、光度范围：球镜+8.00~-10.00，柱镜-0.00~-4.00联合光度+8.00（-10.00）</w:t>
            </w:r>
          </w:p>
        </w:tc>
        <w:tc>
          <w:tcPr>
            <w:tcW w:w="510" w:type="dxa"/>
            <w:vAlign w:val="center"/>
          </w:tcPr>
          <w:p w14:paraId="2C0C77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7F67B0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186.37</w:t>
            </w:r>
          </w:p>
        </w:tc>
      </w:tr>
      <w:tr w14:paraId="297DC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D6A3D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98</w:t>
            </w:r>
          </w:p>
        </w:tc>
        <w:tc>
          <w:tcPr>
            <w:tcW w:w="1623" w:type="dxa"/>
            <w:vAlign w:val="center"/>
          </w:tcPr>
          <w:p w14:paraId="31C5882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1.56渐进树脂镜片</w:t>
            </w:r>
          </w:p>
        </w:tc>
        <w:tc>
          <w:tcPr>
            <w:tcW w:w="386" w:type="dxa"/>
            <w:vAlign w:val="center"/>
          </w:tcPr>
          <w:p w14:paraId="6B64522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E5BC0B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二、光度范围：球镜+8.00~-10.00，柱镜-0.00~-4.00联合光度+8.00（-10.00）</w:t>
            </w:r>
          </w:p>
        </w:tc>
        <w:tc>
          <w:tcPr>
            <w:tcW w:w="510" w:type="dxa"/>
            <w:vAlign w:val="center"/>
          </w:tcPr>
          <w:p w14:paraId="109335B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43EE2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128.04</w:t>
            </w:r>
          </w:p>
        </w:tc>
      </w:tr>
      <w:tr w14:paraId="1E7FA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32E265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99</w:t>
            </w:r>
          </w:p>
        </w:tc>
        <w:tc>
          <w:tcPr>
            <w:tcW w:w="1623" w:type="dxa"/>
            <w:vAlign w:val="center"/>
          </w:tcPr>
          <w:p w14:paraId="0295B49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渐进树脂镜片</w:t>
            </w:r>
          </w:p>
        </w:tc>
        <w:tc>
          <w:tcPr>
            <w:tcW w:w="386" w:type="dxa"/>
            <w:vAlign w:val="center"/>
          </w:tcPr>
          <w:p w14:paraId="4EDC13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9B177C6">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二、光度范围：球镜+6.00~-10.00，柱镜-0.00~-4.00联合光度+6.00（-10.00）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1E7943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BF067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281.13</w:t>
            </w:r>
          </w:p>
        </w:tc>
      </w:tr>
      <w:tr w14:paraId="5641C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A1E7A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100</w:t>
            </w:r>
          </w:p>
        </w:tc>
        <w:tc>
          <w:tcPr>
            <w:tcW w:w="1623" w:type="dxa"/>
            <w:vAlign w:val="center"/>
          </w:tcPr>
          <w:p w14:paraId="5F6C7BE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1.56变色渐进树脂镜片</w:t>
            </w:r>
          </w:p>
        </w:tc>
        <w:tc>
          <w:tcPr>
            <w:tcW w:w="386" w:type="dxa"/>
            <w:vAlign w:val="center"/>
          </w:tcPr>
          <w:p w14:paraId="416DF00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2507B2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非球面变色，轻松适应，首次尝试佩戴渐进镜片的人群，为亚洲佩戴者设计，改善对比度，视力清晰度和视觉范围，缓解眼睛紧张。左右眼非对称设计，确保视线远近切换时的</w:t>
            </w:r>
            <w:r>
              <w:rPr>
                <w:rFonts w:hint="eastAsia" w:hAnsi="宋体" w:cs="宋体"/>
                <w:color w:val="auto"/>
                <w:sz w:val="18"/>
                <w:szCs w:val="18"/>
                <w:highlight w:val="none"/>
                <w:lang w:eastAsia="zh-CN"/>
              </w:rPr>
              <w:t>自然</w:t>
            </w:r>
            <w:r>
              <w:rPr>
                <w:rFonts w:hint="eastAsia" w:hAnsi="宋体" w:cs="宋体"/>
                <w:color w:val="auto"/>
                <w:sz w:val="18"/>
                <w:szCs w:val="18"/>
                <w:highlight w:val="none"/>
              </w:rPr>
              <w:t>过渡，提供更为宽广的视野范围。可根据年龄快速确定下加光度，轻松选择，快速适应。高能蓝光过滤系统，阻隔有害蓝光，透过有益蓝光，视觉聚焦优化，光度优化，缓解看近时眼部力量，蓝洁UV膜，双面紫外线防护</w:t>
            </w:r>
            <w:r>
              <w:rPr>
                <w:rFonts w:hint="eastAsia" w:hAnsi="宋体" w:cs="宋体"/>
                <w:color w:val="auto"/>
                <w:sz w:val="18"/>
                <w:szCs w:val="18"/>
                <w:highlight w:val="none"/>
                <w:lang w:eastAsia="zh-CN"/>
              </w:rPr>
              <w:t>。</w:t>
            </w:r>
            <w:r>
              <w:rPr>
                <w:rFonts w:hint="eastAsia" w:hAnsi="宋体" w:cs="宋体"/>
                <w:color w:val="auto"/>
                <w:sz w:val="18"/>
                <w:szCs w:val="18"/>
                <w:highlight w:val="none"/>
              </w:rPr>
              <w:t>二、光度范围：球镜+8.00~-10.00，柱镜-0.00~-4.00联合光度+8.00（-10.00）</w:t>
            </w:r>
          </w:p>
        </w:tc>
        <w:tc>
          <w:tcPr>
            <w:tcW w:w="510" w:type="dxa"/>
            <w:vAlign w:val="center"/>
          </w:tcPr>
          <w:p w14:paraId="16F1E3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15C6C7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342</w:t>
            </w:r>
          </w:p>
        </w:tc>
      </w:tr>
      <w:tr w14:paraId="35D9E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B4034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101</w:t>
            </w:r>
          </w:p>
        </w:tc>
        <w:tc>
          <w:tcPr>
            <w:tcW w:w="1623" w:type="dxa"/>
            <w:vAlign w:val="center"/>
          </w:tcPr>
          <w:p w14:paraId="41383A4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1.50高清内表面渐进树脂镜片</w:t>
            </w:r>
          </w:p>
        </w:tc>
        <w:tc>
          <w:tcPr>
            <w:tcW w:w="386" w:type="dxa"/>
            <w:vAlign w:val="center"/>
          </w:tcPr>
          <w:p w14:paraId="512743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07A872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 光度范围：球镜+8.00~-10.00，柱镜-0.00~-4.00联合光度+8.00（-10.00）</w:t>
            </w:r>
          </w:p>
        </w:tc>
        <w:tc>
          <w:tcPr>
            <w:tcW w:w="510" w:type="dxa"/>
            <w:vAlign w:val="center"/>
          </w:tcPr>
          <w:p w14:paraId="3D5288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8F748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240</w:t>
            </w:r>
          </w:p>
        </w:tc>
      </w:tr>
      <w:tr w14:paraId="341BE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6C1D9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w:t>
            </w:r>
          </w:p>
        </w:tc>
        <w:tc>
          <w:tcPr>
            <w:tcW w:w="1623" w:type="dxa"/>
            <w:vAlign w:val="center"/>
          </w:tcPr>
          <w:p w14:paraId="3295B49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1.56内表面渐进树脂镜片</w:t>
            </w:r>
          </w:p>
        </w:tc>
        <w:tc>
          <w:tcPr>
            <w:tcW w:w="386" w:type="dxa"/>
            <w:vAlign w:val="center"/>
          </w:tcPr>
          <w:p w14:paraId="60C57B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902E2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二、光度范围：球镜+8.00~-10.00，柱镜-0.00~-4.00联合光度+8.00（-10.00）</w:t>
            </w:r>
          </w:p>
        </w:tc>
        <w:tc>
          <w:tcPr>
            <w:tcW w:w="510" w:type="dxa"/>
            <w:vAlign w:val="center"/>
          </w:tcPr>
          <w:p w14:paraId="734483E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70413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282</w:t>
            </w:r>
          </w:p>
        </w:tc>
      </w:tr>
      <w:tr w14:paraId="0E5A0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318CE2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103</w:t>
            </w:r>
          </w:p>
        </w:tc>
        <w:tc>
          <w:tcPr>
            <w:tcW w:w="1623" w:type="dxa"/>
            <w:vAlign w:val="center"/>
          </w:tcPr>
          <w:p w14:paraId="24202D1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内表面渐进树脂镜片</w:t>
            </w:r>
          </w:p>
        </w:tc>
        <w:tc>
          <w:tcPr>
            <w:tcW w:w="386" w:type="dxa"/>
            <w:vAlign w:val="center"/>
          </w:tcPr>
          <w:p w14:paraId="6B920B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545BF6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二、光度范围：球镜+10.00~-10.00，柱镜-0.00~-4.00联合光度+10.00（-10.00）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56F31AC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8D2290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327</w:t>
            </w:r>
          </w:p>
        </w:tc>
      </w:tr>
      <w:tr w14:paraId="0FE15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689D12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w:t>
            </w:r>
          </w:p>
        </w:tc>
        <w:tc>
          <w:tcPr>
            <w:tcW w:w="1623" w:type="dxa"/>
            <w:vAlign w:val="center"/>
          </w:tcPr>
          <w:p w14:paraId="6BF02FE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1.67内表面渐进树脂镜片</w:t>
            </w:r>
          </w:p>
        </w:tc>
        <w:tc>
          <w:tcPr>
            <w:tcW w:w="386" w:type="dxa"/>
            <w:vAlign w:val="center"/>
          </w:tcPr>
          <w:p w14:paraId="15F398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6EE77E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二、光度范围：球镜+8.00~-10.00，柱镜-0.00~-4.00联合光度+8.00（-10.00）</w:t>
            </w:r>
          </w:p>
        </w:tc>
        <w:tc>
          <w:tcPr>
            <w:tcW w:w="510" w:type="dxa"/>
            <w:vAlign w:val="center"/>
          </w:tcPr>
          <w:p w14:paraId="4E9C31F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22832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317.19</w:t>
            </w:r>
          </w:p>
        </w:tc>
      </w:tr>
      <w:tr w14:paraId="156B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12FDB7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105</w:t>
            </w:r>
          </w:p>
        </w:tc>
        <w:tc>
          <w:tcPr>
            <w:tcW w:w="1623" w:type="dxa"/>
            <w:vAlign w:val="center"/>
          </w:tcPr>
          <w:p w14:paraId="31B3098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1.56变色内渐进树脂镜片</w:t>
            </w:r>
          </w:p>
        </w:tc>
        <w:tc>
          <w:tcPr>
            <w:tcW w:w="386" w:type="dxa"/>
            <w:vAlign w:val="center"/>
          </w:tcPr>
          <w:p w14:paraId="6040F6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C571D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非球面变色，轻松适应，首次尝试佩戴渐进镜片的人群，为亚洲佩戴者设计，改善对比度，视力清晰度和视觉范围，缓解眼睛紧张。左右眼非对称设计，确保视线远近切换时的</w:t>
            </w:r>
            <w:r>
              <w:rPr>
                <w:rFonts w:hint="eastAsia" w:hAnsi="宋体" w:cs="宋体"/>
                <w:color w:val="auto"/>
                <w:sz w:val="18"/>
                <w:szCs w:val="18"/>
                <w:highlight w:val="none"/>
                <w:lang w:eastAsia="zh-CN"/>
              </w:rPr>
              <w:t>自然</w:t>
            </w:r>
            <w:r>
              <w:rPr>
                <w:rFonts w:hint="eastAsia" w:hAnsi="宋体" w:cs="宋体"/>
                <w:color w:val="auto"/>
                <w:sz w:val="18"/>
                <w:szCs w:val="18"/>
                <w:highlight w:val="none"/>
              </w:rPr>
              <w:t>过渡，提供更为宽广的视野范围。</w:t>
            </w:r>
            <w:r>
              <w:rPr>
                <w:rFonts w:hint="eastAsia" w:hAnsi="宋体" w:cs="宋体"/>
                <w:color w:val="auto"/>
                <w:sz w:val="18"/>
                <w:szCs w:val="18"/>
                <w:highlight w:val="none"/>
                <w:lang w:eastAsia="zh-CN"/>
              </w:rPr>
              <w:t>可根据</w:t>
            </w:r>
            <w:r>
              <w:rPr>
                <w:rFonts w:hint="eastAsia" w:hAnsi="宋体" w:cs="宋体"/>
                <w:color w:val="auto"/>
                <w:sz w:val="18"/>
                <w:szCs w:val="18"/>
                <w:highlight w:val="none"/>
              </w:rPr>
              <w:t>年龄快速确定下加光度，轻松选择，快速适应。高能蓝光过滤系统，阻隔有害蓝光，透过有益蓝光，视觉聚焦优化，光度优化，缓解看近时眼部力量，蓝洁UV膜，双面紫外线防护二、光度范围：球镜+6.00~-10.00，柱镜-0.00~-4.00联合光度+6.00（-10.00）</w:t>
            </w:r>
          </w:p>
        </w:tc>
        <w:tc>
          <w:tcPr>
            <w:tcW w:w="510" w:type="dxa"/>
            <w:vAlign w:val="center"/>
          </w:tcPr>
          <w:p w14:paraId="229736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2378FD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237</w:t>
            </w:r>
          </w:p>
        </w:tc>
      </w:tr>
      <w:tr w14:paraId="0CFF4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C77AA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106</w:t>
            </w:r>
          </w:p>
        </w:tc>
        <w:tc>
          <w:tcPr>
            <w:tcW w:w="1623" w:type="dxa"/>
            <w:vAlign w:val="center"/>
          </w:tcPr>
          <w:p w14:paraId="3368CF2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变色内渐进树脂镜片</w:t>
            </w:r>
          </w:p>
        </w:tc>
        <w:tc>
          <w:tcPr>
            <w:tcW w:w="386" w:type="dxa"/>
            <w:vAlign w:val="center"/>
          </w:tcPr>
          <w:p w14:paraId="18CA70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C1282D0">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非球面变色，轻松适应，首次尝试佩戴渐进镜片的人群，为亚洲佩戴者设计，改善对比度，视力清晰度和视觉范围，缓解眼睛紧张。左右眼非对称设计，确保视线远近切换时的</w:t>
            </w:r>
            <w:r>
              <w:rPr>
                <w:rFonts w:hint="eastAsia" w:hAnsi="宋体" w:cs="宋体"/>
                <w:color w:val="auto"/>
                <w:sz w:val="18"/>
                <w:szCs w:val="18"/>
                <w:highlight w:val="none"/>
                <w:lang w:eastAsia="zh-CN"/>
              </w:rPr>
              <w:t>自然</w:t>
            </w:r>
            <w:r>
              <w:rPr>
                <w:rFonts w:hint="eastAsia" w:hAnsi="宋体" w:cs="宋体"/>
                <w:color w:val="auto"/>
                <w:sz w:val="18"/>
                <w:szCs w:val="18"/>
                <w:highlight w:val="none"/>
              </w:rPr>
              <w:t>过渡，提供更为宽广的视野范围。</w:t>
            </w:r>
            <w:r>
              <w:rPr>
                <w:rFonts w:hint="eastAsia" w:hAnsi="宋体" w:cs="宋体"/>
                <w:color w:val="auto"/>
                <w:sz w:val="18"/>
                <w:szCs w:val="18"/>
                <w:highlight w:val="none"/>
                <w:lang w:eastAsia="zh-CN"/>
              </w:rPr>
              <w:t>可根据</w:t>
            </w:r>
            <w:r>
              <w:rPr>
                <w:rFonts w:hint="eastAsia" w:hAnsi="宋体" w:cs="宋体"/>
                <w:color w:val="auto"/>
                <w:sz w:val="18"/>
                <w:szCs w:val="18"/>
                <w:highlight w:val="none"/>
              </w:rPr>
              <w:t>年龄快速确定下加光度，轻松选择，快速适应。高能蓝光过滤系统，阻隔有害蓝光，透过有益蓝光，视觉聚焦优化，光度优化，缓解看近时眼部力量，蓝洁UV膜，双面紫外线防护二、光度范围：球镜+6.00~-10.00，柱镜-0.00~-4.00联合光度+6.00（-10.00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2643FB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72703B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612.8</w:t>
            </w:r>
          </w:p>
        </w:tc>
      </w:tr>
      <w:tr w14:paraId="73A61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26019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107</w:t>
            </w:r>
          </w:p>
        </w:tc>
        <w:tc>
          <w:tcPr>
            <w:tcW w:w="1623" w:type="dxa"/>
            <w:vAlign w:val="center"/>
          </w:tcPr>
          <w:p w14:paraId="2167E0F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1.56智能办公渐进树脂镜片</w:t>
            </w:r>
          </w:p>
        </w:tc>
        <w:tc>
          <w:tcPr>
            <w:tcW w:w="386" w:type="dxa"/>
            <w:vAlign w:val="center"/>
          </w:tcPr>
          <w:p w14:paraId="326723E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D93A44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 光度范围：球镜-0.00~-5.50</w:t>
            </w:r>
          </w:p>
        </w:tc>
        <w:tc>
          <w:tcPr>
            <w:tcW w:w="510" w:type="dxa"/>
            <w:vAlign w:val="center"/>
          </w:tcPr>
          <w:p w14:paraId="0DB69E8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3C137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166.5</w:t>
            </w:r>
          </w:p>
        </w:tc>
      </w:tr>
      <w:tr w14:paraId="03372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A53AE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108</w:t>
            </w:r>
          </w:p>
        </w:tc>
        <w:tc>
          <w:tcPr>
            <w:tcW w:w="1623" w:type="dxa"/>
            <w:vAlign w:val="center"/>
          </w:tcPr>
          <w:p w14:paraId="6C3C5F1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1.56智能办公渐进树脂镜片</w:t>
            </w:r>
          </w:p>
        </w:tc>
        <w:tc>
          <w:tcPr>
            <w:tcW w:w="386" w:type="dxa"/>
            <w:vAlign w:val="center"/>
          </w:tcPr>
          <w:p w14:paraId="4E64D0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A8743F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二、光度范围：球镜+6.00~-10.00，柱镜-0.00~-4.00联合光度+6.00（-9.50）</w:t>
            </w:r>
          </w:p>
        </w:tc>
        <w:tc>
          <w:tcPr>
            <w:tcW w:w="510" w:type="dxa"/>
            <w:vAlign w:val="center"/>
          </w:tcPr>
          <w:p w14:paraId="0186E5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3C6F25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205</w:t>
            </w:r>
          </w:p>
        </w:tc>
      </w:tr>
      <w:tr w14:paraId="2016D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16CF6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109</w:t>
            </w:r>
          </w:p>
        </w:tc>
        <w:tc>
          <w:tcPr>
            <w:tcW w:w="1623" w:type="dxa"/>
            <w:vAlign w:val="center"/>
          </w:tcPr>
          <w:p w14:paraId="6C33DA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1.60智能办公渐进树脂镜片</w:t>
            </w:r>
          </w:p>
        </w:tc>
        <w:tc>
          <w:tcPr>
            <w:tcW w:w="386" w:type="dxa"/>
            <w:vAlign w:val="center"/>
          </w:tcPr>
          <w:p w14:paraId="3AF2A66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AEB85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二、光度范围：球镜+6.00~-10.00，柱镜-0.00~-4.00联合光度+6.00（-10.00）</w:t>
            </w:r>
          </w:p>
        </w:tc>
        <w:tc>
          <w:tcPr>
            <w:tcW w:w="510" w:type="dxa"/>
            <w:vAlign w:val="center"/>
          </w:tcPr>
          <w:p w14:paraId="7584E04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4BEDE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218</w:t>
            </w:r>
          </w:p>
        </w:tc>
      </w:tr>
      <w:tr w14:paraId="401C6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376C6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110</w:t>
            </w:r>
          </w:p>
        </w:tc>
        <w:tc>
          <w:tcPr>
            <w:tcW w:w="1623" w:type="dxa"/>
            <w:vAlign w:val="center"/>
          </w:tcPr>
          <w:p w14:paraId="0D6293A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1.67智能办公渐进树脂镜片</w:t>
            </w:r>
          </w:p>
        </w:tc>
        <w:tc>
          <w:tcPr>
            <w:tcW w:w="386" w:type="dxa"/>
            <w:vAlign w:val="center"/>
          </w:tcPr>
          <w:p w14:paraId="7C450B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E01CF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光度范围：球镜+6.00~-10.00，柱镜-0.00~-4.00联合光度+6.00（-10.00）</w:t>
            </w:r>
          </w:p>
        </w:tc>
        <w:tc>
          <w:tcPr>
            <w:tcW w:w="510" w:type="dxa"/>
            <w:vAlign w:val="center"/>
          </w:tcPr>
          <w:p w14:paraId="0101CE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468B9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432</w:t>
            </w:r>
          </w:p>
        </w:tc>
      </w:tr>
      <w:tr w14:paraId="1B134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9E65D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111</w:t>
            </w:r>
          </w:p>
        </w:tc>
        <w:tc>
          <w:tcPr>
            <w:tcW w:w="1623" w:type="dxa"/>
            <w:vAlign w:val="center"/>
          </w:tcPr>
          <w:p w14:paraId="5505097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1.50圆顶\平顶双光树脂镜片</w:t>
            </w:r>
          </w:p>
        </w:tc>
        <w:tc>
          <w:tcPr>
            <w:tcW w:w="386" w:type="dxa"/>
            <w:vAlign w:val="center"/>
          </w:tcPr>
          <w:p w14:paraId="131AC2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045062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采用1.55折射率的树脂材料制成，镜片外观靓丽。2.镜片镀有高性能的减反射膜层，使得镜片的透光率和耐磨性等均达到优良品质。3.洁净镀膜防水、防污、防油。4.适用于初次佩戴渐进镜片者，比传统的双光镜片更美观，佩戴体验更好。二、光度范围：球镜+4.00~-10.00，柱镜-0.00~-4.00联合光度+4.00（-10.00）</w:t>
            </w:r>
          </w:p>
        </w:tc>
        <w:tc>
          <w:tcPr>
            <w:tcW w:w="510" w:type="dxa"/>
            <w:vAlign w:val="center"/>
          </w:tcPr>
          <w:p w14:paraId="30555FF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4BD658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67.69</w:t>
            </w:r>
          </w:p>
        </w:tc>
      </w:tr>
      <w:tr w14:paraId="6F362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3C69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112</w:t>
            </w:r>
          </w:p>
        </w:tc>
        <w:tc>
          <w:tcPr>
            <w:tcW w:w="1623" w:type="dxa"/>
            <w:vAlign w:val="center"/>
          </w:tcPr>
          <w:p w14:paraId="232B0D1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1.56圆顶\平顶双光树脂镜片</w:t>
            </w:r>
          </w:p>
        </w:tc>
        <w:tc>
          <w:tcPr>
            <w:tcW w:w="386" w:type="dxa"/>
            <w:vAlign w:val="center"/>
          </w:tcPr>
          <w:p w14:paraId="58778FD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C8075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采用1.55折射率的树脂材料制成，镜片外观靓丽。2.镜片镀有高性能的减反射膜层，使得镜片的透光率和耐磨性等均达到优良品质。3.洁净镀膜防水、防污、防油。4.适用于初次佩戴渐进镜片者，比传统的双光镜片更美观，佩戴体验更好。二、光度范围：球镜+4.00~-10.00，柱镜-0.00~-4.00联合光度+4.00（-10.00）</w:t>
            </w:r>
          </w:p>
        </w:tc>
        <w:tc>
          <w:tcPr>
            <w:tcW w:w="510" w:type="dxa"/>
            <w:vAlign w:val="center"/>
          </w:tcPr>
          <w:p w14:paraId="3BDB53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B8AB2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117</w:t>
            </w:r>
          </w:p>
        </w:tc>
      </w:tr>
      <w:tr w14:paraId="507E2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1CA9B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113</w:t>
            </w:r>
          </w:p>
        </w:tc>
        <w:tc>
          <w:tcPr>
            <w:tcW w:w="1623" w:type="dxa"/>
            <w:vAlign w:val="center"/>
          </w:tcPr>
          <w:p w14:paraId="3358A78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1.56帽子镜</w:t>
            </w:r>
          </w:p>
        </w:tc>
        <w:tc>
          <w:tcPr>
            <w:tcW w:w="386" w:type="dxa"/>
            <w:vAlign w:val="center"/>
          </w:tcPr>
          <w:p w14:paraId="2EB578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148378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一、性能特点：视野优化，佩戴者可以享受宽广清晰的视觉，充足的阅读区域，宽广的远</w:t>
            </w:r>
            <w:r>
              <w:rPr>
                <w:rFonts w:hint="eastAsia" w:hAnsi="宋体" w:cs="宋体"/>
                <w:color w:val="auto"/>
                <w:sz w:val="18"/>
                <w:szCs w:val="18"/>
                <w:highlight w:val="none"/>
                <w:lang w:eastAsia="zh-CN"/>
              </w:rPr>
              <w:t>近视</w:t>
            </w:r>
            <w:r>
              <w:rPr>
                <w:rFonts w:hint="eastAsia" w:hAnsi="宋体" w:cs="宋体"/>
                <w:color w:val="auto"/>
                <w:sz w:val="18"/>
                <w:szCs w:val="18"/>
                <w:highlight w:val="none"/>
              </w:rPr>
              <w:t>野，而不受镜架的限制，双眼视觉也会保持非常稳定的视觉状态此外，杰出的双眼平衡设计，能够快速、清楚地识别。二、光度范围：球镜+6.50～+22.00，柱镜-0.00~+6.00联合光度+26.00</w:t>
            </w:r>
          </w:p>
        </w:tc>
        <w:tc>
          <w:tcPr>
            <w:tcW w:w="510" w:type="dxa"/>
            <w:vAlign w:val="center"/>
          </w:tcPr>
          <w:p w14:paraId="70E6132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2AE07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75.81</w:t>
            </w:r>
          </w:p>
        </w:tc>
      </w:tr>
      <w:tr w14:paraId="48D47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4298B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114</w:t>
            </w:r>
          </w:p>
        </w:tc>
        <w:tc>
          <w:tcPr>
            <w:tcW w:w="1623" w:type="dxa"/>
            <w:vAlign w:val="center"/>
          </w:tcPr>
          <w:p w14:paraId="0424696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1.60帽子镜</w:t>
            </w:r>
          </w:p>
        </w:tc>
        <w:tc>
          <w:tcPr>
            <w:tcW w:w="386" w:type="dxa"/>
            <w:vAlign w:val="center"/>
          </w:tcPr>
          <w:p w14:paraId="7571E4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AA7584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一、性能特点：视野优化，佩戴者可以享受宽广清晰的视觉，充足的阅读区域，宽广的远</w:t>
            </w:r>
            <w:r>
              <w:rPr>
                <w:rFonts w:hint="eastAsia" w:hAnsi="宋体" w:cs="宋体"/>
                <w:color w:val="auto"/>
                <w:sz w:val="18"/>
                <w:szCs w:val="18"/>
                <w:highlight w:val="none"/>
                <w:lang w:eastAsia="zh-CN"/>
              </w:rPr>
              <w:t>近视</w:t>
            </w:r>
            <w:r>
              <w:rPr>
                <w:rFonts w:hint="eastAsia" w:hAnsi="宋体" w:cs="宋体"/>
                <w:color w:val="auto"/>
                <w:sz w:val="18"/>
                <w:szCs w:val="18"/>
                <w:highlight w:val="none"/>
              </w:rPr>
              <w:t>野，而不受镜架的限制，双眼视觉也会保持非常稳定的视觉状态此外，杰出的双眼平衡设计，能够快速、清楚地识别。二、光度范围：球镜+15.00～+28.00，柱镜-0.00~+6.00联合光度+34.00</w:t>
            </w:r>
          </w:p>
        </w:tc>
        <w:tc>
          <w:tcPr>
            <w:tcW w:w="510" w:type="dxa"/>
            <w:vAlign w:val="center"/>
          </w:tcPr>
          <w:p w14:paraId="2BB5E65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68302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296.92</w:t>
            </w:r>
          </w:p>
        </w:tc>
      </w:tr>
      <w:tr w14:paraId="60758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07BCC0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115</w:t>
            </w:r>
          </w:p>
        </w:tc>
        <w:tc>
          <w:tcPr>
            <w:tcW w:w="1623" w:type="dxa"/>
            <w:vAlign w:val="center"/>
          </w:tcPr>
          <w:p w14:paraId="6817EEB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1.50弱视矫正树脂镜片</w:t>
            </w:r>
          </w:p>
        </w:tc>
        <w:tc>
          <w:tcPr>
            <w:tcW w:w="386" w:type="dxa"/>
            <w:vAlign w:val="center"/>
          </w:tcPr>
          <w:p w14:paraId="148FD88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A20DC5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一、性能特点：能有效矫正青少年儿童斜视、弱视的缺陷。二、光度范围：球镜+0.00~+2.75，柱镜+0.00~+2.00</w:t>
            </w:r>
          </w:p>
        </w:tc>
        <w:tc>
          <w:tcPr>
            <w:tcW w:w="510" w:type="dxa"/>
            <w:vAlign w:val="center"/>
          </w:tcPr>
          <w:p w14:paraId="64BCAD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2A00B3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w:t>
            </w:r>
          </w:p>
        </w:tc>
      </w:tr>
      <w:tr w14:paraId="7711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2F9B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116</w:t>
            </w:r>
          </w:p>
        </w:tc>
        <w:tc>
          <w:tcPr>
            <w:tcW w:w="1623" w:type="dxa"/>
            <w:vAlign w:val="center"/>
          </w:tcPr>
          <w:p w14:paraId="3EA9F58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1.50弱视矫正树脂镜片</w:t>
            </w:r>
          </w:p>
        </w:tc>
        <w:tc>
          <w:tcPr>
            <w:tcW w:w="386" w:type="dxa"/>
            <w:vAlign w:val="center"/>
          </w:tcPr>
          <w:p w14:paraId="237664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C37E0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一、性能特点：能有效矫正青少年儿童斜视、弱视的缺陷。二、光度范围：球镜+0.00~+6.00，柱镜+0.00~+6.00联合光度+8.00</w:t>
            </w:r>
          </w:p>
        </w:tc>
        <w:tc>
          <w:tcPr>
            <w:tcW w:w="510" w:type="dxa"/>
            <w:vAlign w:val="center"/>
          </w:tcPr>
          <w:p w14:paraId="712CB6F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28353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63.18</w:t>
            </w:r>
          </w:p>
        </w:tc>
      </w:tr>
      <w:tr w14:paraId="30864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144004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117</w:t>
            </w:r>
          </w:p>
        </w:tc>
        <w:tc>
          <w:tcPr>
            <w:tcW w:w="1623" w:type="dxa"/>
            <w:vAlign w:val="center"/>
          </w:tcPr>
          <w:p w14:paraId="7B023B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1.56弱视矫正树脂镜片</w:t>
            </w:r>
          </w:p>
        </w:tc>
        <w:tc>
          <w:tcPr>
            <w:tcW w:w="386" w:type="dxa"/>
            <w:vAlign w:val="center"/>
          </w:tcPr>
          <w:p w14:paraId="6012220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D4753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一、性能特点：能有效矫正青少年儿童斜视、弱视的缺陷。二、光度范围：球镜+0.00~+4.00，柱镜+0.00~+2.00</w:t>
            </w:r>
          </w:p>
        </w:tc>
        <w:tc>
          <w:tcPr>
            <w:tcW w:w="510" w:type="dxa"/>
            <w:vAlign w:val="center"/>
          </w:tcPr>
          <w:p w14:paraId="7424A6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2B3FC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74</w:t>
            </w:r>
          </w:p>
        </w:tc>
      </w:tr>
      <w:tr w14:paraId="32FD0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7641C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118</w:t>
            </w:r>
          </w:p>
        </w:tc>
        <w:tc>
          <w:tcPr>
            <w:tcW w:w="1623" w:type="dxa"/>
            <w:vAlign w:val="center"/>
          </w:tcPr>
          <w:p w14:paraId="100C649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1.56弱视矫正树脂镜片</w:t>
            </w:r>
          </w:p>
        </w:tc>
        <w:tc>
          <w:tcPr>
            <w:tcW w:w="386" w:type="dxa"/>
            <w:vAlign w:val="center"/>
          </w:tcPr>
          <w:p w14:paraId="5CB59F4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87ACE9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一、性能特点：能有效矫正青少年儿童斜视、弱视的缺陷。二、光度范围：球镜+0.00~+6.00，柱镜+0.00~+6.00联合光度+8.00</w:t>
            </w:r>
          </w:p>
        </w:tc>
        <w:tc>
          <w:tcPr>
            <w:tcW w:w="510" w:type="dxa"/>
            <w:vAlign w:val="center"/>
          </w:tcPr>
          <w:p w14:paraId="54694F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EDB1D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113</w:t>
            </w:r>
          </w:p>
        </w:tc>
      </w:tr>
      <w:tr w14:paraId="33AC4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D8BE2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119</w:t>
            </w:r>
          </w:p>
        </w:tc>
        <w:tc>
          <w:tcPr>
            <w:tcW w:w="1623" w:type="dxa"/>
            <w:vAlign w:val="center"/>
          </w:tcPr>
          <w:p w14:paraId="7AB6618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1.60弱视矫正树脂镜片</w:t>
            </w:r>
          </w:p>
        </w:tc>
        <w:tc>
          <w:tcPr>
            <w:tcW w:w="386" w:type="dxa"/>
            <w:vAlign w:val="center"/>
          </w:tcPr>
          <w:p w14:paraId="61333A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D6FC78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一、性能特点：能有效矫正青少年儿童斜视、弱视的缺陷。二、光度范围：球镜+0.00~+8.00，柱镜+0.00~+6.00联合光度+12.00</w:t>
            </w:r>
          </w:p>
        </w:tc>
        <w:tc>
          <w:tcPr>
            <w:tcW w:w="510" w:type="dxa"/>
            <w:vAlign w:val="center"/>
          </w:tcPr>
          <w:p w14:paraId="09490E5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85690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142</w:t>
            </w:r>
          </w:p>
        </w:tc>
      </w:tr>
      <w:tr w14:paraId="1D1F6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C85A1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120</w:t>
            </w:r>
          </w:p>
        </w:tc>
        <w:tc>
          <w:tcPr>
            <w:tcW w:w="1623" w:type="dxa"/>
            <w:vAlign w:val="center"/>
          </w:tcPr>
          <w:p w14:paraId="32A3853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1.67弱视矫正树脂镜片</w:t>
            </w:r>
          </w:p>
        </w:tc>
        <w:tc>
          <w:tcPr>
            <w:tcW w:w="386" w:type="dxa"/>
            <w:vAlign w:val="center"/>
          </w:tcPr>
          <w:p w14:paraId="607CFD0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3AEBCD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一、性能特点：能有效矫正青少年儿童斜视、弱视的缺陷。二、光度范围：球镜+0.00~+8.00，柱镜+0.00~+6.00联合光度+12.00</w:t>
            </w:r>
          </w:p>
        </w:tc>
        <w:tc>
          <w:tcPr>
            <w:tcW w:w="510" w:type="dxa"/>
            <w:vAlign w:val="center"/>
          </w:tcPr>
          <w:p w14:paraId="4ECE2C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B25CD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202.16</w:t>
            </w:r>
          </w:p>
        </w:tc>
      </w:tr>
      <w:tr w14:paraId="56B59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08F91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121</w:t>
            </w:r>
          </w:p>
        </w:tc>
        <w:tc>
          <w:tcPr>
            <w:tcW w:w="1623" w:type="dxa"/>
            <w:vAlign w:val="center"/>
          </w:tcPr>
          <w:p w14:paraId="5879D5C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1.56不等像矫正树脂镜片</w:t>
            </w:r>
          </w:p>
        </w:tc>
        <w:tc>
          <w:tcPr>
            <w:tcW w:w="386" w:type="dxa"/>
            <w:vAlign w:val="center"/>
          </w:tcPr>
          <w:p w14:paraId="160138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15BF4B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 二、 光度范围：球镜+6.00~-8.00，柱镜-0.00~-4.00联合光度+6.00（-8.00）</w:t>
            </w:r>
          </w:p>
        </w:tc>
        <w:tc>
          <w:tcPr>
            <w:tcW w:w="510" w:type="dxa"/>
            <w:vAlign w:val="center"/>
          </w:tcPr>
          <w:p w14:paraId="2A81F8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1670E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252</w:t>
            </w:r>
          </w:p>
        </w:tc>
      </w:tr>
      <w:tr w14:paraId="58C88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0FB48E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122</w:t>
            </w:r>
          </w:p>
        </w:tc>
        <w:tc>
          <w:tcPr>
            <w:tcW w:w="1623" w:type="dxa"/>
            <w:vAlign w:val="center"/>
          </w:tcPr>
          <w:p w14:paraId="481941F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1.56防蓝光不等像矫正树脂镜片</w:t>
            </w:r>
          </w:p>
        </w:tc>
        <w:tc>
          <w:tcPr>
            <w:tcW w:w="386" w:type="dxa"/>
            <w:vAlign w:val="center"/>
          </w:tcPr>
          <w:p w14:paraId="4032D52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F89697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 二、光度范围：球镜+6.00~-8.00，柱镜-0.00~-4.00联合光度+6.00（-8.00）</w:t>
            </w:r>
          </w:p>
        </w:tc>
        <w:tc>
          <w:tcPr>
            <w:tcW w:w="510" w:type="dxa"/>
            <w:vAlign w:val="center"/>
          </w:tcPr>
          <w:p w14:paraId="6AE62E7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6034C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288.09</w:t>
            </w:r>
          </w:p>
        </w:tc>
      </w:tr>
      <w:tr w14:paraId="61BB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FCA7B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123</w:t>
            </w:r>
          </w:p>
        </w:tc>
        <w:tc>
          <w:tcPr>
            <w:tcW w:w="1623" w:type="dxa"/>
            <w:vAlign w:val="center"/>
          </w:tcPr>
          <w:p w14:paraId="60392CA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不等像矫正树脂镜片</w:t>
            </w:r>
          </w:p>
        </w:tc>
        <w:tc>
          <w:tcPr>
            <w:tcW w:w="386" w:type="dxa"/>
            <w:vAlign w:val="center"/>
          </w:tcPr>
          <w:p w14:paraId="01C753A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E96CEB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适合人群：屈光不正人群。二、 光度范围：球镜+6.00~-14.00，柱镜-0.00~-4.00联合光度+6.00（-14.00）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4F5C1D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2E698F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305</w:t>
            </w:r>
          </w:p>
        </w:tc>
      </w:tr>
      <w:tr w14:paraId="1FEFC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ACD1E4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124</w:t>
            </w:r>
          </w:p>
        </w:tc>
        <w:tc>
          <w:tcPr>
            <w:tcW w:w="1623" w:type="dxa"/>
            <w:vAlign w:val="center"/>
          </w:tcPr>
          <w:p w14:paraId="78CF825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防蓝光不等像矫正树脂镜片</w:t>
            </w:r>
          </w:p>
        </w:tc>
        <w:tc>
          <w:tcPr>
            <w:tcW w:w="386" w:type="dxa"/>
            <w:vAlign w:val="center"/>
          </w:tcPr>
          <w:p w14:paraId="4557F6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11ACBDF">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适合人群：屈光不正人群。二、 光度范围：球镜+6.00~-14.00，柱镜-0.00~-4.00联合光度+6.00（-14.00）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3FEC38D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F67D9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312.72</w:t>
            </w:r>
          </w:p>
        </w:tc>
      </w:tr>
      <w:tr w14:paraId="61047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B07E5B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125</w:t>
            </w:r>
          </w:p>
        </w:tc>
        <w:tc>
          <w:tcPr>
            <w:tcW w:w="1623" w:type="dxa"/>
            <w:vAlign w:val="center"/>
          </w:tcPr>
          <w:p w14:paraId="76D2066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不等像矫正树脂镜片</w:t>
            </w:r>
          </w:p>
        </w:tc>
        <w:tc>
          <w:tcPr>
            <w:tcW w:w="386" w:type="dxa"/>
            <w:vAlign w:val="center"/>
          </w:tcPr>
          <w:p w14:paraId="326979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74D752">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适合人群：屈光不正人群。二、 光度范围：球镜+10.00~-15.00，柱镜-0.00~-4.00联合光度+10.00（-16.00）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57434A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A379B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389.88</w:t>
            </w:r>
          </w:p>
        </w:tc>
      </w:tr>
      <w:tr w14:paraId="00FC0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64FC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126</w:t>
            </w:r>
          </w:p>
        </w:tc>
        <w:tc>
          <w:tcPr>
            <w:tcW w:w="1623" w:type="dxa"/>
            <w:vAlign w:val="center"/>
          </w:tcPr>
          <w:p w14:paraId="2EFCCA4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防蓝光不等像矫正树脂镜片</w:t>
            </w:r>
          </w:p>
        </w:tc>
        <w:tc>
          <w:tcPr>
            <w:tcW w:w="386" w:type="dxa"/>
            <w:vAlign w:val="center"/>
          </w:tcPr>
          <w:p w14:paraId="28F459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5D29828">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适合人群：屈光不正人群。二、 光度范围：球镜+10.00~-15.00，柱镜-0.00~-4.00联合光度+10.00（-16.00）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三、阿贝数约32，色散系数低。</w:t>
            </w:r>
          </w:p>
        </w:tc>
        <w:tc>
          <w:tcPr>
            <w:tcW w:w="510" w:type="dxa"/>
            <w:vAlign w:val="center"/>
          </w:tcPr>
          <w:p w14:paraId="052FC39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8E9E7D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574</w:t>
            </w:r>
          </w:p>
        </w:tc>
      </w:tr>
      <w:tr w14:paraId="6F7EA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84EEB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127</w:t>
            </w:r>
          </w:p>
        </w:tc>
        <w:tc>
          <w:tcPr>
            <w:tcW w:w="1623" w:type="dxa"/>
            <w:vAlign w:val="center"/>
          </w:tcPr>
          <w:p w14:paraId="2B70799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超高折射率</w:t>
            </w:r>
            <w:r>
              <w:rPr>
                <w:rFonts w:hint="eastAsia" w:hAnsi="宋体" w:cs="宋体"/>
                <w:color w:val="auto"/>
                <w:sz w:val="18"/>
                <w:szCs w:val="18"/>
                <w:highlight w:val="none"/>
              </w:rPr>
              <w:t>不等像矫正树脂镜片</w:t>
            </w:r>
          </w:p>
        </w:tc>
        <w:tc>
          <w:tcPr>
            <w:tcW w:w="386" w:type="dxa"/>
            <w:vAlign w:val="center"/>
          </w:tcPr>
          <w:p w14:paraId="317BB8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FDB6D9E">
            <w:pPr>
              <w:spacing w:before="30" w:after="30" w:line="320" w:lineRule="auto"/>
              <w:rPr>
                <w:rFonts w:hint="default" w:hAnsi="宋体" w:eastAsia="宋体" w:cs="宋体"/>
                <w:color w:val="auto"/>
                <w:sz w:val="18"/>
                <w:szCs w:val="18"/>
                <w:highlight w:val="none"/>
                <w:lang w:val="en-US" w:eastAsia="zh-CN"/>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 二、 光度范围：球镜+10.00~-15.00，柱镜-0.00~-4.00联合光度+10.00（-16.00）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三、阿贝数约33，色散系数低。</w:t>
            </w:r>
          </w:p>
        </w:tc>
        <w:tc>
          <w:tcPr>
            <w:tcW w:w="510" w:type="dxa"/>
            <w:vAlign w:val="center"/>
          </w:tcPr>
          <w:p w14:paraId="42B986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AFB60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597</w:t>
            </w:r>
          </w:p>
        </w:tc>
      </w:tr>
      <w:tr w14:paraId="16C08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4D6F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128</w:t>
            </w:r>
          </w:p>
        </w:tc>
        <w:tc>
          <w:tcPr>
            <w:tcW w:w="1623" w:type="dxa"/>
            <w:vAlign w:val="center"/>
          </w:tcPr>
          <w:p w14:paraId="42D9B1D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超高折射率</w:t>
            </w:r>
            <w:r>
              <w:rPr>
                <w:rFonts w:hint="eastAsia" w:hAnsi="宋体" w:cs="宋体"/>
                <w:color w:val="auto"/>
                <w:sz w:val="18"/>
                <w:szCs w:val="18"/>
                <w:highlight w:val="none"/>
              </w:rPr>
              <w:t>防蓝光不等像矫正树脂镜片</w:t>
            </w:r>
          </w:p>
        </w:tc>
        <w:tc>
          <w:tcPr>
            <w:tcW w:w="386" w:type="dxa"/>
            <w:vAlign w:val="center"/>
          </w:tcPr>
          <w:p w14:paraId="76FF3A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35EACC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一、性能特点：设计原理</w:t>
            </w:r>
            <w:r>
              <w:rPr>
                <w:rFonts w:hint="eastAsia" w:hAnsi="宋体" w:cs="宋体"/>
                <w:color w:val="auto"/>
                <w:sz w:val="18"/>
                <w:szCs w:val="18"/>
                <w:highlight w:val="none"/>
                <w:lang w:eastAsia="zh-CN"/>
              </w:rPr>
              <w:t>：</w:t>
            </w:r>
            <w:r>
              <w:rPr>
                <w:rFonts w:hint="eastAsia" w:hAnsi="宋体" w:cs="宋体"/>
                <w:color w:val="auto"/>
                <w:sz w:val="18"/>
                <w:szCs w:val="18"/>
                <w:highlight w:val="none"/>
              </w:rPr>
              <w:t>非球面设计、防辐射、融像设计 1.防止弱视、斜视、视力低下、眼疼、眼疲劳等2.通过镜片弯度和厚度来改变成像效果3.解决患者视物不等像，视物舒适度大大提高4.减缓度数增长 适合人群：屈光不正人群。 二、光度范围：球镜+10.00~-15.00，柱镜-0.00~-4.00联合光度+10.00（-16.00）</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三、阿贝数约33，色散系数低。</w:t>
            </w:r>
          </w:p>
        </w:tc>
        <w:tc>
          <w:tcPr>
            <w:tcW w:w="510" w:type="dxa"/>
            <w:vAlign w:val="center"/>
          </w:tcPr>
          <w:p w14:paraId="03B46A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938966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750</w:t>
            </w:r>
          </w:p>
        </w:tc>
      </w:tr>
      <w:tr w14:paraId="498E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59E5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129</w:t>
            </w:r>
          </w:p>
        </w:tc>
        <w:tc>
          <w:tcPr>
            <w:tcW w:w="1623" w:type="dxa"/>
            <w:vAlign w:val="center"/>
          </w:tcPr>
          <w:p w14:paraId="57ACF6B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1.56数码抗疲劳不等像矫正树脂镜片</w:t>
            </w:r>
          </w:p>
        </w:tc>
        <w:tc>
          <w:tcPr>
            <w:tcW w:w="386" w:type="dxa"/>
            <w:vAlign w:val="center"/>
          </w:tcPr>
          <w:p w14:paraId="03B028E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480FF4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p>
        </w:tc>
        <w:tc>
          <w:tcPr>
            <w:tcW w:w="510" w:type="dxa"/>
            <w:vAlign w:val="center"/>
          </w:tcPr>
          <w:p w14:paraId="4F04102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C06E7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265</w:t>
            </w:r>
          </w:p>
        </w:tc>
      </w:tr>
      <w:tr w14:paraId="3DFF7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18628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130</w:t>
            </w:r>
          </w:p>
        </w:tc>
        <w:tc>
          <w:tcPr>
            <w:tcW w:w="1623" w:type="dxa"/>
            <w:vAlign w:val="center"/>
          </w:tcPr>
          <w:p w14:paraId="58021E0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1.56防蓝光数码抗疲劳不等像矫正树脂镜片</w:t>
            </w:r>
          </w:p>
        </w:tc>
        <w:tc>
          <w:tcPr>
            <w:tcW w:w="386" w:type="dxa"/>
            <w:vAlign w:val="center"/>
          </w:tcPr>
          <w:p w14:paraId="76865F8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9B4C1C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p>
        </w:tc>
        <w:tc>
          <w:tcPr>
            <w:tcW w:w="510" w:type="dxa"/>
            <w:vAlign w:val="center"/>
          </w:tcPr>
          <w:p w14:paraId="6181CB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F319B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312.72</w:t>
            </w:r>
          </w:p>
        </w:tc>
      </w:tr>
      <w:tr w14:paraId="382E6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4EFD0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131</w:t>
            </w:r>
          </w:p>
        </w:tc>
        <w:tc>
          <w:tcPr>
            <w:tcW w:w="1623" w:type="dxa"/>
            <w:vAlign w:val="center"/>
          </w:tcPr>
          <w:p w14:paraId="577D9EB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数码抗疲劳不等像矫正树脂镜片</w:t>
            </w:r>
          </w:p>
        </w:tc>
        <w:tc>
          <w:tcPr>
            <w:tcW w:w="386" w:type="dxa"/>
            <w:vAlign w:val="center"/>
          </w:tcPr>
          <w:p w14:paraId="533937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EDDA173">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3232670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F1060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407.48</w:t>
            </w:r>
          </w:p>
        </w:tc>
      </w:tr>
      <w:tr w14:paraId="0D108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ADFF6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132</w:t>
            </w:r>
          </w:p>
        </w:tc>
        <w:tc>
          <w:tcPr>
            <w:tcW w:w="1623" w:type="dxa"/>
            <w:vAlign w:val="center"/>
          </w:tcPr>
          <w:p w14:paraId="180F06B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防蓝光数码抗疲劳不等像矫正树脂镜片</w:t>
            </w:r>
          </w:p>
        </w:tc>
        <w:tc>
          <w:tcPr>
            <w:tcW w:w="386" w:type="dxa"/>
            <w:vAlign w:val="center"/>
          </w:tcPr>
          <w:p w14:paraId="20D5F59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1D1776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r>
              <w:rPr>
                <w:rFonts w:hint="eastAsia" w:hAnsi="宋体" w:cs="宋体"/>
                <w:color w:val="auto"/>
                <w:sz w:val="18"/>
                <w:szCs w:val="18"/>
                <w:highlight w:val="none"/>
                <w:lang w:val="en-US" w:eastAsia="zh-CN"/>
              </w:rPr>
              <w:t>阿贝数约40，色散系数低。</w:t>
            </w:r>
          </w:p>
        </w:tc>
        <w:tc>
          <w:tcPr>
            <w:tcW w:w="510" w:type="dxa"/>
            <w:vAlign w:val="center"/>
          </w:tcPr>
          <w:p w14:paraId="0F7240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EE74C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454.86</w:t>
            </w:r>
          </w:p>
        </w:tc>
      </w:tr>
      <w:tr w14:paraId="774C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7F5D4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133</w:t>
            </w:r>
          </w:p>
        </w:tc>
        <w:tc>
          <w:tcPr>
            <w:tcW w:w="1623" w:type="dxa"/>
            <w:vAlign w:val="center"/>
          </w:tcPr>
          <w:p w14:paraId="47A0D59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数码抗疲劳不等像矫正树脂镜片</w:t>
            </w:r>
          </w:p>
        </w:tc>
        <w:tc>
          <w:tcPr>
            <w:tcW w:w="386" w:type="dxa"/>
            <w:vAlign w:val="center"/>
          </w:tcPr>
          <w:p w14:paraId="6BBE3F1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C1C854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r>
              <w:rPr>
                <w:rFonts w:hint="eastAsia" w:hAnsi="宋体" w:cs="宋体"/>
                <w:color w:val="auto"/>
                <w:sz w:val="18"/>
                <w:szCs w:val="18"/>
                <w:highlight w:val="none"/>
                <w:lang w:val="en-US" w:eastAsia="zh-CN"/>
              </w:rPr>
              <w:t>阿贝数约32，色散系数低。</w:t>
            </w:r>
          </w:p>
        </w:tc>
        <w:tc>
          <w:tcPr>
            <w:tcW w:w="510" w:type="dxa"/>
            <w:vAlign w:val="center"/>
          </w:tcPr>
          <w:p w14:paraId="683E8E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97B87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518.04</w:t>
            </w:r>
          </w:p>
        </w:tc>
      </w:tr>
      <w:tr w14:paraId="14AD0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99BFC3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134</w:t>
            </w:r>
          </w:p>
        </w:tc>
        <w:tc>
          <w:tcPr>
            <w:tcW w:w="1623" w:type="dxa"/>
            <w:vAlign w:val="center"/>
          </w:tcPr>
          <w:p w14:paraId="5D2E076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防蓝光数码抗疲劳不等像矫正树脂镜片</w:t>
            </w:r>
          </w:p>
        </w:tc>
        <w:tc>
          <w:tcPr>
            <w:tcW w:w="386" w:type="dxa"/>
            <w:vAlign w:val="center"/>
          </w:tcPr>
          <w:p w14:paraId="0C3903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EF0577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r>
              <w:rPr>
                <w:rFonts w:hint="eastAsia" w:hAnsi="宋体" w:cs="宋体"/>
                <w:color w:val="auto"/>
                <w:sz w:val="18"/>
                <w:szCs w:val="18"/>
                <w:highlight w:val="none"/>
                <w:lang w:val="en-US" w:eastAsia="zh-CN"/>
              </w:rPr>
              <w:t>阿贝数约32，色散系数低。</w:t>
            </w:r>
          </w:p>
        </w:tc>
        <w:tc>
          <w:tcPr>
            <w:tcW w:w="510" w:type="dxa"/>
            <w:vAlign w:val="center"/>
          </w:tcPr>
          <w:p w14:paraId="7BD2460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9DE880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565.42</w:t>
            </w:r>
          </w:p>
        </w:tc>
      </w:tr>
      <w:tr w14:paraId="5189A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51B8D6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135</w:t>
            </w:r>
          </w:p>
        </w:tc>
        <w:tc>
          <w:tcPr>
            <w:tcW w:w="1623" w:type="dxa"/>
            <w:vAlign w:val="center"/>
          </w:tcPr>
          <w:p w14:paraId="5D852BE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超高折射率</w:t>
            </w:r>
            <w:r>
              <w:rPr>
                <w:rFonts w:hint="eastAsia" w:hAnsi="宋体" w:cs="宋体"/>
                <w:color w:val="auto"/>
                <w:sz w:val="18"/>
                <w:szCs w:val="18"/>
                <w:highlight w:val="none"/>
              </w:rPr>
              <w:t>数码抗疲劳不等像矫正树脂镜片</w:t>
            </w:r>
          </w:p>
        </w:tc>
        <w:tc>
          <w:tcPr>
            <w:tcW w:w="386" w:type="dxa"/>
            <w:vAlign w:val="center"/>
          </w:tcPr>
          <w:p w14:paraId="196929F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C9B9BA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阿贝数约33，色散系数低。</w:t>
            </w:r>
          </w:p>
        </w:tc>
        <w:tc>
          <w:tcPr>
            <w:tcW w:w="510" w:type="dxa"/>
            <w:vAlign w:val="center"/>
          </w:tcPr>
          <w:p w14:paraId="2936E7F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6AB9B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739.15</w:t>
            </w:r>
          </w:p>
        </w:tc>
      </w:tr>
      <w:tr w14:paraId="6362E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2B2B5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136</w:t>
            </w:r>
          </w:p>
        </w:tc>
        <w:tc>
          <w:tcPr>
            <w:tcW w:w="1623" w:type="dxa"/>
            <w:vAlign w:val="center"/>
          </w:tcPr>
          <w:p w14:paraId="041369D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超高折射率</w:t>
            </w:r>
            <w:r>
              <w:rPr>
                <w:rFonts w:hint="eastAsia" w:hAnsi="宋体" w:cs="宋体"/>
                <w:color w:val="auto"/>
                <w:sz w:val="18"/>
                <w:szCs w:val="18"/>
                <w:highlight w:val="none"/>
              </w:rPr>
              <w:t>防蓝光数码抗疲劳不等像矫正树脂镜片</w:t>
            </w:r>
          </w:p>
        </w:tc>
        <w:tc>
          <w:tcPr>
            <w:tcW w:w="386" w:type="dxa"/>
            <w:vAlign w:val="center"/>
          </w:tcPr>
          <w:p w14:paraId="74FF1EE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9514EF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r>
              <w:rPr>
                <w:rFonts w:hint="eastAsia" w:hAnsi="宋体" w:cs="宋体"/>
                <w:color w:val="auto"/>
                <w:sz w:val="18"/>
                <w:szCs w:val="18"/>
                <w:highlight w:val="none"/>
                <w:lang w:val="en-US" w:eastAsia="zh-CN"/>
              </w:rPr>
              <w:t>阿贝数约33，色散系数低。</w:t>
            </w:r>
          </w:p>
        </w:tc>
        <w:tc>
          <w:tcPr>
            <w:tcW w:w="510" w:type="dxa"/>
            <w:vAlign w:val="center"/>
          </w:tcPr>
          <w:p w14:paraId="25595B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0EFBB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786.53</w:t>
            </w:r>
          </w:p>
        </w:tc>
      </w:tr>
      <w:tr w14:paraId="174D6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0E3B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137</w:t>
            </w:r>
          </w:p>
        </w:tc>
        <w:tc>
          <w:tcPr>
            <w:tcW w:w="1623" w:type="dxa"/>
            <w:vAlign w:val="center"/>
          </w:tcPr>
          <w:p w14:paraId="72EC13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1.56数码内渐进不等像矫正树脂镜片</w:t>
            </w:r>
          </w:p>
        </w:tc>
        <w:tc>
          <w:tcPr>
            <w:tcW w:w="386" w:type="dxa"/>
            <w:vAlign w:val="center"/>
          </w:tcPr>
          <w:p w14:paraId="43DF5B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EFF187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510" w:type="dxa"/>
            <w:vAlign w:val="center"/>
          </w:tcPr>
          <w:p w14:paraId="7E272A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0B034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281.13</w:t>
            </w:r>
          </w:p>
        </w:tc>
      </w:tr>
      <w:tr w14:paraId="091F6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3310E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138</w:t>
            </w:r>
          </w:p>
        </w:tc>
        <w:tc>
          <w:tcPr>
            <w:tcW w:w="1623" w:type="dxa"/>
            <w:vAlign w:val="center"/>
          </w:tcPr>
          <w:p w14:paraId="08D1114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1.56防蓝光数码内渐进不等像矫正树脂镜片</w:t>
            </w:r>
          </w:p>
        </w:tc>
        <w:tc>
          <w:tcPr>
            <w:tcW w:w="386" w:type="dxa"/>
            <w:vAlign w:val="center"/>
          </w:tcPr>
          <w:p w14:paraId="1C1EC75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8A4BDE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510" w:type="dxa"/>
            <w:vAlign w:val="center"/>
          </w:tcPr>
          <w:p w14:paraId="443008C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94BDD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312.72</w:t>
            </w:r>
          </w:p>
        </w:tc>
      </w:tr>
      <w:tr w14:paraId="498D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4B3B3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139</w:t>
            </w:r>
          </w:p>
        </w:tc>
        <w:tc>
          <w:tcPr>
            <w:tcW w:w="1623" w:type="dxa"/>
            <w:vAlign w:val="center"/>
          </w:tcPr>
          <w:p w14:paraId="6CBDED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数码内渐进不等像矫正树脂镜片</w:t>
            </w:r>
          </w:p>
        </w:tc>
        <w:tc>
          <w:tcPr>
            <w:tcW w:w="386" w:type="dxa"/>
            <w:vAlign w:val="center"/>
          </w:tcPr>
          <w:p w14:paraId="181E01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70CB72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r>
              <w:rPr>
                <w:rFonts w:hint="eastAsia" w:hAnsi="宋体" w:cs="宋体"/>
                <w:color w:val="auto"/>
                <w:sz w:val="18"/>
                <w:szCs w:val="18"/>
                <w:highlight w:val="none"/>
                <w:lang w:val="en-US" w:eastAsia="zh-CN"/>
              </w:rPr>
              <w:t>。阿贝数约40，色散系数低。</w:t>
            </w:r>
          </w:p>
        </w:tc>
        <w:tc>
          <w:tcPr>
            <w:tcW w:w="510" w:type="dxa"/>
            <w:vAlign w:val="center"/>
          </w:tcPr>
          <w:p w14:paraId="521FDA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5D248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407.48</w:t>
            </w:r>
          </w:p>
        </w:tc>
      </w:tr>
      <w:tr w14:paraId="1CDAE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BB9E2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140</w:t>
            </w:r>
          </w:p>
        </w:tc>
        <w:tc>
          <w:tcPr>
            <w:tcW w:w="1623" w:type="dxa"/>
            <w:vAlign w:val="center"/>
          </w:tcPr>
          <w:p w14:paraId="408F816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高抗冲击</w:t>
            </w:r>
            <w:r>
              <w:rPr>
                <w:rFonts w:hint="eastAsia" w:hAnsi="宋体" w:cs="宋体"/>
                <w:color w:val="auto"/>
                <w:sz w:val="18"/>
                <w:szCs w:val="18"/>
                <w:highlight w:val="none"/>
              </w:rPr>
              <w:t>防蓝光数码内渐进不等像矫正树脂镜片</w:t>
            </w:r>
          </w:p>
        </w:tc>
        <w:tc>
          <w:tcPr>
            <w:tcW w:w="386" w:type="dxa"/>
            <w:vAlign w:val="center"/>
          </w:tcPr>
          <w:p w14:paraId="024218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63339D6">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三、阿贝数约40，色散系数低。</w:t>
            </w:r>
          </w:p>
        </w:tc>
        <w:tc>
          <w:tcPr>
            <w:tcW w:w="510" w:type="dxa"/>
            <w:vAlign w:val="center"/>
          </w:tcPr>
          <w:p w14:paraId="2A2BDE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C9EAE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454.86</w:t>
            </w:r>
          </w:p>
        </w:tc>
      </w:tr>
      <w:tr w14:paraId="1B900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63D6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141</w:t>
            </w:r>
          </w:p>
        </w:tc>
        <w:tc>
          <w:tcPr>
            <w:tcW w:w="1623" w:type="dxa"/>
            <w:vAlign w:val="center"/>
          </w:tcPr>
          <w:p w14:paraId="5C6A129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数码内渐进不等像矫正树脂镜片</w:t>
            </w:r>
          </w:p>
        </w:tc>
        <w:tc>
          <w:tcPr>
            <w:tcW w:w="386" w:type="dxa"/>
            <w:vAlign w:val="center"/>
          </w:tcPr>
          <w:p w14:paraId="43FA78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D6AE17">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阿贝数约32，色散系数低。</w:t>
            </w:r>
          </w:p>
        </w:tc>
        <w:tc>
          <w:tcPr>
            <w:tcW w:w="510" w:type="dxa"/>
            <w:vAlign w:val="center"/>
          </w:tcPr>
          <w:p w14:paraId="00A759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41B56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510</w:t>
            </w:r>
          </w:p>
        </w:tc>
      </w:tr>
      <w:tr w14:paraId="2D6E8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8A3EA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142</w:t>
            </w:r>
          </w:p>
        </w:tc>
        <w:tc>
          <w:tcPr>
            <w:tcW w:w="1623" w:type="dxa"/>
            <w:vAlign w:val="center"/>
          </w:tcPr>
          <w:p w14:paraId="472A064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高折射率</w:t>
            </w:r>
            <w:r>
              <w:rPr>
                <w:rFonts w:hint="eastAsia" w:hAnsi="宋体" w:cs="宋体"/>
                <w:color w:val="auto"/>
                <w:sz w:val="18"/>
                <w:szCs w:val="18"/>
                <w:highlight w:val="none"/>
              </w:rPr>
              <w:t>防蓝光数码内渐进不等像矫正树脂镜片</w:t>
            </w:r>
          </w:p>
        </w:tc>
        <w:tc>
          <w:tcPr>
            <w:tcW w:w="386" w:type="dxa"/>
            <w:vAlign w:val="center"/>
          </w:tcPr>
          <w:p w14:paraId="28CF09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04D962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阿贝数约32，色散系数低。</w:t>
            </w:r>
          </w:p>
        </w:tc>
        <w:tc>
          <w:tcPr>
            <w:tcW w:w="510" w:type="dxa"/>
            <w:vAlign w:val="center"/>
          </w:tcPr>
          <w:p w14:paraId="3773AC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C7015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559</w:t>
            </w:r>
          </w:p>
        </w:tc>
      </w:tr>
      <w:tr w14:paraId="39B2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A09275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143</w:t>
            </w:r>
          </w:p>
        </w:tc>
        <w:tc>
          <w:tcPr>
            <w:tcW w:w="1623" w:type="dxa"/>
            <w:vAlign w:val="center"/>
          </w:tcPr>
          <w:p w14:paraId="70DC73B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超高折射率</w:t>
            </w:r>
            <w:r>
              <w:rPr>
                <w:rFonts w:hint="eastAsia" w:hAnsi="宋体" w:cs="宋体"/>
                <w:color w:val="auto"/>
                <w:sz w:val="18"/>
                <w:szCs w:val="18"/>
                <w:highlight w:val="none"/>
              </w:rPr>
              <w:t>数码内渐进不等像矫正树脂镜片</w:t>
            </w:r>
          </w:p>
        </w:tc>
        <w:tc>
          <w:tcPr>
            <w:tcW w:w="386" w:type="dxa"/>
            <w:vAlign w:val="center"/>
          </w:tcPr>
          <w:p w14:paraId="5E38BBA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B7398B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阿贝数约33，色散系数低。</w:t>
            </w:r>
          </w:p>
        </w:tc>
        <w:tc>
          <w:tcPr>
            <w:tcW w:w="510" w:type="dxa"/>
            <w:vAlign w:val="center"/>
          </w:tcPr>
          <w:p w14:paraId="1A3DAC3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D3E25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739.15</w:t>
            </w:r>
          </w:p>
        </w:tc>
      </w:tr>
      <w:tr w14:paraId="23C8C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B658B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144</w:t>
            </w:r>
          </w:p>
        </w:tc>
        <w:tc>
          <w:tcPr>
            <w:tcW w:w="1623" w:type="dxa"/>
            <w:vAlign w:val="center"/>
          </w:tcPr>
          <w:p w14:paraId="5D6CA0A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超高折射率</w:t>
            </w:r>
            <w:r>
              <w:rPr>
                <w:rFonts w:hint="eastAsia" w:hAnsi="宋体" w:cs="宋体"/>
                <w:color w:val="auto"/>
                <w:sz w:val="18"/>
                <w:szCs w:val="18"/>
                <w:highlight w:val="none"/>
              </w:rPr>
              <w:t>防蓝光数码内渐进不等像矫正树脂镜片</w:t>
            </w:r>
          </w:p>
        </w:tc>
        <w:tc>
          <w:tcPr>
            <w:tcW w:w="386" w:type="dxa"/>
            <w:vAlign w:val="center"/>
          </w:tcPr>
          <w:p w14:paraId="0F59DE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6E77B1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数码内渐进不等像矫正镜片核心技术：内表面自由曲面渐进（通道长度8</w:t>
            </w:r>
            <w:r>
              <w:rPr>
                <w:rFonts w:hint="eastAsia" w:hAnsi="宋体" w:cs="宋体"/>
                <w:color w:val="auto"/>
                <w:sz w:val="18"/>
                <w:szCs w:val="18"/>
                <w:highlight w:val="none"/>
                <w:lang w:eastAsia="zh-CN"/>
              </w:rPr>
              <w:t>—</w:t>
            </w:r>
            <w:r>
              <w:rPr>
                <w:rFonts w:hint="eastAsia" w:hAnsi="宋体" w:cs="宋体"/>
                <w:color w:val="auto"/>
                <w:sz w:val="18"/>
                <w:szCs w:val="18"/>
                <w:highlight w:val="none"/>
              </w:rPr>
              <w:t>14mm），渐进带近眼设计，横向视野扩大20%，晃动感降低50%。性能优势：ADD范围+0.75D~+4.50D，支持老视+屈光参差联合矫正。高精度瞳距/瞳高适配（误差±0.5mm），减少棱镜效应。适用场景：中老年屈光参差患者需兼顾远、中、近全程视力，尤其适合小镜框</w:t>
            </w:r>
            <w:r>
              <w:rPr>
                <w:rFonts w:hint="eastAsia" w:hAnsi="宋体" w:cs="宋体"/>
                <w:color w:val="auto"/>
                <w:sz w:val="18"/>
                <w:szCs w:val="18"/>
                <w:highlight w:val="none"/>
                <w:lang w:eastAsia="zh-CN"/>
              </w:rPr>
              <w:t>。</w:t>
            </w:r>
            <w:r>
              <w:rPr>
                <w:rFonts w:hint="eastAsia" w:hAnsi="宋体" w:cs="宋体"/>
                <w:color w:val="auto"/>
                <w:sz w:val="18"/>
                <w:szCs w:val="18"/>
                <w:highlight w:val="none"/>
                <w:lang w:val="en-US" w:eastAsia="zh-CN"/>
              </w:rPr>
              <w:t>阿贝数约33，色散系数低。</w:t>
            </w:r>
          </w:p>
        </w:tc>
        <w:tc>
          <w:tcPr>
            <w:tcW w:w="510" w:type="dxa"/>
            <w:vAlign w:val="center"/>
          </w:tcPr>
          <w:p w14:paraId="09CDB8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9760E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786.53</w:t>
            </w:r>
          </w:p>
        </w:tc>
      </w:tr>
      <w:tr w14:paraId="6CD14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BA72D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145</w:t>
            </w:r>
          </w:p>
        </w:tc>
        <w:tc>
          <w:tcPr>
            <w:tcW w:w="1623" w:type="dxa"/>
            <w:vAlign w:val="center"/>
          </w:tcPr>
          <w:p w14:paraId="404E9C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1.59PC多点微透不等像矫正镜片</w:t>
            </w:r>
          </w:p>
        </w:tc>
        <w:tc>
          <w:tcPr>
            <w:tcW w:w="386" w:type="dxa"/>
            <w:vAlign w:val="center"/>
          </w:tcPr>
          <w:p w14:paraId="5E45DF2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0EB160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多点微透镜不等像矫正镜片核心技术：360°复合离焦环带（离焦量5.0D~6.0D梯度递增），覆盖11.7°~30°视场角，持续形成周边近视离焦。性能优势：临床验证：抑制眼轴年增速达40%（对比单光镜片）。超轻材质：1.59PC折射率镜片重量减轻15%，适配儿童鼻梁承重。适用场景：6-18岁近视合并屈光参差青少年，需同步控制近视与矫正</w:t>
            </w:r>
            <w:r>
              <w:rPr>
                <w:rFonts w:hint="eastAsia" w:hAnsi="宋体" w:cs="宋体"/>
                <w:color w:val="auto"/>
                <w:sz w:val="18"/>
                <w:szCs w:val="18"/>
                <w:highlight w:val="none"/>
                <w:lang w:eastAsia="zh-CN"/>
              </w:rPr>
              <w:t>影像不等</w:t>
            </w:r>
            <w:r>
              <w:rPr>
                <w:rFonts w:hint="eastAsia" w:hAnsi="宋体" w:cs="宋体"/>
                <w:color w:val="auto"/>
                <w:sz w:val="18"/>
                <w:szCs w:val="18"/>
                <w:highlight w:val="none"/>
              </w:rPr>
              <w:t>。</w:t>
            </w:r>
          </w:p>
        </w:tc>
        <w:tc>
          <w:tcPr>
            <w:tcW w:w="510" w:type="dxa"/>
            <w:vAlign w:val="center"/>
          </w:tcPr>
          <w:p w14:paraId="63DF79D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0E535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510</w:t>
            </w:r>
          </w:p>
        </w:tc>
      </w:tr>
      <w:tr w14:paraId="27760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D8F7F7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146</w:t>
            </w:r>
          </w:p>
        </w:tc>
        <w:tc>
          <w:tcPr>
            <w:tcW w:w="1623" w:type="dxa"/>
            <w:vAlign w:val="center"/>
          </w:tcPr>
          <w:p w14:paraId="3C18416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1.59PC防蓝光多点微透不等像矫正镜片</w:t>
            </w:r>
          </w:p>
        </w:tc>
        <w:tc>
          <w:tcPr>
            <w:tcW w:w="386" w:type="dxa"/>
            <w:vAlign w:val="center"/>
          </w:tcPr>
          <w:p w14:paraId="139C22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3ABCA3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多点微透镜不等像矫正镜片核心技术：360°复合离焦环带（离焦量5.0D~6.0D梯度递增），覆盖11.7°~30°视场角，持续形成周边近视离焦。性能优势：临床验证：抑制眼轴年增速达40%（对比单光镜片）。超轻材质：1.59PC折射率镜片重量减轻15%，适配儿童鼻梁承重。适用场景：6-18岁近视合并屈光参差青少年，需同步控制近视与矫正</w:t>
            </w:r>
            <w:r>
              <w:rPr>
                <w:rFonts w:hint="eastAsia" w:hAnsi="宋体" w:cs="宋体"/>
                <w:color w:val="auto"/>
                <w:sz w:val="18"/>
                <w:szCs w:val="18"/>
                <w:highlight w:val="none"/>
                <w:lang w:eastAsia="zh-CN"/>
              </w:rPr>
              <w:t>影像不等</w:t>
            </w:r>
            <w:r>
              <w:rPr>
                <w:rFonts w:hint="eastAsia" w:hAnsi="宋体" w:cs="宋体"/>
                <w:color w:val="auto"/>
                <w:sz w:val="18"/>
                <w:szCs w:val="18"/>
                <w:highlight w:val="none"/>
              </w:rPr>
              <w:t>。</w:t>
            </w:r>
          </w:p>
        </w:tc>
        <w:tc>
          <w:tcPr>
            <w:tcW w:w="510" w:type="dxa"/>
            <w:vAlign w:val="center"/>
          </w:tcPr>
          <w:p w14:paraId="5FDD2F4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324AA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518.04</w:t>
            </w:r>
          </w:p>
        </w:tc>
      </w:tr>
      <w:tr w14:paraId="5763B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AB6C2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147</w:t>
            </w:r>
          </w:p>
        </w:tc>
        <w:tc>
          <w:tcPr>
            <w:tcW w:w="1623" w:type="dxa"/>
            <w:vAlign w:val="center"/>
          </w:tcPr>
          <w:p w14:paraId="2151A07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1.60色盲矫正镜片（红）</w:t>
            </w:r>
          </w:p>
        </w:tc>
        <w:tc>
          <w:tcPr>
            <w:tcW w:w="386" w:type="dxa"/>
            <w:vAlign w:val="center"/>
          </w:tcPr>
          <w:p w14:paraId="1BC3E1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1F67E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一、性能特点：色盲色弱矫正镜片，针对红绿色盲色弱患者设计，能有效改善患者的视觉，达到矫正色觉障碍的效果，提高对颜色的辨别能力。二、光度范围：球镜+6.00~-8.00，柱镜-0.00~-4.00联合光度+6.00（-8.00）</w:t>
            </w:r>
          </w:p>
        </w:tc>
        <w:tc>
          <w:tcPr>
            <w:tcW w:w="510" w:type="dxa"/>
            <w:vAlign w:val="center"/>
          </w:tcPr>
          <w:p w14:paraId="56C275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8ED26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5C69E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23CFE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148</w:t>
            </w:r>
          </w:p>
        </w:tc>
        <w:tc>
          <w:tcPr>
            <w:tcW w:w="1623" w:type="dxa"/>
            <w:vAlign w:val="center"/>
          </w:tcPr>
          <w:p w14:paraId="3CE4367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1.60色盲矫正镜片（绿）</w:t>
            </w:r>
          </w:p>
        </w:tc>
        <w:tc>
          <w:tcPr>
            <w:tcW w:w="386" w:type="dxa"/>
            <w:vAlign w:val="center"/>
          </w:tcPr>
          <w:p w14:paraId="44DACD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C4C92E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一、性能特点：色盲色弱矫正镜片，针对红绿色盲色弱患者设计，能有效改善患者的视觉，达到矫正色觉障碍的效果，提高对颜色的辨别能力。二、光度范围：球镜+6.00~-8.00，柱镜-0.00~-4.00联合光度+6.00（-8.00）</w:t>
            </w:r>
          </w:p>
        </w:tc>
        <w:tc>
          <w:tcPr>
            <w:tcW w:w="510" w:type="dxa"/>
            <w:vAlign w:val="center"/>
          </w:tcPr>
          <w:p w14:paraId="099935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C6A1FD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4EB40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3ED6E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149</w:t>
            </w:r>
          </w:p>
        </w:tc>
        <w:tc>
          <w:tcPr>
            <w:tcW w:w="1623" w:type="dxa"/>
            <w:vAlign w:val="center"/>
          </w:tcPr>
          <w:p w14:paraId="416E026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1.60色弱矫正镜片（红）</w:t>
            </w:r>
          </w:p>
        </w:tc>
        <w:tc>
          <w:tcPr>
            <w:tcW w:w="386" w:type="dxa"/>
            <w:vAlign w:val="center"/>
          </w:tcPr>
          <w:p w14:paraId="431B3D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41820A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一、性能特点：色盲色弱矫正镜片，针对红绿色盲色弱患者设计，能有效改善患者的视觉，达到矫正色觉障碍的效果，提高对颜色的辨别能力。二、光度范围：球镜+6.00~-8.00，柱镜-0.00~-4.00联合光度+6.00（-8.00）</w:t>
            </w:r>
          </w:p>
        </w:tc>
        <w:tc>
          <w:tcPr>
            <w:tcW w:w="510" w:type="dxa"/>
            <w:vAlign w:val="center"/>
          </w:tcPr>
          <w:p w14:paraId="1060186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419B5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6341F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84753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150</w:t>
            </w:r>
          </w:p>
        </w:tc>
        <w:tc>
          <w:tcPr>
            <w:tcW w:w="1623" w:type="dxa"/>
            <w:vAlign w:val="center"/>
          </w:tcPr>
          <w:p w14:paraId="1CF5C68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1.60色弱矫正镜片（绿）</w:t>
            </w:r>
          </w:p>
        </w:tc>
        <w:tc>
          <w:tcPr>
            <w:tcW w:w="386" w:type="dxa"/>
            <w:vAlign w:val="center"/>
          </w:tcPr>
          <w:p w14:paraId="1882B1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5BC088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一、性能特点：色盲色弱矫正镜片，针对红绿色盲色弱患者设计，能有效改善患者的视觉，达到矫正色觉障碍的效果，提高对颜色的辨别能力。二、光度范围：球镜+6.00~-8.00，柱镜-0.00~-4.00联合光度+6.00（-8.00）</w:t>
            </w:r>
          </w:p>
        </w:tc>
        <w:tc>
          <w:tcPr>
            <w:tcW w:w="510" w:type="dxa"/>
            <w:vAlign w:val="center"/>
          </w:tcPr>
          <w:p w14:paraId="10041B6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7C96DA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17D11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18563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151</w:t>
            </w:r>
          </w:p>
        </w:tc>
        <w:tc>
          <w:tcPr>
            <w:tcW w:w="1623" w:type="dxa"/>
            <w:vAlign w:val="center"/>
          </w:tcPr>
          <w:p w14:paraId="3D352C4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1.50偏光护目树脂镜片</w:t>
            </w:r>
          </w:p>
        </w:tc>
        <w:tc>
          <w:tcPr>
            <w:tcW w:w="386" w:type="dxa"/>
            <w:vAlign w:val="center"/>
          </w:tcPr>
          <w:p w14:paraId="4269596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EA2E83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一、性能特点：满足近视患者戴上近视偏光镜要求的同时带防雾功能 1.镜片前后表面采用防护防油污及防水设置，镜片表面手感滑，镜片易清洁，雨天可减少水珠停留。2.镜片采用非球面技术，光学性能好，边缘像差大幅度降低，视物不变形，清晰、自然。3.舒适高清，在阳光反射下，镜片表面泛有黄绿色或绿色。二、光度范围：球镜0.00，柱镜0.00</w:t>
            </w:r>
          </w:p>
        </w:tc>
        <w:tc>
          <w:tcPr>
            <w:tcW w:w="510" w:type="dxa"/>
            <w:vAlign w:val="center"/>
          </w:tcPr>
          <w:p w14:paraId="208F5D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DF92E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87.5</w:t>
            </w:r>
          </w:p>
        </w:tc>
      </w:tr>
      <w:tr w14:paraId="5458F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3C8C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152</w:t>
            </w:r>
          </w:p>
        </w:tc>
        <w:tc>
          <w:tcPr>
            <w:tcW w:w="1623" w:type="dxa"/>
            <w:vAlign w:val="center"/>
          </w:tcPr>
          <w:p w14:paraId="6DD8A0C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1.50偏光护目树脂镜片</w:t>
            </w:r>
          </w:p>
        </w:tc>
        <w:tc>
          <w:tcPr>
            <w:tcW w:w="386" w:type="dxa"/>
            <w:vAlign w:val="center"/>
          </w:tcPr>
          <w:p w14:paraId="1FF55CC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D26541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一、性能特点：满足近视患者戴上近视偏光镜要求的同时带防雾功能 1.镜片前后表面采用防护防油污及防水设置，镜片表面手感滑，镜片易清洁，雨天可减少水珠停留。2.镜片采用非球面技术，光学性能好，边缘像差大幅度降低，视物不变形，清晰、自然。3.舒适高清，在阳光反射下，镜片表面泛有黄绿色或绿色。二、光度范围：球镜+6.00~-8.00，柱镜0.00~-4.00联合光度-8.00</w:t>
            </w:r>
          </w:p>
        </w:tc>
        <w:tc>
          <w:tcPr>
            <w:tcW w:w="510" w:type="dxa"/>
            <w:vAlign w:val="center"/>
          </w:tcPr>
          <w:p w14:paraId="5426CFA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7AD4F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117</w:t>
            </w:r>
          </w:p>
        </w:tc>
      </w:tr>
      <w:tr w14:paraId="2A756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74963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153</w:t>
            </w:r>
          </w:p>
        </w:tc>
        <w:tc>
          <w:tcPr>
            <w:tcW w:w="1623" w:type="dxa"/>
            <w:vAlign w:val="center"/>
          </w:tcPr>
          <w:p w14:paraId="199D9A7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1.56白内障医用树脂镜片</w:t>
            </w:r>
          </w:p>
        </w:tc>
        <w:tc>
          <w:tcPr>
            <w:tcW w:w="386" w:type="dxa"/>
            <w:vAlign w:val="center"/>
          </w:tcPr>
          <w:p w14:paraId="0A646E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95F297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一、性能特点：1.非球面。2.阻止阳光刺眼、吸收紫外线、预防眼器官受紫外线照射过早老化、预防白内障等眼疾病，镜三用。3.保障佩戴者的安全及视力不</w:t>
            </w:r>
            <w:r>
              <w:rPr>
                <w:rFonts w:hint="eastAsia" w:hAnsi="宋体" w:cs="宋体"/>
                <w:color w:val="auto"/>
                <w:sz w:val="18"/>
                <w:szCs w:val="18"/>
                <w:highlight w:val="none"/>
                <w:lang w:eastAsia="zh-CN"/>
              </w:rPr>
              <w:t>受</w:t>
            </w:r>
            <w:r>
              <w:rPr>
                <w:rFonts w:hint="eastAsia" w:hAnsi="宋体" w:cs="宋体"/>
                <w:color w:val="auto"/>
                <w:sz w:val="18"/>
                <w:szCs w:val="18"/>
                <w:highlight w:val="none"/>
              </w:rPr>
              <w:t>损伤，能有效防护多种会影响视觉质量的眩光、电磁波和紫外线，快速变色，清晰视线。4.室外遇紫外线镜片快速变至灰色，阻挡紫外线和眩光，保护眼睛；室内透明不影响工作。5.膜层特性：双面膜层工艺，防油污、防尘、防水、照相不反光，耐磨、高清、16层镀膜。二、光度范围：球镜+6.50~+22.00，柱镜0.00~+6.00联合光度+28.00</w:t>
            </w:r>
          </w:p>
        </w:tc>
        <w:tc>
          <w:tcPr>
            <w:tcW w:w="510" w:type="dxa"/>
            <w:vAlign w:val="center"/>
          </w:tcPr>
          <w:p w14:paraId="703B13E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878AB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104.24</w:t>
            </w:r>
          </w:p>
        </w:tc>
      </w:tr>
      <w:tr w14:paraId="074C5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2D95A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154</w:t>
            </w:r>
          </w:p>
        </w:tc>
        <w:tc>
          <w:tcPr>
            <w:tcW w:w="1623" w:type="dxa"/>
            <w:vAlign w:val="center"/>
          </w:tcPr>
          <w:p w14:paraId="7BFCF38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1.60白内障医用树脂镜片</w:t>
            </w:r>
          </w:p>
        </w:tc>
        <w:tc>
          <w:tcPr>
            <w:tcW w:w="386" w:type="dxa"/>
            <w:vAlign w:val="center"/>
          </w:tcPr>
          <w:p w14:paraId="75F01D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5A7C6E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一、性能特点：1.非球面。2.阻止阳光刺眼、吸收紫外线、预防眼器官受紫外线照射过早老化、预防白内障等眼疾病，镜三用。3.保障佩戴者的安全及视力不</w:t>
            </w:r>
            <w:r>
              <w:rPr>
                <w:rFonts w:hint="eastAsia" w:hAnsi="宋体" w:cs="宋体"/>
                <w:color w:val="auto"/>
                <w:sz w:val="18"/>
                <w:szCs w:val="18"/>
                <w:highlight w:val="none"/>
                <w:lang w:eastAsia="zh-CN"/>
              </w:rPr>
              <w:t>受</w:t>
            </w:r>
            <w:r>
              <w:rPr>
                <w:rFonts w:hint="eastAsia" w:hAnsi="宋体" w:cs="宋体"/>
                <w:color w:val="auto"/>
                <w:sz w:val="18"/>
                <w:szCs w:val="18"/>
                <w:highlight w:val="none"/>
              </w:rPr>
              <w:t>损伤，能有效防护多种会影响视觉质量的眩光、电磁波和紫外线，快速变色，清晰视线。4.室外遇紫外线镜片快速变至灰色，阻挡紫外线和眩光，保护眼睛；室内透明不影响工作。5.膜层特性：双面膜层工艺，防油污、防尘、防水、照相不反光，耐磨、高清、16层镀膜。二、光度范围：球镜+6.50~+22.00，柱镜0.00~+6.00联合光度+28.00</w:t>
            </w:r>
          </w:p>
        </w:tc>
        <w:tc>
          <w:tcPr>
            <w:tcW w:w="510" w:type="dxa"/>
            <w:vAlign w:val="center"/>
          </w:tcPr>
          <w:p w14:paraId="5463D6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A651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290</w:t>
            </w:r>
          </w:p>
        </w:tc>
      </w:tr>
      <w:tr w14:paraId="10364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E3919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155</w:t>
            </w:r>
          </w:p>
        </w:tc>
        <w:tc>
          <w:tcPr>
            <w:tcW w:w="1623" w:type="dxa"/>
            <w:vAlign w:val="center"/>
          </w:tcPr>
          <w:p w14:paraId="0175D19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1.60广角舒适镜片</w:t>
            </w:r>
          </w:p>
        </w:tc>
        <w:tc>
          <w:tcPr>
            <w:tcW w:w="386" w:type="dxa"/>
            <w:vAlign w:val="center"/>
          </w:tcPr>
          <w:p w14:paraId="3B716D3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F936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一、性能特点：传统眼镜视物有效区狭窄，通常只有镜片中心直径 5mm 的区域能看清楚，视野局限，看东西“眼球不动靠头动”，比如开车看后视镜要大幅度转头。广角舒适镜片整个镜片都是视物有效区，拥有90°-120超宽视场角，极大提升视野范围，无论你透过镜片上的哪个点，无论你眼球往上下左右哪个方向转动，都能看得十分清楚，这意味着在驾驶场景中，用余光就能观察后视镜。二、 光度范围：球镜-0.00~-6.75 柱镜：-0.00~-2.00</w:t>
            </w:r>
          </w:p>
        </w:tc>
        <w:tc>
          <w:tcPr>
            <w:tcW w:w="510" w:type="dxa"/>
            <w:vAlign w:val="center"/>
          </w:tcPr>
          <w:p w14:paraId="243BCF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191125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161.55</w:t>
            </w:r>
          </w:p>
        </w:tc>
      </w:tr>
      <w:tr w14:paraId="2154B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CE5AD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156</w:t>
            </w:r>
          </w:p>
        </w:tc>
        <w:tc>
          <w:tcPr>
            <w:tcW w:w="1623" w:type="dxa"/>
            <w:vAlign w:val="center"/>
          </w:tcPr>
          <w:p w14:paraId="4E36806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1.60广角星环曲复眼仿生镜片</w:t>
            </w:r>
          </w:p>
        </w:tc>
        <w:tc>
          <w:tcPr>
            <w:tcW w:w="386" w:type="dxa"/>
            <w:vAlign w:val="center"/>
          </w:tcPr>
          <w:p w14:paraId="280E7A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DBEB50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复眼是由多个小透镜集成排列而成，将多个复眼阵列平行排列，使透过的光线均匀分布。利用双排复眼透镜阵列实现均匀，结合广角无应力镜片实现高光透射比，避免漫反射光进入眼球，减轻了棱镜效应，真正实现高清画面。二、光度范围：球镜-0.00~-6.75 柱镜：-0.00~-2.00</w:t>
            </w:r>
          </w:p>
        </w:tc>
        <w:tc>
          <w:tcPr>
            <w:tcW w:w="510" w:type="dxa"/>
            <w:vAlign w:val="center"/>
          </w:tcPr>
          <w:p w14:paraId="5BBBC1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418D9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211</w:t>
            </w:r>
          </w:p>
        </w:tc>
      </w:tr>
      <w:tr w14:paraId="34627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A3C56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157</w:t>
            </w:r>
          </w:p>
        </w:tc>
        <w:tc>
          <w:tcPr>
            <w:tcW w:w="1623" w:type="dxa"/>
            <w:vAlign w:val="center"/>
          </w:tcPr>
          <w:p w14:paraId="01D1681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1.60双面复合点阵雾视镜片</w:t>
            </w:r>
          </w:p>
        </w:tc>
        <w:tc>
          <w:tcPr>
            <w:tcW w:w="386" w:type="dxa"/>
            <w:vAlign w:val="center"/>
          </w:tcPr>
          <w:p w14:paraId="44577BE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154518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一、性能特点：通过镜片的光扩散点，利用这些光扩散点柔和地扩散光线，扩散后光线使视网膜上相邻视锥细胞的信号差距降低，即降低了对比度，从而减少错误对比度信号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高对比度信号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传递带来的近视增加的影响。二、光度范围：球镜-0.00~-6.00，柱镜-0.00~-2.00</w:t>
            </w:r>
          </w:p>
        </w:tc>
        <w:tc>
          <w:tcPr>
            <w:tcW w:w="510" w:type="dxa"/>
            <w:vAlign w:val="center"/>
          </w:tcPr>
          <w:p w14:paraId="0D901A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253931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338.44</w:t>
            </w:r>
          </w:p>
        </w:tc>
      </w:tr>
      <w:tr w14:paraId="5BF62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B935D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158</w:t>
            </w:r>
          </w:p>
        </w:tc>
        <w:tc>
          <w:tcPr>
            <w:tcW w:w="1623" w:type="dxa"/>
            <w:vAlign w:val="center"/>
          </w:tcPr>
          <w:p w14:paraId="01964B3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1.60双面复合点阵雾视镜片</w:t>
            </w:r>
          </w:p>
        </w:tc>
        <w:tc>
          <w:tcPr>
            <w:tcW w:w="386" w:type="dxa"/>
            <w:vAlign w:val="center"/>
          </w:tcPr>
          <w:p w14:paraId="1AE6A1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166314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一、性能特点：通过镜片的光扩散点，利用这些光扩散点柔和地扩散光线，扩散后光线使视网膜上相邻视锥细胞的信号差距降低，即降低了对比度，从而减少错误对比度信号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高对比度信号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传递带来的近视增加的影响。二、光度范围：球镜-0.00~-6.00，柱镜-0.00~-4.00</w:t>
            </w:r>
          </w:p>
        </w:tc>
        <w:tc>
          <w:tcPr>
            <w:tcW w:w="510" w:type="dxa"/>
            <w:vAlign w:val="center"/>
          </w:tcPr>
          <w:p w14:paraId="7D999F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54FFA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470.66</w:t>
            </w:r>
          </w:p>
        </w:tc>
      </w:tr>
      <w:tr w14:paraId="0D936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06D8F4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159</w:t>
            </w:r>
          </w:p>
        </w:tc>
        <w:tc>
          <w:tcPr>
            <w:tcW w:w="1623" w:type="dxa"/>
            <w:vAlign w:val="center"/>
          </w:tcPr>
          <w:p w14:paraId="1D5A547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1.67双面复合点阵雾视镜片</w:t>
            </w:r>
          </w:p>
        </w:tc>
        <w:tc>
          <w:tcPr>
            <w:tcW w:w="386" w:type="dxa"/>
            <w:vAlign w:val="center"/>
          </w:tcPr>
          <w:p w14:paraId="3A7FCD2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AD9541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一、性能特点：通过镜片的光扩散点，利用这些光扩散点柔和地扩散光线，扩散后光线使视网膜上相邻视锥细胞的信号差距降低，即降低了对比度，从而减少错误对比度信号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高对比度信号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传递带来的近视增加的影响。二、光度范围：球镜-0.00~-8.00，柱镜-0.00~-2.00</w:t>
            </w:r>
          </w:p>
        </w:tc>
        <w:tc>
          <w:tcPr>
            <w:tcW w:w="510" w:type="dxa"/>
            <w:vAlign w:val="center"/>
          </w:tcPr>
          <w:p w14:paraId="3ABD5F9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33CEA3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408</w:t>
            </w:r>
          </w:p>
        </w:tc>
      </w:tr>
      <w:tr w14:paraId="67194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B32F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160</w:t>
            </w:r>
          </w:p>
        </w:tc>
        <w:tc>
          <w:tcPr>
            <w:tcW w:w="1623" w:type="dxa"/>
            <w:vAlign w:val="center"/>
          </w:tcPr>
          <w:p w14:paraId="7412A59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1.67双面复合点阵雾视镜片</w:t>
            </w:r>
          </w:p>
        </w:tc>
        <w:tc>
          <w:tcPr>
            <w:tcW w:w="386" w:type="dxa"/>
            <w:vAlign w:val="center"/>
          </w:tcPr>
          <w:p w14:paraId="4F9EC9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28A101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一、性能特点：通过镜片的光扩散点，利用这些光扩散点柔和地扩散光线，扩散后光线使视网膜上相邻视锥细胞的信号差距降低，即降低了对比度，从而减少错误对比度信号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高对比度信号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传递带来的近视增加的影响。二、光度范围：球镜-0.00~-8.00，柱镜-0.00~-4.00</w:t>
            </w:r>
          </w:p>
        </w:tc>
        <w:tc>
          <w:tcPr>
            <w:tcW w:w="510" w:type="dxa"/>
            <w:vAlign w:val="center"/>
          </w:tcPr>
          <w:p w14:paraId="3CC70D4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FFDDDE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518.04</w:t>
            </w:r>
          </w:p>
        </w:tc>
      </w:tr>
      <w:tr w14:paraId="35FE0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79C5AF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161</w:t>
            </w:r>
          </w:p>
        </w:tc>
        <w:tc>
          <w:tcPr>
            <w:tcW w:w="1623" w:type="dxa"/>
            <w:vAlign w:val="center"/>
          </w:tcPr>
          <w:p w14:paraId="63C467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1.56球面树脂镜片</w:t>
            </w:r>
          </w:p>
        </w:tc>
        <w:tc>
          <w:tcPr>
            <w:tcW w:w="386" w:type="dxa"/>
            <w:vAlign w:val="center"/>
          </w:tcPr>
          <w:p w14:paraId="2832626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F42E7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+6.00~-8.00柱镜-0.00~-2.00；膜层：钢化膜A+；膜层：钢化膜A+</w:t>
            </w:r>
          </w:p>
        </w:tc>
        <w:tc>
          <w:tcPr>
            <w:tcW w:w="510" w:type="dxa"/>
            <w:vAlign w:val="center"/>
          </w:tcPr>
          <w:p w14:paraId="6DA765B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2F28B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68.25</w:t>
            </w:r>
          </w:p>
        </w:tc>
      </w:tr>
      <w:tr w14:paraId="024C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AD453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162</w:t>
            </w:r>
          </w:p>
        </w:tc>
        <w:tc>
          <w:tcPr>
            <w:tcW w:w="1623" w:type="dxa"/>
            <w:vAlign w:val="center"/>
          </w:tcPr>
          <w:p w14:paraId="5F539C7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儿童款医用防蓝光护目湿房镜片</w:t>
            </w:r>
          </w:p>
        </w:tc>
        <w:tc>
          <w:tcPr>
            <w:tcW w:w="386" w:type="dxa"/>
            <w:vAlign w:val="center"/>
          </w:tcPr>
          <w:p w14:paraId="2F4AB0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05EE2E4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一、性能特点：适用于眼睑闭合不全人群，如甲亢突眼、面神经瘫痪、听神经瘤术后以及上睑下垂术后患者。</w:t>
            </w:r>
            <w:r>
              <w:rPr>
                <w:rFonts w:hint="eastAsia" w:hAnsi="宋体" w:cs="宋体"/>
                <w:color w:val="auto"/>
                <w:sz w:val="18"/>
                <w:szCs w:val="18"/>
                <w:highlight w:val="none"/>
                <w:lang w:eastAsia="zh-CN"/>
              </w:rPr>
              <w:t>眼干燥症</w:t>
            </w:r>
            <w:r>
              <w:rPr>
                <w:rFonts w:hint="eastAsia" w:hAnsi="宋体" w:cs="宋体"/>
                <w:color w:val="auto"/>
                <w:sz w:val="18"/>
                <w:szCs w:val="18"/>
                <w:highlight w:val="none"/>
              </w:rPr>
              <w:t>及视疲劳。眼科手术后需要防护人群，如白内障手术、准分子近视手术等术后患者。长时间使用电</w:t>
            </w:r>
            <w:r>
              <w:rPr>
                <w:rFonts w:hint="eastAsia" w:hAnsi="宋体" w:cs="宋体"/>
                <w:color w:val="auto"/>
                <w:sz w:val="18"/>
                <w:szCs w:val="18"/>
                <w:highlight w:val="none"/>
                <w:lang w:eastAsia="zh-CN"/>
              </w:rPr>
              <w:t>脑或</w:t>
            </w:r>
            <w:r>
              <w:rPr>
                <w:rFonts w:hint="eastAsia" w:hAnsi="宋体" w:cs="宋体"/>
                <w:color w:val="auto"/>
                <w:sz w:val="18"/>
                <w:szCs w:val="18"/>
                <w:highlight w:val="none"/>
              </w:rPr>
              <w:t>手机，以及干燥环境中工作的人群。1.润眼保湿、眼部防护</w:t>
            </w:r>
            <w:r>
              <w:rPr>
                <w:rFonts w:hint="eastAsia" w:hAnsi="宋体" w:cs="宋体"/>
                <w:color w:val="auto"/>
                <w:sz w:val="18"/>
                <w:szCs w:val="18"/>
                <w:highlight w:val="none"/>
                <w:lang w:eastAsia="zh-CN"/>
              </w:rPr>
              <w:t>；</w:t>
            </w:r>
            <w:r>
              <w:rPr>
                <w:rFonts w:hint="eastAsia" w:hAnsi="宋体" w:cs="宋体"/>
                <w:color w:val="auto"/>
                <w:sz w:val="18"/>
                <w:szCs w:val="18"/>
                <w:highlight w:val="none"/>
              </w:rPr>
              <w:t>2.高效过滤蓝光，防紫外线、防雾、防风、防尘、防花粉</w:t>
            </w:r>
            <w:r>
              <w:rPr>
                <w:rFonts w:hint="eastAsia" w:hAnsi="宋体" w:cs="宋体"/>
                <w:color w:val="auto"/>
                <w:sz w:val="18"/>
                <w:szCs w:val="18"/>
                <w:highlight w:val="none"/>
                <w:lang w:eastAsia="zh-CN"/>
              </w:rPr>
              <w:t>；</w:t>
            </w:r>
            <w:r>
              <w:rPr>
                <w:rFonts w:hint="eastAsia" w:hAnsi="宋体" w:cs="宋体"/>
                <w:color w:val="auto"/>
                <w:sz w:val="18"/>
                <w:szCs w:val="18"/>
                <w:highlight w:val="none"/>
              </w:rPr>
              <w:t>3.食品级材质，安全舒适</w:t>
            </w:r>
            <w:r>
              <w:rPr>
                <w:rFonts w:hint="eastAsia" w:hAnsi="宋体" w:cs="宋体"/>
                <w:color w:val="auto"/>
                <w:sz w:val="18"/>
                <w:szCs w:val="18"/>
                <w:highlight w:val="none"/>
                <w:lang w:eastAsia="zh-CN"/>
              </w:rPr>
              <w:t>；</w:t>
            </w:r>
            <w:r>
              <w:rPr>
                <w:rFonts w:hint="eastAsia" w:hAnsi="宋体" w:cs="宋体"/>
                <w:color w:val="auto"/>
                <w:sz w:val="18"/>
                <w:szCs w:val="18"/>
                <w:highlight w:val="none"/>
              </w:rPr>
              <w:t>4.柔软硅胶，长久佩戴无勒痕，可拆卸，易清 洗</w:t>
            </w:r>
          </w:p>
        </w:tc>
        <w:tc>
          <w:tcPr>
            <w:tcW w:w="510" w:type="dxa"/>
            <w:vAlign w:val="center"/>
          </w:tcPr>
          <w:p w14:paraId="2A9DA4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F6CCA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227.05</w:t>
            </w:r>
          </w:p>
        </w:tc>
      </w:tr>
      <w:tr w14:paraId="7F9E8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1C226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163</w:t>
            </w:r>
          </w:p>
        </w:tc>
        <w:tc>
          <w:tcPr>
            <w:tcW w:w="1623" w:type="dxa"/>
            <w:vAlign w:val="center"/>
          </w:tcPr>
          <w:p w14:paraId="6A774C8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成人款医用防蓝光护目湿房镜片</w:t>
            </w:r>
          </w:p>
        </w:tc>
        <w:tc>
          <w:tcPr>
            <w:tcW w:w="386" w:type="dxa"/>
            <w:vAlign w:val="center"/>
          </w:tcPr>
          <w:p w14:paraId="5BD1E5E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副</w:t>
            </w:r>
          </w:p>
        </w:tc>
        <w:tc>
          <w:tcPr>
            <w:tcW w:w="10526" w:type="dxa"/>
            <w:vAlign w:val="center"/>
          </w:tcPr>
          <w:p w14:paraId="6E45BAB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一、性能特点：适用于眼睑闭合不全人群，如甲亢突眼、面神经瘫痪、听神经瘤术后以及上睑下垂术后患者。</w:t>
            </w:r>
            <w:r>
              <w:rPr>
                <w:rFonts w:hint="eastAsia" w:hAnsi="宋体" w:cs="宋体"/>
                <w:color w:val="auto"/>
                <w:sz w:val="18"/>
                <w:szCs w:val="18"/>
                <w:highlight w:val="none"/>
                <w:lang w:eastAsia="zh-CN"/>
              </w:rPr>
              <w:t>眼干燥症</w:t>
            </w:r>
            <w:r>
              <w:rPr>
                <w:rFonts w:hint="eastAsia" w:hAnsi="宋体" w:cs="宋体"/>
                <w:color w:val="auto"/>
                <w:sz w:val="18"/>
                <w:szCs w:val="18"/>
                <w:highlight w:val="none"/>
              </w:rPr>
              <w:t>及视疲劳。眼科手术后需要防护人群，如白内障手术、准分子近视手术等术后患者。长时间使用电</w:t>
            </w:r>
            <w:r>
              <w:rPr>
                <w:rFonts w:hint="eastAsia" w:hAnsi="宋体" w:cs="宋体"/>
                <w:color w:val="auto"/>
                <w:sz w:val="18"/>
                <w:szCs w:val="18"/>
                <w:highlight w:val="none"/>
                <w:lang w:eastAsia="zh-CN"/>
              </w:rPr>
              <w:t>脑或</w:t>
            </w:r>
            <w:r>
              <w:rPr>
                <w:rFonts w:hint="eastAsia" w:hAnsi="宋体" w:cs="宋体"/>
                <w:color w:val="auto"/>
                <w:sz w:val="18"/>
                <w:szCs w:val="18"/>
                <w:highlight w:val="none"/>
              </w:rPr>
              <w:t>手机，以及干燥环境中工作的人群。1.润眼保湿、眼部防护</w:t>
            </w:r>
            <w:r>
              <w:rPr>
                <w:rFonts w:hint="eastAsia" w:hAnsi="宋体" w:cs="宋体"/>
                <w:color w:val="auto"/>
                <w:sz w:val="18"/>
                <w:szCs w:val="18"/>
                <w:highlight w:val="none"/>
                <w:lang w:eastAsia="zh-CN"/>
              </w:rPr>
              <w:t>；</w:t>
            </w:r>
            <w:r>
              <w:rPr>
                <w:rFonts w:hint="eastAsia" w:hAnsi="宋体" w:cs="宋体"/>
                <w:color w:val="auto"/>
                <w:sz w:val="18"/>
                <w:szCs w:val="18"/>
                <w:highlight w:val="none"/>
              </w:rPr>
              <w:t>2.高效过滤蓝光，防紫外线、防雾、防风、防尘、防花粉</w:t>
            </w:r>
            <w:r>
              <w:rPr>
                <w:rFonts w:hint="eastAsia" w:hAnsi="宋体" w:cs="宋体"/>
                <w:color w:val="auto"/>
                <w:sz w:val="18"/>
                <w:szCs w:val="18"/>
                <w:highlight w:val="none"/>
                <w:lang w:eastAsia="zh-CN"/>
              </w:rPr>
              <w:t>；</w:t>
            </w:r>
            <w:r>
              <w:rPr>
                <w:rFonts w:hint="eastAsia" w:hAnsi="宋体" w:cs="宋体"/>
                <w:color w:val="auto"/>
                <w:sz w:val="18"/>
                <w:szCs w:val="18"/>
                <w:highlight w:val="none"/>
              </w:rPr>
              <w:t>3.食品级材质，安全舒适</w:t>
            </w:r>
            <w:r>
              <w:rPr>
                <w:rFonts w:hint="eastAsia" w:hAnsi="宋体" w:cs="宋体"/>
                <w:color w:val="auto"/>
                <w:sz w:val="18"/>
                <w:szCs w:val="18"/>
                <w:highlight w:val="none"/>
                <w:lang w:eastAsia="zh-CN"/>
              </w:rPr>
              <w:t>；</w:t>
            </w:r>
            <w:r>
              <w:rPr>
                <w:rFonts w:hint="eastAsia" w:hAnsi="宋体" w:cs="宋体"/>
                <w:color w:val="auto"/>
                <w:sz w:val="18"/>
                <w:szCs w:val="18"/>
                <w:highlight w:val="none"/>
              </w:rPr>
              <w:t>5.柔软硅胶，长久佩戴无勒痕，可拆卸，易清 洗</w:t>
            </w:r>
          </w:p>
        </w:tc>
        <w:tc>
          <w:tcPr>
            <w:tcW w:w="510" w:type="dxa"/>
            <w:vAlign w:val="center"/>
          </w:tcPr>
          <w:p w14:paraId="153F4F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533DD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300</w:t>
            </w:r>
          </w:p>
        </w:tc>
      </w:tr>
      <w:tr w14:paraId="01E43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4473C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164</w:t>
            </w:r>
          </w:p>
        </w:tc>
        <w:tc>
          <w:tcPr>
            <w:tcW w:w="1623" w:type="dxa"/>
            <w:vAlign w:val="center"/>
          </w:tcPr>
          <w:p w14:paraId="512BECB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1.59双面复合多点微透镜片a版定制</w:t>
            </w:r>
          </w:p>
        </w:tc>
        <w:tc>
          <w:tcPr>
            <w:tcW w:w="386" w:type="dxa"/>
            <w:vAlign w:val="center"/>
          </w:tcPr>
          <w:p w14:paraId="497F530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534248">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一、</w:t>
            </w:r>
            <w:r>
              <w:rPr>
                <w:rFonts w:hint="eastAsia" w:hAnsi="宋体" w:cs="宋体"/>
                <w:color w:val="auto"/>
                <w:sz w:val="18"/>
                <w:szCs w:val="18"/>
                <w:highlight w:val="none"/>
              </w:rPr>
              <w:t>性能特点：1. 数控多点研磨设计，针对处方光度的优化融合设计来确保所有的日常活动及处方提供更加性能的解决方案2.美观、耐磨耐用3.清晰视域更为广阔，佩戴者会体验到更真实自如的视觉效果。4.树脂镜片，膜层易清洁、防污、耐磨、时尚。光度范围：球镜-0.00~-10.00，柱镜-0.00~-4.00</w:t>
            </w:r>
          </w:p>
        </w:tc>
        <w:tc>
          <w:tcPr>
            <w:tcW w:w="510" w:type="dxa"/>
            <w:vAlign w:val="center"/>
          </w:tcPr>
          <w:p w14:paraId="190AA07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9597C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259.35</w:t>
            </w:r>
          </w:p>
        </w:tc>
      </w:tr>
      <w:tr w14:paraId="67F65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83454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w:t>
            </w:r>
          </w:p>
        </w:tc>
        <w:tc>
          <w:tcPr>
            <w:tcW w:w="1623" w:type="dxa"/>
            <w:vAlign w:val="center"/>
          </w:tcPr>
          <w:p w14:paraId="0D9B36A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1.59双面复合多点微透镜片a版防蓝光定制</w:t>
            </w:r>
          </w:p>
        </w:tc>
        <w:tc>
          <w:tcPr>
            <w:tcW w:w="386" w:type="dxa"/>
            <w:vAlign w:val="center"/>
          </w:tcPr>
          <w:p w14:paraId="386420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3BE6009">
            <w:pPr>
              <w:spacing w:before="30" w:after="30" w:line="320" w:lineRule="auto"/>
              <w:rPr>
                <w:rFonts w:hAnsi="宋体" w:cs="宋体"/>
                <w:color w:val="auto"/>
                <w:sz w:val="18"/>
                <w:szCs w:val="18"/>
                <w:highlight w:val="none"/>
              </w:rPr>
            </w:pPr>
            <w:r>
              <w:rPr>
                <w:rFonts w:hint="eastAsia" w:hAnsi="宋体" w:cs="宋体"/>
                <w:color w:val="auto"/>
                <w:sz w:val="18"/>
                <w:szCs w:val="18"/>
                <w:highlight w:val="none"/>
                <w:lang w:eastAsia="zh-CN"/>
              </w:rPr>
              <w:t>一、</w:t>
            </w:r>
            <w:r>
              <w:rPr>
                <w:rFonts w:hint="eastAsia" w:hAnsi="宋体" w:cs="宋体"/>
                <w:color w:val="auto"/>
                <w:sz w:val="18"/>
                <w:szCs w:val="18"/>
                <w:highlight w:val="none"/>
              </w:rPr>
              <w:t xml:space="preserve"> 性能特点：1. 数控多点研磨设计，针对处方光度的优化融合设计来确保所有的日常活动及处方提供更加性能的解决方案2.美观、耐磨耐用3.清晰视域更为广阔，佩戴者会体验到更真实自如的视觉效果。4.树脂镜片，膜层易清洁、防污、耐磨、时尚。5.防蓝光。二、光度范围：球镜-0.00~-10.00，柱镜-0.00~-4.00</w:t>
            </w:r>
          </w:p>
        </w:tc>
        <w:tc>
          <w:tcPr>
            <w:tcW w:w="510" w:type="dxa"/>
            <w:vAlign w:val="center"/>
          </w:tcPr>
          <w:p w14:paraId="2F365C8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51024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347</w:t>
            </w:r>
          </w:p>
        </w:tc>
      </w:tr>
      <w:tr w14:paraId="242FA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38C1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166</w:t>
            </w:r>
          </w:p>
        </w:tc>
        <w:tc>
          <w:tcPr>
            <w:tcW w:w="1623" w:type="dxa"/>
            <w:vAlign w:val="center"/>
          </w:tcPr>
          <w:p w14:paraId="527D8A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1.56球面树脂镜片</w:t>
            </w:r>
          </w:p>
        </w:tc>
        <w:tc>
          <w:tcPr>
            <w:tcW w:w="386" w:type="dxa"/>
            <w:vAlign w:val="center"/>
          </w:tcPr>
          <w:p w14:paraId="1E1D5A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396109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+10.00~-14.00，柱镜-0.00~-6.00；膜层：钢化膜A+</w:t>
            </w:r>
          </w:p>
        </w:tc>
        <w:tc>
          <w:tcPr>
            <w:tcW w:w="510" w:type="dxa"/>
            <w:vAlign w:val="center"/>
          </w:tcPr>
          <w:p w14:paraId="1BF7B20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92EB3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w:t>
            </w:r>
          </w:p>
        </w:tc>
      </w:tr>
      <w:tr w14:paraId="19F21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C363A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167</w:t>
            </w:r>
          </w:p>
        </w:tc>
        <w:tc>
          <w:tcPr>
            <w:tcW w:w="1623" w:type="dxa"/>
            <w:vAlign w:val="center"/>
          </w:tcPr>
          <w:p w14:paraId="1763681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1.56钢化膜多光谱滤光树脂镜片</w:t>
            </w:r>
          </w:p>
        </w:tc>
        <w:tc>
          <w:tcPr>
            <w:tcW w:w="386" w:type="dxa"/>
            <w:vAlign w:val="center"/>
          </w:tcPr>
          <w:p w14:paraId="5D32CB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A6608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一、性能特点：1.多光谱滤光镜片是一种基于光生物调节疗法（ Photobiomodulation Therapy ， PBMT ）原理设计的特殊光学镜片，其核心功</w:t>
            </w:r>
            <w:r>
              <w:rPr>
                <w:rFonts w:hint="eastAsia" w:hAnsi="宋体" w:cs="宋体"/>
                <w:color w:val="auto"/>
                <w:sz w:val="18"/>
                <w:szCs w:val="18"/>
                <w:highlight w:val="none"/>
                <w:lang w:eastAsia="zh-CN"/>
              </w:rPr>
              <w:t>能是</w:t>
            </w:r>
            <w:r>
              <w:rPr>
                <w:rFonts w:hint="eastAsia" w:hAnsi="宋体" w:cs="宋体"/>
                <w:color w:val="auto"/>
                <w:sz w:val="18"/>
                <w:szCs w:val="18"/>
                <w:highlight w:val="none"/>
              </w:rPr>
              <w:t>通过特定波长的光线作用于眼部组织，激发细胞层面的生理反应，从而实现辅助康复目的2.针对不同光线敏感问题，选择性过滤有害蓝光、紫外线和强光3.为术后恢复、光敏感及各类眼病人群提供个性化辅助</w:t>
            </w:r>
            <w:r>
              <w:rPr>
                <w:rFonts w:hint="eastAsia" w:hAnsi="宋体" w:cs="宋体"/>
                <w:color w:val="auto"/>
                <w:sz w:val="18"/>
                <w:szCs w:val="18"/>
                <w:highlight w:val="none"/>
                <w:lang w:eastAsia="zh-CN"/>
              </w:rPr>
              <w:t>方案</w:t>
            </w:r>
            <w:r>
              <w:rPr>
                <w:rFonts w:hint="eastAsia" w:hAnsi="宋体" w:cs="宋体"/>
                <w:color w:val="auto"/>
                <w:sz w:val="18"/>
                <w:szCs w:val="18"/>
                <w:highlight w:val="none"/>
              </w:rPr>
              <w:t>4.增强对比度，减少眩光，缓解视觉疲劳，让视物更清晰、更舒适5.高折射率镜片（1.56/1.60/1.67可选），更薄、更轻、更清晰二、光度</w:t>
            </w:r>
            <w:r>
              <w:rPr>
                <w:rFonts w:hint="eastAsia" w:hAnsi="宋体" w:cs="宋体"/>
                <w:color w:val="auto"/>
                <w:sz w:val="18"/>
                <w:szCs w:val="18"/>
                <w:highlight w:val="none"/>
                <w:lang w:eastAsia="zh-CN"/>
              </w:rPr>
              <w:t>范围</w:t>
            </w:r>
            <w:r>
              <w:rPr>
                <w:rFonts w:hint="eastAsia" w:hAnsi="宋体" w:cs="宋体"/>
                <w:color w:val="auto"/>
                <w:sz w:val="18"/>
                <w:szCs w:val="18"/>
                <w:highlight w:val="none"/>
              </w:rPr>
              <w:t>：球镜-10.00~+6.00，柱镜：0.00~-6.00；膜层：钢化膜A+</w:t>
            </w:r>
          </w:p>
        </w:tc>
        <w:tc>
          <w:tcPr>
            <w:tcW w:w="510" w:type="dxa"/>
            <w:vAlign w:val="center"/>
          </w:tcPr>
          <w:p w14:paraId="5FCD3F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399055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148.2</w:t>
            </w:r>
          </w:p>
        </w:tc>
      </w:tr>
      <w:tr w14:paraId="3E2BF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F51F30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168</w:t>
            </w:r>
          </w:p>
        </w:tc>
        <w:tc>
          <w:tcPr>
            <w:tcW w:w="1623" w:type="dxa"/>
            <w:vAlign w:val="center"/>
          </w:tcPr>
          <w:p w14:paraId="20ABD78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1.60钢化膜多光谱滤光树脂镜片</w:t>
            </w:r>
          </w:p>
        </w:tc>
        <w:tc>
          <w:tcPr>
            <w:tcW w:w="386" w:type="dxa"/>
            <w:vAlign w:val="center"/>
          </w:tcPr>
          <w:p w14:paraId="0C0972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D736FD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一、性能特点：1.多光谱滤光镜片是一种基于光生物调节疗法（ Photobiomodulation Therapy ， PBMT ）原理设计的特殊光学镜片，其核心功</w:t>
            </w:r>
            <w:r>
              <w:rPr>
                <w:rFonts w:hint="eastAsia" w:hAnsi="宋体" w:cs="宋体"/>
                <w:color w:val="auto"/>
                <w:sz w:val="18"/>
                <w:szCs w:val="18"/>
                <w:highlight w:val="none"/>
                <w:lang w:eastAsia="zh-CN"/>
              </w:rPr>
              <w:t>能是</w:t>
            </w:r>
            <w:r>
              <w:rPr>
                <w:rFonts w:hint="eastAsia" w:hAnsi="宋体" w:cs="宋体"/>
                <w:color w:val="auto"/>
                <w:sz w:val="18"/>
                <w:szCs w:val="18"/>
                <w:highlight w:val="none"/>
              </w:rPr>
              <w:t>通过特定波长的光线作用于眼部组织，激发细胞层面的生理反应，从而实现辅助康复目的2.针对不同光线敏感问题，选择性过滤有害蓝光、紫外线和强光3.为术后恢复、光敏感及各类眼病人群提供个性化辅助</w:t>
            </w:r>
            <w:r>
              <w:rPr>
                <w:rFonts w:hint="eastAsia" w:hAnsi="宋体" w:cs="宋体"/>
                <w:color w:val="auto"/>
                <w:sz w:val="18"/>
                <w:szCs w:val="18"/>
                <w:highlight w:val="none"/>
                <w:lang w:eastAsia="zh-CN"/>
              </w:rPr>
              <w:t>方案</w:t>
            </w:r>
            <w:r>
              <w:rPr>
                <w:rFonts w:hint="eastAsia" w:hAnsi="宋体" w:cs="宋体"/>
                <w:color w:val="auto"/>
                <w:sz w:val="18"/>
                <w:szCs w:val="18"/>
                <w:highlight w:val="none"/>
              </w:rPr>
              <w:t>4.增强对比度，减少眩光，缓解视觉疲劳，让视物更清晰、更舒适5.高折射率镜片（1.56/1.60/1.67可选），更薄、更轻、更清晰二、光度</w:t>
            </w:r>
            <w:r>
              <w:rPr>
                <w:rFonts w:hint="eastAsia" w:hAnsi="宋体" w:cs="宋体"/>
                <w:color w:val="auto"/>
                <w:sz w:val="18"/>
                <w:szCs w:val="18"/>
                <w:highlight w:val="none"/>
                <w:lang w:eastAsia="zh-CN"/>
              </w:rPr>
              <w:t>范围</w:t>
            </w:r>
            <w:r>
              <w:rPr>
                <w:rFonts w:hint="eastAsia" w:hAnsi="宋体" w:cs="宋体"/>
                <w:color w:val="auto"/>
                <w:sz w:val="18"/>
                <w:szCs w:val="18"/>
                <w:highlight w:val="none"/>
              </w:rPr>
              <w:t>：球镜-12.00~+6.00，柱镜：0.00~-4.00；膜层：钢化膜A+</w:t>
            </w:r>
          </w:p>
        </w:tc>
        <w:tc>
          <w:tcPr>
            <w:tcW w:w="510" w:type="dxa"/>
            <w:vAlign w:val="center"/>
          </w:tcPr>
          <w:p w14:paraId="7E1E73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B5323C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205.2</w:t>
            </w:r>
          </w:p>
        </w:tc>
      </w:tr>
      <w:tr w14:paraId="418F5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D8B29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169</w:t>
            </w:r>
          </w:p>
        </w:tc>
        <w:tc>
          <w:tcPr>
            <w:tcW w:w="1623" w:type="dxa"/>
            <w:vAlign w:val="center"/>
          </w:tcPr>
          <w:p w14:paraId="0CC6D51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1.67钢化膜多光谱滤光树脂镜片</w:t>
            </w:r>
          </w:p>
        </w:tc>
        <w:tc>
          <w:tcPr>
            <w:tcW w:w="386" w:type="dxa"/>
            <w:vAlign w:val="center"/>
          </w:tcPr>
          <w:p w14:paraId="6C630F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03F1AB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一、性能特点：1.多光谱滤光镜片是一种基于光生物调节疗法（ Photobiomodulation Therapy ， PBMT ）原理设计的特殊光学镜片，其核心功</w:t>
            </w:r>
            <w:r>
              <w:rPr>
                <w:rFonts w:hint="eastAsia" w:hAnsi="宋体" w:cs="宋体"/>
                <w:color w:val="auto"/>
                <w:sz w:val="18"/>
                <w:szCs w:val="18"/>
                <w:highlight w:val="none"/>
                <w:lang w:eastAsia="zh-CN"/>
              </w:rPr>
              <w:t>能是</w:t>
            </w:r>
            <w:r>
              <w:rPr>
                <w:rFonts w:hint="eastAsia" w:hAnsi="宋体" w:cs="宋体"/>
                <w:color w:val="auto"/>
                <w:sz w:val="18"/>
                <w:szCs w:val="18"/>
                <w:highlight w:val="none"/>
              </w:rPr>
              <w:t>通过特定波长的光线作用于眼部组织，激发细胞层面的生理反应，从而实现辅助康复目的2.针对不同光线敏感问题，选择性过滤有害蓝光、紫外线和强光3.为术后恢复、光敏感及各类眼病人群提供个性化辅助</w:t>
            </w:r>
            <w:r>
              <w:rPr>
                <w:rFonts w:hint="eastAsia" w:hAnsi="宋体" w:cs="宋体"/>
                <w:color w:val="auto"/>
                <w:sz w:val="18"/>
                <w:szCs w:val="18"/>
                <w:highlight w:val="none"/>
                <w:lang w:eastAsia="zh-CN"/>
              </w:rPr>
              <w:t>方案</w:t>
            </w:r>
            <w:r>
              <w:rPr>
                <w:rFonts w:hint="eastAsia" w:hAnsi="宋体" w:cs="宋体"/>
                <w:color w:val="auto"/>
                <w:sz w:val="18"/>
                <w:szCs w:val="18"/>
                <w:highlight w:val="none"/>
              </w:rPr>
              <w:t>4.增强对比度，减少眩光，缓解视觉疲劳，让视物更清晰、更舒适5.高折射率镜片（1.56/1.60/1.67可选），更薄、更轻、更清晰二、光度</w:t>
            </w:r>
            <w:r>
              <w:rPr>
                <w:rFonts w:hint="eastAsia" w:hAnsi="宋体" w:cs="宋体"/>
                <w:color w:val="auto"/>
                <w:sz w:val="18"/>
                <w:szCs w:val="18"/>
                <w:highlight w:val="none"/>
                <w:lang w:eastAsia="zh-CN"/>
              </w:rPr>
              <w:t>范围</w:t>
            </w:r>
            <w:r>
              <w:rPr>
                <w:rFonts w:hint="eastAsia" w:hAnsi="宋体" w:cs="宋体"/>
                <w:color w:val="auto"/>
                <w:sz w:val="18"/>
                <w:szCs w:val="18"/>
                <w:highlight w:val="none"/>
              </w:rPr>
              <w:t>：球镜-15.00~+6.00，柱镜：0.00~-4.00；膜层：钢化膜A+</w:t>
            </w:r>
          </w:p>
        </w:tc>
        <w:tc>
          <w:tcPr>
            <w:tcW w:w="510" w:type="dxa"/>
            <w:vAlign w:val="center"/>
          </w:tcPr>
          <w:p w14:paraId="7A47DAB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7E151F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319.2</w:t>
            </w:r>
          </w:p>
        </w:tc>
      </w:tr>
      <w:tr w14:paraId="7597C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4CD53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170</w:t>
            </w:r>
          </w:p>
        </w:tc>
        <w:tc>
          <w:tcPr>
            <w:tcW w:w="1623" w:type="dxa"/>
            <w:vAlign w:val="center"/>
          </w:tcPr>
          <w:p w14:paraId="47A16D5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1.60球面树脂镜片</w:t>
            </w:r>
          </w:p>
        </w:tc>
        <w:tc>
          <w:tcPr>
            <w:tcW w:w="386" w:type="dxa"/>
            <w:vAlign w:val="center"/>
          </w:tcPr>
          <w:p w14:paraId="0AFB7EE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A99526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+6.00~-10.00，柱镜-0.00~-2.00；膜层：钢化膜A+</w:t>
            </w:r>
          </w:p>
        </w:tc>
        <w:tc>
          <w:tcPr>
            <w:tcW w:w="510" w:type="dxa"/>
            <w:vAlign w:val="center"/>
          </w:tcPr>
          <w:p w14:paraId="654B0E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361F3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102.4</w:t>
            </w:r>
          </w:p>
        </w:tc>
      </w:tr>
      <w:tr w14:paraId="622E9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C27A9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w:t>
            </w:r>
          </w:p>
        </w:tc>
        <w:tc>
          <w:tcPr>
            <w:tcW w:w="1623" w:type="dxa"/>
            <w:vAlign w:val="center"/>
          </w:tcPr>
          <w:p w14:paraId="3CB9CAA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1.60球面树脂镜片</w:t>
            </w:r>
          </w:p>
        </w:tc>
        <w:tc>
          <w:tcPr>
            <w:tcW w:w="386" w:type="dxa"/>
            <w:vAlign w:val="center"/>
          </w:tcPr>
          <w:p w14:paraId="0EA326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024C1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+9.50~-17.00，柱镜-0.00~-6.00；膜层：钢化膜A+</w:t>
            </w:r>
          </w:p>
        </w:tc>
        <w:tc>
          <w:tcPr>
            <w:tcW w:w="510" w:type="dxa"/>
            <w:vAlign w:val="center"/>
          </w:tcPr>
          <w:p w14:paraId="074F2C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E4E1B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139.44</w:t>
            </w:r>
          </w:p>
        </w:tc>
      </w:tr>
      <w:tr w14:paraId="701B7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A86A4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172</w:t>
            </w:r>
          </w:p>
        </w:tc>
        <w:tc>
          <w:tcPr>
            <w:tcW w:w="1623" w:type="dxa"/>
            <w:vAlign w:val="center"/>
          </w:tcPr>
          <w:p w14:paraId="7A579B0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1.56非球面树脂镜片</w:t>
            </w:r>
          </w:p>
        </w:tc>
        <w:tc>
          <w:tcPr>
            <w:tcW w:w="386" w:type="dxa"/>
            <w:vAlign w:val="center"/>
          </w:tcPr>
          <w:p w14:paraId="39A211A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1D8AF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+6.00~-8.00，柱镜-0.00~-2.00；膜层：钢化膜A+</w:t>
            </w:r>
          </w:p>
        </w:tc>
        <w:tc>
          <w:tcPr>
            <w:tcW w:w="510" w:type="dxa"/>
            <w:vAlign w:val="center"/>
          </w:tcPr>
          <w:p w14:paraId="1DA47D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E176D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w:t>
            </w:r>
          </w:p>
        </w:tc>
      </w:tr>
      <w:tr w14:paraId="4C276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77539A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173</w:t>
            </w:r>
          </w:p>
        </w:tc>
        <w:tc>
          <w:tcPr>
            <w:tcW w:w="1623" w:type="dxa"/>
            <w:vAlign w:val="center"/>
          </w:tcPr>
          <w:p w14:paraId="0318CAD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1.56非球面树脂镜片</w:t>
            </w:r>
          </w:p>
        </w:tc>
        <w:tc>
          <w:tcPr>
            <w:tcW w:w="386" w:type="dxa"/>
            <w:vAlign w:val="center"/>
          </w:tcPr>
          <w:p w14:paraId="7E2AFE0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BD51D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+8.00~-14.00，柱镜-0.00~-6.00；膜层：钢化膜A+</w:t>
            </w:r>
          </w:p>
        </w:tc>
        <w:tc>
          <w:tcPr>
            <w:tcW w:w="510" w:type="dxa"/>
            <w:vAlign w:val="center"/>
          </w:tcPr>
          <w:p w14:paraId="0F002A7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BE218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137</w:t>
            </w:r>
          </w:p>
        </w:tc>
      </w:tr>
      <w:tr w14:paraId="5B390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0E12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174</w:t>
            </w:r>
          </w:p>
        </w:tc>
        <w:tc>
          <w:tcPr>
            <w:tcW w:w="1623" w:type="dxa"/>
            <w:vAlign w:val="center"/>
          </w:tcPr>
          <w:p w14:paraId="44435F8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1.60非球面树脂镜片</w:t>
            </w:r>
          </w:p>
        </w:tc>
        <w:tc>
          <w:tcPr>
            <w:tcW w:w="386" w:type="dxa"/>
            <w:vAlign w:val="center"/>
          </w:tcPr>
          <w:p w14:paraId="60F523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317183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+6.00~-10.00，柱镜-0.00~-2.00；膜层：钢化膜A+</w:t>
            </w:r>
          </w:p>
        </w:tc>
        <w:tc>
          <w:tcPr>
            <w:tcW w:w="510" w:type="dxa"/>
            <w:vAlign w:val="center"/>
          </w:tcPr>
          <w:p w14:paraId="49693E5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0EB3E4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w:t>
            </w:r>
          </w:p>
        </w:tc>
      </w:tr>
      <w:tr w14:paraId="512A1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EA5A2A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175</w:t>
            </w:r>
          </w:p>
        </w:tc>
        <w:tc>
          <w:tcPr>
            <w:tcW w:w="1623" w:type="dxa"/>
            <w:vAlign w:val="center"/>
          </w:tcPr>
          <w:p w14:paraId="706DB6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1.60非球面树脂镜片</w:t>
            </w:r>
          </w:p>
        </w:tc>
        <w:tc>
          <w:tcPr>
            <w:tcW w:w="386" w:type="dxa"/>
            <w:vAlign w:val="center"/>
          </w:tcPr>
          <w:p w14:paraId="72D180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EE51F3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+8.00~-17.00，柱镜-0.00~-6.00；膜层：钢化膜A+</w:t>
            </w:r>
          </w:p>
        </w:tc>
        <w:tc>
          <w:tcPr>
            <w:tcW w:w="510" w:type="dxa"/>
            <w:vAlign w:val="center"/>
          </w:tcPr>
          <w:p w14:paraId="4D46D96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A6E8E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210</w:t>
            </w:r>
          </w:p>
        </w:tc>
      </w:tr>
      <w:tr w14:paraId="78D47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85FF7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176</w:t>
            </w:r>
          </w:p>
        </w:tc>
        <w:tc>
          <w:tcPr>
            <w:tcW w:w="1623" w:type="dxa"/>
            <w:vAlign w:val="center"/>
          </w:tcPr>
          <w:p w14:paraId="1039A12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1.67非球面树脂镜片</w:t>
            </w:r>
          </w:p>
        </w:tc>
        <w:tc>
          <w:tcPr>
            <w:tcW w:w="386" w:type="dxa"/>
            <w:vAlign w:val="center"/>
          </w:tcPr>
          <w:p w14:paraId="44BD9E6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8CDE84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+6.00~-15.00，柱镜-0.00~-2.00；膜层：钢化膜A+</w:t>
            </w:r>
          </w:p>
        </w:tc>
        <w:tc>
          <w:tcPr>
            <w:tcW w:w="510" w:type="dxa"/>
            <w:vAlign w:val="center"/>
          </w:tcPr>
          <w:p w14:paraId="3186B7D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3CB93E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259.875</w:t>
            </w:r>
          </w:p>
        </w:tc>
      </w:tr>
      <w:tr w14:paraId="45341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544A8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177</w:t>
            </w:r>
          </w:p>
        </w:tc>
        <w:tc>
          <w:tcPr>
            <w:tcW w:w="1623" w:type="dxa"/>
            <w:vAlign w:val="center"/>
          </w:tcPr>
          <w:p w14:paraId="3019986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1.67非球面树脂镜片</w:t>
            </w:r>
          </w:p>
        </w:tc>
        <w:tc>
          <w:tcPr>
            <w:tcW w:w="386" w:type="dxa"/>
            <w:vAlign w:val="center"/>
          </w:tcPr>
          <w:p w14:paraId="20A9FD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2EEC6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+8.00~-20.00，柱镜-0.00~-6.00；膜层：钢化膜A+</w:t>
            </w:r>
          </w:p>
        </w:tc>
        <w:tc>
          <w:tcPr>
            <w:tcW w:w="510" w:type="dxa"/>
            <w:vAlign w:val="center"/>
          </w:tcPr>
          <w:p w14:paraId="2D402A2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37B07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397.1</w:t>
            </w:r>
          </w:p>
        </w:tc>
      </w:tr>
      <w:tr w14:paraId="17EE3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F7BBF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178</w:t>
            </w:r>
          </w:p>
        </w:tc>
        <w:tc>
          <w:tcPr>
            <w:tcW w:w="1623" w:type="dxa"/>
            <w:vAlign w:val="center"/>
          </w:tcPr>
          <w:p w14:paraId="3AF38A4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1.74非球面树脂镜片</w:t>
            </w:r>
          </w:p>
        </w:tc>
        <w:tc>
          <w:tcPr>
            <w:tcW w:w="386" w:type="dxa"/>
            <w:vAlign w:val="center"/>
          </w:tcPr>
          <w:p w14:paraId="3FF88E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3FE664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-0.00~-15.00，柱镜-0.00~-2.00；膜层：钢化膜A+</w:t>
            </w:r>
          </w:p>
        </w:tc>
        <w:tc>
          <w:tcPr>
            <w:tcW w:w="510" w:type="dxa"/>
            <w:vAlign w:val="center"/>
          </w:tcPr>
          <w:p w14:paraId="2157BB1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42F8C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587</w:t>
            </w:r>
          </w:p>
        </w:tc>
      </w:tr>
      <w:tr w14:paraId="2C062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ECF4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179</w:t>
            </w:r>
          </w:p>
        </w:tc>
        <w:tc>
          <w:tcPr>
            <w:tcW w:w="1623" w:type="dxa"/>
            <w:vAlign w:val="center"/>
          </w:tcPr>
          <w:p w14:paraId="7F471BD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1.74非球面树脂镜片</w:t>
            </w:r>
          </w:p>
        </w:tc>
        <w:tc>
          <w:tcPr>
            <w:tcW w:w="386" w:type="dxa"/>
            <w:vAlign w:val="center"/>
          </w:tcPr>
          <w:p w14:paraId="4128ABF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A63F2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树脂镜片，膜层易清洁、防静电、防水、防污、耐磨。二、光度范围：球镜+10.00~-20.00，柱镜-0.00~-6.00；膜层：钢化膜A+</w:t>
            </w:r>
          </w:p>
        </w:tc>
        <w:tc>
          <w:tcPr>
            <w:tcW w:w="510" w:type="dxa"/>
            <w:vAlign w:val="center"/>
          </w:tcPr>
          <w:p w14:paraId="7B96987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DA2A2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743.85</w:t>
            </w:r>
          </w:p>
        </w:tc>
      </w:tr>
      <w:tr w14:paraId="23977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7A70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180</w:t>
            </w:r>
          </w:p>
        </w:tc>
        <w:tc>
          <w:tcPr>
            <w:tcW w:w="1623" w:type="dxa"/>
            <w:vAlign w:val="center"/>
          </w:tcPr>
          <w:p w14:paraId="3E4C94C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1.50周边离焦树脂镜片</w:t>
            </w:r>
          </w:p>
        </w:tc>
        <w:tc>
          <w:tcPr>
            <w:tcW w:w="386" w:type="dxa"/>
            <w:vAlign w:val="center"/>
          </w:tcPr>
          <w:p w14:paraId="43243F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A0E013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离焦，有效减少周边远视性离焦现象，减缓眼轴拉长，减缓近视加深。2.膜层特性：双面膜层工艺，防油污、防尘、防水、照相不反光，耐磨性高。二、光度范围：球镜-1.00~-4.00，柱镜无；膜层：钢化膜A+</w:t>
            </w:r>
          </w:p>
        </w:tc>
        <w:tc>
          <w:tcPr>
            <w:tcW w:w="510" w:type="dxa"/>
            <w:vAlign w:val="center"/>
          </w:tcPr>
          <w:p w14:paraId="107761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A8FF7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165.5</w:t>
            </w:r>
          </w:p>
        </w:tc>
      </w:tr>
      <w:tr w14:paraId="2706A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70D61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181</w:t>
            </w:r>
          </w:p>
        </w:tc>
        <w:tc>
          <w:tcPr>
            <w:tcW w:w="1623" w:type="dxa"/>
            <w:vAlign w:val="center"/>
          </w:tcPr>
          <w:p w14:paraId="6391466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1.50周边离焦树脂镜片</w:t>
            </w:r>
          </w:p>
        </w:tc>
        <w:tc>
          <w:tcPr>
            <w:tcW w:w="386" w:type="dxa"/>
            <w:vAlign w:val="center"/>
          </w:tcPr>
          <w:p w14:paraId="42A103A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144415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离焦，有效减少周边远视性离焦现象，减缓眼轴拉长，减缓近视加深。2.膜层特性：双面膜层工艺，防油污、防尘、防水、照相不反光，耐磨性高。二、光度范围：球镜-0.00~-6.00，柱镜-0.00~-2.00；膜层：钢化膜A+</w:t>
            </w:r>
          </w:p>
        </w:tc>
        <w:tc>
          <w:tcPr>
            <w:tcW w:w="510" w:type="dxa"/>
            <w:vAlign w:val="center"/>
          </w:tcPr>
          <w:p w14:paraId="097EAF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F24FB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186.37</w:t>
            </w:r>
          </w:p>
        </w:tc>
      </w:tr>
      <w:tr w14:paraId="3A2DA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1F219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182</w:t>
            </w:r>
          </w:p>
        </w:tc>
        <w:tc>
          <w:tcPr>
            <w:tcW w:w="1623" w:type="dxa"/>
            <w:vAlign w:val="center"/>
          </w:tcPr>
          <w:p w14:paraId="104AE88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1.50周边离焦防蓝光树脂镜片</w:t>
            </w:r>
          </w:p>
        </w:tc>
        <w:tc>
          <w:tcPr>
            <w:tcW w:w="386" w:type="dxa"/>
            <w:vAlign w:val="center"/>
          </w:tcPr>
          <w:p w14:paraId="124EFE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FFEC9E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离焦，有效减少周边远视性离焦现象，减缓眼轴拉长，减缓近视加深。2.膜层特性：双面膜层工艺，防油污、防尘、防水、照相不反光，耐磨性高。二、光度范围：球镜-1.00~-4.00，柱镜无；膜层：钢化膜A+</w:t>
            </w:r>
          </w:p>
        </w:tc>
        <w:tc>
          <w:tcPr>
            <w:tcW w:w="510" w:type="dxa"/>
            <w:vAlign w:val="center"/>
          </w:tcPr>
          <w:p w14:paraId="773FEA3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D3851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215.5</w:t>
            </w:r>
          </w:p>
        </w:tc>
      </w:tr>
      <w:tr w14:paraId="3E74B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77CF3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183</w:t>
            </w:r>
          </w:p>
        </w:tc>
        <w:tc>
          <w:tcPr>
            <w:tcW w:w="1623" w:type="dxa"/>
            <w:vAlign w:val="center"/>
          </w:tcPr>
          <w:p w14:paraId="06184A0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1.50周边离焦防蓝光树脂镜片</w:t>
            </w:r>
          </w:p>
        </w:tc>
        <w:tc>
          <w:tcPr>
            <w:tcW w:w="386" w:type="dxa"/>
            <w:vAlign w:val="center"/>
          </w:tcPr>
          <w:p w14:paraId="4E3CF13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D6B9B2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离焦，有效减少周边远视性离焦现象，减缓眼轴拉长，减缓近视加深。2.膜层特性：双面膜层工艺，防油污、防尘、防水、照相不反光，耐磨性高二、光度范围：球镜-0.00~-6.00，柱镜-0.00~-2.00；膜层：钢化膜A+</w:t>
            </w:r>
          </w:p>
        </w:tc>
        <w:tc>
          <w:tcPr>
            <w:tcW w:w="510" w:type="dxa"/>
            <w:vAlign w:val="center"/>
          </w:tcPr>
          <w:p w14:paraId="231AEA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5009D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233.75</w:t>
            </w:r>
          </w:p>
        </w:tc>
      </w:tr>
      <w:tr w14:paraId="41110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920852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184</w:t>
            </w:r>
          </w:p>
        </w:tc>
        <w:tc>
          <w:tcPr>
            <w:tcW w:w="1623" w:type="dxa"/>
            <w:vAlign w:val="center"/>
          </w:tcPr>
          <w:p w14:paraId="4B3B080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1.50周边离焦增强版树脂镜</w:t>
            </w:r>
          </w:p>
        </w:tc>
        <w:tc>
          <w:tcPr>
            <w:tcW w:w="386" w:type="dxa"/>
            <w:vAlign w:val="center"/>
          </w:tcPr>
          <w:p w14:paraId="655A79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172CA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离焦，有效减少周边远视性离焦现象，减缓眼轴拉长，减缓近视加深。2.膜层特性：双面膜层工艺，防油污、防尘、防水、照相不反光，耐磨性高。二、光度范围：球镜-0.00~-6.00，柱镜-0.00~-4.00；膜层：钢化膜A+</w:t>
            </w:r>
          </w:p>
        </w:tc>
        <w:tc>
          <w:tcPr>
            <w:tcW w:w="510" w:type="dxa"/>
            <w:vAlign w:val="center"/>
          </w:tcPr>
          <w:p w14:paraId="5D97194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8E47B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233.75</w:t>
            </w:r>
          </w:p>
        </w:tc>
      </w:tr>
      <w:tr w14:paraId="53BEF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4AB0D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185</w:t>
            </w:r>
          </w:p>
        </w:tc>
        <w:tc>
          <w:tcPr>
            <w:tcW w:w="1623" w:type="dxa"/>
            <w:vAlign w:val="center"/>
          </w:tcPr>
          <w:p w14:paraId="517AAFA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1.50周边离焦增强版防蓝光树脂镜片</w:t>
            </w:r>
          </w:p>
        </w:tc>
        <w:tc>
          <w:tcPr>
            <w:tcW w:w="386" w:type="dxa"/>
            <w:vAlign w:val="center"/>
          </w:tcPr>
          <w:p w14:paraId="279C1BD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3351BA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离焦，有效减少周边远视性离焦现象，减缓眼轴拉长，减缓近视加深。2.膜层特性：双面膜层工艺，防油污、防尘、防水、照相不反光，耐磨性高。二、光度范围：球镜-0.00~-6.00，柱镜-0.00~-4.00；膜层：钢化膜A+</w:t>
            </w:r>
          </w:p>
        </w:tc>
        <w:tc>
          <w:tcPr>
            <w:tcW w:w="510" w:type="dxa"/>
            <w:vAlign w:val="center"/>
          </w:tcPr>
          <w:p w14:paraId="6902E8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03CB3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281.13</w:t>
            </w:r>
          </w:p>
        </w:tc>
      </w:tr>
      <w:tr w14:paraId="38898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08C33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w:t>
            </w:r>
          </w:p>
        </w:tc>
        <w:tc>
          <w:tcPr>
            <w:tcW w:w="1623" w:type="dxa"/>
            <w:vAlign w:val="center"/>
          </w:tcPr>
          <w:p w14:paraId="4DC8EC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1.60周边离焦树脂镜片</w:t>
            </w:r>
          </w:p>
        </w:tc>
        <w:tc>
          <w:tcPr>
            <w:tcW w:w="386" w:type="dxa"/>
            <w:vAlign w:val="center"/>
          </w:tcPr>
          <w:p w14:paraId="0A27A65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2C270D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离焦，有效减少周边远视性离焦现象，减缓眼轴拉长，减缓近视加深。2.膜层特性：双面膜层工艺，防油污、防尘、防水、照相不反光，耐磨性高。二、光度范围：球镜-0.00~-8.00，柱镜-0.00~-2.00；膜层：钢化膜A+</w:t>
            </w:r>
          </w:p>
        </w:tc>
        <w:tc>
          <w:tcPr>
            <w:tcW w:w="510" w:type="dxa"/>
            <w:vAlign w:val="center"/>
          </w:tcPr>
          <w:p w14:paraId="3907C06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1E190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296.92</w:t>
            </w:r>
          </w:p>
        </w:tc>
      </w:tr>
      <w:tr w14:paraId="641BD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9B2057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187</w:t>
            </w:r>
          </w:p>
        </w:tc>
        <w:tc>
          <w:tcPr>
            <w:tcW w:w="1623" w:type="dxa"/>
            <w:vAlign w:val="center"/>
          </w:tcPr>
          <w:p w14:paraId="2C2CA22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1.60周边离焦防蓝光树脂镜片</w:t>
            </w:r>
          </w:p>
        </w:tc>
        <w:tc>
          <w:tcPr>
            <w:tcW w:w="386" w:type="dxa"/>
            <w:vAlign w:val="center"/>
          </w:tcPr>
          <w:p w14:paraId="23F0FD2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1B1277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离焦，有效减少周边远视性离焦现象，减缓眼轴拉长，减缓近视加深。2.膜层特性：双面膜层工艺，防油污、防尘、防水、照相不反光，耐磨性高。二、光度范围：球镜-0.00~-8.00，柱镜-0.00~-4.00；膜层：钢化膜A+</w:t>
            </w:r>
          </w:p>
        </w:tc>
        <w:tc>
          <w:tcPr>
            <w:tcW w:w="510" w:type="dxa"/>
            <w:vAlign w:val="center"/>
          </w:tcPr>
          <w:p w14:paraId="3217B52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1C42F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344.31</w:t>
            </w:r>
          </w:p>
        </w:tc>
      </w:tr>
      <w:tr w14:paraId="54B58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C2746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188</w:t>
            </w:r>
          </w:p>
        </w:tc>
        <w:tc>
          <w:tcPr>
            <w:tcW w:w="1623" w:type="dxa"/>
            <w:vAlign w:val="center"/>
          </w:tcPr>
          <w:p w14:paraId="03D2713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1.60周边离焦增强版树脂镜片</w:t>
            </w:r>
          </w:p>
        </w:tc>
        <w:tc>
          <w:tcPr>
            <w:tcW w:w="386" w:type="dxa"/>
            <w:vAlign w:val="center"/>
          </w:tcPr>
          <w:p w14:paraId="358150E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93D712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离焦，有效减少周边远视性离焦现象，减缓眼轴拉长，减缓近视加深。2.膜层特性：双面膜层工艺，防油污、防尘、防水、照相不反光，耐磨性高。二、光度范围：球镜-0.00~-8.00，柱镜-0.00~-4.00；膜层：钢化膜A+</w:t>
            </w:r>
          </w:p>
        </w:tc>
        <w:tc>
          <w:tcPr>
            <w:tcW w:w="510" w:type="dxa"/>
            <w:vAlign w:val="center"/>
          </w:tcPr>
          <w:p w14:paraId="6B210F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ECD5F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344.31</w:t>
            </w:r>
          </w:p>
        </w:tc>
      </w:tr>
      <w:tr w14:paraId="3CD25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E9A56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189</w:t>
            </w:r>
          </w:p>
        </w:tc>
        <w:tc>
          <w:tcPr>
            <w:tcW w:w="1623" w:type="dxa"/>
            <w:vAlign w:val="center"/>
          </w:tcPr>
          <w:p w14:paraId="44597EA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1.60周边离焦增强版防蓝光树脂镜片</w:t>
            </w:r>
          </w:p>
        </w:tc>
        <w:tc>
          <w:tcPr>
            <w:tcW w:w="386" w:type="dxa"/>
            <w:vAlign w:val="center"/>
          </w:tcPr>
          <w:p w14:paraId="6FADEC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18882F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离焦，有效减少周边远视性离焦现象，减缓眼轴拉长，减缓近视加深。2.膜层特性：双面膜层工艺，防油污、防尘、防水、照相不反光，耐磨性高。二、光度范围：球镜-0.00~-8.00，柱镜-0.00~-4.00；膜层：钢化膜A+</w:t>
            </w:r>
          </w:p>
        </w:tc>
        <w:tc>
          <w:tcPr>
            <w:tcW w:w="510" w:type="dxa"/>
            <w:vAlign w:val="center"/>
          </w:tcPr>
          <w:p w14:paraId="03B349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32DAE3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391.69</w:t>
            </w:r>
          </w:p>
        </w:tc>
      </w:tr>
      <w:tr w14:paraId="5F4BC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942334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190</w:t>
            </w:r>
          </w:p>
        </w:tc>
        <w:tc>
          <w:tcPr>
            <w:tcW w:w="1623" w:type="dxa"/>
            <w:vAlign w:val="center"/>
          </w:tcPr>
          <w:p w14:paraId="3C43A30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1.67周边离焦树脂镜片</w:t>
            </w:r>
          </w:p>
        </w:tc>
        <w:tc>
          <w:tcPr>
            <w:tcW w:w="386" w:type="dxa"/>
            <w:vAlign w:val="center"/>
          </w:tcPr>
          <w:p w14:paraId="6F4ACF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66CF18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离焦，有效减少周边远视性离焦现象，减缓眼轴拉长，减缓近视加深。2.膜层特性：双面膜层工艺，防油污、防尘、防水、照相不反光，耐磨性高。二、光度范围：球镜-0.00~-10.00，柱镜-0.00~-5.00；膜层：钢化膜A+</w:t>
            </w:r>
          </w:p>
        </w:tc>
        <w:tc>
          <w:tcPr>
            <w:tcW w:w="510" w:type="dxa"/>
            <w:vAlign w:val="center"/>
          </w:tcPr>
          <w:p w14:paraId="6D88DE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236A64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609.19</w:t>
            </w:r>
          </w:p>
        </w:tc>
      </w:tr>
      <w:tr w14:paraId="09467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91017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191</w:t>
            </w:r>
          </w:p>
        </w:tc>
        <w:tc>
          <w:tcPr>
            <w:tcW w:w="1623" w:type="dxa"/>
            <w:vAlign w:val="center"/>
          </w:tcPr>
          <w:p w14:paraId="742F536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1.67周边离焦防蓝光树脂镜片</w:t>
            </w:r>
          </w:p>
        </w:tc>
        <w:tc>
          <w:tcPr>
            <w:tcW w:w="386" w:type="dxa"/>
            <w:vAlign w:val="center"/>
          </w:tcPr>
          <w:p w14:paraId="31030C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2109D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离焦，有效减少周边远视性离焦现象，减缓眼轴拉长，减缓近视加深。2.膜层特性：双面膜层工艺，防油污、防尘、防水、照相不反光，耐磨性高。二、光度范围：球镜-0.00~-10.00，柱镜-0.00~-5.00；膜层：钢化膜A+</w:t>
            </w:r>
          </w:p>
        </w:tc>
        <w:tc>
          <w:tcPr>
            <w:tcW w:w="510" w:type="dxa"/>
            <w:vAlign w:val="center"/>
          </w:tcPr>
          <w:p w14:paraId="78D060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D72F1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583</w:t>
            </w:r>
          </w:p>
        </w:tc>
      </w:tr>
      <w:tr w14:paraId="536F0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C0912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192</w:t>
            </w:r>
          </w:p>
        </w:tc>
        <w:tc>
          <w:tcPr>
            <w:tcW w:w="1623" w:type="dxa"/>
            <w:vAlign w:val="center"/>
          </w:tcPr>
          <w:p w14:paraId="16549CE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1.67周边离焦增强版树脂镜片</w:t>
            </w:r>
          </w:p>
        </w:tc>
        <w:tc>
          <w:tcPr>
            <w:tcW w:w="386" w:type="dxa"/>
            <w:vAlign w:val="center"/>
          </w:tcPr>
          <w:p w14:paraId="5FFF55E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73D891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离焦，有效减少周边远视性离焦现象，减缓眼轴拉长，减缓近视加深。2.膜层特性：双面膜层工艺，防油污、防尘、防水、照相不反光，耐磨性高。二、光度范围：球镜-0.00~-10.00，柱镜-0.00~-5.00；膜层：钢化膜A+</w:t>
            </w:r>
          </w:p>
        </w:tc>
        <w:tc>
          <w:tcPr>
            <w:tcW w:w="510" w:type="dxa"/>
            <w:vAlign w:val="center"/>
          </w:tcPr>
          <w:p w14:paraId="118101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7AE77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631.75</w:t>
            </w:r>
          </w:p>
        </w:tc>
      </w:tr>
      <w:tr w14:paraId="262F3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06849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193</w:t>
            </w:r>
          </w:p>
        </w:tc>
        <w:tc>
          <w:tcPr>
            <w:tcW w:w="1623" w:type="dxa"/>
            <w:vAlign w:val="center"/>
          </w:tcPr>
          <w:p w14:paraId="2AEED6F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1.67周边离焦增强版防蓝光树脂镜片</w:t>
            </w:r>
          </w:p>
        </w:tc>
        <w:tc>
          <w:tcPr>
            <w:tcW w:w="386" w:type="dxa"/>
            <w:vAlign w:val="center"/>
          </w:tcPr>
          <w:p w14:paraId="45740C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AAFB0F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一、性能特点：1.镜片从光学中心到边远度数递减，形成周边近视</w:t>
            </w:r>
            <w:r>
              <w:rPr>
                <w:rFonts w:hint="eastAsia" w:hAnsi="宋体" w:cs="宋体"/>
                <w:color w:val="auto"/>
                <w:sz w:val="18"/>
                <w:szCs w:val="18"/>
                <w:highlight w:val="none"/>
                <w:lang w:eastAsia="zh-CN"/>
              </w:rPr>
              <w:t>性</w:t>
            </w:r>
            <w:r>
              <w:rPr>
                <w:rFonts w:hint="eastAsia" w:hAnsi="宋体" w:cs="宋体"/>
                <w:color w:val="auto"/>
                <w:sz w:val="18"/>
                <w:szCs w:val="18"/>
                <w:highlight w:val="none"/>
              </w:rPr>
              <w:t>离焦，有效减少周边远视性离焦现象，减缓眼轴拉长，减缓近视加深。2.膜层特性：双面膜层工艺，防油污、防尘、防水、照相不反光，耐磨性高。二、光度范围：球镜-0.00~-10.00，柱镜-0.00~-5.00；膜层：钢化膜A+</w:t>
            </w:r>
          </w:p>
        </w:tc>
        <w:tc>
          <w:tcPr>
            <w:tcW w:w="510" w:type="dxa"/>
            <w:vAlign w:val="center"/>
          </w:tcPr>
          <w:p w14:paraId="1460554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74BBA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703.95</w:t>
            </w:r>
          </w:p>
        </w:tc>
      </w:tr>
      <w:tr w14:paraId="49A48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CEC79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194</w:t>
            </w:r>
          </w:p>
        </w:tc>
        <w:tc>
          <w:tcPr>
            <w:tcW w:w="1623" w:type="dxa"/>
            <w:vAlign w:val="center"/>
          </w:tcPr>
          <w:p w14:paraId="68A611B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1.56多点离焦树脂镜片</w:t>
            </w:r>
          </w:p>
        </w:tc>
        <w:tc>
          <w:tcPr>
            <w:tcW w:w="386" w:type="dxa"/>
            <w:vAlign w:val="center"/>
          </w:tcPr>
          <w:p w14:paraId="128B92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7A21EA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1.通过单光镜片表面进行清晰矫正。 2.</w:t>
            </w:r>
            <w:r>
              <w:rPr>
                <w:rFonts w:hint="eastAsia" w:hAnsi="宋体" w:cs="宋体"/>
                <w:color w:val="auto"/>
                <w:sz w:val="18"/>
                <w:szCs w:val="18"/>
                <w:highlight w:val="none"/>
                <w:lang w:eastAsia="zh-CN"/>
              </w:rPr>
              <w:t>隐形分布的多点微透镜设计</w:t>
            </w:r>
            <w:r>
              <w:rPr>
                <w:rFonts w:hint="eastAsia" w:hAnsi="宋体" w:cs="宋体"/>
                <w:color w:val="auto"/>
                <w:sz w:val="18"/>
                <w:szCs w:val="18"/>
                <w:highlight w:val="none"/>
              </w:rPr>
              <w:t>、可使光线在视网膜前方形成非聚焦的光束带，并产生</w:t>
            </w:r>
            <w:r>
              <w:rPr>
                <w:rFonts w:hint="eastAsia" w:hAnsi="宋体" w:cs="宋体"/>
                <w:color w:val="auto"/>
                <w:sz w:val="18"/>
                <w:szCs w:val="18"/>
                <w:highlight w:val="none"/>
                <w:lang w:eastAsia="zh-CN"/>
              </w:rPr>
              <w:t>延缓</w:t>
            </w:r>
            <w:r>
              <w:rPr>
                <w:rFonts w:hint="eastAsia" w:hAnsi="宋体" w:cs="宋体"/>
                <w:color w:val="auto"/>
                <w:sz w:val="18"/>
                <w:szCs w:val="18"/>
                <w:highlight w:val="none"/>
              </w:rPr>
              <w:t>眼轴增长的信号区，从而达到缓解近视加深的效果。 3.镜片为超轻树脂镜片，阿贝数高。4.膜层特性：全新膜层、耐用、易清洁、耐刮花、耐油污、防尘 。5，镜片无应力。二、光度范围：球镜+2.00~-8.00，柱镜-0.00~-4.00；膜层：钢化膜A+</w:t>
            </w:r>
          </w:p>
        </w:tc>
        <w:tc>
          <w:tcPr>
            <w:tcW w:w="510" w:type="dxa"/>
            <w:vAlign w:val="center"/>
          </w:tcPr>
          <w:p w14:paraId="353AB9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C2305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575</w:t>
            </w:r>
          </w:p>
        </w:tc>
      </w:tr>
      <w:tr w14:paraId="3C286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A3A55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195</w:t>
            </w:r>
          </w:p>
        </w:tc>
        <w:tc>
          <w:tcPr>
            <w:tcW w:w="1623" w:type="dxa"/>
            <w:vAlign w:val="center"/>
          </w:tcPr>
          <w:p w14:paraId="0D75B95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1.56多点离焦防蓝光树脂镜片</w:t>
            </w:r>
          </w:p>
        </w:tc>
        <w:tc>
          <w:tcPr>
            <w:tcW w:w="386" w:type="dxa"/>
            <w:vAlign w:val="center"/>
          </w:tcPr>
          <w:p w14:paraId="2553DA2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71C71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1.通过单光镜片表面进行清晰矫正。 2.</w:t>
            </w:r>
            <w:r>
              <w:rPr>
                <w:rFonts w:hint="eastAsia" w:hAnsi="宋体" w:cs="宋体"/>
                <w:color w:val="auto"/>
                <w:sz w:val="18"/>
                <w:szCs w:val="18"/>
                <w:highlight w:val="none"/>
                <w:lang w:eastAsia="zh-CN"/>
              </w:rPr>
              <w:t>隐形分布的多点微透镜设计</w:t>
            </w:r>
            <w:r>
              <w:rPr>
                <w:rFonts w:hint="eastAsia" w:hAnsi="宋体" w:cs="宋体"/>
                <w:color w:val="auto"/>
                <w:sz w:val="18"/>
                <w:szCs w:val="18"/>
                <w:highlight w:val="none"/>
              </w:rPr>
              <w:t>、可使光线在视网膜前方形成非聚焦的光束带，并产生</w:t>
            </w:r>
            <w:r>
              <w:rPr>
                <w:rFonts w:hint="eastAsia" w:hAnsi="宋体" w:cs="宋体"/>
                <w:color w:val="auto"/>
                <w:sz w:val="18"/>
                <w:szCs w:val="18"/>
                <w:highlight w:val="none"/>
                <w:lang w:eastAsia="zh-CN"/>
              </w:rPr>
              <w:t>延缓</w:t>
            </w:r>
            <w:r>
              <w:rPr>
                <w:rFonts w:hint="eastAsia" w:hAnsi="宋体" w:cs="宋体"/>
                <w:color w:val="auto"/>
                <w:sz w:val="18"/>
                <w:szCs w:val="18"/>
                <w:highlight w:val="none"/>
              </w:rPr>
              <w:t>眼轴增长的信号区，从而达到缓解近视加深的效果。 3.镜片为超轻树脂镜片，阿贝数高。4.膜层特性：全新膜层、耐用、易清洁、耐刮花、耐油污、防尘 。5，镜片无应力。光度范围：球镜-0.00~-8.00，柱镜0--4.00 6.膜层特性：易清洁、耐油污、防尘，双重防护、双面防紫外线、防蓝光；智能防蓝光膜层，符合《蓝光防护膜的光健康与光安全应用技术要求》GB/T 38120-2019中光安全标准，适合更多电子数码生活场景。 二、光度范围：球镜+2.00~-8.00，柱镜-0.00~-4.00；膜层：钢化膜A+</w:t>
            </w:r>
          </w:p>
        </w:tc>
        <w:tc>
          <w:tcPr>
            <w:tcW w:w="510" w:type="dxa"/>
            <w:vAlign w:val="center"/>
          </w:tcPr>
          <w:p w14:paraId="2119900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B2D4C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675</w:t>
            </w:r>
          </w:p>
        </w:tc>
      </w:tr>
      <w:tr w14:paraId="3E357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9EAD3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196</w:t>
            </w:r>
          </w:p>
        </w:tc>
        <w:tc>
          <w:tcPr>
            <w:tcW w:w="1623" w:type="dxa"/>
            <w:vAlign w:val="center"/>
          </w:tcPr>
          <w:p w14:paraId="00630B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1.60多点离焦树脂镜片</w:t>
            </w:r>
          </w:p>
        </w:tc>
        <w:tc>
          <w:tcPr>
            <w:tcW w:w="386" w:type="dxa"/>
            <w:vAlign w:val="center"/>
          </w:tcPr>
          <w:p w14:paraId="5ADBE26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367FE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1.通过单光镜片表面进行清晰矫正。 2.</w:t>
            </w:r>
            <w:r>
              <w:rPr>
                <w:rFonts w:hint="eastAsia" w:hAnsi="宋体" w:cs="宋体"/>
                <w:color w:val="auto"/>
                <w:sz w:val="18"/>
                <w:szCs w:val="18"/>
                <w:highlight w:val="none"/>
                <w:lang w:eastAsia="zh-CN"/>
              </w:rPr>
              <w:t>隐形分布的多点微透镜设计</w:t>
            </w:r>
            <w:r>
              <w:rPr>
                <w:rFonts w:hint="eastAsia" w:hAnsi="宋体" w:cs="宋体"/>
                <w:color w:val="auto"/>
                <w:sz w:val="18"/>
                <w:szCs w:val="18"/>
                <w:highlight w:val="none"/>
              </w:rPr>
              <w:t>、可使光线在视网膜前方形成非聚焦的光束带，并产生</w:t>
            </w:r>
            <w:r>
              <w:rPr>
                <w:rFonts w:hint="eastAsia" w:hAnsi="宋体" w:cs="宋体"/>
                <w:color w:val="auto"/>
                <w:sz w:val="18"/>
                <w:szCs w:val="18"/>
                <w:highlight w:val="none"/>
                <w:lang w:eastAsia="zh-CN"/>
              </w:rPr>
              <w:t>延缓</w:t>
            </w:r>
            <w:r>
              <w:rPr>
                <w:rFonts w:hint="eastAsia" w:hAnsi="宋体" w:cs="宋体"/>
                <w:color w:val="auto"/>
                <w:sz w:val="18"/>
                <w:szCs w:val="18"/>
                <w:highlight w:val="none"/>
              </w:rPr>
              <w:t>眼轴增长的信号区，从而达到缓解近视加深的效果。 3.镜片为超轻树脂镜片，阿贝数高。4.膜层特性：全新膜层、耐用、易清洁、耐刮花、耐油污、防尘 。5，镜片无应力。二、光度范围：球镜+2.00~-8.00，柱镜-0.00~-4.00；膜层：钢化膜A+</w:t>
            </w:r>
          </w:p>
        </w:tc>
        <w:tc>
          <w:tcPr>
            <w:tcW w:w="510" w:type="dxa"/>
            <w:vAlign w:val="center"/>
          </w:tcPr>
          <w:p w14:paraId="13373B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35DAA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850</w:t>
            </w:r>
          </w:p>
        </w:tc>
      </w:tr>
      <w:tr w14:paraId="19A2F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AF190B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197</w:t>
            </w:r>
          </w:p>
        </w:tc>
        <w:tc>
          <w:tcPr>
            <w:tcW w:w="1623" w:type="dxa"/>
            <w:vAlign w:val="center"/>
          </w:tcPr>
          <w:p w14:paraId="0D22EEE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1.60多点离焦防蓝光树脂镜片</w:t>
            </w:r>
          </w:p>
        </w:tc>
        <w:tc>
          <w:tcPr>
            <w:tcW w:w="386" w:type="dxa"/>
            <w:vAlign w:val="center"/>
          </w:tcPr>
          <w:p w14:paraId="70173A3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044453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1.通过单光镜片表面进行清晰矫正。 2.</w:t>
            </w:r>
            <w:r>
              <w:rPr>
                <w:rFonts w:hint="eastAsia" w:hAnsi="宋体" w:cs="宋体"/>
                <w:color w:val="auto"/>
                <w:sz w:val="18"/>
                <w:szCs w:val="18"/>
                <w:highlight w:val="none"/>
                <w:lang w:eastAsia="zh-CN"/>
              </w:rPr>
              <w:t>隐形分布的多点微透镜设计</w:t>
            </w:r>
            <w:r>
              <w:rPr>
                <w:rFonts w:hint="eastAsia" w:hAnsi="宋体" w:cs="宋体"/>
                <w:color w:val="auto"/>
                <w:sz w:val="18"/>
                <w:szCs w:val="18"/>
                <w:highlight w:val="none"/>
              </w:rPr>
              <w:t>、可使光线在视网膜前方形成非聚焦的光束带，并产生</w:t>
            </w:r>
            <w:r>
              <w:rPr>
                <w:rFonts w:hint="eastAsia" w:hAnsi="宋体" w:cs="宋体"/>
                <w:color w:val="auto"/>
                <w:sz w:val="18"/>
                <w:szCs w:val="18"/>
                <w:highlight w:val="none"/>
                <w:lang w:eastAsia="zh-CN"/>
              </w:rPr>
              <w:t>延缓</w:t>
            </w:r>
            <w:r>
              <w:rPr>
                <w:rFonts w:hint="eastAsia" w:hAnsi="宋体" w:cs="宋体"/>
                <w:color w:val="auto"/>
                <w:sz w:val="18"/>
                <w:szCs w:val="18"/>
                <w:highlight w:val="none"/>
              </w:rPr>
              <w:t>眼轴增长的信号区，从而达到缓解近视加深的效果。 3.镜片为超轻树脂镜片，阿贝数高。4.膜层特性：全新膜层、耐用、易清洁、耐刮花、耐油污、防尘 。5，镜片无应力。6.膜层特性：易清洁、耐油污、防尘，双重防护、双面防紫外线、防蓝光；智能防蓝光膜层，符合《蓝光防护膜的光健康与光安全应用技术要求》GB/T 38120-2019中光安全标准，适合更多电子数码生活场景。 二、光度范围：球镜+2.00~-8.00，柱镜-0.00~-4.00；膜层：钢化膜A+</w:t>
            </w:r>
          </w:p>
        </w:tc>
        <w:tc>
          <w:tcPr>
            <w:tcW w:w="510" w:type="dxa"/>
            <w:vAlign w:val="center"/>
          </w:tcPr>
          <w:p w14:paraId="6DBBD45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A0E1D8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936.23</w:t>
            </w:r>
          </w:p>
        </w:tc>
      </w:tr>
      <w:tr w14:paraId="4EE86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054AF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198</w:t>
            </w:r>
          </w:p>
        </w:tc>
        <w:tc>
          <w:tcPr>
            <w:tcW w:w="1623" w:type="dxa"/>
            <w:vAlign w:val="center"/>
          </w:tcPr>
          <w:p w14:paraId="37446FE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1.60多点离焦双效树脂镜片</w:t>
            </w:r>
          </w:p>
        </w:tc>
        <w:tc>
          <w:tcPr>
            <w:tcW w:w="386" w:type="dxa"/>
            <w:vAlign w:val="center"/>
          </w:tcPr>
          <w:p w14:paraId="3CAD61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A19C6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-2.00；膜层：钢化膜A+</w:t>
            </w:r>
          </w:p>
        </w:tc>
        <w:tc>
          <w:tcPr>
            <w:tcW w:w="510" w:type="dxa"/>
            <w:vAlign w:val="center"/>
          </w:tcPr>
          <w:p w14:paraId="1817AA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88FB7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794.2</w:t>
            </w:r>
          </w:p>
        </w:tc>
      </w:tr>
      <w:tr w14:paraId="0E395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E950F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199</w:t>
            </w:r>
          </w:p>
        </w:tc>
        <w:tc>
          <w:tcPr>
            <w:tcW w:w="1623" w:type="dxa"/>
            <w:vAlign w:val="center"/>
          </w:tcPr>
          <w:p w14:paraId="4312430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1.60多点离焦双效树脂镜片</w:t>
            </w:r>
          </w:p>
        </w:tc>
        <w:tc>
          <w:tcPr>
            <w:tcW w:w="386" w:type="dxa"/>
            <w:vAlign w:val="center"/>
          </w:tcPr>
          <w:p w14:paraId="7864D9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E8B94D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-2.00；膜层：钢化膜A+</w:t>
            </w:r>
          </w:p>
        </w:tc>
        <w:tc>
          <w:tcPr>
            <w:tcW w:w="510" w:type="dxa"/>
            <w:vAlign w:val="center"/>
          </w:tcPr>
          <w:p w14:paraId="59D364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651B5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794.2</w:t>
            </w:r>
          </w:p>
        </w:tc>
      </w:tr>
      <w:tr w14:paraId="0C738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61BBE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200</w:t>
            </w:r>
          </w:p>
        </w:tc>
        <w:tc>
          <w:tcPr>
            <w:tcW w:w="1623" w:type="dxa"/>
            <w:vAlign w:val="center"/>
          </w:tcPr>
          <w:p w14:paraId="41B0C08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1.67多点离焦三效树脂镜片</w:t>
            </w:r>
          </w:p>
        </w:tc>
        <w:tc>
          <w:tcPr>
            <w:tcW w:w="386" w:type="dxa"/>
            <w:vAlign w:val="center"/>
          </w:tcPr>
          <w:p w14:paraId="7813DC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A5D76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膜层：钢化膜A+</w:t>
            </w:r>
          </w:p>
        </w:tc>
        <w:tc>
          <w:tcPr>
            <w:tcW w:w="510" w:type="dxa"/>
            <w:vAlign w:val="center"/>
          </w:tcPr>
          <w:p w14:paraId="236915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3BD31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948.5</w:t>
            </w:r>
          </w:p>
        </w:tc>
      </w:tr>
      <w:tr w14:paraId="5F6A2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5E988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201</w:t>
            </w:r>
          </w:p>
        </w:tc>
        <w:tc>
          <w:tcPr>
            <w:tcW w:w="1623" w:type="dxa"/>
            <w:vAlign w:val="center"/>
          </w:tcPr>
          <w:p w14:paraId="5193AA9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1.67多点离焦三效树脂镜片</w:t>
            </w:r>
          </w:p>
        </w:tc>
        <w:tc>
          <w:tcPr>
            <w:tcW w:w="386" w:type="dxa"/>
            <w:vAlign w:val="center"/>
          </w:tcPr>
          <w:p w14:paraId="2969C6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91BFAD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-2.00；膜层：钢化膜A+</w:t>
            </w:r>
          </w:p>
        </w:tc>
        <w:tc>
          <w:tcPr>
            <w:tcW w:w="510" w:type="dxa"/>
            <w:vAlign w:val="center"/>
          </w:tcPr>
          <w:p w14:paraId="31C3409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FE7013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1064.95</w:t>
            </w:r>
          </w:p>
        </w:tc>
      </w:tr>
      <w:tr w14:paraId="712E9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BC6C5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202</w:t>
            </w:r>
          </w:p>
        </w:tc>
        <w:tc>
          <w:tcPr>
            <w:tcW w:w="1623" w:type="dxa"/>
            <w:vAlign w:val="center"/>
          </w:tcPr>
          <w:p w14:paraId="241BF10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1.67多点离焦三效变色树脂镜片</w:t>
            </w:r>
          </w:p>
        </w:tc>
        <w:tc>
          <w:tcPr>
            <w:tcW w:w="386" w:type="dxa"/>
            <w:vAlign w:val="center"/>
          </w:tcPr>
          <w:p w14:paraId="62CF5B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232138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膜层：钢化膜A+</w:t>
            </w:r>
          </w:p>
        </w:tc>
        <w:tc>
          <w:tcPr>
            <w:tcW w:w="510" w:type="dxa"/>
            <w:vAlign w:val="center"/>
          </w:tcPr>
          <w:p w14:paraId="6DBA30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68DF7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1278.7</w:t>
            </w:r>
          </w:p>
        </w:tc>
      </w:tr>
      <w:tr w14:paraId="4F5F9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3003B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203</w:t>
            </w:r>
          </w:p>
        </w:tc>
        <w:tc>
          <w:tcPr>
            <w:tcW w:w="1623" w:type="dxa"/>
            <w:vAlign w:val="center"/>
          </w:tcPr>
          <w:p w14:paraId="138047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1.60多点离焦三效树脂镜片</w:t>
            </w:r>
          </w:p>
        </w:tc>
        <w:tc>
          <w:tcPr>
            <w:tcW w:w="386" w:type="dxa"/>
            <w:vAlign w:val="center"/>
          </w:tcPr>
          <w:p w14:paraId="0DD83A6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CF6397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膜层：钢化膜A+</w:t>
            </w:r>
          </w:p>
        </w:tc>
        <w:tc>
          <w:tcPr>
            <w:tcW w:w="510" w:type="dxa"/>
            <w:vAlign w:val="center"/>
          </w:tcPr>
          <w:p w14:paraId="581473B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8C175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722</w:t>
            </w:r>
          </w:p>
        </w:tc>
      </w:tr>
      <w:tr w14:paraId="1EDFC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0212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204</w:t>
            </w:r>
          </w:p>
        </w:tc>
        <w:tc>
          <w:tcPr>
            <w:tcW w:w="1623" w:type="dxa"/>
            <w:vAlign w:val="center"/>
          </w:tcPr>
          <w:p w14:paraId="45C08BF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1.60多点离焦三效树脂镜片</w:t>
            </w:r>
          </w:p>
        </w:tc>
        <w:tc>
          <w:tcPr>
            <w:tcW w:w="386" w:type="dxa"/>
            <w:vAlign w:val="center"/>
          </w:tcPr>
          <w:p w14:paraId="78A4F0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7BE980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w:t>
            </w:r>
            <w:r>
              <w:rPr>
                <w:rFonts w:hint="eastAsia" w:hAnsi="宋体" w:cs="宋体"/>
                <w:color w:val="auto"/>
                <w:sz w:val="18"/>
                <w:szCs w:val="18"/>
                <w:highlight w:val="none"/>
                <w:lang w:eastAsia="zh-CN"/>
              </w:rPr>
              <w:t>地</w:t>
            </w:r>
            <w:r>
              <w:rPr>
                <w:rFonts w:hint="eastAsia" w:hAnsi="宋体" w:cs="宋体"/>
                <w:color w:val="auto"/>
                <w:sz w:val="18"/>
                <w:szCs w:val="18"/>
                <w:highlight w:val="none"/>
              </w:rPr>
              <w:t>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-4.00；膜层：钢化膜A+</w:t>
            </w:r>
          </w:p>
        </w:tc>
        <w:tc>
          <w:tcPr>
            <w:tcW w:w="510" w:type="dxa"/>
            <w:vAlign w:val="center"/>
          </w:tcPr>
          <w:p w14:paraId="5A6A10C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1504C0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794.2</w:t>
            </w:r>
          </w:p>
        </w:tc>
      </w:tr>
      <w:tr w14:paraId="5876C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658964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205</w:t>
            </w:r>
          </w:p>
        </w:tc>
        <w:tc>
          <w:tcPr>
            <w:tcW w:w="1623" w:type="dxa"/>
            <w:vAlign w:val="center"/>
          </w:tcPr>
          <w:p w14:paraId="00F048C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1.56弱视促轴树脂镜片</w:t>
            </w:r>
          </w:p>
        </w:tc>
        <w:tc>
          <w:tcPr>
            <w:tcW w:w="386" w:type="dxa"/>
            <w:vAlign w:val="center"/>
          </w:tcPr>
          <w:p w14:paraId="6D6687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092BAB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专为远视儿童研发的创新镜片，矫正远视的同时激活眼轴增长，让远视度数越戴越小。适合3-14岁眼球生长发育的远视儿童2.采用周边微透镜阵列远视离焦原理，在镜片中心区域设计矫正视力的屈光度，在周边区域设计-5.00D至-6.00D的周边远视性多点微透镜阵列3.通过树脂材料的选择，采用热固化的工艺进一步有效释放镜片成型过程中产生的内应力，解决镜片的应力问题4.镜片中心区域采用矫正视力屈光度，保障清晰视觉。</w:t>
            </w:r>
            <w:r>
              <w:rPr>
                <w:rFonts w:hint="eastAsia" w:hAnsi="宋体" w:cs="宋体"/>
                <w:color w:val="auto"/>
                <w:sz w:val="18"/>
                <w:szCs w:val="18"/>
                <w:highlight w:val="none"/>
                <w:lang w:eastAsia="zh-CN"/>
              </w:rPr>
              <w:t>周边区域采用等距分布的多点微透镜设计</w:t>
            </w:r>
            <w:r>
              <w:rPr>
                <w:rFonts w:hint="eastAsia" w:hAnsi="宋体" w:cs="宋体"/>
                <w:color w:val="auto"/>
                <w:sz w:val="18"/>
                <w:szCs w:val="18"/>
                <w:highlight w:val="none"/>
              </w:rPr>
              <w:t>，保障佩戴者在不同视角都可以产生远视性离焦5框架眼镜适用范围广，安全性第一、同时易操作、易佩戴，是弱视人群的首选。需要准确的瞳高、瞳距数据，确保精准验配。二、光度范围：球镜：0.00~+5.00，柱镜：0.00~-4.00；膜层：钢化膜A+</w:t>
            </w:r>
          </w:p>
        </w:tc>
        <w:tc>
          <w:tcPr>
            <w:tcW w:w="510" w:type="dxa"/>
            <w:vAlign w:val="center"/>
          </w:tcPr>
          <w:p w14:paraId="2558993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F8F8B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689</w:t>
            </w:r>
          </w:p>
        </w:tc>
      </w:tr>
      <w:tr w14:paraId="5765D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C0EF7C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206</w:t>
            </w:r>
          </w:p>
        </w:tc>
        <w:tc>
          <w:tcPr>
            <w:tcW w:w="1623" w:type="dxa"/>
            <w:vAlign w:val="center"/>
          </w:tcPr>
          <w:p w14:paraId="4D6F207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1.50仿生护眼膜镜片</w:t>
            </w:r>
          </w:p>
        </w:tc>
        <w:tc>
          <w:tcPr>
            <w:tcW w:w="386" w:type="dxa"/>
            <w:vAlign w:val="center"/>
          </w:tcPr>
          <w:p w14:paraId="0C0475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0657E2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采用仿生防眩光镀膜技术</w:t>
            </w:r>
            <w:r>
              <w:rPr>
                <w:rFonts w:hint="eastAsia" w:hAnsi="宋体" w:cs="宋体"/>
                <w:color w:val="auto"/>
                <w:sz w:val="18"/>
                <w:szCs w:val="18"/>
                <w:highlight w:val="none"/>
              </w:rPr>
              <w:t>。2.使光线通过膜层后像水波纹一样，形成树荫般的云膜将眩光变柔和，分解强光，眩光，去除杂光。提供舒适的视野，减少眼睛疲劳感。二、光度范围：球镜-0.00~-6.00，柱镜-0.00~-2.00；膜层：钢化膜A+</w:t>
            </w:r>
          </w:p>
        </w:tc>
        <w:tc>
          <w:tcPr>
            <w:tcW w:w="510" w:type="dxa"/>
            <w:vAlign w:val="center"/>
          </w:tcPr>
          <w:p w14:paraId="50632A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2DBAD66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157</w:t>
            </w:r>
          </w:p>
        </w:tc>
      </w:tr>
      <w:tr w14:paraId="6CE95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18214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207</w:t>
            </w:r>
          </w:p>
        </w:tc>
        <w:tc>
          <w:tcPr>
            <w:tcW w:w="1623" w:type="dxa"/>
            <w:vAlign w:val="center"/>
          </w:tcPr>
          <w:p w14:paraId="2CC32A7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1.50仿生护眼膜镜片</w:t>
            </w:r>
          </w:p>
        </w:tc>
        <w:tc>
          <w:tcPr>
            <w:tcW w:w="386" w:type="dxa"/>
            <w:vAlign w:val="center"/>
          </w:tcPr>
          <w:p w14:paraId="0E2E9E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B0BF61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采用仿生防眩光镀膜技术</w:t>
            </w:r>
            <w:r>
              <w:rPr>
                <w:rFonts w:hint="eastAsia" w:hAnsi="宋体" w:cs="宋体"/>
                <w:color w:val="auto"/>
                <w:sz w:val="18"/>
                <w:szCs w:val="18"/>
                <w:highlight w:val="none"/>
              </w:rPr>
              <w:t>。2.使光线通过膜层后像水波纹一样，形成树荫般的云膜将眩光变柔和，分解强光，眩光，去除杂光。提供舒适的视野，减少眼睛疲劳感。二、光度范围：球镜+8.25~-11.75，柱镜-0.00~-5.00；膜层：钢化膜A+</w:t>
            </w:r>
          </w:p>
        </w:tc>
        <w:tc>
          <w:tcPr>
            <w:tcW w:w="510" w:type="dxa"/>
            <w:vAlign w:val="center"/>
          </w:tcPr>
          <w:p w14:paraId="782CCA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11FB0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219.31</w:t>
            </w:r>
          </w:p>
        </w:tc>
      </w:tr>
      <w:tr w14:paraId="729A7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C45CF3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208</w:t>
            </w:r>
          </w:p>
        </w:tc>
        <w:tc>
          <w:tcPr>
            <w:tcW w:w="1623" w:type="dxa"/>
            <w:vAlign w:val="center"/>
          </w:tcPr>
          <w:p w14:paraId="36A6D78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1.60仿生护眼膜镜片</w:t>
            </w:r>
          </w:p>
        </w:tc>
        <w:tc>
          <w:tcPr>
            <w:tcW w:w="386" w:type="dxa"/>
            <w:vAlign w:val="center"/>
          </w:tcPr>
          <w:p w14:paraId="44F88D5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3B0107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采用仿生防眩光镀膜技术</w:t>
            </w:r>
            <w:r>
              <w:rPr>
                <w:rFonts w:hint="eastAsia" w:hAnsi="宋体" w:cs="宋体"/>
                <w:color w:val="auto"/>
                <w:sz w:val="18"/>
                <w:szCs w:val="18"/>
                <w:highlight w:val="none"/>
              </w:rPr>
              <w:t>。2.使光线通过膜层后像水波纹一样，形成树荫般的云膜将眩光变柔和，分解强光，眩光，去除杂光。提供舒适的视野，减少眼睛疲劳感。二、光度范围：球镜-0.00~-8.00，柱镜-0.00~-2.00；膜层：钢化膜A+</w:t>
            </w:r>
          </w:p>
        </w:tc>
        <w:tc>
          <w:tcPr>
            <w:tcW w:w="510" w:type="dxa"/>
            <w:vAlign w:val="center"/>
          </w:tcPr>
          <w:p w14:paraId="104AF4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BDA0E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351</w:t>
            </w:r>
          </w:p>
        </w:tc>
      </w:tr>
      <w:tr w14:paraId="2D2F3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46FF7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209</w:t>
            </w:r>
          </w:p>
        </w:tc>
        <w:tc>
          <w:tcPr>
            <w:tcW w:w="1623" w:type="dxa"/>
            <w:vAlign w:val="center"/>
          </w:tcPr>
          <w:p w14:paraId="60399B1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1.60仿生护眼膜镜片</w:t>
            </w:r>
          </w:p>
        </w:tc>
        <w:tc>
          <w:tcPr>
            <w:tcW w:w="386" w:type="dxa"/>
            <w:vAlign w:val="center"/>
          </w:tcPr>
          <w:p w14:paraId="399C7D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6B273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采用仿生防眩光镀膜技术</w:t>
            </w:r>
            <w:r>
              <w:rPr>
                <w:rFonts w:hint="eastAsia" w:hAnsi="宋体" w:cs="宋体"/>
                <w:color w:val="auto"/>
                <w:sz w:val="18"/>
                <w:szCs w:val="18"/>
                <w:highlight w:val="none"/>
              </w:rPr>
              <w:t>。2.使光线通过膜层后像水波纹一样，形成树荫般的云膜将眩光变柔和，分解强光，眩光，去除杂光。提供舒适的视野，减少眼睛疲劳感。二、光度范围：球镜+8.25~-16.00，柱镜-0.00~-6.00；膜层：钢化膜A+</w:t>
            </w:r>
          </w:p>
        </w:tc>
        <w:tc>
          <w:tcPr>
            <w:tcW w:w="510" w:type="dxa"/>
            <w:vAlign w:val="center"/>
          </w:tcPr>
          <w:p w14:paraId="56C0AA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9C08B6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423.27</w:t>
            </w:r>
          </w:p>
        </w:tc>
      </w:tr>
      <w:tr w14:paraId="601FC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B2892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210</w:t>
            </w:r>
          </w:p>
        </w:tc>
        <w:tc>
          <w:tcPr>
            <w:tcW w:w="1623" w:type="dxa"/>
            <w:vAlign w:val="center"/>
          </w:tcPr>
          <w:p w14:paraId="7C8D87B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1.67仿生护眼膜镜片</w:t>
            </w:r>
          </w:p>
        </w:tc>
        <w:tc>
          <w:tcPr>
            <w:tcW w:w="386" w:type="dxa"/>
            <w:vAlign w:val="center"/>
          </w:tcPr>
          <w:p w14:paraId="2B05D6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7882EA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采用仿生防眩光镀膜技术</w:t>
            </w:r>
            <w:r>
              <w:rPr>
                <w:rFonts w:hint="eastAsia" w:hAnsi="宋体" w:cs="宋体"/>
                <w:color w:val="auto"/>
                <w:sz w:val="18"/>
                <w:szCs w:val="18"/>
                <w:highlight w:val="none"/>
              </w:rPr>
              <w:t>。2.使光线通过膜层后像水波纹一样，形成树荫般的云膜将眩光变柔和，分解强光，眩光，去除杂光。提供舒适的视野，减少眼睛疲劳感。二、光度范围：球镜-0.00~-10.00，柱镜-0.00~-2.00；膜层：钢化膜A+</w:t>
            </w:r>
          </w:p>
        </w:tc>
        <w:tc>
          <w:tcPr>
            <w:tcW w:w="510" w:type="dxa"/>
            <w:vAlign w:val="center"/>
          </w:tcPr>
          <w:p w14:paraId="67F1AC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5C51D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508.73</w:t>
            </w:r>
          </w:p>
        </w:tc>
      </w:tr>
      <w:tr w14:paraId="41F43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140D1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211</w:t>
            </w:r>
          </w:p>
        </w:tc>
        <w:tc>
          <w:tcPr>
            <w:tcW w:w="1623" w:type="dxa"/>
            <w:vAlign w:val="center"/>
          </w:tcPr>
          <w:p w14:paraId="19714C2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1.67仿生护眼膜镜片</w:t>
            </w:r>
          </w:p>
        </w:tc>
        <w:tc>
          <w:tcPr>
            <w:tcW w:w="386" w:type="dxa"/>
            <w:vAlign w:val="center"/>
          </w:tcPr>
          <w:p w14:paraId="77248C2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84A564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采用仿生防眩光镀膜技术</w:t>
            </w:r>
            <w:r>
              <w:rPr>
                <w:rFonts w:hint="eastAsia" w:hAnsi="宋体" w:cs="宋体"/>
                <w:color w:val="auto"/>
                <w:sz w:val="18"/>
                <w:szCs w:val="18"/>
                <w:highlight w:val="none"/>
              </w:rPr>
              <w:t>。2.使光线通过膜层后像水波纹一样，形成树荫般的云膜将眩光变柔和，分解强光，眩光，去除杂光。提供舒适的视野，减少眼睛疲劳感。二、光度范围：球镜+8.25~-22.00，柱镜-0.00~-7.00；膜层：钢化膜A+</w:t>
            </w:r>
          </w:p>
        </w:tc>
        <w:tc>
          <w:tcPr>
            <w:tcW w:w="510" w:type="dxa"/>
            <w:vAlign w:val="center"/>
          </w:tcPr>
          <w:p w14:paraId="46A999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13B99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612.8</w:t>
            </w:r>
          </w:p>
        </w:tc>
      </w:tr>
      <w:tr w14:paraId="5E157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9CB747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212</w:t>
            </w:r>
          </w:p>
        </w:tc>
        <w:tc>
          <w:tcPr>
            <w:tcW w:w="1623" w:type="dxa"/>
            <w:vAlign w:val="center"/>
          </w:tcPr>
          <w:p w14:paraId="071A291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1.56防蓝光UV++树脂镜片</w:t>
            </w:r>
          </w:p>
        </w:tc>
        <w:tc>
          <w:tcPr>
            <w:tcW w:w="386" w:type="dxa"/>
            <w:vAlign w:val="center"/>
          </w:tcPr>
          <w:p w14:paraId="6E9951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6CE3A5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 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。3.树脂镜片，膜层防水、防污、坚硬耐磨、抗紫外线性能、防蓝光。二、光度范围：球镜+6.00~-6.00，柱镜-0.00~-2.00；膜层：钢化膜A+</w:t>
            </w:r>
          </w:p>
        </w:tc>
        <w:tc>
          <w:tcPr>
            <w:tcW w:w="510" w:type="dxa"/>
            <w:vAlign w:val="center"/>
          </w:tcPr>
          <w:p w14:paraId="610044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D5317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90</w:t>
            </w:r>
          </w:p>
        </w:tc>
      </w:tr>
      <w:tr w14:paraId="10201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D8D81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213</w:t>
            </w:r>
          </w:p>
        </w:tc>
        <w:tc>
          <w:tcPr>
            <w:tcW w:w="1623" w:type="dxa"/>
            <w:vAlign w:val="center"/>
          </w:tcPr>
          <w:p w14:paraId="47BADC8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1.56防蓝光UV++树脂镜片</w:t>
            </w:r>
          </w:p>
        </w:tc>
        <w:tc>
          <w:tcPr>
            <w:tcW w:w="386" w:type="dxa"/>
            <w:vAlign w:val="center"/>
          </w:tcPr>
          <w:p w14:paraId="7A48B0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590D0C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 光度范围：球镜+5.00~-12.00，柱镜-0.00~-6.00；膜层：钢化膜A+</w:t>
            </w:r>
          </w:p>
        </w:tc>
        <w:tc>
          <w:tcPr>
            <w:tcW w:w="510" w:type="dxa"/>
            <w:vAlign w:val="center"/>
          </w:tcPr>
          <w:p w14:paraId="0CDB4B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FD370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194</w:t>
            </w:r>
          </w:p>
        </w:tc>
      </w:tr>
      <w:tr w14:paraId="259E0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9161F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214</w:t>
            </w:r>
          </w:p>
        </w:tc>
        <w:tc>
          <w:tcPr>
            <w:tcW w:w="1623" w:type="dxa"/>
            <w:vAlign w:val="center"/>
          </w:tcPr>
          <w:p w14:paraId="6BC5D41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1.60防蓝光UV++树脂镜片</w:t>
            </w:r>
          </w:p>
        </w:tc>
        <w:tc>
          <w:tcPr>
            <w:tcW w:w="386" w:type="dxa"/>
            <w:vAlign w:val="center"/>
          </w:tcPr>
          <w:p w14:paraId="639FF7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D16DDB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 光度范围：球镜+6.00~-10.00，柱镜-0.00~-2.00；膜层：钢化膜A+</w:t>
            </w:r>
          </w:p>
        </w:tc>
        <w:tc>
          <w:tcPr>
            <w:tcW w:w="510" w:type="dxa"/>
            <w:vAlign w:val="center"/>
          </w:tcPr>
          <w:p w14:paraId="40E6C80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74EAA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154.5</w:t>
            </w:r>
          </w:p>
        </w:tc>
      </w:tr>
      <w:tr w14:paraId="2D964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1557E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215</w:t>
            </w:r>
          </w:p>
        </w:tc>
        <w:tc>
          <w:tcPr>
            <w:tcW w:w="1623" w:type="dxa"/>
            <w:vAlign w:val="center"/>
          </w:tcPr>
          <w:p w14:paraId="515C04A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1.60防蓝光UV++树脂镜片</w:t>
            </w:r>
          </w:p>
        </w:tc>
        <w:tc>
          <w:tcPr>
            <w:tcW w:w="386" w:type="dxa"/>
            <w:vAlign w:val="center"/>
          </w:tcPr>
          <w:p w14:paraId="232AC9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DD9F4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 光度范围：球镜+8.00~-14.00，柱镜-0.00~-6.00；膜层：钢化膜A+</w:t>
            </w:r>
          </w:p>
        </w:tc>
        <w:tc>
          <w:tcPr>
            <w:tcW w:w="510" w:type="dxa"/>
            <w:vAlign w:val="center"/>
          </w:tcPr>
          <w:p w14:paraId="4988F54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726EB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248</w:t>
            </w:r>
          </w:p>
        </w:tc>
      </w:tr>
      <w:tr w14:paraId="23680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FA48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216</w:t>
            </w:r>
          </w:p>
        </w:tc>
        <w:tc>
          <w:tcPr>
            <w:tcW w:w="1623" w:type="dxa"/>
            <w:vAlign w:val="center"/>
          </w:tcPr>
          <w:p w14:paraId="42D3E4D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1.67防蓝光UV++树脂镜片</w:t>
            </w:r>
          </w:p>
        </w:tc>
        <w:tc>
          <w:tcPr>
            <w:tcW w:w="386" w:type="dxa"/>
            <w:vAlign w:val="center"/>
          </w:tcPr>
          <w:p w14:paraId="03D032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8545CC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 光度范围：球镜+8.00~-20.00，柱镜-0.00~-6.00；膜层：钢化膜A+</w:t>
            </w:r>
          </w:p>
        </w:tc>
        <w:tc>
          <w:tcPr>
            <w:tcW w:w="510" w:type="dxa"/>
            <w:vAlign w:val="center"/>
          </w:tcPr>
          <w:p w14:paraId="0EB92F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20493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275</w:t>
            </w:r>
          </w:p>
        </w:tc>
      </w:tr>
      <w:tr w14:paraId="2D48A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888EC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217</w:t>
            </w:r>
          </w:p>
        </w:tc>
        <w:tc>
          <w:tcPr>
            <w:tcW w:w="1623" w:type="dxa"/>
            <w:vAlign w:val="center"/>
          </w:tcPr>
          <w:p w14:paraId="28E468E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1.74防蓝光UV++树脂镜片</w:t>
            </w:r>
          </w:p>
        </w:tc>
        <w:tc>
          <w:tcPr>
            <w:tcW w:w="386" w:type="dxa"/>
            <w:vAlign w:val="center"/>
          </w:tcPr>
          <w:p w14:paraId="71043A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ECBEFB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 光度范围：球镜+8.00~-20.00，柱镜-0.00~-6.00；膜层：钢化膜A+</w:t>
            </w:r>
          </w:p>
        </w:tc>
        <w:tc>
          <w:tcPr>
            <w:tcW w:w="510" w:type="dxa"/>
            <w:vAlign w:val="center"/>
          </w:tcPr>
          <w:p w14:paraId="35D4B0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6C63E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761.43</w:t>
            </w:r>
          </w:p>
        </w:tc>
      </w:tr>
      <w:tr w14:paraId="14CE7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98253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218</w:t>
            </w:r>
          </w:p>
        </w:tc>
        <w:tc>
          <w:tcPr>
            <w:tcW w:w="1623" w:type="dxa"/>
            <w:vAlign w:val="center"/>
          </w:tcPr>
          <w:p w14:paraId="71FCF86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1.56防蓝光UV++抗疲劳树脂镜片</w:t>
            </w:r>
          </w:p>
        </w:tc>
        <w:tc>
          <w:tcPr>
            <w:tcW w:w="386" w:type="dxa"/>
            <w:vAlign w:val="center"/>
          </w:tcPr>
          <w:p w14:paraId="3496983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E9985E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。3.树脂镜片，膜层防水、防污、坚硬耐磨、抗紫外线性能、防蓝光。二、光度范围：球镜+8.00~-10.00，柱镜-0.00~-4.00；膜层：钢化膜A+</w:t>
            </w:r>
          </w:p>
        </w:tc>
        <w:tc>
          <w:tcPr>
            <w:tcW w:w="510" w:type="dxa"/>
            <w:vAlign w:val="center"/>
          </w:tcPr>
          <w:p w14:paraId="73C2CD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786552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203.06</w:t>
            </w:r>
          </w:p>
        </w:tc>
      </w:tr>
      <w:tr w14:paraId="1831D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E19F27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219</w:t>
            </w:r>
          </w:p>
        </w:tc>
        <w:tc>
          <w:tcPr>
            <w:tcW w:w="1623" w:type="dxa"/>
            <w:vAlign w:val="center"/>
          </w:tcPr>
          <w:p w14:paraId="333EAB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1.60防蓝光UV++抗疲劳树脂镜片</w:t>
            </w:r>
          </w:p>
        </w:tc>
        <w:tc>
          <w:tcPr>
            <w:tcW w:w="386" w:type="dxa"/>
            <w:vAlign w:val="center"/>
          </w:tcPr>
          <w:p w14:paraId="527E9FD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8955BD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快速适应性，无论新用户以前是否进行过视力矫正。宽阔的原句视域，在驾驶、走路或进行动态活动时提供自然视觉。2良好的近视域，阅读或使用电脑工作时能够舒适自如，减少了适应时间，将宽阔的近用区和像散现象考虑在内 。3.树脂镜片，膜层防水、防污、坚硬耐磨、抗紫外线性能、防蓝光。二、光度范围：球镜+8.00~-10.00，柱镜-0.00~-4.00；膜层：钢化膜A+</w:t>
            </w:r>
          </w:p>
        </w:tc>
        <w:tc>
          <w:tcPr>
            <w:tcW w:w="510" w:type="dxa"/>
            <w:vAlign w:val="center"/>
          </w:tcPr>
          <w:p w14:paraId="711409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A53C47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284.29</w:t>
            </w:r>
          </w:p>
        </w:tc>
      </w:tr>
      <w:tr w14:paraId="06EA2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1FF43A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220</w:t>
            </w:r>
          </w:p>
        </w:tc>
        <w:tc>
          <w:tcPr>
            <w:tcW w:w="1623" w:type="dxa"/>
            <w:vAlign w:val="center"/>
          </w:tcPr>
          <w:p w14:paraId="17062D3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1.67防蓝光UV++抗疲劳树脂镜片</w:t>
            </w:r>
            <w:bookmarkStart w:id="46" w:name="修改3"/>
            <w:bookmarkEnd w:id="46"/>
          </w:p>
        </w:tc>
        <w:tc>
          <w:tcPr>
            <w:tcW w:w="386" w:type="dxa"/>
            <w:vAlign w:val="center"/>
          </w:tcPr>
          <w:p w14:paraId="563C3CF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60E42F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 xml:space="preserve">一、性能特点:1、快速适应性，无论新用户以前是否进行过视力矫正。宽阔的原句视域，在驾驶、走路或进行动态活动时提供自然视觉。 2良好的近视域，阅读或使用电脑工作时能够舒适自如，减少了适应时间，将宽阔的近用区和像散现象考虑在内。3.树脂镜片，膜层防水、防污、坚硬耐磨、抗紫外线性能、防蓝光。二、光度范围:球镜+8.00~-10.00,柱镜-0.00~-4.00;膜层:钢化膜A+ </w:t>
            </w:r>
          </w:p>
        </w:tc>
        <w:tc>
          <w:tcPr>
            <w:tcW w:w="510" w:type="dxa"/>
            <w:vAlign w:val="center"/>
          </w:tcPr>
          <w:p w14:paraId="541B6D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B12EB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512.05</w:t>
            </w:r>
          </w:p>
        </w:tc>
      </w:tr>
      <w:tr w14:paraId="5EA03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9D321D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221</w:t>
            </w:r>
          </w:p>
        </w:tc>
        <w:tc>
          <w:tcPr>
            <w:tcW w:w="1623" w:type="dxa"/>
            <w:vAlign w:val="center"/>
          </w:tcPr>
          <w:p w14:paraId="476DCB0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1.56防蓝光UV++内渐进树脂镜片</w:t>
            </w:r>
          </w:p>
        </w:tc>
        <w:tc>
          <w:tcPr>
            <w:tcW w:w="386" w:type="dxa"/>
            <w:vAlign w:val="center"/>
          </w:tcPr>
          <w:p w14:paraId="475461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6E37AC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。4.树脂镜片，膜层易清洁、防污、耐磨、防静电，防蓝光。二、光度范围：球镜+8.00~-8.00，柱镜-0.00~-4.00，add:+0.75--+3.50；膜层：钢化膜A+</w:t>
            </w:r>
          </w:p>
        </w:tc>
        <w:tc>
          <w:tcPr>
            <w:tcW w:w="510" w:type="dxa"/>
            <w:vAlign w:val="center"/>
          </w:tcPr>
          <w:p w14:paraId="564DF44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478299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268.04</w:t>
            </w:r>
          </w:p>
        </w:tc>
      </w:tr>
      <w:tr w14:paraId="004FC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06AA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222</w:t>
            </w:r>
          </w:p>
        </w:tc>
        <w:tc>
          <w:tcPr>
            <w:tcW w:w="1623" w:type="dxa"/>
            <w:vAlign w:val="center"/>
          </w:tcPr>
          <w:p w14:paraId="6F255CE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1.60防蓝光UV++内渐进树脂镜片</w:t>
            </w:r>
          </w:p>
        </w:tc>
        <w:tc>
          <w:tcPr>
            <w:tcW w:w="386" w:type="dxa"/>
            <w:vAlign w:val="center"/>
          </w:tcPr>
          <w:p w14:paraId="68E014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52F963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。4.树脂镜片，膜层易清洁、防污、耐磨、防静电，防蓝光。二、光度范围：球镜+8.00~-8.00，柱镜-0.00~-4.00，add:+0.75--+3.50；膜层：钢化膜A+</w:t>
            </w:r>
          </w:p>
        </w:tc>
        <w:tc>
          <w:tcPr>
            <w:tcW w:w="510" w:type="dxa"/>
            <w:vAlign w:val="center"/>
          </w:tcPr>
          <w:p w14:paraId="243FD20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FC342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387.17</w:t>
            </w:r>
          </w:p>
        </w:tc>
      </w:tr>
      <w:tr w14:paraId="2A6A3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D988C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223</w:t>
            </w:r>
          </w:p>
        </w:tc>
        <w:tc>
          <w:tcPr>
            <w:tcW w:w="1623" w:type="dxa"/>
            <w:vAlign w:val="center"/>
          </w:tcPr>
          <w:p w14:paraId="313F42A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1.67防蓝光UV++内渐进树脂镜片</w:t>
            </w:r>
          </w:p>
        </w:tc>
        <w:tc>
          <w:tcPr>
            <w:tcW w:w="386" w:type="dxa"/>
            <w:vAlign w:val="center"/>
          </w:tcPr>
          <w:p w14:paraId="4F6401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C8B779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一、性能特点：1.根据青少年心理和生理特点设计的渐进片，短过渡通道，</w:t>
            </w:r>
            <w:r>
              <w:rPr>
                <w:rFonts w:hint="eastAsia" w:hAnsi="宋体" w:cs="宋体"/>
                <w:color w:val="auto"/>
                <w:sz w:val="18"/>
                <w:szCs w:val="18"/>
                <w:highlight w:val="none"/>
                <w:lang w:eastAsia="zh-CN"/>
              </w:rPr>
              <w:t>使</w:t>
            </w:r>
            <w:r>
              <w:rPr>
                <w:rFonts w:hint="eastAsia" w:hAnsi="宋体" w:cs="宋体"/>
                <w:color w:val="auto"/>
                <w:sz w:val="18"/>
                <w:szCs w:val="18"/>
                <w:highlight w:val="none"/>
              </w:rPr>
              <w:t>青少年能在近距离阅读时充分利用下</w:t>
            </w:r>
            <w:r>
              <w:rPr>
                <w:rFonts w:hint="eastAsia" w:hAnsi="宋体" w:cs="宋体"/>
                <w:color w:val="auto"/>
                <w:sz w:val="18"/>
                <w:szCs w:val="18"/>
                <w:highlight w:val="none"/>
                <w:lang w:eastAsia="zh-CN"/>
              </w:rPr>
              <w:t>角</w:t>
            </w:r>
            <w:r>
              <w:rPr>
                <w:rFonts w:hint="eastAsia" w:hAnsi="宋体" w:cs="宋体"/>
                <w:color w:val="auto"/>
                <w:sz w:val="18"/>
                <w:szCs w:val="18"/>
                <w:highlight w:val="none"/>
              </w:rPr>
              <w:t>光区域，符合用眼习惯。2.宽阔的远用光区，符合近视青少年看黑板、运动时对宽阔视野的要求。3.容易适应的边缘像散，促使青少年长期保持正确的坐姿使用产品，养成良好的用眼习惯 。4.树脂镜片，膜层易清洁、防污、耐磨、防静电，防蓝光。二、光度范围：球镜+8.00~-10.00，柱镜-0.00~-4.00，add:+0.75--+3.50；膜层：钢化膜A+</w:t>
            </w:r>
          </w:p>
        </w:tc>
        <w:tc>
          <w:tcPr>
            <w:tcW w:w="510" w:type="dxa"/>
            <w:vAlign w:val="center"/>
          </w:tcPr>
          <w:p w14:paraId="62474E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3EFB74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514.43</w:t>
            </w:r>
          </w:p>
        </w:tc>
      </w:tr>
      <w:tr w14:paraId="572A0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573A2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224</w:t>
            </w:r>
          </w:p>
        </w:tc>
        <w:tc>
          <w:tcPr>
            <w:tcW w:w="1623" w:type="dxa"/>
            <w:vAlign w:val="center"/>
          </w:tcPr>
          <w:p w14:paraId="0A0A4CA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1.56360抗疲劳树脂镜片</w:t>
            </w:r>
          </w:p>
        </w:tc>
        <w:tc>
          <w:tcPr>
            <w:tcW w:w="386" w:type="dxa"/>
            <w:vAlign w:val="center"/>
          </w:tcPr>
          <w:p w14:paraId="769111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55C4FB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二、光度范围：球镜+8.00~-10.00，柱镜-0.00~-4.00；膜层：钢化膜A+</w:t>
            </w:r>
          </w:p>
        </w:tc>
        <w:tc>
          <w:tcPr>
            <w:tcW w:w="510" w:type="dxa"/>
            <w:vAlign w:val="center"/>
          </w:tcPr>
          <w:p w14:paraId="373BAF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3078A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186.37</w:t>
            </w:r>
          </w:p>
        </w:tc>
      </w:tr>
      <w:tr w14:paraId="07A56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C56260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225</w:t>
            </w:r>
          </w:p>
        </w:tc>
        <w:tc>
          <w:tcPr>
            <w:tcW w:w="1623" w:type="dxa"/>
            <w:vAlign w:val="center"/>
          </w:tcPr>
          <w:p w14:paraId="7AACB75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1.60360抗疲劳树脂镜片</w:t>
            </w:r>
          </w:p>
        </w:tc>
        <w:tc>
          <w:tcPr>
            <w:tcW w:w="386" w:type="dxa"/>
            <w:vAlign w:val="center"/>
          </w:tcPr>
          <w:p w14:paraId="653B60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2A376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二、光度范围：球镜+8.00~-10.00，柱镜-0.00~-4.00；膜层：钢化膜A+</w:t>
            </w:r>
          </w:p>
        </w:tc>
        <w:tc>
          <w:tcPr>
            <w:tcW w:w="510" w:type="dxa"/>
            <w:vAlign w:val="center"/>
          </w:tcPr>
          <w:p w14:paraId="5229EC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65D6C2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2439C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653389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226</w:t>
            </w:r>
          </w:p>
        </w:tc>
        <w:tc>
          <w:tcPr>
            <w:tcW w:w="1623" w:type="dxa"/>
            <w:vAlign w:val="center"/>
          </w:tcPr>
          <w:p w14:paraId="1A32AEA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1.67360抗疲劳树脂镜片</w:t>
            </w:r>
          </w:p>
        </w:tc>
        <w:tc>
          <w:tcPr>
            <w:tcW w:w="386" w:type="dxa"/>
            <w:vAlign w:val="center"/>
          </w:tcPr>
          <w:p w14:paraId="2A2101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01FA5E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二、光度范围：球镜+8.00~-10.00，柱镜-0.00~-4.00；膜层：钢化膜A+</w:t>
            </w:r>
          </w:p>
        </w:tc>
        <w:tc>
          <w:tcPr>
            <w:tcW w:w="510" w:type="dxa"/>
            <w:vAlign w:val="center"/>
          </w:tcPr>
          <w:p w14:paraId="7FC74E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49D627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360.1</w:t>
            </w:r>
          </w:p>
        </w:tc>
      </w:tr>
      <w:tr w14:paraId="3821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7B3ED3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227</w:t>
            </w:r>
          </w:p>
        </w:tc>
        <w:tc>
          <w:tcPr>
            <w:tcW w:w="1623" w:type="dxa"/>
            <w:vAlign w:val="center"/>
          </w:tcPr>
          <w:p w14:paraId="0505E0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1.74360抗疲劳树脂镜片</w:t>
            </w:r>
          </w:p>
        </w:tc>
        <w:tc>
          <w:tcPr>
            <w:tcW w:w="386" w:type="dxa"/>
            <w:vAlign w:val="center"/>
          </w:tcPr>
          <w:p w14:paraId="109A18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EC347C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二、光度范围：球镜+8.00~-10.00，柱镜-0.00~-4.00；膜层：钢化膜A+</w:t>
            </w:r>
          </w:p>
        </w:tc>
        <w:tc>
          <w:tcPr>
            <w:tcW w:w="510" w:type="dxa"/>
            <w:vAlign w:val="center"/>
          </w:tcPr>
          <w:p w14:paraId="0940C9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5D0C42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663</w:t>
            </w:r>
          </w:p>
        </w:tc>
      </w:tr>
      <w:tr w14:paraId="16AB2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59764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228</w:t>
            </w:r>
          </w:p>
        </w:tc>
        <w:tc>
          <w:tcPr>
            <w:tcW w:w="1623" w:type="dxa"/>
            <w:vAlign w:val="center"/>
          </w:tcPr>
          <w:p w14:paraId="54C38A1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1.50360无龄感办公型树脂镜片</w:t>
            </w:r>
          </w:p>
        </w:tc>
        <w:tc>
          <w:tcPr>
            <w:tcW w:w="386" w:type="dxa"/>
            <w:vAlign w:val="center"/>
          </w:tcPr>
          <w:p w14:paraId="2F94F4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B2BE25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一、性能特点：电脑专用镜片。 为希望提高办公效率的戴镜者设计的电脑专用镜片，轻易切换数码屏幕，提供更宽的中近距离视野 1.为长时间近距离用眼需求的戴镜者缓解视觉疲劳。2.符合人体工学，无需使用者刻意改变原有戴镜习惯。 3.根据微波动原理，代偿调节动力，易适应。 4.光学设置，看远清晰，看近舒适。5.膜层特性：全新膜层、耐用、易清洁、耐刮花、耐油污、防尘。二、光度范围：球镜-0.00~-5.50，柱镜无；膜层：钢化膜A+</w:t>
            </w:r>
          </w:p>
        </w:tc>
        <w:tc>
          <w:tcPr>
            <w:tcW w:w="510" w:type="dxa"/>
            <w:vAlign w:val="center"/>
          </w:tcPr>
          <w:p w14:paraId="7532FF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CE5C98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165</w:t>
            </w:r>
          </w:p>
        </w:tc>
      </w:tr>
      <w:tr w14:paraId="18E56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41C24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229</w:t>
            </w:r>
          </w:p>
        </w:tc>
        <w:tc>
          <w:tcPr>
            <w:tcW w:w="1623" w:type="dxa"/>
            <w:vAlign w:val="center"/>
          </w:tcPr>
          <w:p w14:paraId="020B11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1.50360无龄感办公型树脂镜片</w:t>
            </w:r>
          </w:p>
        </w:tc>
        <w:tc>
          <w:tcPr>
            <w:tcW w:w="386" w:type="dxa"/>
            <w:vAlign w:val="center"/>
          </w:tcPr>
          <w:p w14:paraId="2124ED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905419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一、性能特点：电脑专用镜片。 为希望提高办公效率的戴镜者设计的电脑专用镜片，轻易切换数码屏幕，提供更宽的中近距离视野 1.为长时间近距离用眼需求的戴镜者缓解视觉疲劳。2.符合人体工学，无需使用者刻意改变原有戴镜习惯。 3.根据微波动原理，代偿调节动力，易适应。 4.光学设置，看远清晰，看近舒适。5.膜层特性：全新膜层、耐用、易清洁、耐刮花、耐油污、防尘。二、光度范围：球镜+6.00~-10.00，柱镜-0.00~-4.00；膜层：钢化膜A+</w:t>
            </w:r>
          </w:p>
        </w:tc>
        <w:tc>
          <w:tcPr>
            <w:tcW w:w="510" w:type="dxa"/>
            <w:vAlign w:val="center"/>
          </w:tcPr>
          <w:p w14:paraId="42D023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9B39E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186.37</w:t>
            </w:r>
          </w:p>
        </w:tc>
      </w:tr>
      <w:tr w14:paraId="2A91D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E23559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230</w:t>
            </w:r>
          </w:p>
        </w:tc>
        <w:tc>
          <w:tcPr>
            <w:tcW w:w="1623" w:type="dxa"/>
            <w:vAlign w:val="center"/>
          </w:tcPr>
          <w:p w14:paraId="3CFC480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1.56360无龄感办公型树脂镜片</w:t>
            </w:r>
          </w:p>
        </w:tc>
        <w:tc>
          <w:tcPr>
            <w:tcW w:w="386" w:type="dxa"/>
            <w:vAlign w:val="center"/>
          </w:tcPr>
          <w:p w14:paraId="19D1E46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3687A9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一、性能特点：电脑专用镜片。 为希望提高办公效率的戴镜者设计的电脑专用镜片，轻易切换数码屏幕，提供更宽的中近距离视野 1.为长时间近距离用眼需求的戴镜者缓解视觉疲劳。2.符合人体工学，无需使用者刻意改变原有戴镜习惯。 3.根据微波动原理，代偿调节动力，易适应。 4.光学设置，看远清晰，看近舒适。5.膜层特性：全新膜层、耐用、易清洁、耐刮花、耐油污、防尘。二、光度范围：球镜-0.00~-5.50，柱镜无；膜层：钢化膜A+</w:t>
            </w:r>
          </w:p>
        </w:tc>
        <w:tc>
          <w:tcPr>
            <w:tcW w:w="510" w:type="dxa"/>
            <w:vAlign w:val="center"/>
          </w:tcPr>
          <w:p w14:paraId="1C36FD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BC5E6A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w:t>
            </w:r>
          </w:p>
        </w:tc>
      </w:tr>
      <w:tr w14:paraId="5C9C1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BC7AEA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231</w:t>
            </w:r>
          </w:p>
        </w:tc>
        <w:tc>
          <w:tcPr>
            <w:tcW w:w="1623" w:type="dxa"/>
            <w:vAlign w:val="center"/>
          </w:tcPr>
          <w:p w14:paraId="4AA3C5E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1.56360无龄感办公型树脂镜片</w:t>
            </w:r>
          </w:p>
        </w:tc>
        <w:tc>
          <w:tcPr>
            <w:tcW w:w="386" w:type="dxa"/>
            <w:vAlign w:val="center"/>
          </w:tcPr>
          <w:p w14:paraId="5892A32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82836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一、性能特点：电脑专用镜片。 为希望提高办公效率的戴镜者设计的电脑专用镜片，轻易切换数码屏幕，提供更宽的中近距离视野 1.为长时间近距离用眼需求的戴镜者缓解视觉疲劳。2.符合人体工学，无需使用者刻意改变原有戴镜习惯。 3.根据微波动原理，代偿调节动力，易适应。 4.光学设置，看远清晰，看近舒适。5.膜层特性：全新膜层、耐用、易清洁、耐刮花、耐油污、防尘。二、光度范围：球镜+6.00~-10.00，柱镜-0.00~-4.00；膜层：钢化膜A+</w:t>
            </w:r>
          </w:p>
        </w:tc>
        <w:tc>
          <w:tcPr>
            <w:tcW w:w="510" w:type="dxa"/>
            <w:vAlign w:val="center"/>
          </w:tcPr>
          <w:p w14:paraId="32003F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2899D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265.34</w:t>
            </w:r>
          </w:p>
        </w:tc>
      </w:tr>
      <w:tr w14:paraId="62D79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2633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232</w:t>
            </w:r>
          </w:p>
        </w:tc>
        <w:tc>
          <w:tcPr>
            <w:tcW w:w="1623" w:type="dxa"/>
            <w:vAlign w:val="center"/>
          </w:tcPr>
          <w:p w14:paraId="1922F8C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1.60360无龄感办公型树脂镜片</w:t>
            </w:r>
          </w:p>
        </w:tc>
        <w:tc>
          <w:tcPr>
            <w:tcW w:w="386" w:type="dxa"/>
            <w:vAlign w:val="center"/>
          </w:tcPr>
          <w:p w14:paraId="08E5685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E3EA0D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一、性能特点：电脑专用镜片。 为希望提高办公效率的戴镜者设计的电脑专用镜片，轻易切换数码屏幕，提供更宽的中近距离视野 1.为长时间近距离用眼需求的戴镜者缓解视觉疲劳。2.符合人体工学，无需使用者刻意改变原有戴镜习惯。 3.根据微波动原理，代偿调节动力，易适应。 4.光学设置，看远清晰，看近舒适。5.膜层特性：全新膜层、耐用、易清洁、耐刮花、耐油污、防尘。二、光度范围：球镜+6.00~-10.00，柱镜-0.00~-4.00；膜层：钢化膜A+</w:t>
            </w:r>
          </w:p>
        </w:tc>
        <w:tc>
          <w:tcPr>
            <w:tcW w:w="510" w:type="dxa"/>
            <w:vAlign w:val="center"/>
          </w:tcPr>
          <w:p w14:paraId="500AE9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B6B617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360.1</w:t>
            </w:r>
          </w:p>
        </w:tc>
      </w:tr>
      <w:tr w14:paraId="72EDC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3B352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233</w:t>
            </w:r>
          </w:p>
        </w:tc>
        <w:tc>
          <w:tcPr>
            <w:tcW w:w="1623" w:type="dxa"/>
            <w:vAlign w:val="center"/>
          </w:tcPr>
          <w:p w14:paraId="631C257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1.67360无龄感办公型树脂镜片</w:t>
            </w:r>
          </w:p>
        </w:tc>
        <w:tc>
          <w:tcPr>
            <w:tcW w:w="386" w:type="dxa"/>
            <w:vAlign w:val="center"/>
          </w:tcPr>
          <w:p w14:paraId="3AC1920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0AE316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一、性能特点：电脑专用镜片。 为希望提高办公效率的戴镜者设计的电脑专用镜片，轻易切换数码屏幕，提供更宽的中近距离视野 1.为长时间近距离用眼需求的戴镜者缓解视觉疲劳。2.符合人体工学，无需使用者刻意改变原有戴镜习惯。 3.根据微波动原理，代偿调节动力，易适应。 4.光学设置，看远清晰，看近舒适。5.膜层特性：全新膜层、耐用、易清洁、耐刮花、耐油污、防尘。二、光度范围：球镜+6.00~-10.00，柱镜-0.00~-4.00；膜层：钢化膜A+</w:t>
            </w:r>
          </w:p>
        </w:tc>
        <w:tc>
          <w:tcPr>
            <w:tcW w:w="510" w:type="dxa"/>
            <w:vAlign w:val="center"/>
          </w:tcPr>
          <w:p w14:paraId="316CC55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54ADFC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612.8</w:t>
            </w:r>
          </w:p>
        </w:tc>
      </w:tr>
      <w:tr w14:paraId="09531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B62D2E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234</w:t>
            </w:r>
          </w:p>
        </w:tc>
        <w:tc>
          <w:tcPr>
            <w:tcW w:w="1623" w:type="dxa"/>
            <w:vAlign w:val="center"/>
          </w:tcPr>
          <w:p w14:paraId="339D21A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1.56智能商务树脂镜片</w:t>
            </w:r>
          </w:p>
        </w:tc>
        <w:tc>
          <w:tcPr>
            <w:tcW w:w="386" w:type="dxa"/>
            <w:vAlign w:val="center"/>
          </w:tcPr>
          <w:p w14:paraId="4DE9944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528307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双核智能成像技术，成像精准，视觉清晰，在视近区域减少60%的度数误差和散光。全角度减反射技术和智能蓝光捕捉技术，精准聚焦技术可以有效地缓解使用数码产品带来的视疲劳，双面紫外线防护、耐刮划、防水、防尘、耐污，防像差，全场景，防紫外线。二、 光度范围：球镜+6.00~-6.00，柱镜-0.00~-2.00；膜层：钢化膜A+</w:t>
            </w:r>
          </w:p>
        </w:tc>
        <w:tc>
          <w:tcPr>
            <w:tcW w:w="510" w:type="dxa"/>
            <w:vAlign w:val="center"/>
          </w:tcPr>
          <w:p w14:paraId="70BBCE2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18835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133.57</w:t>
            </w:r>
          </w:p>
        </w:tc>
      </w:tr>
      <w:tr w14:paraId="4DA74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F6D0DD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235</w:t>
            </w:r>
          </w:p>
        </w:tc>
        <w:tc>
          <w:tcPr>
            <w:tcW w:w="1623" w:type="dxa"/>
            <w:vAlign w:val="center"/>
          </w:tcPr>
          <w:p w14:paraId="30725A1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1.56智能商务树脂镜片</w:t>
            </w:r>
          </w:p>
        </w:tc>
        <w:tc>
          <w:tcPr>
            <w:tcW w:w="386" w:type="dxa"/>
            <w:vAlign w:val="center"/>
          </w:tcPr>
          <w:p w14:paraId="2916EFD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6F47BA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双核智能成像技术，成像精准，视觉清晰，在视近区域减少60%的度数误差和散光。全角度减反射技术和智能蓝光捕捉技术，精准聚焦技术可以有效地缓解使用数码产品带来的视疲劳，双面紫外线防护、耐刮划、防水、防尘、耐污防像差，全场景，防紫外线。二、二、 光度范围：球镜+6.00~-20.00，柱镜-0.00~-6.00；膜层：钢化膜A+</w:t>
            </w:r>
          </w:p>
        </w:tc>
        <w:tc>
          <w:tcPr>
            <w:tcW w:w="510" w:type="dxa"/>
            <w:vAlign w:val="center"/>
          </w:tcPr>
          <w:p w14:paraId="78838A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66D588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170.57</w:t>
            </w:r>
          </w:p>
        </w:tc>
      </w:tr>
      <w:tr w14:paraId="05710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6BEEB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236</w:t>
            </w:r>
          </w:p>
        </w:tc>
        <w:tc>
          <w:tcPr>
            <w:tcW w:w="1623" w:type="dxa"/>
            <w:vAlign w:val="center"/>
          </w:tcPr>
          <w:p w14:paraId="07E1F2E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1.56智能商务（变色）树脂镜片</w:t>
            </w:r>
          </w:p>
        </w:tc>
        <w:tc>
          <w:tcPr>
            <w:tcW w:w="386" w:type="dxa"/>
            <w:vAlign w:val="center"/>
          </w:tcPr>
          <w:p w14:paraId="778F0ED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699883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树脂镜片，膜层易清洁、防污、耐磨、防蓝光、防静电防像差，全场景，防紫外线。二、 光度范围：球镜+6.00~-6.00，柱镜-0.00~-2.00；膜层：钢化膜A+</w:t>
            </w:r>
          </w:p>
        </w:tc>
        <w:tc>
          <w:tcPr>
            <w:tcW w:w="510" w:type="dxa"/>
            <w:vAlign w:val="center"/>
          </w:tcPr>
          <w:p w14:paraId="5C2DF9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5C9BCD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160</w:t>
            </w:r>
          </w:p>
        </w:tc>
      </w:tr>
      <w:tr w14:paraId="22810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9076F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237</w:t>
            </w:r>
          </w:p>
        </w:tc>
        <w:tc>
          <w:tcPr>
            <w:tcW w:w="1623" w:type="dxa"/>
            <w:vAlign w:val="center"/>
          </w:tcPr>
          <w:p w14:paraId="53A1EDC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1.56智能商务（变色）树脂镜片</w:t>
            </w:r>
          </w:p>
        </w:tc>
        <w:tc>
          <w:tcPr>
            <w:tcW w:w="386" w:type="dxa"/>
            <w:vAlign w:val="center"/>
          </w:tcPr>
          <w:p w14:paraId="030ED8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F5C748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树脂镜片，膜层易清洁、防污、耐磨、防蓝光、防静电。二、光度范围：球镜+6.00~-20.00，柱镜-0.00~-6.00；膜层：钢化膜A+</w:t>
            </w:r>
          </w:p>
        </w:tc>
        <w:tc>
          <w:tcPr>
            <w:tcW w:w="510" w:type="dxa"/>
            <w:vAlign w:val="center"/>
          </w:tcPr>
          <w:p w14:paraId="16C9A09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AA180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258</w:t>
            </w:r>
          </w:p>
        </w:tc>
      </w:tr>
      <w:tr w14:paraId="4CFF9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1CE37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238</w:t>
            </w:r>
          </w:p>
        </w:tc>
        <w:tc>
          <w:tcPr>
            <w:tcW w:w="1623" w:type="dxa"/>
            <w:vAlign w:val="center"/>
          </w:tcPr>
          <w:p w14:paraId="5BA7E93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1.60智能商务树脂镜</w:t>
            </w:r>
          </w:p>
        </w:tc>
        <w:tc>
          <w:tcPr>
            <w:tcW w:w="386" w:type="dxa"/>
            <w:vAlign w:val="center"/>
          </w:tcPr>
          <w:p w14:paraId="2DA5F9C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C1A35B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双核智能成像技术，成像精准，视觉清晰，在视近区域减少60%的度数误差和散光。全角度减反射技术和智能蓝光捕捉技术，精准聚焦技术可以有效地缓解使用数码产品带来的视疲劳，双面紫外线防护、耐刮划、防水、防尘、耐污二、光度范围</w:t>
            </w:r>
            <w:r>
              <w:rPr>
                <w:rFonts w:hint="eastAsia" w:hAnsi="宋体" w:cs="宋体"/>
                <w:color w:val="auto"/>
                <w:sz w:val="18"/>
                <w:szCs w:val="18"/>
                <w:highlight w:val="none"/>
                <w:lang w:eastAsia="zh-CN"/>
              </w:rPr>
              <w:t>：</w:t>
            </w:r>
            <w:r>
              <w:rPr>
                <w:rFonts w:hint="eastAsia" w:hAnsi="宋体" w:cs="宋体"/>
                <w:color w:val="auto"/>
                <w:sz w:val="18"/>
                <w:szCs w:val="18"/>
                <w:highlight w:val="none"/>
              </w:rPr>
              <w:t>光度范围：球镜+6.00~-8.00，柱镜-0.00~-2.00；膜层：钢化膜A+</w:t>
            </w:r>
          </w:p>
        </w:tc>
        <w:tc>
          <w:tcPr>
            <w:tcW w:w="510" w:type="dxa"/>
            <w:vAlign w:val="center"/>
          </w:tcPr>
          <w:p w14:paraId="5B9059A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D27EB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185.01</w:t>
            </w:r>
          </w:p>
        </w:tc>
      </w:tr>
      <w:tr w14:paraId="1CB96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32845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239</w:t>
            </w:r>
          </w:p>
        </w:tc>
        <w:tc>
          <w:tcPr>
            <w:tcW w:w="1623" w:type="dxa"/>
            <w:vAlign w:val="center"/>
          </w:tcPr>
          <w:p w14:paraId="1F4D530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1.60智能商务树脂镜</w:t>
            </w:r>
          </w:p>
        </w:tc>
        <w:tc>
          <w:tcPr>
            <w:tcW w:w="386" w:type="dxa"/>
            <w:vAlign w:val="center"/>
          </w:tcPr>
          <w:p w14:paraId="147B676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5DE113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双核智能成像技术，成像精准，视觉清晰，在视近区域减少60%的度数误差和散光。全角度减反射技术和智能蓝光捕捉技术，精准聚焦技术可以有效地缓解使用数码产品带来的视疲劳，双面紫外线防护、耐刮划、防水、防尘、耐污。二、光度范围：球镜+6.00~-20.00，柱镜-0.00~-6.00；膜层：钢化膜A+</w:t>
            </w:r>
          </w:p>
        </w:tc>
        <w:tc>
          <w:tcPr>
            <w:tcW w:w="510" w:type="dxa"/>
            <w:vAlign w:val="center"/>
          </w:tcPr>
          <w:p w14:paraId="393C184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49826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228.79</w:t>
            </w:r>
          </w:p>
        </w:tc>
      </w:tr>
      <w:tr w14:paraId="45D2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B6603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240</w:t>
            </w:r>
          </w:p>
        </w:tc>
        <w:tc>
          <w:tcPr>
            <w:tcW w:w="1623" w:type="dxa"/>
            <w:vAlign w:val="center"/>
          </w:tcPr>
          <w:p w14:paraId="79493D9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1.60智能商务（变色）树脂镜片</w:t>
            </w:r>
          </w:p>
        </w:tc>
        <w:tc>
          <w:tcPr>
            <w:tcW w:w="386" w:type="dxa"/>
            <w:vAlign w:val="center"/>
          </w:tcPr>
          <w:p w14:paraId="7E43FC5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FCC6B6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树脂镜片，膜层易清洁、防污、耐磨、防蓝光、防静电。二、光度范围：球镜+6.00~-8.00，柱镜-0.00~-2.00；膜层：钢化膜A+</w:t>
            </w:r>
          </w:p>
        </w:tc>
        <w:tc>
          <w:tcPr>
            <w:tcW w:w="510" w:type="dxa"/>
            <w:vAlign w:val="center"/>
          </w:tcPr>
          <w:p w14:paraId="40BF46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ACA13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219.31</w:t>
            </w:r>
          </w:p>
        </w:tc>
      </w:tr>
      <w:tr w14:paraId="2A8E6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39E0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c>
          <w:tcPr>
            <w:tcW w:w="1623" w:type="dxa"/>
            <w:vAlign w:val="center"/>
          </w:tcPr>
          <w:p w14:paraId="0874009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1.60智能商务（变色）树脂镜片</w:t>
            </w:r>
          </w:p>
        </w:tc>
        <w:tc>
          <w:tcPr>
            <w:tcW w:w="386" w:type="dxa"/>
            <w:vAlign w:val="center"/>
          </w:tcPr>
          <w:p w14:paraId="144AC4C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45E5A7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树脂镜片，膜层易清洁、防污、耐磨、防蓝光、防静电。二、光度范围：球镜+6.00~-20.00，柱镜-0.00~-6.00；膜层：钢化膜A+</w:t>
            </w:r>
          </w:p>
        </w:tc>
        <w:tc>
          <w:tcPr>
            <w:tcW w:w="510" w:type="dxa"/>
            <w:vAlign w:val="center"/>
          </w:tcPr>
          <w:p w14:paraId="309600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317899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328.51</w:t>
            </w:r>
          </w:p>
        </w:tc>
      </w:tr>
      <w:tr w14:paraId="12749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971FA0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242</w:t>
            </w:r>
          </w:p>
        </w:tc>
        <w:tc>
          <w:tcPr>
            <w:tcW w:w="1623" w:type="dxa"/>
            <w:vAlign w:val="center"/>
          </w:tcPr>
          <w:p w14:paraId="3AA25BE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1.67智能商务树脂镜片</w:t>
            </w:r>
          </w:p>
        </w:tc>
        <w:tc>
          <w:tcPr>
            <w:tcW w:w="386" w:type="dxa"/>
            <w:vAlign w:val="center"/>
          </w:tcPr>
          <w:p w14:paraId="752D653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12C191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双核智能成像技术，成像精准，视觉清晰，在视近区域减少60%的度数误差和散光。全角度减反射技术和智能蓝光捕捉技术，精准聚焦技术可以有效地缓解使用数码产品带来的视疲劳，双面紫外线防护、耐刮划、防水、防尘、耐污。二、 光度范围：球镜+6.00~-15.00，柱镜-0.00~-2.00；膜层：钢化膜A+</w:t>
            </w:r>
          </w:p>
        </w:tc>
        <w:tc>
          <w:tcPr>
            <w:tcW w:w="510" w:type="dxa"/>
            <w:vAlign w:val="center"/>
          </w:tcPr>
          <w:p w14:paraId="5EA69A8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E9495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287.9</w:t>
            </w:r>
          </w:p>
        </w:tc>
      </w:tr>
      <w:tr w14:paraId="455AF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5C0D0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243</w:t>
            </w:r>
          </w:p>
        </w:tc>
        <w:tc>
          <w:tcPr>
            <w:tcW w:w="1623" w:type="dxa"/>
            <w:vAlign w:val="center"/>
          </w:tcPr>
          <w:p w14:paraId="49EECA4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1.67智能商务树脂镜片</w:t>
            </w:r>
          </w:p>
        </w:tc>
        <w:tc>
          <w:tcPr>
            <w:tcW w:w="386" w:type="dxa"/>
            <w:vAlign w:val="center"/>
          </w:tcPr>
          <w:p w14:paraId="77670C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3BE1E5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双核智能成像技术，成像精准，视觉清晰，在视近区域减少60%的度数误差和散光。全角度减反射技术和智能蓝光捕捉技术，精准聚焦技术可以有效地缓解使用数码产品带来的视疲劳，双面紫外线防护、耐刮划、防水、防尘、耐污。二、光度范围：球镜+6.00~-20.00，柱镜-0.00~-6.00；膜层：钢化膜A+</w:t>
            </w:r>
          </w:p>
        </w:tc>
        <w:tc>
          <w:tcPr>
            <w:tcW w:w="510" w:type="dxa"/>
            <w:vAlign w:val="center"/>
          </w:tcPr>
          <w:p w14:paraId="6CF013C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75EED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344.31</w:t>
            </w:r>
          </w:p>
        </w:tc>
      </w:tr>
      <w:tr w14:paraId="1E49B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A6E52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244</w:t>
            </w:r>
          </w:p>
        </w:tc>
        <w:tc>
          <w:tcPr>
            <w:tcW w:w="1623" w:type="dxa"/>
            <w:vAlign w:val="center"/>
          </w:tcPr>
          <w:p w14:paraId="3541B7B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1.67智能商务（变色）树脂镜片</w:t>
            </w:r>
          </w:p>
        </w:tc>
        <w:tc>
          <w:tcPr>
            <w:tcW w:w="386" w:type="dxa"/>
            <w:vAlign w:val="center"/>
          </w:tcPr>
          <w:p w14:paraId="1CCE94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29A2D2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树脂镜片，膜层易清洁、防污、耐磨、防蓝光、防静电。二、光度范围：球镜+6.00~-10.00，柱镜-0.00~-2.00；膜层：钢化膜A+</w:t>
            </w:r>
          </w:p>
        </w:tc>
        <w:tc>
          <w:tcPr>
            <w:tcW w:w="510" w:type="dxa"/>
            <w:vAlign w:val="center"/>
          </w:tcPr>
          <w:p w14:paraId="1C4AD0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BFFCFC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480</w:t>
            </w:r>
          </w:p>
        </w:tc>
      </w:tr>
      <w:tr w14:paraId="23E3E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CFA8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245</w:t>
            </w:r>
          </w:p>
        </w:tc>
        <w:tc>
          <w:tcPr>
            <w:tcW w:w="1623" w:type="dxa"/>
            <w:vAlign w:val="center"/>
          </w:tcPr>
          <w:p w14:paraId="1FEDBE7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1.67智能商务（变色）树脂镜片</w:t>
            </w:r>
          </w:p>
        </w:tc>
        <w:tc>
          <w:tcPr>
            <w:tcW w:w="386" w:type="dxa"/>
            <w:vAlign w:val="center"/>
          </w:tcPr>
          <w:p w14:paraId="2F2818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07470B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树脂镜片，膜层易清洁、防污、耐磨、防蓝光、防静电。二、光度范围：球镜+6.00~-20.00，柱镜-0.00~-6.00；膜层：钢化膜A+</w:t>
            </w:r>
          </w:p>
        </w:tc>
        <w:tc>
          <w:tcPr>
            <w:tcW w:w="510" w:type="dxa"/>
            <w:vAlign w:val="center"/>
          </w:tcPr>
          <w:p w14:paraId="5F89DF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D2F5D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562</w:t>
            </w:r>
          </w:p>
        </w:tc>
      </w:tr>
      <w:tr w14:paraId="52CF0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C2F4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246</w:t>
            </w:r>
          </w:p>
        </w:tc>
        <w:tc>
          <w:tcPr>
            <w:tcW w:w="1623" w:type="dxa"/>
            <w:vAlign w:val="center"/>
          </w:tcPr>
          <w:p w14:paraId="3158B73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1.56智能商务数码缓控渐进树脂镜片</w:t>
            </w:r>
          </w:p>
        </w:tc>
        <w:tc>
          <w:tcPr>
            <w:tcW w:w="386" w:type="dxa"/>
            <w:vAlign w:val="center"/>
          </w:tcPr>
          <w:p w14:paraId="62DECF8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B63062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近视防控技术，高透高洁UV膜层，轻薄美观，阻隔紫外线，多一层防护。2.中央光度稳定区小、周边正光度增加迅速、近视管理功能区明显增大、可接受的佩戴舒适度、近视管理效果增强。二、光度范围：球镜+5.00~-6.00，柱镜-0.00~-4.00，add: +0.75---+3.50；膜层：钢化膜A+</w:t>
            </w:r>
          </w:p>
        </w:tc>
        <w:tc>
          <w:tcPr>
            <w:tcW w:w="510" w:type="dxa"/>
            <w:vAlign w:val="center"/>
          </w:tcPr>
          <w:p w14:paraId="67B32C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7956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265.34</w:t>
            </w:r>
          </w:p>
        </w:tc>
      </w:tr>
      <w:tr w14:paraId="5F9DF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3899C0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247</w:t>
            </w:r>
          </w:p>
        </w:tc>
        <w:tc>
          <w:tcPr>
            <w:tcW w:w="1623" w:type="dxa"/>
            <w:vAlign w:val="center"/>
          </w:tcPr>
          <w:p w14:paraId="6768164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1.56智能商务数码缓控渐进（变色）树脂镜片</w:t>
            </w:r>
          </w:p>
        </w:tc>
        <w:tc>
          <w:tcPr>
            <w:tcW w:w="386" w:type="dxa"/>
            <w:vAlign w:val="center"/>
          </w:tcPr>
          <w:p w14:paraId="151A908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C5EF9B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近视防控技术，高透高洁UV膜层，轻薄美观，阻隔紫外线，多一层防护。2.中央光度稳定区小、周边正光度增加迅速、近视管理功能区明显增大、可接受的佩戴舒适度、近视管理效果增强。二、光度范围：球镜+5.00~-6.00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add: +0.75---+3.50；膜层：钢化膜A+</w:t>
            </w:r>
          </w:p>
        </w:tc>
        <w:tc>
          <w:tcPr>
            <w:tcW w:w="510" w:type="dxa"/>
            <w:vAlign w:val="center"/>
          </w:tcPr>
          <w:p w14:paraId="205BC0E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83BEC8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439.07</w:t>
            </w:r>
          </w:p>
        </w:tc>
      </w:tr>
      <w:tr w14:paraId="49CA7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59097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248</w:t>
            </w:r>
          </w:p>
        </w:tc>
        <w:tc>
          <w:tcPr>
            <w:tcW w:w="1623" w:type="dxa"/>
            <w:vAlign w:val="center"/>
          </w:tcPr>
          <w:p w14:paraId="2D9F67F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1.60智能商务数码缓控渐进树脂镜片</w:t>
            </w:r>
          </w:p>
        </w:tc>
        <w:tc>
          <w:tcPr>
            <w:tcW w:w="386" w:type="dxa"/>
            <w:vAlign w:val="center"/>
          </w:tcPr>
          <w:p w14:paraId="72A95C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20BE1B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近视防控技术，高透高洁UV膜层，轻薄美观，阻隔紫外线，多一层防护。2.中央光度稳定区小、周边正光度增加迅速、近视管理功能区明显增大、可接受的佩戴舒适度、近视管理效果增强。二、光度范围：球镜+7.00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add: +0.75---+3.50；膜层：钢化膜A+</w:t>
            </w:r>
          </w:p>
        </w:tc>
        <w:tc>
          <w:tcPr>
            <w:tcW w:w="510" w:type="dxa"/>
            <w:vAlign w:val="center"/>
          </w:tcPr>
          <w:p w14:paraId="261B03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7A16E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423.27</w:t>
            </w:r>
          </w:p>
        </w:tc>
      </w:tr>
      <w:tr w14:paraId="6522F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7B2A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w:t>
            </w:r>
          </w:p>
        </w:tc>
        <w:tc>
          <w:tcPr>
            <w:tcW w:w="1623" w:type="dxa"/>
            <w:vAlign w:val="center"/>
          </w:tcPr>
          <w:p w14:paraId="7372B7B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1.60智能商务数码缓控渐进（变色）树脂镜片</w:t>
            </w:r>
          </w:p>
        </w:tc>
        <w:tc>
          <w:tcPr>
            <w:tcW w:w="386" w:type="dxa"/>
            <w:vAlign w:val="center"/>
          </w:tcPr>
          <w:p w14:paraId="1BB63C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B3C3B4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近视防控技术，高透高洁UV膜层，轻薄美观，阻隔紫外线，多一层防护。2.中央光度稳定区小、周边正光度增加迅速、近视管理功能区明显增大、可接受的佩戴舒适度、近视管理效果增强。二、光度范围：球镜+7.00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add: +0.75---+3.50；膜层：钢化膜A+</w:t>
            </w:r>
          </w:p>
        </w:tc>
        <w:tc>
          <w:tcPr>
            <w:tcW w:w="510" w:type="dxa"/>
            <w:vAlign w:val="center"/>
          </w:tcPr>
          <w:p w14:paraId="599B52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0CC187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536</w:t>
            </w:r>
          </w:p>
        </w:tc>
      </w:tr>
      <w:tr w14:paraId="75725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430FA4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250</w:t>
            </w:r>
          </w:p>
        </w:tc>
        <w:tc>
          <w:tcPr>
            <w:tcW w:w="1623" w:type="dxa"/>
            <w:vAlign w:val="center"/>
          </w:tcPr>
          <w:p w14:paraId="43F2CFB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1.67智能商务数码缓控渐进树脂镜片</w:t>
            </w:r>
          </w:p>
        </w:tc>
        <w:tc>
          <w:tcPr>
            <w:tcW w:w="386" w:type="dxa"/>
            <w:vAlign w:val="center"/>
          </w:tcPr>
          <w:p w14:paraId="7B4D0B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93FED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近视防控技术，高透高洁UV膜层，轻薄美观，阻隔紫外线，多一层防护。2.中央光度稳定区小、周边正光度增加迅速、近视管理功能区明显增大、可接受的佩戴舒适度、近视管理效果增强。二、光度范围：球镜+8.00~-10.00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add: +0.75---+3.50；膜层：钢化膜A+</w:t>
            </w:r>
          </w:p>
        </w:tc>
        <w:tc>
          <w:tcPr>
            <w:tcW w:w="510" w:type="dxa"/>
            <w:vAlign w:val="center"/>
          </w:tcPr>
          <w:p w14:paraId="0BD774C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5BF97D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512</w:t>
            </w:r>
          </w:p>
        </w:tc>
      </w:tr>
      <w:tr w14:paraId="17B66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F7A52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251</w:t>
            </w:r>
          </w:p>
        </w:tc>
        <w:tc>
          <w:tcPr>
            <w:tcW w:w="1623" w:type="dxa"/>
            <w:vAlign w:val="center"/>
          </w:tcPr>
          <w:p w14:paraId="27B90A0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1.67智能商务数码缓控渐进（变色）树脂镜片</w:t>
            </w:r>
          </w:p>
        </w:tc>
        <w:tc>
          <w:tcPr>
            <w:tcW w:w="386" w:type="dxa"/>
            <w:vAlign w:val="center"/>
          </w:tcPr>
          <w:p w14:paraId="14306F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DB8F6C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近视防控技术，高透高洁UV膜层，轻薄美观，阻隔紫外线，多一层防护。2.中央光度稳定区小、周边正光度增加迅速、近视管理功能区明显增大、可接受的佩戴舒适度、近视管理效果增强。二、光度范围：球镜+8.00~-10.00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add: +0.75---+3.50；膜层：钢化膜A+</w:t>
            </w:r>
          </w:p>
        </w:tc>
        <w:tc>
          <w:tcPr>
            <w:tcW w:w="510" w:type="dxa"/>
            <w:vAlign w:val="center"/>
          </w:tcPr>
          <w:p w14:paraId="476EFC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DAC4F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642</w:t>
            </w:r>
          </w:p>
        </w:tc>
      </w:tr>
      <w:tr w14:paraId="46B62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477DC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252</w:t>
            </w:r>
          </w:p>
        </w:tc>
        <w:tc>
          <w:tcPr>
            <w:tcW w:w="1623" w:type="dxa"/>
            <w:vAlign w:val="center"/>
          </w:tcPr>
          <w:p w14:paraId="35F3713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1.50内渐进镜片</w:t>
            </w:r>
          </w:p>
        </w:tc>
        <w:tc>
          <w:tcPr>
            <w:tcW w:w="386" w:type="dxa"/>
            <w:vAlign w:val="center"/>
          </w:tcPr>
          <w:p w14:paraId="63FCEB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F82993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，远用区域增加，渐进区更靠近眼球，中、近视区域更宽广，镜片具有宽广的近视区和远视区以及较宽广的渐进带宽度，2.通道可装配各种款式大小的镜框。二、光度范围：球镜+8.00~-10.00，柱镜，add: +1.50---+2.00；膜层：钢化膜A+；</w:t>
            </w:r>
          </w:p>
        </w:tc>
        <w:tc>
          <w:tcPr>
            <w:tcW w:w="510" w:type="dxa"/>
            <w:vAlign w:val="center"/>
          </w:tcPr>
          <w:p w14:paraId="7D8F98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87DF2B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154</w:t>
            </w:r>
          </w:p>
        </w:tc>
      </w:tr>
      <w:tr w14:paraId="0CA8D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0C11E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253</w:t>
            </w:r>
          </w:p>
        </w:tc>
        <w:tc>
          <w:tcPr>
            <w:tcW w:w="1623" w:type="dxa"/>
            <w:vAlign w:val="center"/>
          </w:tcPr>
          <w:p w14:paraId="39D7326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1.56内渐进镜片</w:t>
            </w:r>
          </w:p>
        </w:tc>
        <w:tc>
          <w:tcPr>
            <w:tcW w:w="386" w:type="dxa"/>
            <w:vAlign w:val="center"/>
          </w:tcPr>
          <w:p w14:paraId="38E4F2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57C332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，远用区域增加，渐进区更靠近眼球，中、近视区域更宽广，镜片具有宽广的近视区和远视区以及较宽广的渐进带宽度，2.通道可装配各种款式大小的镜框。二、光度范围：球镜+8.00~-10.00，柱镜无，-0.00~-4.00，add: +1.50---+2.00；膜层：钢化膜A+；</w:t>
            </w:r>
          </w:p>
        </w:tc>
        <w:tc>
          <w:tcPr>
            <w:tcW w:w="510" w:type="dxa"/>
            <w:vAlign w:val="center"/>
          </w:tcPr>
          <w:p w14:paraId="2AE24E7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478D9A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189</w:t>
            </w:r>
          </w:p>
        </w:tc>
      </w:tr>
      <w:tr w14:paraId="7456F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7FF467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254</w:t>
            </w:r>
          </w:p>
        </w:tc>
        <w:tc>
          <w:tcPr>
            <w:tcW w:w="1623" w:type="dxa"/>
            <w:vAlign w:val="center"/>
          </w:tcPr>
          <w:p w14:paraId="2BA9594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1.60内渐进镜片</w:t>
            </w:r>
          </w:p>
        </w:tc>
        <w:tc>
          <w:tcPr>
            <w:tcW w:w="386" w:type="dxa"/>
            <w:vAlign w:val="center"/>
          </w:tcPr>
          <w:p w14:paraId="5F5543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E98583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，远用区域增加，渐进区更靠近眼球，中、近视区域更宽广，镜片具有宽广的近视区和远视区以及较宽广的渐进带宽度，2.通道可装配各种款式大小的镜框。二、光度范围：球镜+8.00~-10.00，柱镜-0.00~-4.00，add: +1.50---+2.00；膜层：钢化膜A+；</w:t>
            </w:r>
          </w:p>
        </w:tc>
        <w:tc>
          <w:tcPr>
            <w:tcW w:w="510" w:type="dxa"/>
            <w:vAlign w:val="center"/>
          </w:tcPr>
          <w:p w14:paraId="62B1CE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254B10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294</w:t>
            </w:r>
          </w:p>
        </w:tc>
      </w:tr>
      <w:tr w14:paraId="4AD71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6E578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255</w:t>
            </w:r>
          </w:p>
        </w:tc>
        <w:tc>
          <w:tcPr>
            <w:tcW w:w="1623" w:type="dxa"/>
            <w:vAlign w:val="center"/>
          </w:tcPr>
          <w:p w14:paraId="23C1132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1.67内渐进镜片</w:t>
            </w:r>
          </w:p>
        </w:tc>
        <w:tc>
          <w:tcPr>
            <w:tcW w:w="386" w:type="dxa"/>
            <w:vAlign w:val="center"/>
          </w:tcPr>
          <w:p w14:paraId="4B3067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BC5E71B">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，远用区域增加，渐进区更靠近眼球，中、近视区域更宽广，镜片具有宽广的近视区和远视区以及较宽广的渐进带宽度，2.通道可装配各种款式大小的镜框。二、光度范围：球镜+8.00~-10.00，柱镜-0.00~-4.00，add: +1.50---+2.00；膜层：钢化膜A+；</w:t>
            </w:r>
          </w:p>
        </w:tc>
        <w:tc>
          <w:tcPr>
            <w:tcW w:w="510" w:type="dxa"/>
            <w:vAlign w:val="center"/>
          </w:tcPr>
          <w:p w14:paraId="6345D3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A7B57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486.45</w:t>
            </w:r>
          </w:p>
        </w:tc>
      </w:tr>
      <w:tr w14:paraId="066C0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B470C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256</w:t>
            </w:r>
          </w:p>
        </w:tc>
        <w:tc>
          <w:tcPr>
            <w:tcW w:w="1623" w:type="dxa"/>
            <w:vAlign w:val="center"/>
          </w:tcPr>
          <w:p w14:paraId="17C4443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1.74内渐进镜片</w:t>
            </w:r>
          </w:p>
        </w:tc>
        <w:tc>
          <w:tcPr>
            <w:tcW w:w="386" w:type="dxa"/>
            <w:vAlign w:val="center"/>
          </w:tcPr>
          <w:p w14:paraId="7024EE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C45F937">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，远用区域增加，渐进区更靠近眼球，中、近视区域更宽广，镜片具有宽广的近视区和远视区以及较宽广的渐进带宽度，2.通道可装配各种款式大小的镜框。二、光度范围：球镜+8.00~-10.00，柱镜-0.00~-4.00，add: +1.50---+2.00；膜层：钢化膜A+；</w:t>
            </w:r>
          </w:p>
        </w:tc>
        <w:tc>
          <w:tcPr>
            <w:tcW w:w="510" w:type="dxa"/>
            <w:vAlign w:val="center"/>
          </w:tcPr>
          <w:p w14:paraId="20F173B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144633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900</w:t>
            </w:r>
          </w:p>
        </w:tc>
      </w:tr>
      <w:tr w14:paraId="1E4B9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37AB9C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257</w:t>
            </w:r>
          </w:p>
        </w:tc>
        <w:tc>
          <w:tcPr>
            <w:tcW w:w="1623" w:type="dxa"/>
            <w:vAlign w:val="center"/>
          </w:tcPr>
          <w:p w14:paraId="33A32FD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内渐进树脂镜片平衡型</w:t>
            </w:r>
          </w:p>
        </w:tc>
        <w:tc>
          <w:tcPr>
            <w:tcW w:w="386" w:type="dxa"/>
            <w:vAlign w:val="center"/>
          </w:tcPr>
          <w:p w14:paraId="4DAF03F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7F8A58C">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61DCF79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28DD5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w:t>
            </w:r>
          </w:p>
        </w:tc>
      </w:tr>
      <w:tr w14:paraId="195D7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4D5A3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258</w:t>
            </w:r>
          </w:p>
        </w:tc>
        <w:tc>
          <w:tcPr>
            <w:tcW w:w="1623" w:type="dxa"/>
            <w:vAlign w:val="center"/>
          </w:tcPr>
          <w:p w14:paraId="32263BA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内渐进树脂镜片办公型</w:t>
            </w:r>
          </w:p>
        </w:tc>
        <w:tc>
          <w:tcPr>
            <w:tcW w:w="386" w:type="dxa"/>
            <w:vAlign w:val="center"/>
          </w:tcPr>
          <w:p w14:paraId="3CC6741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04CA0C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686273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1D1DB6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w:t>
            </w:r>
          </w:p>
        </w:tc>
      </w:tr>
      <w:tr w14:paraId="07291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E0416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259</w:t>
            </w:r>
          </w:p>
        </w:tc>
        <w:tc>
          <w:tcPr>
            <w:tcW w:w="1623" w:type="dxa"/>
            <w:vAlign w:val="center"/>
          </w:tcPr>
          <w:p w14:paraId="7D8AEAF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内渐进树脂镜片运动型</w:t>
            </w:r>
          </w:p>
        </w:tc>
        <w:tc>
          <w:tcPr>
            <w:tcW w:w="386" w:type="dxa"/>
            <w:vAlign w:val="center"/>
          </w:tcPr>
          <w:p w14:paraId="56784F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4BC951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4DB36F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DCA52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w:t>
            </w:r>
          </w:p>
        </w:tc>
      </w:tr>
      <w:tr w14:paraId="5160D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8B36F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260</w:t>
            </w:r>
          </w:p>
        </w:tc>
        <w:tc>
          <w:tcPr>
            <w:tcW w:w="1623" w:type="dxa"/>
            <w:vAlign w:val="center"/>
          </w:tcPr>
          <w:p w14:paraId="402FEFE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内渐进树脂镜片驾驶型</w:t>
            </w:r>
          </w:p>
        </w:tc>
        <w:tc>
          <w:tcPr>
            <w:tcW w:w="386" w:type="dxa"/>
            <w:vAlign w:val="center"/>
          </w:tcPr>
          <w:p w14:paraId="15A2282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B85290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42ED38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DD46F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w:t>
            </w:r>
          </w:p>
        </w:tc>
      </w:tr>
      <w:tr w14:paraId="59C27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D88DDE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261</w:t>
            </w:r>
          </w:p>
        </w:tc>
        <w:tc>
          <w:tcPr>
            <w:tcW w:w="1623" w:type="dxa"/>
            <w:vAlign w:val="center"/>
          </w:tcPr>
          <w:p w14:paraId="5824DCC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内渐进树脂镜片商务型</w:t>
            </w:r>
          </w:p>
        </w:tc>
        <w:tc>
          <w:tcPr>
            <w:tcW w:w="386" w:type="dxa"/>
            <w:vAlign w:val="center"/>
          </w:tcPr>
          <w:p w14:paraId="50F02F4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C62A013">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4ACBE2A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6609F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171</w:t>
            </w:r>
          </w:p>
        </w:tc>
      </w:tr>
      <w:tr w14:paraId="61615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BFB9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262</w:t>
            </w:r>
          </w:p>
        </w:tc>
        <w:tc>
          <w:tcPr>
            <w:tcW w:w="1623" w:type="dxa"/>
            <w:vAlign w:val="center"/>
          </w:tcPr>
          <w:p w14:paraId="24C9B9D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内渐进树脂镜片平衡型</w:t>
            </w:r>
          </w:p>
        </w:tc>
        <w:tc>
          <w:tcPr>
            <w:tcW w:w="386" w:type="dxa"/>
            <w:vAlign w:val="center"/>
          </w:tcPr>
          <w:p w14:paraId="5A1223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FFF70A2">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73CD651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164CA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2F63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D5370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263</w:t>
            </w:r>
          </w:p>
        </w:tc>
        <w:tc>
          <w:tcPr>
            <w:tcW w:w="1623" w:type="dxa"/>
            <w:vAlign w:val="center"/>
          </w:tcPr>
          <w:p w14:paraId="5B8392C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内渐进树脂镜片办公型</w:t>
            </w:r>
          </w:p>
        </w:tc>
        <w:tc>
          <w:tcPr>
            <w:tcW w:w="386" w:type="dxa"/>
            <w:vAlign w:val="center"/>
          </w:tcPr>
          <w:p w14:paraId="7553E4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3B2D0A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52E302B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793611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744A8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00056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264</w:t>
            </w:r>
          </w:p>
        </w:tc>
        <w:tc>
          <w:tcPr>
            <w:tcW w:w="1623" w:type="dxa"/>
            <w:vAlign w:val="center"/>
          </w:tcPr>
          <w:p w14:paraId="6E0DB6C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内渐进树脂镜片运动型</w:t>
            </w:r>
          </w:p>
        </w:tc>
        <w:tc>
          <w:tcPr>
            <w:tcW w:w="386" w:type="dxa"/>
            <w:vAlign w:val="center"/>
          </w:tcPr>
          <w:p w14:paraId="71D4894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21A3976">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3F87EFB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C8005D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61FB6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E68B30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265</w:t>
            </w:r>
          </w:p>
        </w:tc>
        <w:tc>
          <w:tcPr>
            <w:tcW w:w="1623" w:type="dxa"/>
            <w:vAlign w:val="center"/>
          </w:tcPr>
          <w:p w14:paraId="75E59E3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内渐进树脂镜片驾驶型</w:t>
            </w:r>
          </w:p>
        </w:tc>
        <w:tc>
          <w:tcPr>
            <w:tcW w:w="386" w:type="dxa"/>
            <w:vAlign w:val="center"/>
          </w:tcPr>
          <w:p w14:paraId="5BFA0C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09EDAA">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0B2F7B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D954DE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08104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BE1D5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266</w:t>
            </w:r>
          </w:p>
        </w:tc>
        <w:tc>
          <w:tcPr>
            <w:tcW w:w="1623" w:type="dxa"/>
            <w:vAlign w:val="center"/>
          </w:tcPr>
          <w:p w14:paraId="63991D3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内渐进树脂镜片商务型</w:t>
            </w:r>
          </w:p>
        </w:tc>
        <w:tc>
          <w:tcPr>
            <w:tcW w:w="386" w:type="dxa"/>
            <w:vAlign w:val="center"/>
          </w:tcPr>
          <w:p w14:paraId="55F71F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2C7F36E">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7952612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143ED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06168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304A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267</w:t>
            </w:r>
          </w:p>
        </w:tc>
        <w:tc>
          <w:tcPr>
            <w:tcW w:w="1623" w:type="dxa"/>
            <w:vAlign w:val="center"/>
          </w:tcPr>
          <w:p w14:paraId="63B6D93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内渐进树脂镜片平衡型</w:t>
            </w:r>
          </w:p>
        </w:tc>
        <w:tc>
          <w:tcPr>
            <w:tcW w:w="386" w:type="dxa"/>
            <w:vAlign w:val="center"/>
          </w:tcPr>
          <w:p w14:paraId="6D0136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B6C0568">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27ECBD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79889C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346</w:t>
            </w:r>
          </w:p>
        </w:tc>
      </w:tr>
      <w:tr w14:paraId="5C1D3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7A68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268</w:t>
            </w:r>
          </w:p>
        </w:tc>
        <w:tc>
          <w:tcPr>
            <w:tcW w:w="1623" w:type="dxa"/>
            <w:vAlign w:val="center"/>
          </w:tcPr>
          <w:p w14:paraId="01E80D4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内渐进树脂镜片办公型</w:t>
            </w:r>
          </w:p>
        </w:tc>
        <w:tc>
          <w:tcPr>
            <w:tcW w:w="386" w:type="dxa"/>
            <w:vAlign w:val="center"/>
          </w:tcPr>
          <w:p w14:paraId="6888C2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B8B0A4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3746F79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BE2C7F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346</w:t>
            </w:r>
          </w:p>
        </w:tc>
      </w:tr>
      <w:tr w14:paraId="10615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1F1383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269</w:t>
            </w:r>
          </w:p>
        </w:tc>
        <w:tc>
          <w:tcPr>
            <w:tcW w:w="1623" w:type="dxa"/>
            <w:vAlign w:val="center"/>
          </w:tcPr>
          <w:p w14:paraId="661D59D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内渐进树脂镜片运动型</w:t>
            </w:r>
          </w:p>
        </w:tc>
        <w:tc>
          <w:tcPr>
            <w:tcW w:w="386" w:type="dxa"/>
            <w:vAlign w:val="center"/>
          </w:tcPr>
          <w:p w14:paraId="30C80F1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F5B8A46">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505242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6D838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346</w:t>
            </w:r>
          </w:p>
        </w:tc>
      </w:tr>
      <w:tr w14:paraId="71EEE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14BC54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270</w:t>
            </w:r>
          </w:p>
        </w:tc>
        <w:tc>
          <w:tcPr>
            <w:tcW w:w="1623" w:type="dxa"/>
            <w:vAlign w:val="center"/>
          </w:tcPr>
          <w:p w14:paraId="3A5D7E6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内渐进树脂镜片驾驶型</w:t>
            </w:r>
          </w:p>
        </w:tc>
        <w:tc>
          <w:tcPr>
            <w:tcW w:w="386" w:type="dxa"/>
            <w:vAlign w:val="center"/>
          </w:tcPr>
          <w:p w14:paraId="3E0929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CC94967">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05D998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A1241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346</w:t>
            </w:r>
          </w:p>
        </w:tc>
      </w:tr>
      <w:tr w14:paraId="13954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816FFE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271</w:t>
            </w:r>
          </w:p>
        </w:tc>
        <w:tc>
          <w:tcPr>
            <w:tcW w:w="1623" w:type="dxa"/>
            <w:vAlign w:val="center"/>
          </w:tcPr>
          <w:p w14:paraId="1A926E7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内渐进树脂镜片商务型</w:t>
            </w:r>
          </w:p>
        </w:tc>
        <w:tc>
          <w:tcPr>
            <w:tcW w:w="386" w:type="dxa"/>
            <w:vAlign w:val="center"/>
          </w:tcPr>
          <w:p w14:paraId="6D7E91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E606B1B">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217E1A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416AE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346</w:t>
            </w:r>
          </w:p>
        </w:tc>
      </w:tr>
      <w:tr w14:paraId="22D4F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A4496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272</w:t>
            </w:r>
          </w:p>
        </w:tc>
        <w:tc>
          <w:tcPr>
            <w:tcW w:w="1623" w:type="dxa"/>
            <w:vAlign w:val="center"/>
          </w:tcPr>
          <w:p w14:paraId="5E45F86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内渐进树脂镜片平衡型</w:t>
            </w:r>
          </w:p>
        </w:tc>
        <w:tc>
          <w:tcPr>
            <w:tcW w:w="386" w:type="dxa"/>
            <w:vAlign w:val="center"/>
          </w:tcPr>
          <w:p w14:paraId="2B7564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1FD89D8">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6569E28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E45845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539</w:t>
            </w:r>
          </w:p>
        </w:tc>
      </w:tr>
      <w:tr w14:paraId="6A426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0D5582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273</w:t>
            </w:r>
          </w:p>
        </w:tc>
        <w:tc>
          <w:tcPr>
            <w:tcW w:w="1623" w:type="dxa"/>
            <w:vAlign w:val="center"/>
          </w:tcPr>
          <w:p w14:paraId="14D97C1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内渐进树脂镜片办公型</w:t>
            </w:r>
          </w:p>
        </w:tc>
        <w:tc>
          <w:tcPr>
            <w:tcW w:w="386" w:type="dxa"/>
            <w:vAlign w:val="center"/>
          </w:tcPr>
          <w:p w14:paraId="7926BE7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77F0790">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03B40D9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0DB81E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539</w:t>
            </w:r>
          </w:p>
        </w:tc>
      </w:tr>
      <w:tr w14:paraId="5776E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E0A146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274</w:t>
            </w:r>
          </w:p>
        </w:tc>
        <w:tc>
          <w:tcPr>
            <w:tcW w:w="1623" w:type="dxa"/>
            <w:vAlign w:val="center"/>
          </w:tcPr>
          <w:p w14:paraId="490E6B3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内渐进树脂镜片运动型</w:t>
            </w:r>
          </w:p>
        </w:tc>
        <w:tc>
          <w:tcPr>
            <w:tcW w:w="386" w:type="dxa"/>
            <w:vAlign w:val="center"/>
          </w:tcPr>
          <w:p w14:paraId="20689BC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E889AF0">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50AC81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A7119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539</w:t>
            </w:r>
          </w:p>
        </w:tc>
      </w:tr>
      <w:tr w14:paraId="49F1F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2951A9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275</w:t>
            </w:r>
          </w:p>
        </w:tc>
        <w:tc>
          <w:tcPr>
            <w:tcW w:w="1623" w:type="dxa"/>
            <w:vAlign w:val="center"/>
          </w:tcPr>
          <w:p w14:paraId="7F3EFC8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内渐进树脂镜片驾驶型</w:t>
            </w:r>
          </w:p>
        </w:tc>
        <w:tc>
          <w:tcPr>
            <w:tcW w:w="386" w:type="dxa"/>
            <w:vAlign w:val="center"/>
          </w:tcPr>
          <w:p w14:paraId="3B9FC5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E1217E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1A41BE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86D53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539</w:t>
            </w:r>
          </w:p>
        </w:tc>
      </w:tr>
      <w:tr w14:paraId="7C68F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E2DD97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276</w:t>
            </w:r>
          </w:p>
        </w:tc>
        <w:tc>
          <w:tcPr>
            <w:tcW w:w="1623" w:type="dxa"/>
            <w:vAlign w:val="center"/>
          </w:tcPr>
          <w:p w14:paraId="6DB256D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内渐进树脂镜片商务型</w:t>
            </w:r>
          </w:p>
        </w:tc>
        <w:tc>
          <w:tcPr>
            <w:tcW w:w="386" w:type="dxa"/>
            <w:vAlign w:val="center"/>
          </w:tcPr>
          <w:p w14:paraId="1B03D4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2DF575D">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6074CA2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6579E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534</w:t>
            </w:r>
          </w:p>
        </w:tc>
      </w:tr>
      <w:tr w14:paraId="5F1D9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544145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277</w:t>
            </w:r>
          </w:p>
        </w:tc>
        <w:tc>
          <w:tcPr>
            <w:tcW w:w="1623" w:type="dxa"/>
            <w:vAlign w:val="center"/>
          </w:tcPr>
          <w:p w14:paraId="626F811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内渐进树脂镜片平衡型</w:t>
            </w:r>
          </w:p>
        </w:tc>
        <w:tc>
          <w:tcPr>
            <w:tcW w:w="386" w:type="dxa"/>
            <w:vAlign w:val="center"/>
          </w:tcPr>
          <w:p w14:paraId="2C6BE9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B87F10C">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505B388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584D90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1026</w:t>
            </w:r>
          </w:p>
        </w:tc>
      </w:tr>
      <w:tr w14:paraId="52208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62DB8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278</w:t>
            </w:r>
          </w:p>
        </w:tc>
        <w:tc>
          <w:tcPr>
            <w:tcW w:w="1623" w:type="dxa"/>
            <w:vAlign w:val="center"/>
          </w:tcPr>
          <w:p w14:paraId="5F1A7F2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内渐进树脂镜片办公型</w:t>
            </w:r>
          </w:p>
        </w:tc>
        <w:tc>
          <w:tcPr>
            <w:tcW w:w="386" w:type="dxa"/>
            <w:vAlign w:val="center"/>
          </w:tcPr>
          <w:p w14:paraId="186BE8F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D38ED8E">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37D47C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F736C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946.2</w:t>
            </w:r>
          </w:p>
        </w:tc>
      </w:tr>
      <w:tr w14:paraId="1FF98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66220C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279</w:t>
            </w:r>
          </w:p>
        </w:tc>
        <w:tc>
          <w:tcPr>
            <w:tcW w:w="1623" w:type="dxa"/>
            <w:vAlign w:val="center"/>
          </w:tcPr>
          <w:p w14:paraId="2AAA6FC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内渐进树脂镜片运动型</w:t>
            </w:r>
          </w:p>
        </w:tc>
        <w:tc>
          <w:tcPr>
            <w:tcW w:w="386" w:type="dxa"/>
            <w:vAlign w:val="center"/>
          </w:tcPr>
          <w:p w14:paraId="68FCB31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4C1388E">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12A8DF4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2BB2CE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946.2</w:t>
            </w:r>
          </w:p>
        </w:tc>
      </w:tr>
      <w:tr w14:paraId="1D7E1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222C5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280</w:t>
            </w:r>
          </w:p>
        </w:tc>
        <w:tc>
          <w:tcPr>
            <w:tcW w:w="1623" w:type="dxa"/>
            <w:vAlign w:val="center"/>
          </w:tcPr>
          <w:p w14:paraId="4D23EF3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内渐进树脂镜片驾驶型</w:t>
            </w:r>
          </w:p>
        </w:tc>
        <w:tc>
          <w:tcPr>
            <w:tcW w:w="386" w:type="dxa"/>
            <w:vAlign w:val="center"/>
          </w:tcPr>
          <w:p w14:paraId="4FF78E1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1127C54">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6D13AD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519BB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946.2</w:t>
            </w:r>
          </w:p>
        </w:tc>
      </w:tr>
      <w:tr w14:paraId="17A99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ED04D0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281</w:t>
            </w:r>
          </w:p>
        </w:tc>
        <w:tc>
          <w:tcPr>
            <w:tcW w:w="1623" w:type="dxa"/>
            <w:vAlign w:val="center"/>
          </w:tcPr>
          <w:p w14:paraId="5B4AFEF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内渐进树脂镜片商务型</w:t>
            </w:r>
          </w:p>
        </w:tc>
        <w:tc>
          <w:tcPr>
            <w:tcW w:w="386" w:type="dxa"/>
            <w:vAlign w:val="center"/>
          </w:tcPr>
          <w:p w14:paraId="564137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32415A5">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312EDD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BF5B24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946.2</w:t>
            </w:r>
          </w:p>
        </w:tc>
      </w:tr>
      <w:tr w14:paraId="1482C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7C629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282</w:t>
            </w:r>
          </w:p>
        </w:tc>
        <w:tc>
          <w:tcPr>
            <w:tcW w:w="1623" w:type="dxa"/>
            <w:vAlign w:val="center"/>
          </w:tcPr>
          <w:p w14:paraId="32039AF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 内渐进树脂镜片平衡型</w:t>
            </w:r>
          </w:p>
        </w:tc>
        <w:tc>
          <w:tcPr>
            <w:tcW w:w="386" w:type="dxa"/>
            <w:vAlign w:val="center"/>
          </w:tcPr>
          <w:p w14:paraId="0BC6761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6E550B1">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79CCA9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1C918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5AEEA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48AA27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283</w:t>
            </w:r>
          </w:p>
        </w:tc>
        <w:tc>
          <w:tcPr>
            <w:tcW w:w="1623" w:type="dxa"/>
            <w:vAlign w:val="center"/>
          </w:tcPr>
          <w:p w14:paraId="1971656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 内渐进树脂镜片办公型</w:t>
            </w:r>
          </w:p>
        </w:tc>
        <w:tc>
          <w:tcPr>
            <w:tcW w:w="386" w:type="dxa"/>
            <w:vAlign w:val="center"/>
          </w:tcPr>
          <w:p w14:paraId="54E8E6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54110B5">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676887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7AFBF9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6ED4D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77CCC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284</w:t>
            </w:r>
          </w:p>
        </w:tc>
        <w:tc>
          <w:tcPr>
            <w:tcW w:w="1623" w:type="dxa"/>
            <w:vAlign w:val="center"/>
          </w:tcPr>
          <w:p w14:paraId="56BBB36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 内渐进树脂镜片运动型</w:t>
            </w:r>
          </w:p>
        </w:tc>
        <w:tc>
          <w:tcPr>
            <w:tcW w:w="386" w:type="dxa"/>
            <w:vAlign w:val="center"/>
          </w:tcPr>
          <w:p w14:paraId="0657C9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3CE3EE2">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12D35C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5FCA66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109C4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ACFE13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285</w:t>
            </w:r>
          </w:p>
        </w:tc>
        <w:tc>
          <w:tcPr>
            <w:tcW w:w="1623" w:type="dxa"/>
            <w:vAlign w:val="center"/>
          </w:tcPr>
          <w:p w14:paraId="74A34F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 内渐进树脂镜片驾驶型</w:t>
            </w:r>
          </w:p>
        </w:tc>
        <w:tc>
          <w:tcPr>
            <w:tcW w:w="386" w:type="dxa"/>
            <w:vAlign w:val="center"/>
          </w:tcPr>
          <w:p w14:paraId="62A67D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8EEBE82">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3DDD29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2F6488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3AFEB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1C9F4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286</w:t>
            </w:r>
          </w:p>
        </w:tc>
        <w:tc>
          <w:tcPr>
            <w:tcW w:w="1623" w:type="dxa"/>
            <w:vAlign w:val="center"/>
          </w:tcPr>
          <w:p w14:paraId="25E6E1B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 内渐进树脂镜片商务型</w:t>
            </w:r>
          </w:p>
        </w:tc>
        <w:tc>
          <w:tcPr>
            <w:tcW w:w="386" w:type="dxa"/>
            <w:vAlign w:val="center"/>
          </w:tcPr>
          <w:p w14:paraId="5D510A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27115E2">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 1.渐进多焦镜片。2.远用光平坦，近用视野宽阔，舒适的过渡带。3.近用区加宽，适合阅读，写字或上网等近距离使用。4.采用非对称技术，佩戴者更快</w:t>
            </w:r>
            <w:r>
              <w:rPr>
                <w:rFonts w:hint="eastAsia" w:hAnsi="宋体" w:cs="宋体"/>
                <w:color w:val="auto"/>
                <w:sz w:val="18"/>
                <w:szCs w:val="18"/>
                <w:highlight w:val="none"/>
                <w:lang w:eastAsia="zh-CN"/>
              </w:rPr>
              <w:t>地</w:t>
            </w:r>
            <w:r>
              <w:rPr>
                <w:rFonts w:hint="eastAsia" w:hAnsi="宋体" w:cs="宋体"/>
                <w:color w:val="auto"/>
                <w:sz w:val="18"/>
                <w:szCs w:val="18"/>
                <w:highlight w:val="none"/>
              </w:rPr>
              <w:t>适应，二、光度范围：球镜+8.00~-10.00，柱镜-0.00~-4.00，add: +1.50---+2.00；膜层：钢化膜A+；</w:t>
            </w:r>
          </w:p>
        </w:tc>
        <w:tc>
          <w:tcPr>
            <w:tcW w:w="510" w:type="dxa"/>
            <w:vAlign w:val="center"/>
          </w:tcPr>
          <w:p w14:paraId="4C22EA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48B3F8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241</w:t>
            </w:r>
          </w:p>
        </w:tc>
      </w:tr>
      <w:tr w14:paraId="2A7D5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EDB43F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287</w:t>
            </w:r>
          </w:p>
        </w:tc>
        <w:tc>
          <w:tcPr>
            <w:tcW w:w="1623" w:type="dxa"/>
            <w:vAlign w:val="center"/>
          </w:tcPr>
          <w:p w14:paraId="427842F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1.50数码内渐进镜片</w:t>
            </w:r>
          </w:p>
        </w:tc>
        <w:tc>
          <w:tcPr>
            <w:tcW w:w="386" w:type="dxa"/>
            <w:vAlign w:val="center"/>
          </w:tcPr>
          <w:p w14:paraId="0DAB71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A1FE9C2">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+7.00~-7.00，柱镜-0.00~-4.00，add: +1.50---+2.00；膜层：钢化膜A+；</w:t>
            </w:r>
          </w:p>
        </w:tc>
        <w:tc>
          <w:tcPr>
            <w:tcW w:w="510" w:type="dxa"/>
            <w:vAlign w:val="center"/>
          </w:tcPr>
          <w:p w14:paraId="5F32B60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BBC4D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296.92</w:t>
            </w:r>
          </w:p>
        </w:tc>
      </w:tr>
      <w:tr w14:paraId="5F2D8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41FBA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288</w:t>
            </w:r>
          </w:p>
        </w:tc>
        <w:tc>
          <w:tcPr>
            <w:tcW w:w="1623" w:type="dxa"/>
            <w:vAlign w:val="center"/>
          </w:tcPr>
          <w:p w14:paraId="674CF9D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1.56数码内渐进镜片</w:t>
            </w:r>
          </w:p>
        </w:tc>
        <w:tc>
          <w:tcPr>
            <w:tcW w:w="386" w:type="dxa"/>
            <w:vAlign w:val="center"/>
          </w:tcPr>
          <w:p w14:paraId="6C9748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4162EF0">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+8.00~-8.00，柱镜-0.00~-4.00，add: +1.50---+2.00；膜层：钢化膜A+；</w:t>
            </w:r>
          </w:p>
        </w:tc>
        <w:tc>
          <w:tcPr>
            <w:tcW w:w="510" w:type="dxa"/>
            <w:vAlign w:val="center"/>
          </w:tcPr>
          <w:p w14:paraId="18224D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2B3332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451.71</w:t>
            </w:r>
          </w:p>
        </w:tc>
      </w:tr>
      <w:tr w14:paraId="410E3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74E27A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289</w:t>
            </w:r>
          </w:p>
        </w:tc>
        <w:tc>
          <w:tcPr>
            <w:tcW w:w="1623" w:type="dxa"/>
            <w:vAlign w:val="center"/>
          </w:tcPr>
          <w:p w14:paraId="462A0E1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1.60数码内渐进镜片</w:t>
            </w:r>
          </w:p>
        </w:tc>
        <w:tc>
          <w:tcPr>
            <w:tcW w:w="386" w:type="dxa"/>
            <w:vAlign w:val="center"/>
          </w:tcPr>
          <w:p w14:paraId="2F9A223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EE9F6A9">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，远用区域增加，渐进区更靠近眼球，中、近视区域更宽广，镜片具有宽广的近视区和远视区以及较宽广的渐进带宽度，2.通道可装配各种款式大小的镜框。二、光度范围：球镜+8.00~-9.00，柱镜-0.00~-4.00，add: +1.50---+2.00；膜层：钢化膜A+；</w:t>
            </w:r>
          </w:p>
        </w:tc>
        <w:tc>
          <w:tcPr>
            <w:tcW w:w="510" w:type="dxa"/>
            <w:vAlign w:val="center"/>
          </w:tcPr>
          <w:p w14:paraId="668024E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CC0485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482.5</w:t>
            </w:r>
          </w:p>
        </w:tc>
      </w:tr>
      <w:tr w14:paraId="7FA6F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C85288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290</w:t>
            </w:r>
          </w:p>
        </w:tc>
        <w:tc>
          <w:tcPr>
            <w:tcW w:w="1623" w:type="dxa"/>
            <w:vAlign w:val="center"/>
          </w:tcPr>
          <w:p w14:paraId="2D848BB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1.67数码内渐进镜片</w:t>
            </w:r>
          </w:p>
        </w:tc>
        <w:tc>
          <w:tcPr>
            <w:tcW w:w="386" w:type="dxa"/>
            <w:vAlign w:val="center"/>
          </w:tcPr>
          <w:p w14:paraId="7A14ACB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3CC418A">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，远用区域增加，渐进区更靠近眼球，中、近视区域更宽广，镜片具有宽广的近视区和远视区以及较宽广的渐进带宽度，2.通道可装配各种款式大小的镜框。二、光度范围：球镜+8.00~-10.00，柱镜-0.00~-4.00，add: +1.50---+2.00；膜层：钢化膜A+；</w:t>
            </w:r>
          </w:p>
        </w:tc>
        <w:tc>
          <w:tcPr>
            <w:tcW w:w="510" w:type="dxa"/>
            <w:vAlign w:val="center"/>
          </w:tcPr>
          <w:p w14:paraId="249D9C5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1BB13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641</w:t>
            </w:r>
          </w:p>
        </w:tc>
      </w:tr>
      <w:tr w14:paraId="55B3C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308495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291</w:t>
            </w:r>
          </w:p>
        </w:tc>
        <w:tc>
          <w:tcPr>
            <w:tcW w:w="1623" w:type="dxa"/>
            <w:vAlign w:val="center"/>
          </w:tcPr>
          <w:p w14:paraId="316611F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1.74数码内渐进镜片</w:t>
            </w:r>
          </w:p>
        </w:tc>
        <w:tc>
          <w:tcPr>
            <w:tcW w:w="386" w:type="dxa"/>
            <w:vAlign w:val="center"/>
          </w:tcPr>
          <w:p w14:paraId="7CBFE4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84B2AE">
            <w:pPr>
              <w:spacing w:before="30" w:after="30" w:line="320" w:lineRule="auto"/>
              <w:rPr>
                <w:rFonts w:hint="eastAsia" w:hAnsi="宋体" w:eastAsia="宋体" w:cs="宋体"/>
                <w:color w:val="auto"/>
                <w:sz w:val="18"/>
                <w:szCs w:val="18"/>
                <w:highlight w:val="none"/>
                <w:lang w:eastAsia="zh-CN"/>
              </w:rPr>
            </w:pPr>
            <w:r>
              <w:rPr>
                <w:rFonts w:hint="eastAsia" w:hAnsi="宋体" w:cs="宋体"/>
                <w:color w:val="auto"/>
                <w:sz w:val="18"/>
                <w:szCs w:val="18"/>
                <w:highlight w:val="none"/>
              </w:rPr>
              <w:t>一、性能特点：1.</w:t>
            </w:r>
            <w:r>
              <w:rPr>
                <w:rFonts w:hint="eastAsia" w:hAnsi="宋体" w:cs="宋体"/>
                <w:color w:val="auto"/>
                <w:sz w:val="18"/>
                <w:szCs w:val="18"/>
                <w:highlight w:val="none"/>
                <w:lang w:eastAsia="zh-CN"/>
              </w:rPr>
              <w:t>采用优化曲面设计</w:t>
            </w:r>
            <w:r>
              <w:rPr>
                <w:rFonts w:hint="eastAsia" w:hAnsi="宋体" w:cs="宋体"/>
                <w:color w:val="auto"/>
                <w:sz w:val="18"/>
                <w:szCs w:val="18"/>
                <w:highlight w:val="none"/>
              </w:rPr>
              <w:t>，远用区域增加，渐进区更靠近眼球，中、近视区域更宽广，镜片具有宽广的近视区和远视区以及较宽广的渐进带宽度，2.通道可装配各种款式大小的镜框。二、光度范围：球镜+8.00~-10.00，柱镜-0.00~-4.00，add: +1.50---+2.00；膜层：钢化膜A+；</w:t>
            </w:r>
          </w:p>
        </w:tc>
        <w:tc>
          <w:tcPr>
            <w:tcW w:w="510" w:type="dxa"/>
            <w:vAlign w:val="center"/>
          </w:tcPr>
          <w:p w14:paraId="4BD3D5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64F26C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1045</w:t>
            </w:r>
          </w:p>
        </w:tc>
      </w:tr>
      <w:tr w14:paraId="43B38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DB737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292</w:t>
            </w:r>
          </w:p>
        </w:tc>
        <w:tc>
          <w:tcPr>
            <w:tcW w:w="1623" w:type="dxa"/>
            <w:vAlign w:val="center"/>
          </w:tcPr>
          <w:p w14:paraId="24CB5E7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1.50加硬美薄染色树脂镜片</w:t>
            </w:r>
          </w:p>
        </w:tc>
        <w:tc>
          <w:tcPr>
            <w:tcW w:w="386" w:type="dxa"/>
            <w:vAlign w:val="center"/>
          </w:tcPr>
          <w:p w14:paraId="392E239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63AEB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一、性能特点：1.三维自由曲面设计，镜片边缘更薄、加硬膜有更好的抗冲击性能。2.可以抵抗98%的紫外线，全方面呵护精彩世界。3.可以定制12种颜色。二、光度范围：球镜+4.00~-6.00，柱镜-0.00~-4.00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603104E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9AFE90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107.4</w:t>
            </w:r>
          </w:p>
        </w:tc>
      </w:tr>
      <w:tr w14:paraId="43E34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5FCE3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293</w:t>
            </w:r>
          </w:p>
        </w:tc>
        <w:tc>
          <w:tcPr>
            <w:tcW w:w="1623" w:type="dxa"/>
            <w:vAlign w:val="center"/>
          </w:tcPr>
          <w:p w14:paraId="5E73C92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1.50加膜美薄染色树脂镜片</w:t>
            </w:r>
          </w:p>
        </w:tc>
        <w:tc>
          <w:tcPr>
            <w:tcW w:w="386" w:type="dxa"/>
            <w:vAlign w:val="center"/>
          </w:tcPr>
          <w:p w14:paraId="5EC888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2256E2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二、 光度范围：球镜+4.00~-6.00，柱镜-0.00~-4.00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61A414D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12C28D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115.07</w:t>
            </w:r>
          </w:p>
        </w:tc>
      </w:tr>
      <w:tr w14:paraId="4B98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B7577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294</w:t>
            </w:r>
          </w:p>
        </w:tc>
        <w:tc>
          <w:tcPr>
            <w:tcW w:w="1623" w:type="dxa"/>
            <w:vAlign w:val="center"/>
          </w:tcPr>
          <w:p w14:paraId="449D7D7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1.50加膜大基弯美薄染色树脂镜片</w:t>
            </w:r>
          </w:p>
        </w:tc>
        <w:tc>
          <w:tcPr>
            <w:tcW w:w="386" w:type="dxa"/>
            <w:vAlign w:val="center"/>
          </w:tcPr>
          <w:p w14:paraId="44679B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954B28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5.基弯可定制400弯、600弯、800弯，可定制偏心。二、光度范围：球镜+4.00~-6.00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758133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0CAD7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170.57</w:t>
            </w:r>
          </w:p>
        </w:tc>
      </w:tr>
      <w:tr w14:paraId="5E175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25B5D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295</w:t>
            </w:r>
          </w:p>
        </w:tc>
        <w:tc>
          <w:tcPr>
            <w:tcW w:w="1623" w:type="dxa"/>
            <w:vAlign w:val="center"/>
          </w:tcPr>
          <w:p w14:paraId="03DA50D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1.56加硬美薄染色树脂镜片</w:t>
            </w:r>
          </w:p>
        </w:tc>
        <w:tc>
          <w:tcPr>
            <w:tcW w:w="386" w:type="dxa"/>
            <w:vAlign w:val="center"/>
          </w:tcPr>
          <w:p w14:paraId="03C2D66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B5186E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一、性能特点：1.三维自由曲面设计，镜片边缘更薄、加硬膜有更好的抗冲击性能。2.可以抵抗98%的紫外线，全方面呵护精彩世界。3.可以定制12种颜色。光度范围：球镜+4.00~-800，柱镜-0.00~-4.00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2F57FB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9ACB14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115</w:t>
            </w:r>
          </w:p>
        </w:tc>
      </w:tr>
      <w:tr w14:paraId="71762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F35A4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296</w:t>
            </w:r>
          </w:p>
        </w:tc>
        <w:tc>
          <w:tcPr>
            <w:tcW w:w="1623" w:type="dxa"/>
            <w:vAlign w:val="center"/>
          </w:tcPr>
          <w:p w14:paraId="6586532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1.56加膜美薄染色树脂镜片</w:t>
            </w:r>
          </w:p>
        </w:tc>
        <w:tc>
          <w:tcPr>
            <w:tcW w:w="386" w:type="dxa"/>
            <w:vAlign w:val="center"/>
          </w:tcPr>
          <w:p w14:paraId="79A3DAB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3F5E37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光度范围：球镜+4.00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5194622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15EEF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123</w:t>
            </w:r>
          </w:p>
        </w:tc>
      </w:tr>
      <w:tr w14:paraId="072C0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153B3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297</w:t>
            </w:r>
          </w:p>
        </w:tc>
        <w:tc>
          <w:tcPr>
            <w:tcW w:w="1623" w:type="dxa"/>
            <w:vAlign w:val="center"/>
          </w:tcPr>
          <w:p w14:paraId="0CC7A66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1.56加膜大基弯美薄染色树脂镜片</w:t>
            </w:r>
          </w:p>
        </w:tc>
        <w:tc>
          <w:tcPr>
            <w:tcW w:w="386" w:type="dxa"/>
            <w:vAlign w:val="center"/>
          </w:tcPr>
          <w:p w14:paraId="404C5F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E13903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5.基弯可定制400弯、600弯、800弯，可定制偏心。光度范围：球镜+4.00~-8.00，柱镜-0.00~-4.00；膜层：钢化膜A+</w:t>
            </w:r>
          </w:p>
        </w:tc>
        <w:tc>
          <w:tcPr>
            <w:tcW w:w="510" w:type="dxa"/>
            <w:vAlign w:val="center"/>
          </w:tcPr>
          <w:p w14:paraId="2098CC2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430E6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202.16</w:t>
            </w:r>
          </w:p>
        </w:tc>
      </w:tr>
      <w:tr w14:paraId="53FA0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9FBEF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298</w:t>
            </w:r>
          </w:p>
        </w:tc>
        <w:tc>
          <w:tcPr>
            <w:tcW w:w="1623" w:type="dxa"/>
            <w:vAlign w:val="center"/>
          </w:tcPr>
          <w:p w14:paraId="7D378E6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1.60加硬美薄染色树脂镜片</w:t>
            </w:r>
          </w:p>
        </w:tc>
        <w:tc>
          <w:tcPr>
            <w:tcW w:w="386" w:type="dxa"/>
            <w:vAlign w:val="center"/>
          </w:tcPr>
          <w:p w14:paraId="0D305E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2B23F0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光度范围：球镜+4.00~-6.00，柱镜-0.00~-4.00。光度范围：球镜+4.00~-10.00，柱镜-0.00~-4.00；膜层：钢化膜A+</w:t>
            </w:r>
          </w:p>
        </w:tc>
        <w:tc>
          <w:tcPr>
            <w:tcW w:w="510" w:type="dxa"/>
            <w:vAlign w:val="center"/>
          </w:tcPr>
          <w:p w14:paraId="4E657C2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8D687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146.66</w:t>
            </w:r>
          </w:p>
        </w:tc>
      </w:tr>
      <w:tr w14:paraId="7EB2A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98FA6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299</w:t>
            </w:r>
          </w:p>
        </w:tc>
        <w:tc>
          <w:tcPr>
            <w:tcW w:w="1623" w:type="dxa"/>
            <w:vAlign w:val="center"/>
          </w:tcPr>
          <w:p w14:paraId="35D9989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1.60加膜美薄染色树脂镜片</w:t>
            </w:r>
          </w:p>
        </w:tc>
        <w:tc>
          <w:tcPr>
            <w:tcW w:w="386" w:type="dxa"/>
            <w:vAlign w:val="center"/>
          </w:tcPr>
          <w:p w14:paraId="2581A3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EEECC5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二、光度范围：球镜+4.00~-10.00，柱镜-0.00~-4.00；膜层：钢化膜A+</w:t>
            </w:r>
          </w:p>
        </w:tc>
        <w:tc>
          <w:tcPr>
            <w:tcW w:w="510" w:type="dxa"/>
            <w:vAlign w:val="center"/>
          </w:tcPr>
          <w:p w14:paraId="21A590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5C22AD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217.96</w:t>
            </w:r>
          </w:p>
        </w:tc>
      </w:tr>
      <w:tr w14:paraId="5D4EE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B0936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300</w:t>
            </w:r>
          </w:p>
        </w:tc>
        <w:tc>
          <w:tcPr>
            <w:tcW w:w="1623" w:type="dxa"/>
            <w:vAlign w:val="center"/>
          </w:tcPr>
          <w:p w14:paraId="798C241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1.60加膜大基弯美薄染色树脂镜片</w:t>
            </w:r>
          </w:p>
        </w:tc>
        <w:tc>
          <w:tcPr>
            <w:tcW w:w="386" w:type="dxa"/>
            <w:vAlign w:val="center"/>
          </w:tcPr>
          <w:p w14:paraId="68FB48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05605F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5.基弯可定制400弯、600弯、800弯，可定制偏心。二、光度范围：球镜+4.00~-10.00，柱镜-0.00~-4.00；膜层：钢化膜A+</w:t>
            </w:r>
          </w:p>
        </w:tc>
        <w:tc>
          <w:tcPr>
            <w:tcW w:w="510" w:type="dxa"/>
            <w:vAlign w:val="center"/>
          </w:tcPr>
          <w:p w14:paraId="78E50E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EA92C6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7D3A6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FB9E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301</w:t>
            </w:r>
          </w:p>
        </w:tc>
        <w:tc>
          <w:tcPr>
            <w:tcW w:w="1623" w:type="dxa"/>
            <w:vAlign w:val="center"/>
          </w:tcPr>
          <w:p w14:paraId="3AB12B1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1.67加硬美薄染色树脂镜片</w:t>
            </w:r>
          </w:p>
        </w:tc>
        <w:tc>
          <w:tcPr>
            <w:tcW w:w="386" w:type="dxa"/>
            <w:vAlign w:val="center"/>
          </w:tcPr>
          <w:p w14:paraId="181C93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ADC9E6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一、性能特点：1三维自由曲面设计，镜片边缘更薄、加硬膜有更好的抗冲击性能。2.可以抵抗98%的紫外线，全方面呵护精彩世界。3.可以定制12种颜色。二、 光度范围：球镜+4.00~-10.00，柱镜-0.00~-4.00；膜层：钢化膜A+</w:t>
            </w:r>
          </w:p>
        </w:tc>
        <w:tc>
          <w:tcPr>
            <w:tcW w:w="510" w:type="dxa"/>
            <w:vAlign w:val="center"/>
          </w:tcPr>
          <w:p w14:paraId="2032DC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157F3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360.1</w:t>
            </w:r>
          </w:p>
        </w:tc>
      </w:tr>
      <w:tr w14:paraId="218CA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1115BA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302</w:t>
            </w:r>
          </w:p>
        </w:tc>
        <w:tc>
          <w:tcPr>
            <w:tcW w:w="1623" w:type="dxa"/>
            <w:vAlign w:val="center"/>
          </w:tcPr>
          <w:p w14:paraId="031B168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1.67加膜美薄染色树脂镜片</w:t>
            </w:r>
          </w:p>
        </w:tc>
        <w:tc>
          <w:tcPr>
            <w:tcW w:w="386" w:type="dxa"/>
            <w:vAlign w:val="center"/>
          </w:tcPr>
          <w:p w14:paraId="1570081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438F5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二、光度范围：球镜+4.00~-10.00，柱镜-0.00~-4.00；膜层：钢化膜A+</w:t>
            </w:r>
          </w:p>
        </w:tc>
        <w:tc>
          <w:tcPr>
            <w:tcW w:w="510" w:type="dxa"/>
            <w:vAlign w:val="center"/>
          </w:tcPr>
          <w:p w14:paraId="4F240CC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29492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407.48</w:t>
            </w:r>
          </w:p>
        </w:tc>
      </w:tr>
      <w:tr w14:paraId="4B48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8C2187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303</w:t>
            </w:r>
          </w:p>
        </w:tc>
        <w:tc>
          <w:tcPr>
            <w:tcW w:w="1623" w:type="dxa"/>
            <w:vAlign w:val="center"/>
          </w:tcPr>
          <w:p w14:paraId="6B08064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1.67加膜大基弯美薄染色树脂镜片</w:t>
            </w:r>
          </w:p>
        </w:tc>
        <w:tc>
          <w:tcPr>
            <w:tcW w:w="386" w:type="dxa"/>
            <w:vAlign w:val="center"/>
          </w:tcPr>
          <w:p w14:paraId="0E5924E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C25C31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三维自由曲面设计，镜片边缘更薄、加硬膜有更好的抗冲击性能。2.可以抵抗98%的紫外线，全方面呵护精彩世界。3.可以定制12种颜色。4.A+增加了更多的氟分子，摩擦系数低镜片表面更光滑、更坚韧更耐磨。5.基弯可定制400弯、600弯、800弯，可定制偏心。二、光度范围：球镜+4.00~-10.00，柱镜-0.00~-4.00；膜层：钢化膜A+</w:t>
            </w:r>
          </w:p>
        </w:tc>
        <w:tc>
          <w:tcPr>
            <w:tcW w:w="510" w:type="dxa"/>
            <w:vAlign w:val="center"/>
          </w:tcPr>
          <w:p w14:paraId="2A8DCB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28FCF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454.86</w:t>
            </w:r>
          </w:p>
        </w:tc>
      </w:tr>
      <w:tr w14:paraId="34D8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6361B6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304</w:t>
            </w:r>
          </w:p>
        </w:tc>
        <w:tc>
          <w:tcPr>
            <w:tcW w:w="1623" w:type="dxa"/>
            <w:vAlign w:val="center"/>
          </w:tcPr>
          <w:p w14:paraId="575C88E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1.50偏光树脂镜片</w:t>
            </w:r>
          </w:p>
        </w:tc>
        <w:tc>
          <w:tcPr>
            <w:tcW w:w="386" w:type="dxa"/>
            <w:vAlign w:val="center"/>
          </w:tcPr>
          <w:p w14:paraId="127256C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C9FF9C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2E75EF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BB9E60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217.96</w:t>
            </w:r>
          </w:p>
        </w:tc>
      </w:tr>
      <w:tr w14:paraId="61C6B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5A0292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305</w:t>
            </w:r>
          </w:p>
        </w:tc>
        <w:tc>
          <w:tcPr>
            <w:tcW w:w="1623" w:type="dxa"/>
            <w:vAlign w:val="center"/>
          </w:tcPr>
          <w:p w14:paraId="39F86B2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1.50偏光渐进树脂镜片</w:t>
            </w:r>
          </w:p>
        </w:tc>
        <w:tc>
          <w:tcPr>
            <w:tcW w:w="386" w:type="dxa"/>
            <w:vAlign w:val="center"/>
          </w:tcPr>
          <w:p w14:paraId="0EE099D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6BCC95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ADD+0.75~+3.50；膜层：钢化膜A+</w:t>
            </w:r>
          </w:p>
        </w:tc>
        <w:tc>
          <w:tcPr>
            <w:tcW w:w="510" w:type="dxa"/>
            <w:vAlign w:val="center"/>
          </w:tcPr>
          <w:p w14:paraId="66143A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2F0B8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444.6</w:t>
            </w:r>
          </w:p>
        </w:tc>
      </w:tr>
      <w:tr w14:paraId="0323C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B9491B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306</w:t>
            </w:r>
          </w:p>
        </w:tc>
        <w:tc>
          <w:tcPr>
            <w:tcW w:w="1623" w:type="dxa"/>
            <w:vAlign w:val="center"/>
          </w:tcPr>
          <w:p w14:paraId="3C37B8A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1.50变色偏光树脂镜片</w:t>
            </w:r>
          </w:p>
        </w:tc>
        <w:tc>
          <w:tcPr>
            <w:tcW w:w="386" w:type="dxa"/>
            <w:vAlign w:val="center"/>
          </w:tcPr>
          <w:p w14:paraId="15E2D36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9C7173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一、性能特点：满足近视患者戴上近视偏光镜要求，同时带防雾功能并可变色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7E9677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06CA0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263.53</w:t>
            </w:r>
          </w:p>
        </w:tc>
      </w:tr>
      <w:tr w14:paraId="4BB6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E957F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307</w:t>
            </w:r>
          </w:p>
        </w:tc>
        <w:tc>
          <w:tcPr>
            <w:tcW w:w="1623" w:type="dxa"/>
            <w:vAlign w:val="center"/>
          </w:tcPr>
          <w:p w14:paraId="2D0381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1.50变色偏光渐进树脂镜片</w:t>
            </w:r>
          </w:p>
        </w:tc>
        <w:tc>
          <w:tcPr>
            <w:tcW w:w="386" w:type="dxa"/>
            <w:vAlign w:val="center"/>
          </w:tcPr>
          <w:p w14:paraId="485734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099071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一、性能特点：满足不同年龄段近视患者戴上近视偏光镜要求，同时带防雾功能并可变色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ADD+0.75~+3.50；膜层：钢化膜A+</w:t>
            </w:r>
          </w:p>
        </w:tc>
        <w:tc>
          <w:tcPr>
            <w:tcW w:w="510" w:type="dxa"/>
            <w:vAlign w:val="center"/>
          </w:tcPr>
          <w:p w14:paraId="2BF714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6878C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615.6</w:t>
            </w:r>
          </w:p>
        </w:tc>
      </w:tr>
      <w:tr w14:paraId="26DE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B8EE50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308</w:t>
            </w:r>
          </w:p>
        </w:tc>
        <w:tc>
          <w:tcPr>
            <w:tcW w:w="1623" w:type="dxa"/>
            <w:vAlign w:val="center"/>
          </w:tcPr>
          <w:p w14:paraId="6AC59A6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1.56偏光树脂镜片</w:t>
            </w:r>
          </w:p>
        </w:tc>
        <w:tc>
          <w:tcPr>
            <w:tcW w:w="386" w:type="dxa"/>
            <w:vAlign w:val="center"/>
          </w:tcPr>
          <w:p w14:paraId="0E0DD8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7D583F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3079AD0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E8BD2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356.94</w:t>
            </w:r>
          </w:p>
        </w:tc>
      </w:tr>
      <w:tr w14:paraId="3497C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B4D343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309</w:t>
            </w:r>
          </w:p>
        </w:tc>
        <w:tc>
          <w:tcPr>
            <w:tcW w:w="1623" w:type="dxa"/>
            <w:vAlign w:val="center"/>
          </w:tcPr>
          <w:p w14:paraId="3D40175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1.56偏光渐进树脂镜片</w:t>
            </w:r>
          </w:p>
        </w:tc>
        <w:tc>
          <w:tcPr>
            <w:tcW w:w="386" w:type="dxa"/>
            <w:vAlign w:val="center"/>
          </w:tcPr>
          <w:p w14:paraId="30E25E7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52E82C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性能特点：满足不同年龄段近视患者戴上近视偏光镜要求，同时带防雾功能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ADD+0.75~+3.50；膜层：钢化膜A+</w:t>
            </w:r>
          </w:p>
        </w:tc>
        <w:tc>
          <w:tcPr>
            <w:tcW w:w="510" w:type="dxa"/>
            <w:vAlign w:val="center"/>
          </w:tcPr>
          <w:p w14:paraId="2CD8FA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97C3A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615.6</w:t>
            </w:r>
          </w:p>
        </w:tc>
      </w:tr>
      <w:tr w14:paraId="2584C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CF82D9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310</w:t>
            </w:r>
          </w:p>
        </w:tc>
        <w:tc>
          <w:tcPr>
            <w:tcW w:w="1623" w:type="dxa"/>
            <w:vAlign w:val="center"/>
          </w:tcPr>
          <w:p w14:paraId="1A249A2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1.60偏光树脂镜片</w:t>
            </w:r>
          </w:p>
        </w:tc>
        <w:tc>
          <w:tcPr>
            <w:tcW w:w="386" w:type="dxa"/>
            <w:vAlign w:val="center"/>
          </w:tcPr>
          <w:p w14:paraId="12FA703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DA6E67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1AF78C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80F77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533.83</w:t>
            </w:r>
          </w:p>
        </w:tc>
      </w:tr>
      <w:tr w14:paraId="44F82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EC7E14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311</w:t>
            </w:r>
          </w:p>
        </w:tc>
        <w:tc>
          <w:tcPr>
            <w:tcW w:w="1623" w:type="dxa"/>
            <w:vAlign w:val="center"/>
          </w:tcPr>
          <w:p w14:paraId="512B852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1.60偏光渐进树脂镜片</w:t>
            </w:r>
          </w:p>
        </w:tc>
        <w:tc>
          <w:tcPr>
            <w:tcW w:w="386" w:type="dxa"/>
            <w:vAlign w:val="center"/>
          </w:tcPr>
          <w:p w14:paraId="2780AF9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9BDBC6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ADD+0.75~+3.50；膜层：钢化膜A+</w:t>
            </w:r>
          </w:p>
        </w:tc>
        <w:tc>
          <w:tcPr>
            <w:tcW w:w="510" w:type="dxa"/>
            <w:vAlign w:val="center"/>
          </w:tcPr>
          <w:p w14:paraId="7B0C2E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BBA06E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899</w:t>
            </w:r>
          </w:p>
        </w:tc>
      </w:tr>
      <w:tr w14:paraId="07CF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370FA3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312</w:t>
            </w:r>
          </w:p>
        </w:tc>
        <w:tc>
          <w:tcPr>
            <w:tcW w:w="1623" w:type="dxa"/>
            <w:vAlign w:val="center"/>
          </w:tcPr>
          <w:p w14:paraId="75C7F17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1.67偏光树脂镜片</w:t>
            </w:r>
          </w:p>
        </w:tc>
        <w:tc>
          <w:tcPr>
            <w:tcW w:w="386" w:type="dxa"/>
            <w:vAlign w:val="center"/>
          </w:tcPr>
          <w:p w14:paraId="6F050EC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9805DD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w:t>
            </w:r>
            <w:r>
              <w:rPr>
                <w:rFonts w:hint="eastAsia" w:hAnsi="宋体" w:cs="宋体"/>
                <w:color w:val="auto"/>
                <w:sz w:val="18"/>
                <w:szCs w:val="18"/>
                <w:highlight w:val="none"/>
                <w:lang w:eastAsia="zh-CN"/>
              </w:rPr>
              <w:t>，</w:t>
            </w:r>
            <w:r>
              <w:rPr>
                <w:rFonts w:hint="eastAsia" w:hAnsi="宋体" w:cs="宋体"/>
                <w:color w:val="auto"/>
                <w:sz w:val="18"/>
                <w:szCs w:val="18"/>
                <w:highlight w:val="none"/>
              </w:rPr>
              <w:t>膜层：钢化膜A+</w:t>
            </w:r>
          </w:p>
        </w:tc>
        <w:tc>
          <w:tcPr>
            <w:tcW w:w="510" w:type="dxa"/>
            <w:vAlign w:val="center"/>
          </w:tcPr>
          <w:p w14:paraId="2CE2360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2F480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786.6</w:t>
            </w:r>
          </w:p>
        </w:tc>
      </w:tr>
      <w:tr w14:paraId="29F0F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CC1953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313</w:t>
            </w:r>
          </w:p>
        </w:tc>
        <w:tc>
          <w:tcPr>
            <w:tcW w:w="1623" w:type="dxa"/>
            <w:vAlign w:val="center"/>
          </w:tcPr>
          <w:p w14:paraId="694DABA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1.67偏光渐进树脂镜片</w:t>
            </w:r>
          </w:p>
        </w:tc>
        <w:tc>
          <w:tcPr>
            <w:tcW w:w="386" w:type="dxa"/>
            <w:vAlign w:val="center"/>
          </w:tcPr>
          <w:p w14:paraId="570E07B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1B0701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一、性能特点：满足不同年龄段近视患者戴上近视偏光镜要求，同时带防雾功能 1.消除光线引起的眩光、强光。增强色彩，成像更清晰。2.三维自由曲面设计，镜片边缘更薄光学性能好，边缘像差大幅度降低，视物不变形，清晰、自然。3.100%阻隔有害紫外线，提高舒适度和安全性。4.可定制大基弯，400弯、600弯、800弯，并可定制偏心。二、光度范围：球镜+6.00~-8.00，柱镜-0.00~-4.00，ADD+0.75~+3.50；膜层：钢化膜A+</w:t>
            </w:r>
          </w:p>
        </w:tc>
        <w:tc>
          <w:tcPr>
            <w:tcW w:w="510" w:type="dxa"/>
            <w:vAlign w:val="center"/>
          </w:tcPr>
          <w:p w14:paraId="7A2F30E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863B12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1131</w:t>
            </w:r>
          </w:p>
        </w:tc>
      </w:tr>
      <w:tr w14:paraId="3B8D2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29514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314</w:t>
            </w:r>
          </w:p>
        </w:tc>
        <w:tc>
          <w:tcPr>
            <w:tcW w:w="1623" w:type="dxa"/>
            <w:vAlign w:val="center"/>
          </w:tcPr>
          <w:p w14:paraId="1BDA48F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1.50全视线膜变树脂镜片</w:t>
            </w:r>
          </w:p>
        </w:tc>
        <w:tc>
          <w:tcPr>
            <w:tcW w:w="386" w:type="dxa"/>
            <w:vAlign w:val="center"/>
          </w:tcPr>
          <w:p w14:paraId="588303B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7C3301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4.树脂镜片，膜层易清洁、防污、耐磨、防蓝光、防静电。二、光度范围：球镜+4.00~-4.00，柱镜-0.00~-2.00；膜层：钢化膜A+</w:t>
            </w:r>
          </w:p>
        </w:tc>
        <w:tc>
          <w:tcPr>
            <w:tcW w:w="510" w:type="dxa"/>
            <w:vAlign w:val="center"/>
          </w:tcPr>
          <w:p w14:paraId="6275413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EB6192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181</w:t>
            </w:r>
          </w:p>
        </w:tc>
      </w:tr>
      <w:tr w14:paraId="0B4A1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5E1FF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315</w:t>
            </w:r>
          </w:p>
        </w:tc>
        <w:tc>
          <w:tcPr>
            <w:tcW w:w="1623" w:type="dxa"/>
            <w:vAlign w:val="center"/>
          </w:tcPr>
          <w:p w14:paraId="1189F04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1.50全视线膜变树脂镜片</w:t>
            </w:r>
          </w:p>
        </w:tc>
        <w:tc>
          <w:tcPr>
            <w:tcW w:w="386" w:type="dxa"/>
            <w:vAlign w:val="center"/>
          </w:tcPr>
          <w:p w14:paraId="6466D93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356BD0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4.树脂镜片，膜层易清洁、防污、耐磨、防蓝光、防静电。二、光度范围：球镜+7.00~-12.50，柱镜-0.00~-4.00；膜层：钢化膜A+</w:t>
            </w:r>
          </w:p>
        </w:tc>
        <w:tc>
          <w:tcPr>
            <w:tcW w:w="510" w:type="dxa"/>
            <w:vAlign w:val="center"/>
          </w:tcPr>
          <w:p w14:paraId="0172EFA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3A25EB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300.09</w:t>
            </w:r>
          </w:p>
        </w:tc>
      </w:tr>
      <w:tr w14:paraId="113EB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B68170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316</w:t>
            </w:r>
          </w:p>
        </w:tc>
        <w:tc>
          <w:tcPr>
            <w:tcW w:w="1623" w:type="dxa"/>
            <w:vAlign w:val="center"/>
          </w:tcPr>
          <w:p w14:paraId="764CF6A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1.50全视线膜变渐进树脂镜片</w:t>
            </w:r>
          </w:p>
        </w:tc>
        <w:tc>
          <w:tcPr>
            <w:tcW w:w="386" w:type="dxa"/>
            <w:vAlign w:val="center"/>
          </w:tcPr>
          <w:p w14:paraId="6ED5F68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9C3BD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一、性能特点：满足不同年龄段变色需求，具备高效感应功能的光活性分子，能根据紫外线及光照的强弱自动调节镜片色度。镜片变色光感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4.树脂镜片，膜层易清洁、防污、耐磨、防蓝光、防静电。二、光度范围：球镜+7.00~-12.50，柱镜-0.00~-4.00，ADD+0.75~+3.50；膜层：钢化膜A+</w:t>
            </w:r>
          </w:p>
        </w:tc>
        <w:tc>
          <w:tcPr>
            <w:tcW w:w="510" w:type="dxa"/>
            <w:vAlign w:val="center"/>
          </w:tcPr>
          <w:p w14:paraId="641D87C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A7BBC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631.3</w:t>
            </w:r>
          </w:p>
        </w:tc>
      </w:tr>
      <w:tr w14:paraId="1434F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6238D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317</w:t>
            </w:r>
          </w:p>
        </w:tc>
        <w:tc>
          <w:tcPr>
            <w:tcW w:w="1623" w:type="dxa"/>
            <w:vAlign w:val="center"/>
          </w:tcPr>
          <w:p w14:paraId="21D2379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1.56全视线膜变树脂镜片</w:t>
            </w:r>
          </w:p>
        </w:tc>
        <w:tc>
          <w:tcPr>
            <w:tcW w:w="386" w:type="dxa"/>
            <w:vAlign w:val="center"/>
          </w:tcPr>
          <w:p w14:paraId="1B38F1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DCCA05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4.树脂镜片，膜层易清洁、防污、耐磨、防蓝光、防静电。二、光度范围：球镜0~-6.00，柱镜-0.00~-2.00；膜层：钢化膜A+</w:t>
            </w:r>
          </w:p>
        </w:tc>
        <w:tc>
          <w:tcPr>
            <w:tcW w:w="510" w:type="dxa"/>
            <w:vAlign w:val="center"/>
          </w:tcPr>
          <w:p w14:paraId="3F8A12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7C2DFD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233.5</w:t>
            </w:r>
          </w:p>
        </w:tc>
      </w:tr>
      <w:tr w14:paraId="13615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2A026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318</w:t>
            </w:r>
          </w:p>
        </w:tc>
        <w:tc>
          <w:tcPr>
            <w:tcW w:w="1623" w:type="dxa"/>
            <w:vAlign w:val="center"/>
          </w:tcPr>
          <w:p w14:paraId="7567132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1.56全视线膜变树脂镜片</w:t>
            </w:r>
          </w:p>
        </w:tc>
        <w:tc>
          <w:tcPr>
            <w:tcW w:w="386" w:type="dxa"/>
            <w:vAlign w:val="center"/>
          </w:tcPr>
          <w:p w14:paraId="7B5EDC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BE1FE5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4.树脂镜片，膜层易清洁、防污、耐磨、防蓝光、防静电。光二、度范围：球镜+7.00~-10.00，柱镜-0.00~-4.00；膜层：钢化膜A+</w:t>
            </w:r>
          </w:p>
        </w:tc>
        <w:tc>
          <w:tcPr>
            <w:tcW w:w="510" w:type="dxa"/>
            <w:vAlign w:val="center"/>
          </w:tcPr>
          <w:p w14:paraId="4A343C3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0F8CBB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363.26</w:t>
            </w:r>
          </w:p>
        </w:tc>
      </w:tr>
      <w:tr w14:paraId="0439F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263DAF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319</w:t>
            </w:r>
          </w:p>
        </w:tc>
        <w:tc>
          <w:tcPr>
            <w:tcW w:w="1623" w:type="dxa"/>
            <w:vAlign w:val="center"/>
          </w:tcPr>
          <w:p w14:paraId="7816C85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1.56全视线膜变渐进树脂镜片</w:t>
            </w:r>
          </w:p>
        </w:tc>
        <w:tc>
          <w:tcPr>
            <w:tcW w:w="386" w:type="dxa"/>
            <w:vAlign w:val="center"/>
          </w:tcPr>
          <w:p w14:paraId="45861EC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EB95E3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一、性能特点：满足不同年龄段变色需求，具备高效感应功能的光活性分子，能根据紫外线及光照的强弱自动调节镜片色度。镜片变色光感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4.树脂镜片，膜层易清洁、防污、耐磨、防蓝光、防静电。二、光度范围：球镜+7.00~-10.00，柱镜-0.00~-4.00，ADD+0.75~+3.50；膜层：钢化膜A+</w:t>
            </w:r>
          </w:p>
        </w:tc>
        <w:tc>
          <w:tcPr>
            <w:tcW w:w="510" w:type="dxa"/>
            <w:vAlign w:val="center"/>
          </w:tcPr>
          <w:p w14:paraId="68460A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493A5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773.9</w:t>
            </w:r>
          </w:p>
        </w:tc>
      </w:tr>
      <w:tr w14:paraId="369F5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8774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320</w:t>
            </w:r>
          </w:p>
        </w:tc>
        <w:tc>
          <w:tcPr>
            <w:tcW w:w="1623" w:type="dxa"/>
            <w:vAlign w:val="center"/>
          </w:tcPr>
          <w:p w14:paraId="1507332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1.60全视线膜变树脂镜片</w:t>
            </w:r>
          </w:p>
        </w:tc>
        <w:tc>
          <w:tcPr>
            <w:tcW w:w="386" w:type="dxa"/>
            <w:vAlign w:val="center"/>
          </w:tcPr>
          <w:p w14:paraId="1A6609A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675580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4.树脂镜片，膜层易清洁、防污、耐磨、防蓝光、防静电。二、光度范围：球镜0~-8.00，柱镜-0.00~-2.00；膜层：钢化膜A+</w:t>
            </w:r>
          </w:p>
        </w:tc>
        <w:tc>
          <w:tcPr>
            <w:tcW w:w="510" w:type="dxa"/>
            <w:vAlign w:val="center"/>
          </w:tcPr>
          <w:p w14:paraId="6E9D3D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EA3C0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273</w:t>
            </w:r>
          </w:p>
        </w:tc>
      </w:tr>
      <w:tr w14:paraId="4911E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62D80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321</w:t>
            </w:r>
          </w:p>
        </w:tc>
        <w:tc>
          <w:tcPr>
            <w:tcW w:w="1623" w:type="dxa"/>
            <w:vAlign w:val="center"/>
          </w:tcPr>
          <w:p w14:paraId="5D45ED5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1.60全视线膜变树脂镜片</w:t>
            </w:r>
          </w:p>
        </w:tc>
        <w:tc>
          <w:tcPr>
            <w:tcW w:w="386" w:type="dxa"/>
            <w:vAlign w:val="center"/>
          </w:tcPr>
          <w:p w14:paraId="2FB2EC2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07CA87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4.树脂镜片，膜层易清洁、防污、耐磨、防蓝光、防静电。二、光度范围：球镜+9.00~-14.00，柱镜-0.00~-4.00；膜层：钢化膜A+</w:t>
            </w:r>
          </w:p>
        </w:tc>
        <w:tc>
          <w:tcPr>
            <w:tcW w:w="510" w:type="dxa"/>
            <w:vAlign w:val="center"/>
          </w:tcPr>
          <w:p w14:paraId="06404D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CCCC64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438.5</w:t>
            </w:r>
          </w:p>
        </w:tc>
      </w:tr>
      <w:tr w14:paraId="77B9B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DA2E1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322</w:t>
            </w:r>
          </w:p>
        </w:tc>
        <w:tc>
          <w:tcPr>
            <w:tcW w:w="1623" w:type="dxa"/>
            <w:vAlign w:val="center"/>
          </w:tcPr>
          <w:p w14:paraId="4C45247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1.60全视线膜变渐进树脂镜片</w:t>
            </w:r>
          </w:p>
        </w:tc>
        <w:tc>
          <w:tcPr>
            <w:tcW w:w="386" w:type="dxa"/>
            <w:vAlign w:val="center"/>
          </w:tcPr>
          <w:p w14:paraId="64F63E8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8F13DC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一、性能特点：满足不同年龄段变色需求，具备高效感应功能的光活性分子，能根据紫外线及光照的强弱自动调节镜片色度。镜片变色光感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4.树脂镜片，膜层易清洁、防污、耐磨、防蓝光、防静电。二、光度范围：球镜+9.00~-14.00，柱镜-0.00~-4.00，ADD+0.75~+3.50；膜层：钢化膜A+</w:t>
            </w:r>
          </w:p>
        </w:tc>
        <w:tc>
          <w:tcPr>
            <w:tcW w:w="510" w:type="dxa"/>
            <w:vAlign w:val="center"/>
          </w:tcPr>
          <w:p w14:paraId="52996E8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D597A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915.59</w:t>
            </w:r>
          </w:p>
        </w:tc>
      </w:tr>
      <w:tr w14:paraId="417EB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45CF39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323</w:t>
            </w:r>
          </w:p>
        </w:tc>
        <w:tc>
          <w:tcPr>
            <w:tcW w:w="1623" w:type="dxa"/>
            <w:vAlign w:val="center"/>
          </w:tcPr>
          <w:p w14:paraId="6DF13A1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1.67全视线膜变树脂镜片</w:t>
            </w:r>
          </w:p>
        </w:tc>
        <w:tc>
          <w:tcPr>
            <w:tcW w:w="386" w:type="dxa"/>
            <w:vAlign w:val="center"/>
          </w:tcPr>
          <w:p w14:paraId="36D005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05206D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4.树脂镜片，膜层易清洁、防污、耐磨、防蓝光、防静电。二、光度范围：球镜0~-8.00，柱镜-0.00~-2.00；膜层：钢化膜A+</w:t>
            </w:r>
          </w:p>
        </w:tc>
        <w:tc>
          <w:tcPr>
            <w:tcW w:w="510" w:type="dxa"/>
            <w:vAlign w:val="center"/>
          </w:tcPr>
          <w:p w14:paraId="455C418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B8A673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483</w:t>
            </w:r>
          </w:p>
        </w:tc>
      </w:tr>
      <w:tr w14:paraId="67E8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8BCF8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324</w:t>
            </w:r>
          </w:p>
        </w:tc>
        <w:tc>
          <w:tcPr>
            <w:tcW w:w="1623" w:type="dxa"/>
            <w:vAlign w:val="center"/>
          </w:tcPr>
          <w:p w14:paraId="51BE2D9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1.67全视线膜变树脂镜片</w:t>
            </w:r>
          </w:p>
        </w:tc>
        <w:tc>
          <w:tcPr>
            <w:tcW w:w="386" w:type="dxa"/>
            <w:vAlign w:val="center"/>
          </w:tcPr>
          <w:p w14:paraId="62E764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C14565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4.树脂镜片，膜层易清洁、防污、耐磨、防蓝光、防静电。二、光度范围：球镜+8.00~-1600，柱镜-0.00~-4.00；膜层：钢化膜A+</w:t>
            </w:r>
          </w:p>
        </w:tc>
        <w:tc>
          <w:tcPr>
            <w:tcW w:w="510" w:type="dxa"/>
            <w:vAlign w:val="center"/>
          </w:tcPr>
          <w:p w14:paraId="178D3F0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D42C2C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758.1</w:t>
            </w:r>
          </w:p>
        </w:tc>
      </w:tr>
      <w:tr w14:paraId="33206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4C159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325</w:t>
            </w:r>
          </w:p>
        </w:tc>
        <w:tc>
          <w:tcPr>
            <w:tcW w:w="1623" w:type="dxa"/>
            <w:vAlign w:val="center"/>
          </w:tcPr>
          <w:p w14:paraId="0E36FEF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1.67全视线膜变渐进树脂镜片</w:t>
            </w:r>
          </w:p>
        </w:tc>
        <w:tc>
          <w:tcPr>
            <w:tcW w:w="386" w:type="dxa"/>
            <w:vAlign w:val="center"/>
          </w:tcPr>
          <w:p w14:paraId="1D9E8A0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7BD57B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一、性能特点：满足不同年龄段变色需求，具备高效感应功能的光活性分子，能根据紫外线及光照的强弱自动调节镜片色度。镜片变色光感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4.树脂镜片，膜层易清洁、防污、耐磨、防蓝光、防静电。二、光度范围：球镜+8.00~-1600，柱镜-0.00~-4.00，ADD+0.75~+3.50；膜层：钢化膜A+</w:t>
            </w:r>
          </w:p>
        </w:tc>
        <w:tc>
          <w:tcPr>
            <w:tcW w:w="510" w:type="dxa"/>
            <w:vAlign w:val="center"/>
          </w:tcPr>
          <w:p w14:paraId="43ACC4A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C00C2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1105.12</w:t>
            </w:r>
          </w:p>
        </w:tc>
      </w:tr>
      <w:tr w14:paraId="597FA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E17BB8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326</w:t>
            </w:r>
          </w:p>
        </w:tc>
        <w:tc>
          <w:tcPr>
            <w:tcW w:w="1623" w:type="dxa"/>
            <w:vAlign w:val="center"/>
          </w:tcPr>
          <w:p w14:paraId="52E4C0B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1.56亮视线膜变树脂镜片</w:t>
            </w:r>
          </w:p>
        </w:tc>
        <w:tc>
          <w:tcPr>
            <w:tcW w:w="386" w:type="dxa"/>
            <w:vAlign w:val="center"/>
          </w:tcPr>
          <w:p w14:paraId="0F6FB4A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A64B9C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4.树脂镜片，膜层易清洁、防污、耐磨、防蓝光、防静电。二、光度范围：球镜+4.00~-6.00，柱镜-0.00~-2.00；膜层：钢化膜A+</w:t>
            </w:r>
          </w:p>
        </w:tc>
        <w:tc>
          <w:tcPr>
            <w:tcW w:w="510" w:type="dxa"/>
            <w:vAlign w:val="center"/>
          </w:tcPr>
          <w:p w14:paraId="7157905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6039A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126</w:t>
            </w:r>
          </w:p>
        </w:tc>
      </w:tr>
      <w:tr w14:paraId="568BF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85382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327</w:t>
            </w:r>
          </w:p>
        </w:tc>
        <w:tc>
          <w:tcPr>
            <w:tcW w:w="1623" w:type="dxa"/>
            <w:vAlign w:val="center"/>
          </w:tcPr>
          <w:p w14:paraId="77C5730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1.56亮视线膜变树脂镜片</w:t>
            </w:r>
          </w:p>
        </w:tc>
        <w:tc>
          <w:tcPr>
            <w:tcW w:w="386" w:type="dxa"/>
            <w:vAlign w:val="center"/>
          </w:tcPr>
          <w:p w14:paraId="4A943C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A873CF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一、性能特点：具备高效感应功能的光活性分子，能根据紫外线及光照的强弱自动调节镜片色度。镜片变色光感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敏锐，在室内时无色透明，在室外随紫外线照射而变为深色。2.室内易外转，变色速度快，颜色均匀，户外室内轻松面对，光线恒定入眼，满足热爱运动的人士。3.有效阻挡UVA/UVB，减少视疲劳</w:t>
            </w:r>
            <w:r>
              <w:rPr>
                <w:rFonts w:hint="eastAsia" w:hAnsi="宋体" w:cs="宋体"/>
                <w:color w:val="auto"/>
                <w:sz w:val="18"/>
                <w:szCs w:val="18"/>
                <w:highlight w:val="none"/>
                <w:lang w:eastAsia="zh-CN"/>
              </w:rPr>
              <w:t>。</w:t>
            </w:r>
            <w:r>
              <w:rPr>
                <w:rFonts w:hint="eastAsia" w:hAnsi="宋体" w:cs="宋体"/>
                <w:color w:val="auto"/>
                <w:sz w:val="18"/>
                <w:szCs w:val="18"/>
                <w:highlight w:val="none"/>
              </w:rPr>
              <w:t xml:space="preserve"> 4.树脂镜片，膜层易清洁、防污、耐磨、防蓝光、防静电。二、光度范围：球镜+7.00~-10.00，柱镜-0.00~-2.00；膜层：钢化膜A+</w:t>
            </w:r>
          </w:p>
        </w:tc>
        <w:tc>
          <w:tcPr>
            <w:tcW w:w="510" w:type="dxa"/>
            <w:vAlign w:val="center"/>
          </w:tcPr>
          <w:p w14:paraId="05110A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53259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249.55</w:t>
            </w:r>
          </w:p>
        </w:tc>
      </w:tr>
      <w:tr w14:paraId="508F1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D4F7D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328</w:t>
            </w:r>
          </w:p>
        </w:tc>
        <w:tc>
          <w:tcPr>
            <w:tcW w:w="1623" w:type="dxa"/>
            <w:vAlign w:val="center"/>
          </w:tcPr>
          <w:p w14:paraId="3AA3BA9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1.530高清双非树脂镜片</w:t>
            </w:r>
          </w:p>
        </w:tc>
        <w:tc>
          <w:tcPr>
            <w:tcW w:w="386" w:type="dxa"/>
            <w:vAlign w:val="center"/>
          </w:tcPr>
          <w:p w14:paraId="02C2F8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1B9C98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双非设计比单非更薄，减少对散光的优化，减少边缘视物畸变率；凹透镜缩小率更小更适合屈光参差。二、光度范围：球镜+8.00~-8.00，柱镜-0.00~-4.00；膜层：钢化膜A+</w:t>
            </w:r>
          </w:p>
        </w:tc>
        <w:tc>
          <w:tcPr>
            <w:tcW w:w="510" w:type="dxa"/>
            <w:vAlign w:val="center"/>
          </w:tcPr>
          <w:p w14:paraId="6B0DFE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44875F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219.31</w:t>
            </w:r>
          </w:p>
        </w:tc>
      </w:tr>
      <w:tr w14:paraId="51EAA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879A14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329</w:t>
            </w:r>
          </w:p>
        </w:tc>
        <w:tc>
          <w:tcPr>
            <w:tcW w:w="1623" w:type="dxa"/>
            <w:vAlign w:val="center"/>
          </w:tcPr>
          <w:p w14:paraId="3D7A3D7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1.53高清内渐进树脂镜片</w:t>
            </w:r>
          </w:p>
        </w:tc>
        <w:tc>
          <w:tcPr>
            <w:tcW w:w="386" w:type="dxa"/>
            <w:vAlign w:val="center"/>
          </w:tcPr>
          <w:p w14:paraId="7BE225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948185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可以将镜片中心厚度制成为1.2毫米的中折镜片材料，镜片既轻又薄。二、光度范围：球镜+8.00~-8.00，柱镜-0.00~-4.00 ADD+0.75~+3.00 通道：10、12.14；膜层：钢化膜A+</w:t>
            </w:r>
          </w:p>
        </w:tc>
        <w:tc>
          <w:tcPr>
            <w:tcW w:w="510" w:type="dxa"/>
            <w:vAlign w:val="center"/>
          </w:tcPr>
          <w:p w14:paraId="71689CD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A84D0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621</w:t>
            </w:r>
          </w:p>
        </w:tc>
      </w:tr>
      <w:tr w14:paraId="2A7D8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E3EC1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330</w:t>
            </w:r>
          </w:p>
        </w:tc>
        <w:tc>
          <w:tcPr>
            <w:tcW w:w="1623" w:type="dxa"/>
            <w:vAlign w:val="center"/>
          </w:tcPr>
          <w:p w14:paraId="75E04C7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1.53高清变色树脂镜片</w:t>
            </w:r>
          </w:p>
        </w:tc>
        <w:tc>
          <w:tcPr>
            <w:tcW w:w="386" w:type="dxa"/>
            <w:vAlign w:val="center"/>
          </w:tcPr>
          <w:p w14:paraId="68CB0A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78C697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可以将镜片中心厚度制成为1.2毫米的中折镜片材料，镜片既轻又薄。7.可提供灰色变色。二、光度范围：球镜+8.00~-8.00，柱镜-0.00~-4.00 ADD+0.75~+3.00 通道：10、12.14；膜层：钢化膜A+</w:t>
            </w:r>
          </w:p>
        </w:tc>
        <w:tc>
          <w:tcPr>
            <w:tcW w:w="510" w:type="dxa"/>
            <w:vAlign w:val="center"/>
          </w:tcPr>
          <w:p w14:paraId="1BFA67D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0CC0B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572.85</w:t>
            </w:r>
          </w:p>
        </w:tc>
      </w:tr>
      <w:tr w14:paraId="51231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2DB26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331</w:t>
            </w:r>
          </w:p>
        </w:tc>
        <w:tc>
          <w:tcPr>
            <w:tcW w:w="1623" w:type="dxa"/>
            <w:vAlign w:val="center"/>
          </w:tcPr>
          <w:p w14:paraId="4FC10BD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1.53高清偏光树脂镜片</w:t>
            </w:r>
          </w:p>
        </w:tc>
        <w:tc>
          <w:tcPr>
            <w:tcW w:w="386" w:type="dxa"/>
            <w:vAlign w:val="center"/>
          </w:tcPr>
          <w:p w14:paraId="04C6BE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0024E5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可以将镜片中心厚度制成为1.2毫米的中折镜片材料，镜片既轻又薄。7.偏光能消除光线引起的眩光、强光。增强色彩，成像更清晰。二、光度范围：球镜+6.00~-10.00，柱镜-0.00~-4.00；膜层：钢化膜A+</w:t>
            </w:r>
          </w:p>
        </w:tc>
        <w:tc>
          <w:tcPr>
            <w:tcW w:w="510" w:type="dxa"/>
            <w:vAlign w:val="center"/>
          </w:tcPr>
          <w:p w14:paraId="1D13473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D5CAA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572.85</w:t>
            </w:r>
          </w:p>
        </w:tc>
      </w:tr>
      <w:tr w14:paraId="1AC8F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1FF91E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332</w:t>
            </w:r>
          </w:p>
        </w:tc>
        <w:tc>
          <w:tcPr>
            <w:tcW w:w="1623" w:type="dxa"/>
            <w:vAlign w:val="center"/>
          </w:tcPr>
          <w:p w14:paraId="3A1C08A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1.53高清变色偏光树脂镜片</w:t>
            </w:r>
          </w:p>
        </w:tc>
        <w:tc>
          <w:tcPr>
            <w:tcW w:w="386" w:type="dxa"/>
            <w:vAlign w:val="center"/>
          </w:tcPr>
          <w:p w14:paraId="2DB1EAB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9A9DBE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可以将镜片中心厚度制成为1.2毫米的中折镜片材料，镜片既轻又薄。7.偏光能消除光线引起的眩光、强光。增强色彩，成像更清晰。二、光度范围：球镜+6.00~-10.00，柱镜-0.00~-4.00；膜层：钢化膜A+</w:t>
            </w:r>
          </w:p>
        </w:tc>
        <w:tc>
          <w:tcPr>
            <w:tcW w:w="510" w:type="dxa"/>
            <w:vAlign w:val="center"/>
          </w:tcPr>
          <w:p w14:paraId="031D6F8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B1EB8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899</w:t>
            </w:r>
          </w:p>
        </w:tc>
      </w:tr>
      <w:tr w14:paraId="21399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1C4C4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333</w:t>
            </w:r>
          </w:p>
        </w:tc>
        <w:tc>
          <w:tcPr>
            <w:tcW w:w="1623" w:type="dxa"/>
            <w:vAlign w:val="center"/>
          </w:tcPr>
          <w:p w14:paraId="6283007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1.53变色内渐进树脂镜片</w:t>
            </w:r>
          </w:p>
        </w:tc>
        <w:tc>
          <w:tcPr>
            <w:tcW w:w="386" w:type="dxa"/>
            <w:vAlign w:val="center"/>
          </w:tcPr>
          <w:p w14:paraId="06F7CB9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E1E850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敏锐，在室内时无色透明，在室外随紫外线照射而变为深色。二、光度范围：球镜+6.00~-8.00，柱镜-0.00~-4.00ADD+0.75~+3.00 通道：10、12.14；膜层：钢化膜A+</w:t>
            </w:r>
          </w:p>
        </w:tc>
        <w:tc>
          <w:tcPr>
            <w:tcW w:w="510" w:type="dxa"/>
            <w:vAlign w:val="center"/>
          </w:tcPr>
          <w:p w14:paraId="71E18F7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66B10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899</w:t>
            </w:r>
          </w:p>
        </w:tc>
      </w:tr>
      <w:tr w14:paraId="02822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D94857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334</w:t>
            </w:r>
          </w:p>
        </w:tc>
        <w:tc>
          <w:tcPr>
            <w:tcW w:w="1623" w:type="dxa"/>
            <w:vAlign w:val="center"/>
          </w:tcPr>
          <w:p w14:paraId="0294829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1.53偏光内渐进树脂镜片</w:t>
            </w:r>
          </w:p>
        </w:tc>
        <w:tc>
          <w:tcPr>
            <w:tcW w:w="386" w:type="dxa"/>
            <w:vAlign w:val="center"/>
          </w:tcPr>
          <w:p w14:paraId="58D83B4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68915B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可以将镜片中心厚度制成为1.2毫米的中折镜片材料，镜片既轻又薄。7.偏光能消除光线引起的眩光、强光。增强色彩，成像更清晰。二、光度范围：球镜+6.00~-8.00，柱镜-0.00~-4.00ADD+0.75~+3.00 通道：10、12.14；膜层：钢化膜A+</w:t>
            </w:r>
          </w:p>
        </w:tc>
        <w:tc>
          <w:tcPr>
            <w:tcW w:w="510" w:type="dxa"/>
            <w:vAlign w:val="center"/>
          </w:tcPr>
          <w:p w14:paraId="679A335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32F41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1822.5</w:t>
            </w:r>
          </w:p>
        </w:tc>
      </w:tr>
      <w:tr w14:paraId="60167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68205C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335</w:t>
            </w:r>
          </w:p>
        </w:tc>
        <w:tc>
          <w:tcPr>
            <w:tcW w:w="1623" w:type="dxa"/>
            <w:vAlign w:val="center"/>
          </w:tcPr>
          <w:p w14:paraId="2FE8FD0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1.53变色偏光内渐进树脂镜片</w:t>
            </w:r>
          </w:p>
        </w:tc>
        <w:tc>
          <w:tcPr>
            <w:tcW w:w="386" w:type="dxa"/>
            <w:vAlign w:val="center"/>
          </w:tcPr>
          <w:p w14:paraId="57A8D7E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1C9D23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一、性能特点：1.视觉清晰—超高的色散系数提供了良好的光学性，有效减少视觉疲劳，为阅读和工作提供清晰的视觉。设计上可以广泛地满足单光、多焦点渐进的设计需要。2.牢固 、</w:t>
            </w:r>
            <w:r>
              <w:rPr>
                <w:rFonts w:hint="eastAsia" w:hAnsi="宋体" w:cs="宋体"/>
                <w:color w:val="auto"/>
                <w:sz w:val="18"/>
                <w:szCs w:val="18"/>
                <w:highlight w:val="none"/>
                <w:lang w:eastAsia="zh-CN"/>
              </w:rPr>
              <w:t>耐用</w:t>
            </w:r>
            <w:r>
              <w:rPr>
                <w:rFonts w:hint="eastAsia" w:hAnsi="宋体" w:cs="宋体"/>
                <w:color w:val="auto"/>
                <w:sz w:val="18"/>
                <w:szCs w:val="18"/>
                <w:highlight w:val="none"/>
              </w:rPr>
              <w:t>镜片材质具有与生俱来的</w:t>
            </w:r>
            <w:r>
              <w:rPr>
                <w:rFonts w:hint="eastAsia" w:hAnsi="宋体" w:cs="宋体"/>
                <w:color w:val="auto"/>
                <w:sz w:val="18"/>
                <w:szCs w:val="18"/>
                <w:highlight w:val="none"/>
                <w:lang w:eastAsia="zh-CN"/>
              </w:rPr>
              <w:t>坚固</w:t>
            </w:r>
            <w:r>
              <w:rPr>
                <w:rFonts w:hint="eastAsia" w:hAnsi="宋体" w:cs="宋体"/>
                <w:color w:val="auto"/>
                <w:sz w:val="18"/>
                <w:szCs w:val="18"/>
                <w:highlight w:val="none"/>
              </w:rPr>
              <w:t>和抗划伤的性能，可以非常好地适用于当今的无框眼镜设计。高强度抗冲击性能</w:t>
            </w:r>
            <w:r>
              <w:rPr>
                <w:rFonts w:hint="eastAsia" w:hAnsi="宋体" w:cs="宋体"/>
                <w:color w:val="auto"/>
                <w:sz w:val="18"/>
                <w:szCs w:val="18"/>
                <w:highlight w:val="none"/>
                <w:lang w:eastAsia="zh-CN"/>
              </w:rPr>
              <w:t>，符合相关抗高强度冲击测试标准</w:t>
            </w:r>
            <w:r>
              <w:rPr>
                <w:rFonts w:hint="eastAsia" w:hAnsi="宋体" w:cs="宋体"/>
                <w:color w:val="auto"/>
                <w:sz w:val="18"/>
                <w:szCs w:val="18"/>
                <w:highlight w:val="none"/>
              </w:rPr>
              <w:t>，可</w:t>
            </w:r>
            <w:r>
              <w:rPr>
                <w:rFonts w:hint="eastAsia" w:hAnsi="宋体" w:cs="宋体"/>
                <w:color w:val="auto"/>
                <w:sz w:val="18"/>
                <w:szCs w:val="18"/>
                <w:highlight w:val="none"/>
                <w:lang w:eastAsia="zh-CN"/>
              </w:rPr>
              <w:t>以为</w:t>
            </w:r>
            <w:r>
              <w:rPr>
                <w:rFonts w:hint="eastAsia" w:hAnsi="宋体" w:cs="宋体"/>
                <w:color w:val="auto"/>
                <w:sz w:val="18"/>
                <w:szCs w:val="18"/>
                <w:highlight w:val="none"/>
              </w:rPr>
              <w:t>任何意外的碰撞提供良好的安全及保护功效。3.抗张强度</w:t>
            </w:r>
            <w:r>
              <w:rPr>
                <w:rFonts w:hint="eastAsia" w:hAnsi="宋体" w:cs="宋体"/>
                <w:color w:val="auto"/>
                <w:sz w:val="18"/>
                <w:szCs w:val="18"/>
                <w:highlight w:val="none"/>
                <w:lang w:eastAsia="zh-CN"/>
              </w:rPr>
              <w:t>－－</w:t>
            </w:r>
            <w:r>
              <w:rPr>
                <w:rFonts w:hint="eastAsia" w:hAnsi="宋体" w:cs="宋体"/>
                <w:color w:val="auto"/>
                <w:sz w:val="18"/>
                <w:szCs w:val="18"/>
                <w:highlight w:val="none"/>
              </w:rPr>
              <w:t>材质出色地抗张强度证实了无框眼镜不会产生镜片破裂的现象。4.抗化学腐蚀性能</w:t>
            </w:r>
            <w:r>
              <w:rPr>
                <w:rFonts w:hint="eastAsia" w:hAnsi="宋体" w:cs="宋体"/>
                <w:color w:val="auto"/>
                <w:sz w:val="18"/>
                <w:szCs w:val="18"/>
                <w:highlight w:val="none"/>
                <w:lang w:eastAsia="zh-CN"/>
              </w:rPr>
              <w:t>－</w:t>
            </w:r>
            <w:r>
              <w:rPr>
                <w:rFonts w:hint="eastAsia" w:hAnsi="宋体" w:cs="宋体"/>
                <w:color w:val="auto"/>
                <w:sz w:val="18"/>
                <w:szCs w:val="18"/>
                <w:highlight w:val="none"/>
              </w:rPr>
              <w:t>材质对化学品具有出色抗腐蚀能力，为眼睛提供保护及舒适感。以及可以100%阻隔有害紫外线。5.轻便• 轻便</w:t>
            </w:r>
            <w:r>
              <w:rPr>
                <w:rFonts w:hint="eastAsia" w:hAnsi="宋体" w:cs="宋体"/>
                <w:color w:val="auto"/>
                <w:sz w:val="18"/>
                <w:szCs w:val="18"/>
                <w:highlight w:val="none"/>
                <w:lang w:eastAsia="zh-CN"/>
              </w:rPr>
              <w:t>－－</w:t>
            </w:r>
            <w:r>
              <w:rPr>
                <w:rFonts w:hint="eastAsia" w:hAnsi="宋体" w:cs="宋体"/>
                <w:color w:val="auto"/>
                <w:sz w:val="18"/>
                <w:szCs w:val="18"/>
                <w:highlight w:val="none"/>
              </w:rPr>
              <w:t>可以提供全天舒适佩戴感受最轻的处方镜片材料，和水相差无几的比重（1.11g/cm）使佩戴者几乎无法察觉镜片的重量。6.中心厚度薄</w:t>
            </w:r>
            <w:r>
              <w:rPr>
                <w:rFonts w:hint="eastAsia" w:hAnsi="宋体" w:cs="宋体"/>
                <w:color w:val="auto"/>
                <w:sz w:val="18"/>
                <w:szCs w:val="18"/>
                <w:highlight w:val="none"/>
                <w:lang w:eastAsia="zh-CN"/>
              </w:rPr>
              <w:t>－－</w:t>
            </w:r>
            <w:r>
              <w:rPr>
                <w:rFonts w:hint="eastAsia" w:hAnsi="宋体" w:cs="宋体"/>
                <w:color w:val="auto"/>
                <w:sz w:val="18"/>
                <w:szCs w:val="18"/>
                <w:highlight w:val="none"/>
              </w:rPr>
              <w:t>可以将镜片中心厚度制成为1.2毫米的中折镜片材料，镜片既轻又薄。7.能根据紫外线及光照的强弱自动调节镜片色度。镜片变色光感</w:t>
            </w:r>
            <w:r>
              <w:rPr>
                <w:rFonts w:hint="eastAsia" w:hAnsi="宋体" w:cs="宋体"/>
                <w:color w:val="auto"/>
                <w:sz w:val="18"/>
                <w:szCs w:val="18"/>
                <w:highlight w:val="none"/>
                <w:lang w:eastAsia="zh-CN"/>
              </w:rPr>
              <w:t>反应</w:t>
            </w:r>
            <w:r>
              <w:rPr>
                <w:rFonts w:hint="eastAsia" w:hAnsi="宋体" w:cs="宋体"/>
                <w:color w:val="auto"/>
                <w:sz w:val="18"/>
                <w:szCs w:val="18"/>
                <w:highlight w:val="none"/>
              </w:rPr>
              <w:t>敏锐，在室内时无色透明，在室外随紫外线照射而变为深色。偏光能消除光线引起的眩光、强光。增强色彩，成像更清晰。二、光度范围：球镜+6.00~-8.00，柱镜-0.00~-4.00ADD+0.75~+3.00 通道：10、12.14；膜层：钢化膜A+</w:t>
            </w:r>
          </w:p>
        </w:tc>
        <w:tc>
          <w:tcPr>
            <w:tcW w:w="510" w:type="dxa"/>
            <w:vAlign w:val="center"/>
          </w:tcPr>
          <w:p w14:paraId="3D1BE4F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8BCB5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1453.5</w:t>
            </w:r>
          </w:p>
        </w:tc>
      </w:tr>
      <w:tr w14:paraId="37CBA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A4820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336</w:t>
            </w:r>
          </w:p>
        </w:tc>
        <w:tc>
          <w:tcPr>
            <w:tcW w:w="1623" w:type="dxa"/>
            <w:vAlign w:val="center"/>
          </w:tcPr>
          <w:p w14:paraId="482B091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球面树脂镜片</w:t>
            </w:r>
          </w:p>
        </w:tc>
        <w:tc>
          <w:tcPr>
            <w:tcW w:w="386" w:type="dxa"/>
            <w:vAlign w:val="center"/>
          </w:tcPr>
          <w:p w14:paraId="6CAB26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21FC93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并带有经典的绿色反光。二、光度范围：球镜+6.00~-6.00，柱镜-0.00~-2.00</w:t>
            </w:r>
          </w:p>
        </w:tc>
        <w:tc>
          <w:tcPr>
            <w:tcW w:w="510" w:type="dxa"/>
            <w:vAlign w:val="center"/>
          </w:tcPr>
          <w:p w14:paraId="2A164EC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F23E4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64.5</w:t>
            </w:r>
          </w:p>
        </w:tc>
      </w:tr>
      <w:tr w14:paraId="6FD39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015BE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337</w:t>
            </w:r>
          </w:p>
        </w:tc>
        <w:tc>
          <w:tcPr>
            <w:tcW w:w="1623" w:type="dxa"/>
            <w:vAlign w:val="center"/>
          </w:tcPr>
          <w:p w14:paraId="3E4ECFC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球面树脂镜片</w:t>
            </w:r>
          </w:p>
        </w:tc>
        <w:tc>
          <w:tcPr>
            <w:tcW w:w="386" w:type="dxa"/>
            <w:vAlign w:val="center"/>
          </w:tcPr>
          <w:p w14:paraId="41301AC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55D9A3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并带有经典的绿色反光。二、光度范围：球镜+10.50~-10.75，柱镜-0.00~-5.00</w:t>
            </w:r>
          </w:p>
        </w:tc>
        <w:tc>
          <w:tcPr>
            <w:tcW w:w="510" w:type="dxa"/>
            <w:vAlign w:val="center"/>
          </w:tcPr>
          <w:p w14:paraId="37AA8D4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E6773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89</w:t>
            </w:r>
          </w:p>
        </w:tc>
      </w:tr>
      <w:tr w14:paraId="1C063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B1B606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338</w:t>
            </w:r>
          </w:p>
        </w:tc>
        <w:tc>
          <w:tcPr>
            <w:tcW w:w="1623" w:type="dxa"/>
            <w:vAlign w:val="center"/>
          </w:tcPr>
          <w:p w14:paraId="2EBD271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球面树脂镜片</w:t>
            </w:r>
          </w:p>
        </w:tc>
        <w:tc>
          <w:tcPr>
            <w:tcW w:w="386" w:type="dxa"/>
            <w:vAlign w:val="center"/>
          </w:tcPr>
          <w:p w14:paraId="4938E4F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95E9A0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3.阻隔高能短波等有害蓝光，保护双眼，视物舒适持久。二、光度范围：球镜+6.00~-8.00，柱镜-0.00~-2.00</w:t>
            </w:r>
          </w:p>
        </w:tc>
        <w:tc>
          <w:tcPr>
            <w:tcW w:w="510" w:type="dxa"/>
            <w:vAlign w:val="center"/>
          </w:tcPr>
          <w:p w14:paraId="0892AF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15DA0CB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128.5</w:t>
            </w:r>
          </w:p>
        </w:tc>
      </w:tr>
      <w:tr w14:paraId="22D01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EE42F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339</w:t>
            </w:r>
          </w:p>
        </w:tc>
        <w:tc>
          <w:tcPr>
            <w:tcW w:w="1623" w:type="dxa"/>
            <w:vAlign w:val="center"/>
          </w:tcPr>
          <w:p w14:paraId="195BD24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球面树脂镜片</w:t>
            </w:r>
          </w:p>
        </w:tc>
        <w:tc>
          <w:tcPr>
            <w:tcW w:w="386" w:type="dxa"/>
            <w:vAlign w:val="center"/>
          </w:tcPr>
          <w:p w14:paraId="677BE98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33F8BB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一、性能特点：1.球面设计，糅合先进的曲面设计，带来宽阔的视野和真实的视界。2.</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并带有经典的绿色反光。二、光度范围：球镜+7.00~-12.00，柱镜-0.00~-6.00</w:t>
            </w:r>
          </w:p>
        </w:tc>
        <w:tc>
          <w:tcPr>
            <w:tcW w:w="510" w:type="dxa"/>
            <w:vAlign w:val="center"/>
          </w:tcPr>
          <w:p w14:paraId="0681EC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8C2BD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154.5</w:t>
            </w:r>
          </w:p>
        </w:tc>
      </w:tr>
      <w:tr w14:paraId="3A146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611B7B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340</w:t>
            </w:r>
          </w:p>
        </w:tc>
        <w:tc>
          <w:tcPr>
            <w:tcW w:w="1623" w:type="dxa"/>
            <w:vAlign w:val="center"/>
          </w:tcPr>
          <w:p w14:paraId="68B714F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非球面树脂镜片</w:t>
            </w:r>
          </w:p>
        </w:tc>
        <w:tc>
          <w:tcPr>
            <w:tcW w:w="386" w:type="dxa"/>
            <w:vAlign w:val="center"/>
          </w:tcPr>
          <w:p w14:paraId="79D3C57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0C21DF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二、光度范围：球镜+6.00~-6.00，柱镜-0.00~-2.00</w:t>
            </w:r>
          </w:p>
        </w:tc>
        <w:tc>
          <w:tcPr>
            <w:tcW w:w="510" w:type="dxa"/>
            <w:vAlign w:val="center"/>
          </w:tcPr>
          <w:p w14:paraId="21280A1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32BFD0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w:t>
            </w:r>
          </w:p>
        </w:tc>
      </w:tr>
      <w:tr w14:paraId="7A049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8ADEA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341</w:t>
            </w:r>
          </w:p>
        </w:tc>
        <w:tc>
          <w:tcPr>
            <w:tcW w:w="1623" w:type="dxa"/>
            <w:vAlign w:val="center"/>
          </w:tcPr>
          <w:p w14:paraId="64E94BC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非球面防蓝光树脂镜片</w:t>
            </w:r>
          </w:p>
        </w:tc>
        <w:tc>
          <w:tcPr>
            <w:tcW w:w="386" w:type="dxa"/>
            <w:vAlign w:val="center"/>
          </w:tcPr>
          <w:p w14:paraId="216D295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BBA622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4.阻隔高能短波等有害蓝光，保护双眼，视物舒适持久。二、光度范围：球镜+6.00~-6.00，柱镜-0.00~-2.00</w:t>
            </w:r>
          </w:p>
        </w:tc>
        <w:tc>
          <w:tcPr>
            <w:tcW w:w="510" w:type="dxa"/>
            <w:vAlign w:val="center"/>
          </w:tcPr>
          <w:p w14:paraId="203AB66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232E6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128.5</w:t>
            </w:r>
          </w:p>
        </w:tc>
      </w:tr>
      <w:tr w14:paraId="17E2A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7B6A6A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342</w:t>
            </w:r>
          </w:p>
        </w:tc>
        <w:tc>
          <w:tcPr>
            <w:tcW w:w="1623" w:type="dxa"/>
            <w:vAlign w:val="center"/>
          </w:tcPr>
          <w:p w14:paraId="65DDB7E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非球面树脂镜片</w:t>
            </w:r>
          </w:p>
        </w:tc>
        <w:tc>
          <w:tcPr>
            <w:tcW w:w="386" w:type="dxa"/>
            <w:vAlign w:val="center"/>
          </w:tcPr>
          <w:p w14:paraId="2480539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C8C1D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二、光度范围：球镜+6.00~-8.00，柱镜-0.00~-2.00</w:t>
            </w:r>
          </w:p>
        </w:tc>
        <w:tc>
          <w:tcPr>
            <w:tcW w:w="510" w:type="dxa"/>
            <w:vAlign w:val="center"/>
          </w:tcPr>
          <w:p w14:paraId="2BE63B8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C0DC4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130</w:t>
            </w:r>
          </w:p>
        </w:tc>
      </w:tr>
      <w:tr w14:paraId="32DFE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76CC8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343</w:t>
            </w:r>
          </w:p>
        </w:tc>
        <w:tc>
          <w:tcPr>
            <w:tcW w:w="1623" w:type="dxa"/>
            <w:vAlign w:val="center"/>
          </w:tcPr>
          <w:p w14:paraId="63ED2A8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非球面防蓝光树脂镜片</w:t>
            </w:r>
          </w:p>
        </w:tc>
        <w:tc>
          <w:tcPr>
            <w:tcW w:w="386" w:type="dxa"/>
            <w:vAlign w:val="center"/>
          </w:tcPr>
          <w:p w14:paraId="6A24F8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9AFF82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4.阻隔高能短波等有害蓝光，保护双眼，视物舒适持久。二、光度范围：球镜+6.00~-8.00，柱镜-0.00~-2.00</w:t>
            </w:r>
          </w:p>
        </w:tc>
        <w:tc>
          <w:tcPr>
            <w:tcW w:w="510" w:type="dxa"/>
            <w:vAlign w:val="center"/>
          </w:tcPr>
          <w:p w14:paraId="18ACBC8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008CC8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232.5</w:t>
            </w:r>
          </w:p>
        </w:tc>
      </w:tr>
      <w:tr w14:paraId="3DA20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2C9414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344</w:t>
            </w:r>
          </w:p>
        </w:tc>
        <w:tc>
          <w:tcPr>
            <w:tcW w:w="1623" w:type="dxa"/>
            <w:vAlign w:val="center"/>
          </w:tcPr>
          <w:p w14:paraId="10C88A5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非球面树脂镜片</w:t>
            </w:r>
          </w:p>
        </w:tc>
        <w:tc>
          <w:tcPr>
            <w:tcW w:w="386" w:type="dxa"/>
            <w:vAlign w:val="center"/>
          </w:tcPr>
          <w:p w14:paraId="5EA5B1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AC1F63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二、光度范围：球镜+10.00~-11.50，柱镜-0.00~-4.50</w:t>
            </w:r>
          </w:p>
        </w:tc>
        <w:tc>
          <w:tcPr>
            <w:tcW w:w="510" w:type="dxa"/>
            <w:vAlign w:val="center"/>
          </w:tcPr>
          <w:p w14:paraId="133D1BA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950B7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154.5</w:t>
            </w:r>
          </w:p>
        </w:tc>
      </w:tr>
      <w:tr w14:paraId="14225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771B85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345</w:t>
            </w:r>
          </w:p>
        </w:tc>
        <w:tc>
          <w:tcPr>
            <w:tcW w:w="1623" w:type="dxa"/>
            <w:vAlign w:val="center"/>
          </w:tcPr>
          <w:p w14:paraId="077AB16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非球面防蓝光树脂镜片</w:t>
            </w:r>
          </w:p>
        </w:tc>
        <w:tc>
          <w:tcPr>
            <w:tcW w:w="386" w:type="dxa"/>
            <w:vAlign w:val="center"/>
          </w:tcPr>
          <w:p w14:paraId="13109CF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2F9CBA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4.阻隔高能短波等有害蓝光，保护双眼，视物舒适持久。二、光度范围：球镜+10.00~-11.50，柱镜-0.00~-4.50</w:t>
            </w:r>
          </w:p>
        </w:tc>
        <w:tc>
          <w:tcPr>
            <w:tcW w:w="510" w:type="dxa"/>
            <w:vAlign w:val="center"/>
          </w:tcPr>
          <w:p w14:paraId="47947FE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51561B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334</w:t>
            </w:r>
          </w:p>
        </w:tc>
      </w:tr>
      <w:tr w14:paraId="544C5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64F68C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346</w:t>
            </w:r>
          </w:p>
        </w:tc>
        <w:tc>
          <w:tcPr>
            <w:tcW w:w="1623" w:type="dxa"/>
            <w:vAlign w:val="center"/>
          </w:tcPr>
          <w:p w14:paraId="1D330F6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非球面树脂镜片</w:t>
            </w:r>
          </w:p>
        </w:tc>
        <w:tc>
          <w:tcPr>
            <w:tcW w:w="386" w:type="dxa"/>
            <w:vAlign w:val="center"/>
          </w:tcPr>
          <w:p w14:paraId="270EC4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A6A5B2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二、光度范围：球镜+6.00~10.00，柱镜-0.00~-2.00</w:t>
            </w:r>
          </w:p>
        </w:tc>
        <w:tc>
          <w:tcPr>
            <w:tcW w:w="510" w:type="dxa"/>
            <w:vAlign w:val="center"/>
          </w:tcPr>
          <w:p w14:paraId="3F0918B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4B9B7BE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312</w:t>
            </w:r>
          </w:p>
        </w:tc>
      </w:tr>
      <w:tr w14:paraId="166FD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488E8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347</w:t>
            </w:r>
          </w:p>
        </w:tc>
        <w:tc>
          <w:tcPr>
            <w:tcW w:w="1623" w:type="dxa"/>
            <w:vAlign w:val="center"/>
          </w:tcPr>
          <w:p w14:paraId="4AC445E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非球面防蓝光树脂镜片</w:t>
            </w:r>
          </w:p>
        </w:tc>
        <w:tc>
          <w:tcPr>
            <w:tcW w:w="386" w:type="dxa"/>
            <w:vAlign w:val="center"/>
          </w:tcPr>
          <w:p w14:paraId="556DF56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69BB52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4.阻隔高能短波等有害蓝光，保护双眼，视物舒适持久。光度范围：球镜+6.00~10.00，柱镜-0.00~-2.00</w:t>
            </w:r>
          </w:p>
        </w:tc>
        <w:tc>
          <w:tcPr>
            <w:tcW w:w="510" w:type="dxa"/>
            <w:vAlign w:val="center"/>
          </w:tcPr>
          <w:p w14:paraId="3648F56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DAA1759">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453</w:t>
            </w:r>
          </w:p>
        </w:tc>
      </w:tr>
      <w:tr w14:paraId="4D69E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97669E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348</w:t>
            </w:r>
          </w:p>
        </w:tc>
        <w:tc>
          <w:tcPr>
            <w:tcW w:w="1623" w:type="dxa"/>
            <w:vAlign w:val="center"/>
          </w:tcPr>
          <w:p w14:paraId="3F3BF4E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非球面树脂镜片</w:t>
            </w:r>
          </w:p>
        </w:tc>
        <w:tc>
          <w:tcPr>
            <w:tcW w:w="386" w:type="dxa"/>
            <w:vAlign w:val="center"/>
          </w:tcPr>
          <w:p w14:paraId="22DA9B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54F1B7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二、光度范围：球镜+8.00~-15.00，柱镜-0.00~-6.00</w:t>
            </w:r>
          </w:p>
        </w:tc>
        <w:tc>
          <w:tcPr>
            <w:tcW w:w="510" w:type="dxa"/>
            <w:vAlign w:val="center"/>
          </w:tcPr>
          <w:p w14:paraId="0216A7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D23369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391</w:t>
            </w:r>
          </w:p>
        </w:tc>
      </w:tr>
      <w:tr w14:paraId="59315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F51FC1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349</w:t>
            </w:r>
          </w:p>
        </w:tc>
        <w:tc>
          <w:tcPr>
            <w:tcW w:w="1623" w:type="dxa"/>
            <w:vAlign w:val="center"/>
          </w:tcPr>
          <w:p w14:paraId="4324FE5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非球面防蓝光树脂镜片</w:t>
            </w:r>
          </w:p>
        </w:tc>
        <w:tc>
          <w:tcPr>
            <w:tcW w:w="386" w:type="dxa"/>
            <w:vAlign w:val="center"/>
          </w:tcPr>
          <w:p w14:paraId="03C9BF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C4FBF1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非球面设计，糅合先进的曲面设计，带来宽阔的视野和真实的视界。2.采用科学曲面优化设计：曲率是镜片良好成像的一种重要因素，根据眼球的运动规律，通过科学计算使得镜片的内表面弯度接近，达到科学的矫正效果。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4.阻隔高能短波等有害蓝光，保护双眼，视物舒适持久。二、光度范围：球镜+8.00~-15.00，柱镜-0.00~-6.00</w:t>
            </w:r>
          </w:p>
        </w:tc>
        <w:tc>
          <w:tcPr>
            <w:tcW w:w="510" w:type="dxa"/>
            <w:vAlign w:val="center"/>
          </w:tcPr>
          <w:p w14:paraId="2AFCB98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67ADF9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552.79</w:t>
            </w:r>
          </w:p>
        </w:tc>
      </w:tr>
      <w:tr w14:paraId="73E1B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EE10E1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350</w:t>
            </w:r>
          </w:p>
        </w:tc>
        <w:tc>
          <w:tcPr>
            <w:tcW w:w="1623" w:type="dxa"/>
            <w:vAlign w:val="center"/>
          </w:tcPr>
          <w:p w14:paraId="50FA2C4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数码内渐进树脂镜片</w:t>
            </w:r>
          </w:p>
        </w:tc>
        <w:tc>
          <w:tcPr>
            <w:tcW w:w="386" w:type="dxa"/>
            <w:vAlign w:val="center"/>
          </w:tcPr>
          <w:p w14:paraId="5F5A5DF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8C499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 二、光度范围：球镜+5.00~-9.00，柱镜-0.00~-4.00，ADD+0.75~+3.50</w:t>
            </w:r>
          </w:p>
        </w:tc>
        <w:tc>
          <w:tcPr>
            <w:tcW w:w="510" w:type="dxa"/>
            <w:vAlign w:val="center"/>
          </w:tcPr>
          <w:p w14:paraId="4DA709D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2E2E08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296.92</w:t>
            </w:r>
          </w:p>
        </w:tc>
      </w:tr>
      <w:tr w14:paraId="6A7C0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F73074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351</w:t>
            </w:r>
          </w:p>
        </w:tc>
        <w:tc>
          <w:tcPr>
            <w:tcW w:w="1623" w:type="dxa"/>
            <w:vAlign w:val="center"/>
          </w:tcPr>
          <w:p w14:paraId="5232117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数码内渐进树脂镜片</w:t>
            </w:r>
          </w:p>
        </w:tc>
        <w:tc>
          <w:tcPr>
            <w:tcW w:w="386" w:type="dxa"/>
            <w:vAlign w:val="center"/>
          </w:tcPr>
          <w:p w14:paraId="53EC98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C2D382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 二、 光度范围：球镜+6.00~-10.00，柱镜-0.00~-4.00，ADD+0.75~+3.50</w:t>
            </w:r>
          </w:p>
        </w:tc>
        <w:tc>
          <w:tcPr>
            <w:tcW w:w="510" w:type="dxa"/>
            <w:vAlign w:val="center"/>
          </w:tcPr>
          <w:p w14:paraId="77F11F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586493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451.71</w:t>
            </w:r>
          </w:p>
        </w:tc>
      </w:tr>
      <w:tr w14:paraId="6A05B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B69DAE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352</w:t>
            </w:r>
          </w:p>
        </w:tc>
        <w:tc>
          <w:tcPr>
            <w:tcW w:w="1623" w:type="dxa"/>
            <w:vAlign w:val="center"/>
          </w:tcPr>
          <w:p w14:paraId="3D1C771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数码内渐进树脂镜片</w:t>
            </w:r>
          </w:p>
        </w:tc>
        <w:tc>
          <w:tcPr>
            <w:tcW w:w="386" w:type="dxa"/>
            <w:vAlign w:val="center"/>
          </w:tcPr>
          <w:p w14:paraId="089BD18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18D047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减反射镀膜能够为镜片提供一层标准硬度的镀膜，使其更加坚固耐用。平整光滑的表面，污渍和绒毛不易粘在镀膜表面上，从而使镜片具有防污的优点。并具有良好的防反光特性。 二、 光度范围：球镜+800~-12.00，柱镜-0.00~-4.00，ADD+0.75~+3.50</w:t>
            </w:r>
          </w:p>
        </w:tc>
        <w:tc>
          <w:tcPr>
            <w:tcW w:w="510" w:type="dxa"/>
            <w:vAlign w:val="center"/>
          </w:tcPr>
          <w:p w14:paraId="00F2141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22827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600.16</w:t>
            </w:r>
          </w:p>
        </w:tc>
      </w:tr>
      <w:tr w14:paraId="1AD03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ADC79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353</w:t>
            </w:r>
          </w:p>
        </w:tc>
        <w:tc>
          <w:tcPr>
            <w:tcW w:w="1623" w:type="dxa"/>
            <w:vAlign w:val="center"/>
          </w:tcPr>
          <w:p w14:paraId="51D55BE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数码抗疲劳树脂镜片</w:t>
            </w:r>
          </w:p>
        </w:tc>
        <w:tc>
          <w:tcPr>
            <w:tcW w:w="386" w:type="dxa"/>
            <w:vAlign w:val="center"/>
          </w:tcPr>
          <w:p w14:paraId="7AAF56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AC8362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3宽阔的远距视域，不会出现散光，在驾驶、走路或进行动态活动时提供自然的视觉。良好的近距视域，阅读或使用电脑工作时能够舒适自如。减少了适应时间，将宽阔的近用区和像散现象考虑在内。二、光度范围：球镜+6.00~-10.00，柱镜-0.00~-6.00，ADD+0.50~+1.25</w:t>
            </w:r>
          </w:p>
        </w:tc>
        <w:tc>
          <w:tcPr>
            <w:tcW w:w="510" w:type="dxa"/>
            <w:vAlign w:val="center"/>
          </w:tcPr>
          <w:p w14:paraId="78C3868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280B1F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199.01</w:t>
            </w:r>
          </w:p>
        </w:tc>
      </w:tr>
      <w:tr w14:paraId="78B6E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C4D12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354</w:t>
            </w:r>
          </w:p>
        </w:tc>
        <w:tc>
          <w:tcPr>
            <w:tcW w:w="1623" w:type="dxa"/>
            <w:vAlign w:val="center"/>
          </w:tcPr>
          <w:p w14:paraId="77269EC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数码抗疲劳树脂镜片</w:t>
            </w:r>
          </w:p>
        </w:tc>
        <w:tc>
          <w:tcPr>
            <w:tcW w:w="386" w:type="dxa"/>
            <w:vAlign w:val="center"/>
          </w:tcPr>
          <w:p w14:paraId="09CC4CC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6881A7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3宽阔的远距视域，不会出现散光，在驾驶、走路或进行动态活动时提供自然的视觉。良好的近距视域，阅读或使用电脑工作时能够舒适自如。减少了适应时间，将宽阔的近用区和像散现象考虑在内。二、光度范围：球镜+6.00~-12.00，柱镜-0.00~-6.00，ADD+0.50~+1.25</w:t>
            </w:r>
          </w:p>
        </w:tc>
        <w:tc>
          <w:tcPr>
            <w:tcW w:w="510" w:type="dxa"/>
            <w:vAlign w:val="center"/>
          </w:tcPr>
          <w:p w14:paraId="134F31B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ADBC3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333.6</w:t>
            </w:r>
          </w:p>
        </w:tc>
      </w:tr>
      <w:tr w14:paraId="3E98B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024FB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355</w:t>
            </w:r>
          </w:p>
        </w:tc>
        <w:tc>
          <w:tcPr>
            <w:tcW w:w="1623" w:type="dxa"/>
            <w:vAlign w:val="center"/>
          </w:tcPr>
          <w:p w14:paraId="4D12C4A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数码抗疲劳树脂镜片</w:t>
            </w:r>
          </w:p>
        </w:tc>
        <w:tc>
          <w:tcPr>
            <w:tcW w:w="386" w:type="dxa"/>
            <w:vAlign w:val="center"/>
          </w:tcPr>
          <w:p w14:paraId="426A181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A154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3宽阔的远距视域，不会出现散光，在驾驶、走路或进行动态活动时提供自然的视觉。良好的近距视域，阅读或使用电脑工作时能够舒适自如。减少了适应时间，将宽阔的近用区和像散现象考虑在内。二、光度范围：球镜+8.00~-12.00，柱镜-0.00~-6.00，ADD+0.50~+1.25</w:t>
            </w:r>
          </w:p>
        </w:tc>
        <w:tc>
          <w:tcPr>
            <w:tcW w:w="510" w:type="dxa"/>
            <w:vAlign w:val="center"/>
          </w:tcPr>
          <w:p w14:paraId="1397518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9F5A85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573.6</w:t>
            </w:r>
          </w:p>
        </w:tc>
      </w:tr>
      <w:tr w14:paraId="1677C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804416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356</w:t>
            </w:r>
          </w:p>
        </w:tc>
        <w:tc>
          <w:tcPr>
            <w:tcW w:w="1623" w:type="dxa"/>
            <w:vAlign w:val="center"/>
          </w:tcPr>
          <w:p w14:paraId="67F5E7C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w:t>
            </w:r>
            <w:r>
              <w:rPr>
                <w:rFonts w:hint="eastAsia" w:hAnsi="宋体" w:cs="宋体"/>
                <w:color w:val="auto"/>
                <w:sz w:val="18"/>
                <w:szCs w:val="18"/>
                <w:highlight w:val="none"/>
                <w:lang w:eastAsia="zh-CN"/>
              </w:rPr>
              <w:t>减反射</w:t>
            </w:r>
            <w:r>
              <w:rPr>
                <w:rFonts w:hint="eastAsia" w:hAnsi="宋体" w:cs="宋体"/>
                <w:color w:val="auto"/>
                <w:sz w:val="18"/>
                <w:szCs w:val="18"/>
                <w:highlight w:val="none"/>
              </w:rPr>
              <w:t>数码抗疲劳树脂镜片</w:t>
            </w:r>
          </w:p>
        </w:tc>
        <w:tc>
          <w:tcPr>
            <w:tcW w:w="386" w:type="dxa"/>
            <w:vAlign w:val="center"/>
          </w:tcPr>
          <w:p w14:paraId="3F042A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D1FE2F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纠正不良阅读习惯，轻松视觉。2.中央光度稳定区小、周边正光度增加迅速、近视管理功能区明显增大、可接受的佩戴舒适度、近视管理效果增强。3宽阔的远距视域，不会出现散光，在驾驶、走路或进行动态活动时提供自然的视觉。良好的近距视域，阅读或使用电脑工作时能够舒适自如。减少了适应时间，将宽阔的近用区和像散现象考虑在内。二、光度范围：球镜+10.00~-16.00，柱镜-0.00~-6.00，ADD+0.50~+1.25</w:t>
            </w:r>
          </w:p>
        </w:tc>
        <w:tc>
          <w:tcPr>
            <w:tcW w:w="510" w:type="dxa"/>
            <w:vAlign w:val="center"/>
          </w:tcPr>
          <w:p w14:paraId="24FCC2B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D98D4C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739.15</w:t>
            </w:r>
          </w:p>
        </w:tc>
      </w:tr>
      <w:tr w14:paraId="031EE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3EE6A0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357</w:t>
            </w:r>
          </w:p>
        </w:tc>
        <w:tc>
          <w:tcPr>
            <w:tcW w:w="1623" w:type="dxa"/>
            <w:vAlign w:val="center"/>
          </w:tcPr>
          <w:p w14:paraId="6FAE745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3D内非树脂镜片</w:t>
            </w:r>
          </w:p>
        </w:tc>
        <w:tc>
          <w:tcPr>
            <w:tcW w:w="386" w:type="dxa"/>
            <w:vAlign w:val="center"/>
          </w:tcPr>
          <w:p w14:paraId="2DBC84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B2797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二、 光度范围：球镜+4.00~-6.00，柱镜-0.00~-2.00</w:t>
            </w:r>
          </w:p>
        </w:tc>
        <w:tc>
          <w:tcPr>
            <w:tcW w:w="510" w:type="dxa"/>
            <w:vAlign w:val="center"/>
          </w:tcPr>
          <w:p w14:paraId="3B756D3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71C346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98</w:t>
            </w:r>
          </w:p>
        </w:tc>
      </w:tr>
      <w:tr w14:paraId="23000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C32A82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358</w:t>
            </w:r>
          </w:p>
        </w:tc>
        <w:tc>
          <w:tcPr>
            <w:tcW w:w="1623" w:type="dxa"/>
            <w:vAlign w:val="center"/>
          </w:tcPr>
          <w:p w14:paraId="500D4A9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3D内非树脂镜片</w:t>
            </w:r>
          </w:p>
        </w:tc>
        <w:tc>
          <w:tcPr>
            <w:tcW w:w="386" w:type="dxa"/>
            <w:vAlign w:val="center"/>
          </w:tcPr>
          <w:p w14:paraId="6A41485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BF5C68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 二、光度范围：球镜+5.00~-12.00，柱镜-0.00~-6.00</w:t>
            </w:r>
          </w:p>
        </w:tc>
        <w:tc>
          <w:tcPr>
            <w:tcW w:w="510" w:type="dxa"/>
            <w:vAlign w:val="center"/>
          </w:tcPr>
          <w:p w14:paraId="664D6A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0ADAB3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102.89</w:t>
            </w:r>
          </w:p>
        </w:tc>
      </w:tr>
      <w:tr w14:paraId="0E657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9EED50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359</w:t>
            </w:r>
          </w:p>
        </w:tc>
        <w:tc>
          <w:tcPr>
            <w:tcW w:w="1623" w:type="dxa"/>
            <w:vAlign w:val="center"/>
          </w:tcPr>
          <w:p w14:paraId="3142D30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3D内非树脂镜片</w:t>
            </w:r>
          </w:p>
        </w:tc>
        <w:tc>
          <w:tcPr>
            <w:tcW w:w="386" w:type="dxa"/>
            <w:vAlign w:val="center"/>
          </w:tcPr>
          <w:p w14:paraId="46D140F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F00E557">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 二、 光度范围：球镜+4.00~-6.00，柱镜-0.00~-2.00</w:t>
            </w:r>
          </w:p>
        </w:tc>
        <w:tc>
          <w:tcPr>
            <w:tcW w:w="510" w:type="dxa"/>
            <w:vAlign w:val="center"/>
          </w:tcPr>
          <w:p w14:paraId="0D3A6C1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0ABA260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137.18</w:t>
            </w:r>
          </w:p>
        </w:tc>
      </w:tr>
      <w:tr w14:paraId="45081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519EE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360</w:t>
            </w:r>
          </w:p>
        </w:tc>
        <w:tc>
          <w:tcPr>
            <w:tcW w:w="1623" w:type="dxa"/>
            <w:vAlign w:val="center"/>
          </w:tcPr>
          <w:p w14:paraId="6AF228A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3D内非树脂镜片</w:t>
            </w:r>
          </w:p>
        </w:tc>
        <w:tc>
          <w:tcPr>
            <w:tcW w:w="386" w:type="dxa"/>
            <w:vAlign w:val="center"/>
          </w:tcPr>
          <w:p w14:paraId="5A47189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C2C9FE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 二、光度范围：球镜+5.00~-12.00，柱镜-0.00~-6.00</w:t>
            </w:r>
          </w:p>
        </w:tc>
        <w:tc>
          <w:tcPr>
            <w:tcW w:w="510" w:type="dxa"/>
            <w:vAlign w:val="center"/>
          </w:tcPr>
          <w:p w14:paraId="56C7BCC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687B58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146.21</w:t>
            </w:r>
          </w:p>
        </w:tc>
      </w:tr>
      <w:tr w14:paraId="0888E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668226C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361</w:t>
            </w:r>
          </w:p>
        </w:tc>
        <w:tc>
          <w:tcPr>
            <w:tcW w:w="1623" w:type="dxa"/>
            <w:vAlign w:val="center"/>
          </w:tcPr>
          <w:p w14:paraId="027FED0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3D内非树脂镜片</w:t>
            </w:r>
          </w:p>
        </w:tc>
        <w:tc>
          <w:tcPr>
            <w:tcW w:w="386" w:type="dxa"/>
            <w:vAlign w:val="center"/>
          </w:tcPr>
          <w:p w14:paraId="78E0FEF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7EBC9F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 二、 光度范围：球镜+4.00~-12.00，柱镜-0.00~-2.00</w:t>
            </w:r>
          </w:p>
        </w:tc>
        <w:tc>
          <w:tcPr>
            <w:tcW w:w="510" w:type="dxa"/>
            <w:vAlign w:val="center"/>
          </w:tcPr>
          <w:p w14:paraId="10AD470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192CBA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229.5</w:t>
            </w:r>
          </w:p>
        </w:tc>
      </w:tr>
      <w:tr w14:paraId="67197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96C45E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362</w:t>
            </w:r>
          </w:p>
        </w:tc>
        <w:tc>
          <w:tcPr>
            <w:tcW w:w="1623" w:type="dxa"/>
            <w:vAlign w:val="center"/>
          </w:tcPr>
          <w:p w14:paraId="1FC0BC60">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3D内非树脂镜片</w:t>
            </w:r>
          </w:p>
        </w:tc>
        <w:tc>
          <w:tcPr>
            <w:tcW w:w="386" w:type="dxa"/>
            <w:vAlign w:val="center"/>
          </w:tcPr>
          <w:p w14:paraId="4B2D9A1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7BE7C9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二、 光度范围：球镜+4.00~-14.00，柱镜-0.00~-4.00</w:t>
            </w:r>
          </w:p>
        </w:tc>
        <w:tc>
          <w:tcPr>
            <w:tcW w:w="510" w:type="dxa"/>
            <w:vAlign w:val="center"/>
          </w:tcPr>
          <w:p w14:paraId="665ADC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1AD7CE4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211.19</w:t>
            </w:r>
          </w:p>
        </w:tc>
      </w:tr>
      <w:tr w14:paraId="5FC6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9797F8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363</w:t>
            </w:r>
          </w:p>
        </w:tc>
        <w:tc>
          <w:tcPr>
            <w:tcW w:w="1623" w:type="dxa"/>
            <w:vAlign w:val="center"/>
          </w:tcPr>
          <w:p w14:paraId="31F378D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3D内非树脂镜片</w:t>
            </w:r>
          </w:p>
        </w:tc>
        <w:tc>
          <w:tcPr>
            <w:tcW w:w="386" w:type="dxa"/>
            <w:vAlign w:val="center"/>
          </w:tcPr>
          <w:p w14:paraId="765F3EE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75F110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 二、 光度范围：球镜+4.00~-12.00，柱镜-0.00~-2.00</w:t>
            </w:r>
          </w:p>
        </w:tc>
        <w:tc>
          <w:tcPr>
            <w:tcW w:w="510" w:type="dxa"/>
            <w:vAlign w:val="center"/>
          </w:tcPr>
          <w:p w14:paraId="03B260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683C6A2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454</w:t>
            </w:r>
          </w:p>
        </w:tc>
      </w:tr>
      <w:tr w14:paraId="12448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196DECB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364</w:t>
            </w:r>
          </w:p>
        </w:tc>
        <w:tc>
          <w:tcPr>
            <w:tcW w:w="1623" w:type="dxa"/>
            <w:vAlign w:val="center"/>
          </w:tcPr>
          <w:p w14:paraId="20EB4A5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3D内非树脂镜片</w:t>
            </w:r>
          </w:p>
        </w:tc>
        <w:tc>
          <w:tcPr>
            <w:tcW w:w="386" w:type="dxa"/>
            <w:vAlign w:val="center"/>
          </w:tcPr>
          <w:p w14:paraId="4D393B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40EAADB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一、性能特点：1.内表面为非球面。镜片采用优质材料制成，</w:t>
            </w:r>
            <w:r>
              <w:rPr>
                <w:rFonts w:hint="eastAsia" w:hAnsi="宋体" w:cs="宋体"/>
                <w:color w:val="auto"/>
                <w:sz w:val="18"/>
                <w:szCs w:val="18"/>
                <w:highlight w:val="none"/>
                <w:lang w:eastAsia="zh-CN"/>
              </w:rPr>
              <w:t>超薄</w:t>
            </w:r>
            <w:r>
              <w:rPr>
                <w:rFonts w:hint="eastAsia" w:hAnsi="宋体" w:cs="宋体"/>
                <w:color w:val="auto"/>
                <w:sz w:val="18"/>
                <w:szCs w:val="18"/>
                <w:highlight w:val="none"/>
              </w:rPr>
              <w:t>覆膜树脂镜片具有优异的抗紫外线能力，而且具有优异的透射率。2.镜片上涂有反光、防水、防紫外线的不同涂层，眼睛更健康。3.适合喜欢户外运动的用户。4.膜层特性：易清洁、防静电、防反射、耐磨、防刮花。 二、 光度范围：球镜+8.00~-20.00，柱镜-0.00~-6.00</w:t>
            </w:r>
          </w:p>
        </w:tc>
        <w:tc>
          <w:tcPr>
            <w:tcW w:w="510" w:type="dxa"/>
            <w:vAlign w:val="center"/>
          </w:tcPr>
          <w:p w14:paraId="34EC2D1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5890F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473.81</w:t>
            </w:r>
          </w:p>
        </w:tc>
      </w:tr>
      <w:tr w14:paraId="2AD63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9BE40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365</w:t>
            </w:r>
          </w:p>
        </w:tc>
        <w:tc>
          <w:tcPr>
            <w:tcW w:w="1623" w:type="dxa"/>
            <w:vAlign w:val="center"/>
          </w:tcPr>
          <w:p w14:paraId="2E357AF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3D双非树脂镜片</w:t>
            </w:r>
          </w:p>
        </w:tc>
        <w:tc>
          <w:tcPr>
            <w:tcW w:w="386" w:type="dxa"/>
            <w:vAlign w:val="center"/>
          </w:tcPr>
          <w:p w14:paraId="6BB789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3E6811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光度范围：球镜+6.00~-10.00，柱镜-0.00~-2.00</w:t>
            </w:r>
          </w:p>
        </w:tc>
        <w:tc>
          <w:tcPr>
            <w:tcW w:w="510" w:type="dxa"/>
            <w:vAlign w:val="center"/>
          </w:tcPr>
          <w:p w14:paraId="57DE58A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2509E3A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364.61</w:t>
            </w:r>
          </w:p>
        </w:tc>
      </w:tr>
      <w:tr w14:paraId="37DF1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3654FC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366</w:t>
            </w:r>
          </w:p>
        </w:tc>
        <w:tc>
          <w:tcPr>
            <w:tcW w:w="1623" w:type="dxa"/>
            <w:vAlign w:val="center"/>
          </w:tcPr>
          <w:p w14:paraId="3B9FA25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3D双非树脂镜片</w:t>
            </w:r>
          </w:p>
        </w:tc>
        <w:tc>
          <w:tcPr>
            <w:tcW w:w="386" w:type="dxa"/>
            <w:vAlign w:val="center"/>
          </w:tcPr>
          <w:p w14:paraId="291A56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BE0D28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光度范围：球镜+6.00~-14.00，柱镜-0.00~-6.00</w:t>
            </w:r>
          </w:p>
        </w:tc>
        <w:tc>
          <w:tcPr>
            <w:tcW w:w="510" w:type="dxa"/>
            <w:vAlign w:val="center"/>
          </w:tcPr>
          <w:p w14:paraId="6CF986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02FBFC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387.17</w:t>
            </w:r>
          </w:p>
        </w:tc>
      </w:tr>
      <w:tr w14:paraId="5B012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B8903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367</w:t>
            </w:r>
          </w:p>
        </w:tc>
        <w:tc>
          <w:tcPr>
            <w:tcW w:w="1623" w:type="dxa"/>
            <w:vAlign w:val="center"/>
          </w:tcPr>
          <w:p w14:paraId="60C5FF2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3D双非树脂镜片</w:t>
            </w:r>
          </w:p>
        </w:tc>
        <w:tc>
          <w:tcPr>
            <w:tcW w:w="386" w:type="dxa"/>
            <w:vAlign w:val="center"/>
          </w:tcPr>
          <w:p w14:paraId="5B6A69D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68D603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光度范围：球镜+9.00~-18.00，柱镜-0.00~-6.00</w:t>
            </w:r>
          </w:p>
        </w:tc>
        <w:tc>
          <w:tcPr>
            <w:tcW w:w="510" w:type="dxa"/>
            <w:vAlign w:val="center"/>
          </w:tcPr>
          <w:p w14:paraId="63450C3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70E2B10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608</w:t>
            </w:r>
          </w:p>
        </w:tc>
      </w:tr>
      <w:tr w14:paraId="59331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0189ABD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368</w:t>
            </w:r>
          </w:p>
        </w:tc>
        <w:tc>
          <w:tcPr>
            <w:tcW w:w="1623" w:type="dxa"/>
            <w:vAlign w:val="center"/>
          </w:tcPr>
          <w:p w14:paraId="0732F64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3D双非树脂镜片</w:t>
            </w:r>
          </w:p>
        </w:tc>
        <w:tc>
          <w:tcPr>
            <w:tcW w:w="386" w:type="dxa"/>
            <w:vAlign w:val="center"/>
          </w:tcPr>
          <w:p w14:paraId="60EFD3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E1C784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光度范围：球镜+9.00~-18.00，柱镜-0.00~-6.00</w:t>
            </w:r>
          </w:p>
        </w:tc>
        <w:tc>
          <w:tcPr>
            <w:tcW w:w="510" w:type="dxa"/>
            <w:vAlign w:val="center"/>
          </w:tcPr>
          <w:p w14:paraId="5876DE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84840F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628</w:t>
            </w:r>
          </w:p>
        </w:tc>
      </w:tr>
      <w:tr w14:paraId="76F8C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0C5A3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369</w:t>
            </w:r>
          </w:p>
        </w:tc>
        <w:tc>
          <w:tcPr>
            <w:tcW w:w="1623" w:type="dxa"/>
            <w:vAlign w:val="center"/>
          </w:tcPr>
          <w:p w14:paraId="4E93A87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3D双非树脂镜片</w:t>
            </w:r>
          </w:p>
        </w:tc>
        <w:tc>
          <w:tcPr>
            <w:tcW w:w="386" w:type="dxa"/>
            <w:vAlign w:val="center"/>
          </w:tcPr>
          <w:p w14:paraId="4D37382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33E8F7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光度范围：球镜-0.00~-15.00，柱镜-0.00~-4.00</w:t>
            </w:r>
          </w:p>
        </w:tc>
        <w:tc>
          <w:tcPr>
            <w:tcW w:w="510" w:type="dxa"/>
            <w:vAlign w:val="center"/>
          </w:tcPr>
          <w:p w14:paraId="18644C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现片</w:t>
            </w:r>
          </w:p>
        </w:tc>
        <w:tc>
          <w:tcPr>
            <w:tcW w:w="757" w:type="dxa"/>
            <w:vAlign w:val="center"/>
          </w:tcPr>
          <w:p w14:paraId="3D3968D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812</w:t>
            </w:r>
          </w:p>
        </w:tc>
      </w:tr>
      <w:tr w14:paraId="659AD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5525A28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370</w:t>
            </w:r>
          </w:p>
        </w:tc>
        <w:tc>
          <w:tcPr>
            <w:tcW w:w="1623" w:type="dxa"/>
            <w:vAlign w:val="center"/>
          </w:tcPr>
          <w:p w14:paraId="450B4BD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3D双非树脂镜片</w:t>
            </w:r>
          </w:p>
        </w:tc>
        <w:tc>
          <w:tcPr>
            <w:tcW w:w="386" w:type="dxa"/>
            <w:vAlign w:val="center"/>
          </w:tcPr>
          <w:p w14:paraId="35F6BCE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6EDBD4B">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光度范围：球镜-2.25~-17.00，柱镜-0.00~-4.00</w:t>
            </w:r>
          </w:p>
        </w:tc>
        <w:tc>
          <w:tcPr>
            <w:tcW w:w="510" w:type="dxa"/>
            <w:vAlign w:val="center"/>
          </w:tcPr>
          <w:p w14:paraId="48AE1D1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82999F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1029</w:t>
            </w:r>
          </w:p>
        </w:tc>
      </w:tr>
      <w:tr w14:paraId="456A4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DFCE85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371</w:t>
            </w:r>
          </w:p>
        </w:tc>
        <w:tc>
          <w:tcPr>
            <w:tcW w:w="1623" w:type="dxa"/>
            <w:vAlign w:val="center"/>
          </w:tcPr>
          <w:p w14:paraId="69749508">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1.76 3D双非树脂镜片</w:t>
            </w:r>
          </w:p>
        </w:tc>
        <w:tc>
          <w:tcPr>
            <w:tcW w:w="386" w:type="dxa"/>
            <w:vAlign w:val="center"/>
          </w:tcPr>
          <w:p w14:paraId="1418C01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1B30018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一、性能特点：平衡光度误差和散光误差，周边变形小、更轻、更薄、更舒适。自己膜致：高密度表面技术 防水、耐污等性能出众，方便、易清洁。高耐受技术，提高了70%耐磨性，20%耐热性，ESPF-35前表面全防紫外线，后表面减少97%的紫外线对眼睛的伤害。钻晶膜致镜片前表面不反光美观度更好，二、 光度范围：球镜-2.25~-17.00，柱镜-0.00~-4.00</w:t>
            </w:r>
          </w:p>
        </w:tc>
        <w:tc>
          <w:tcPr>
            <w:tcW w:w="510" w:type="dxa"/>
            <w:vAlign w:val="center"/>
          </w:tcPr>
          <w:p w14:paraId="53FEC13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1B9AE3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1389.85</w:t>
            </w:r>
          </w:p>
        </w:tc>
      </w:tr>
      <w:tr w14:paraId="09D9A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3287CF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372</w:t>
            </w:r>
          </w:p>
        </w:tc>
        <w:tc>
          <w:tcPr>
            <w:tcW w:w="1623" w:type="dxa"/>
            <w:vAlign w:val="center"/>
          </w:tcPr>
          <w:p w14:paraId="2B68C562">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3D内渐进脂镜片</w:t>
            </w:r>
          </w:p>
        </w:tc>
        <w:tc>
          <w:tcPr>
            <w:tcW w:w="386" w:type="dxa"/>
            <w:vAlign w:val="center"/>
          </w:tcPr>
          <w:p w14:paraId="0CFDDE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65C6E08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二、光度范围：球镜+6.00~-12.00，柱镜-0.00~-4.00</w:t>
            </w:r>
          </w:p>
        </w:tc>
        <w:tc>
          <w:tcPr>
            <w:tcW w:w="510" w:type="dxa"/>
            <w:vAlign w:val="center"/>
          </w:tcPr>
          <w:p w14:paraId="42F319B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F9D222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442.23</w:t>
            </w:r>
          </w:p>
        </w:tc>
      </w:tr>
      <w:tr w14:paraId="07CA1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3B05185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373</w:t>
            </w:r>
          </w:p>
        </w:tc>
        <w:tc>
          <w:tcPr>
            <w:tcW w:w="1623" w:type="dxa"/>
            <w:vAlign w:val="center"/>
          </w:tcPr>
          <w:p w14:paraId="32B7F6DD">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1.56 3D内渐进树脂镜片</w:t>
            </w:r>
          </w:p>
        </w:tc>
        <w:tc>
          <w:tcPr>
            <w:tcW w:w="386" w:type="dxa"/>
            <w:vAlign w:val="center"/>
          </w:tcPr>
          <w:p w14:paraId="51CFE89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4E2D7B3">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二、光度范围：球镜+8.00~-14.00，柱镜-0.00~-4.00</w:t>
            </w:r>
          </w:p>
        </w:tc>
        <w:tc>
          <w:tcPr>
            <w:tcW w:w="510" w:type="dxa"/>
            <w:vAlign w:val="center"/>
          </w:tcPr>
          <w:p w14:paraId="67A45FE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25B13D55">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600.16</w:t>
            </w:r>
          </w:p>
        </w:tc>
      </w:tr>
      <w:tr w14:paraId="3BCED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F32A50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374</w:t>
            </w:r>
          </w:p>
        </w:tc>
        <w:tc>
          <w:tcPr>
            <w:tcW w:w="1623" w:type="dxa"/>
            <w:vAlign w:val="center"/>
          </w:tcPr>
          <w:p w14:paraId="7FDCD8D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3D内渐进树脂镜片</w:t>
            </w:r>
          </w:p>
        </w:tc>
        <w:tc>
          <w:tcPr>
            <w:tcW w:w="386" w:type="dxa"/>
            <w:vAlign w:val="center"/>
          </w:tcPr>
          <w:p w14:paraId="0B55B6E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FEE73E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 光度范围：球镜+8.00~-14.00，柱镜-0.00~-4.00</w:t>
            </w:r>
          </w:p>
        </w:tc>
        <w:tc>
          <w:tcPr>
            <w:tcW w:w="510" w:type="dxa"/>
            <w:vAlign w:val="center"/>
          </w:tcPr>
          <w:p w14:paraId="32CA396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E46E3B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1073.98</w:t>
            </w:r>
          </w:p>
        </w:tc>
      </w:tr>
      <w:tr w14:paraId="27EDB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E70A87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375</w:t>
            </w:r>
          </w:p>
        </w:tc>
        <w:tc>
          <w:tcPr>
            <w:tcW w:w="1623" w:type="dxa"/>
            <w:vAlign w:val="center"/>
          </w:tcPr>
          <w:p w14:paraId="4026BCA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3D内渐进树脂镜片</w:t>
            </w:r>
          </w:p>
        </w:tc>
        <w:tc>
          <w:tcPr>
            <w:tcW w:w="386" w:type="dxa"/>
            <w:vAlign w:val="center"/>
          </w:tcPr>
          <w:p w14:paraId="4CE26E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82A82EC">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一、性能特点：1.适用于各种中小镜框，可自由选择，佩戴者轻松看近。2.提高了镜片远用视野的清晰度 。3.树脂镜片，膜层防水、防污、坚硬耐磨。 二、 光度范围：球镜+8.00~-14.00，柱镜-0.00~-4.00</w:t>
            </w:r>
          </w:p>
        </w:tc>
        <w:tc>
          <w:tcPr>
            <w:tcW w:w="510" w:type="dxa"/>
            <w:vAlign w:val="center"/>
          </w:tcPr>
          <w:p w14:paraId="297E9A0A">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76CDD7F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1547.79</w:t>
            </w:r>
          </w:p>
        </w:tc>
      </w:tr>
      <w:tr w14:paraId="09096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25C0AAD">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376</w:t>
            </w:r>
          </w:p>
        </w:tc>
        <w:tc>
          <w:tcPr>
            <w:tcW w:w="1623" w:type="dxa"/>
            <w:vAlign w:val="center"/>
          </w:tcPr>
          <w:p w14:paraId="6560F2A1">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1.50 双面复曲面数码内渐进树脂镜片</w:t>
            </w:r>
          </w:p>
        </w:tc>
        <w:tc>
          <w:tcPr>
            <w:tcW w:w="386" w:type="dxa"/>
            <w:vAlign w:val="center"/>
          </w:tcPr>
          <w:p w14:paraId="289DB9E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30A4D96">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一、性能特点：1.考虑人体工程学与眼球回旋定律高清设计，提高夜晚白天视物的清晰度和对比敏感度，高清视觉效果。2. 自由曲面渐进技术，减少像差，扩大镜片可视区域，清晰且宽阔的视野。3.15个基础设计组合，弹性平衡优化技术，考虑下加光和屈光不正定制镜片，定制渐进曲线以提高姿势灵活性，镜片完全适应处方，90%的新戴镜者轻松适应，扩展有效视觉区域不小于46%，提高舒适度。二、 光度范围：球镜+6.00~-12.00，柱镜-0.00~-4.00</w:t>
            </w:r>
          </w:p>
        </w:tc>
        <w:tc>
          <w:tcPr>
            <w:tcW w:w="510" w:type="dxa"/>
            <w:vAlign w:val="center"/>
          </w:tcPr>
          <w:p w14:paraId="570F3C6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5350B71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1449.87</w:t>
            </w:r>
          </w:p>
        </w:tc>
      </w:tr>
      <w:tr w14:paraId="22EFD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48E5C627">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377</w:t>
            </w:r>
          </w:p>
        </w:tc>
        <w:tc>
          <w:tcPr>
            <w:tcW w:w="1623" w:type="dxa"/>
            <w:vAlign w:val="center"/>
          </w:tcPr>
          <w:p w14:paraId="0DA08B6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1.60 双面复曲面数码内渐进树脂镜片</w:t>
            </w:r>
          </w:p>
        </w:tc>
        <w:tc>
          <w:tcPr>
            <w:tcW w:w="386" w:type="dxa"/>
            <w:vAlign w:val="center"/>
          </w:tcPr>
          <w:p w14:paraId="24D113D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5CB93AEE">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一、性能特点：1.考虑人体工程学与眼球回旋定律高清设计，提高夜晚白天视物的清晰度和对比敏感度，高清视觉效果。2. 自由曲面渐进技术，减少像差，扩大镜片可视区域，清晰且宽阔的视野。3.15个基础设计组合，弹性平衡优化技术，考虑下加光和屈光不正定制镜片，定制渐进曲线以提高姿势灵活性，镜片完全适应处方，90%的新戴镜者轻松适应，扩展有效视觉区域不小于46%，提高舒适度。4.防雾镜片能有效阻挡雾气并保持更长时间的清晰无雾的视界。二、 光度范围：球镜+8.00~-14.00，柱镜-0.00~-4.00</w:t>
            </w:r>
          </w:p>
        </w:tc>
        <w:tc>
          <w:tcPr>
            <w:tcW w:w="510" w:type="dxa"/>
            <w:vAlign w:val="center"/>
          </w:tcPr>
          <w:p w14:paraId="682AA3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3F9FFFEF">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2495.41</w:t>
            </w:r>
          </w:p>
        </w:tc>
      </w:tr>
      <w:tr w14:paraId="18B21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D646146">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378</w:t>
            </w:r>
          </w:p>
        </w:tc>
        <w:tc>
          <w:tcPr>
            <w:tcW w:w="1623" w:type="dxa"/>
            <w:vAlign w:val="center"/>
          </w:tcPr>
          <w:p w14:paraId="6869B8E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 双面复曲面数码内渐进树脂镜片</w:t>
            </w:r>
          </w:p>
        </w:tc>
        <w:tc>
          <w:tcPr>
            <w:tcW w:w="386" w:type="dxa"/>
            <w:vAlign w:val="center"/>
          </w:tcPr>
          <w:p w14:paraId="5516CC9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79E8BAF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一、性能特点：1.考虑人体工程学与眼球回旋定律高清设计，提高夜晚白天视物的清晰度和对比敏感度，高清视觉效果。2. 自由曲面渐进技术，减少像差，扩大镜片可视区域，清晰且宽阔的视野。3.15个基础设计组合，弹性平衡优化技术，考虑下加光和屈光不正定制镜片，定制渐进曲线以提高姿势灵活性，镜片完全适应处方，90%的新戴镜者轻松适应，扩展有效视觉区域不小于46%，提高舒适度。4.防雾镜片能有效阻挡雾气并保持更长时间的清晰无雾的视界。二、 光度范围：球镜+8.00~-14.00，柱镜-0.00~-4.00</w:t>
            </w:r>
          </w:p>
        </w:tc>
        <w:tc>
          <w:tcPr>
            <w:tcW w:w="510" w:type="dxa"/>
            <w:vAlign w:val="center"/>
          </w:tcPr>
          <w:p w14:paraId="17392842">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62DFFF5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3443.04</w:t>
            </w:r>
          </w:p>
        </w:tc>
      </w:tr>
      <w:tr w14:paraId="45204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41C1B7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379</w:t>
            </w:r>
          </w:p>
        </w:tc>
        <w:tc>
          <w:tcPr>
            <w:tcW w:w="1623" w:type="dxa"/>
            <w:vAlign w:val="center"/>
          </w:tcPr>
          <w:p w14:paraId="02ECB6D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1.74 双面复曲面数码内渐进树脂镜片</w:t>
            </w:r>
          </w:p>
        </w:tc>
        <w:tc>
          <w:tcPr>
            <w:tcW w:w="386" w:type="dxa"/>
            <w:vAlign w:val="center"/>
          </w:tcPr>
          <w:p w14:paraId="74A5505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3B0CED1F">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一、性能特点：1.考虑人体工程学与眼球回旋定律高清设计，提高夜晚白天视物的清晰度和对比敏感度，高清视觉效果。2. 自由曲面渐进技术，减少像差，扩大镜片可视区域，清晰且宽阔的视野。3.15个基础设计组合，弹性平衡优化技术，考虑下加光和屈光不正定制镜片，定制渐进曲线以提高姿势灵活性，镜片完全适应处方，90%的新戴镜者轻松适应，扩展有效视觉区域不小于46%，提高舒适度。4.防雾镜片能有效阻挡雾气并保持更长时间的清晰无雾的视界。二、 光度范围：球镜+8.00~-14.00，柱镜-0.00~-4.00</w:t>
            </w:r>
          </w:p>
        </w:tc>
        <w:tc>
          <w:tcPr>
            <w:tcW w:w="510" w:type="dxa"/>
            <w:vAlign w:val="center"/>
          </w:tcPr>
          <w:p w14:paraId="113420F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06486293">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4864.48</w:t>
            </w:r>
          </w:p>
        </w:tc>
      </w:tr>
      <w:tr w14:paraId="5A5E8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2247F594">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380</w:t>
            </w:r>
          </w:p>
        </w:tc>
        <w:tc>
          <w:tcPr>
            <w:tcW w:w="1623" w:type="dxa"/>
            <w:vAlign w:val="center"/>
          </w:tcPr>
          <w:p w14:paraId="714C314A">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1.591点扩散近视控制技术镜片</w:t>
            </w:r>
          </w:p>
        </w:tc>
        <w:tc>
          <w:tcPr>
            <w:tcW w:w="386" w:type="dxa"/>
            <w:vAlign w:val="center"/>
          </w:tcPr>
          <w:p w14:paraId="52C41B4E">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29FB9B25">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一、性能特点：通过镜片的光扩散点，利用这些光扩散点柔和地扩散光线，扩散后光线使视网膜上相邻视锥细胞的信号差距降低，即降低了对比度，从而减少错误对比度信号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高对比度信号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传递带来的近视增加的影响。二、光度范围：球镜-0.00~-8.00，柱镜-0.00~-2.00，联合光度-8.00。3.PC镜片，膜层防水、防污、坚硬耐磨。</w:t>
            </w:r>
          </w:p>
        </w:tc>
        <w:tc>
          <w:tcPr>
            <w:tcW w:w="510" w:type="dxa"/>
            <w:vAlign w:val="center"/>
          </w:tcPr>
          <w:p w14:paraId="1FDB004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DEC3458">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772.12</w:t>
            </w:r>
          </w:p>
        </w:tc>
      </w:tr>
      <w:tr w14:paraId="63DD1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00" w:hRule="atLeast"/>
        </w:trPr>
        <w:tc>
          <w:tcPr>
            <w:tcW w:w="448" w:type="dxa"/>
            <w:vAlign w:val="center"/>
          </w:tcPr>
          <w:p w14:paraId="7F97CA4C">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381</w:t>
            </w:r>
          </w:p>
        </w:tc>
        <w:tc>
          <w:tcPr>
            <w:tcW w:w="1623" w:type="dxa"/>
            <w:vAlign w:val="center"/>
          </w:tcPr>
          <w:p w14:paraId="0E8456D4">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1.67点扩散近视控制技术镜片</w:t>
            </w:r>
          </w:p>
        </w:tc>
        <w:tc>
          <w:tcPr>
            <w:tcW w:w="386" w:type="dxa"/>
            <w:vAlign w:val="center"/>
          </w:tcPr>
          <w:p w14:paraId="213BC2F1">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片</w:t>
            </w:r>
          </w:p>
        </w:tc>
        <w:tc>
          <w:tcPr>
            <w:tcW w:w="10526" w:type="dxa"/>
            <w:vAlign w:val="center"/>
          </w:tcPr>
          <w:p w14:paraId="018E1FF9">
            <w:pPr>
              <w:spacing w:before="30" w:after="30" w:line="320" w:lineRule="auto"/>
              <w:rPr>
                <w:rFonts w:hAnsi="宋体" w:cs="宋体"/>
                <w:color w:val="auto"/>
                <w:sz w:val="18"/>
                <w:szCs w:val="18"/>
                <w:highlight w:val="none"/>
              </w:rPr>
            </w:pPr>
            <w:r>
              <w:rPr>
                <w:rFonts w:hint="eastAsia" w:hAnsi="宋体" w:cs="宋体"/>
                <w:color w:val="auto"/>
                <w:sz w:val="18"/>
                <w:szCs w:val="18"/>
                <w:highlight w:val="none"/>
              </w:rPr>
              <w:t>一、性能特点：通过镜片的光扩散点，利用这些光扩散点柔和地扩散光线，扩散后光线使视网膜上相邻视锥细胞的信号差距降低，即降低了对比度，从而减少错误对比度信号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高对比度信号</w:t>
            </w:r>
            <w:r>
              <w:rPr>
                <w:rFonts w:hint="eastAsia" w:hAnsi="宋体" w:cs="宋体"/>
                <w:color w:val="auto"/>
                <w:sz w:val="18"/>
                <w:szCs w:val="18"/>
                <w:highlight w:val="none"/>
                <w:lang w:eastAsia="zh-CN"/>
              </w:rPr>
              <w:t>）</w:t>
            </w:r>
            <w:r>
              <w:rPr>
                <w:rFonts w:hint="eastAsia" w:hAnsi="宋体" w:cs="宋体"/>
                <w:color w:val="auto"/>
                <w:sz w:val="18"/>
                <w:szCs w:val="18"/>
                <w:highlight w:val="none"/>
              </w:rPr>
              <w:t>传递带来的近视增加的影响。二、光度范围：球镜-0.00~-10.00，柱镜-0.00~-4.00，联合光度-10.00。3.树脂镜片，膜层防水、防污、坚硬耐磨。</w:t>
            </w:r>
          </w:p>
        </w:tc>
        <w:tc>
          <w:tcPr>
            <w:tcW w:w="510" w:type="dxa"/>
            <w:vAlign w:val="center"/>
          </w:tcPr>
          <w:p w14:paraId="6F73C54B">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定做</w:t>
            </w:r>
          </w:p>
        </w:tc>
        <w:tc>
          <w:tcPr>
            <w:tcW w:w="757" w:type="dxa"/>
            <w:vAlign w:val="center"/>
          </w:tcPr>
          <w:p w14:paraId="4D5ED310">
            <w:pPr>
              <w:spacing w:before="30" w:after="30" w:line="320" w:lineRule="auto"/>
              <w:jc w:val="center"/>
              <w:rPr>
                <w:rFonts w:hAnsi="宋体" w:cs="宋体"/>
                <w:color w:val="auto"/>
                <w:sz w:val="18"/>
                <w:szCs w:val="18"/>
                <w:highlight w:val="none"/>
              </w:rPr>
            </w:pPr>
            <w:r>
              <w:rPr>
                <w:rFonts w:hint="eastAsia" w:hAnsi="宋体" w:cs="宋体"/>
                <w:color w:val="auto"/>
                <w:sz w:val="18"/>
                <w:szCs w:val="18"/>
                <w:highlight w:val="none"/>
              </w:rPr>
              <w:t>966.12</w:t>
            </w:r>
          </w:p>
        </w:tc>
      </w:tr>
    </w:tbl>
    <w:p w14:paraId="6CE21778">
      <w:pPr>
        <w:snapToGrid w:val="0"/>
        <w:jc w:val="both"/>
        <w:rPr>
          <w:rFonts w:hAnsi="宋体" w:cs="宋体"/>
          <w:bCs/>
          <w:color w:val="auto"/>
          <w:sz w:val="24"/>
          <w:highlight w:val="none"/>
        </w:rPr>
      </w:pPr>
    </w:p>
    <w:p w14:paraId="1A31C5AF">
      <w:pPr>
        <w:spacing w:line="428" w:lineRule="exact"/>
        <w:ind w:left="119"/>
        <w:jc w:val="both"/>
        <w:rPr>
          <w:rFonts w:hint="eastAsia" w:ascii="黑体" w:hAnsi="黑体" w:eastAsia="黑体" w:cs="黑体"/>
          <w:color w:val="auto"/>
          <w:sz w:val="32"/>
          <w:szCs w:val="32"/>
          <w:highlight w:val="none"/>
        </w:rPr>
        <w:sectPr>
          <w:footerReference r:id="rId10" w:type="first"/>
          <w:headerReference r:id="rId8" w:type="default"/>
          <w:footerReference r:id="rId9" w:type="default"/>
          <w:pgSz w:w="16838" w:h="11906" w:orient="landscape"/>
          <w:pgMar w:top="1701" w:right="1701" w:bottom="1701" w:left="1701" w:header="851" w:footer="992" w:gutter="0"/>
          <w:pgNumType w:fmt="decimal"/>
          <w:cols w:space="1701" w:num="1"/>
          <w:titlePg/>
        </w:sectPr>
      </w:pPr>
    </w:p>
    <w:p w14:paraId="6B7F3266">
      <w:pPr>
        <w:spacing w:line="428" w:lineRule="exact"/>
        <w:ind w:left="119"/>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09BD6579">
      <w:pPr>
        <w:spacing w:line="528" w:lineRule="exact"/>
        <w:ind w:left="1871"/>
        <w:jc w:val="both"/>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47"/>
        <w:tblW w:w="0" w:type="auto"/>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761"/>
      </w:tblGrid>
      <w:tr w14:paraId="7532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1EA9485">
            <w:pPr>
              <w:spacing w:line="240" w:lineRule="auto"/>
              <w:jc w:val="center"/>
              <w:rPr>
                <w:rFonts w:ascii="Calibri"/>
                <w:color w:val="auto"/>
                <w:szCs w:val="22"/>
                <w:highlight w:val="none"/>
              </w:rPr>
            </w:pPr>
            <w:r>
              <w:rPr>
                <w:rFonts w:hint="eastAsia" w:hAnsi="宋体" w:cs="宋体"/>
                <w:b/>
                <w:bCs/>
                <w:color w:val="auto"/>
                <w:highlight w:val="none"/>
              </w:rPr>
              <w:t>品目序号</w:t>
            </w:r>
          </w:p>
        </w:tc>
        <w:tc>
          <w:tcPr>
            <w:tcW w:w="4399" w:type="dxa"/>
            <w:gridSpan w:val="3"/>
            <w:tcBorders>
              <w:top w:val="single" w:color="auto" w:sz="4" w:space="0"/>
              <w:left w:val="single" w:color="auto" w:sz="4" w:space="0"/>
              <w:bottom w:val="single" w:color="auto" w:sz="4" w:space="0"/>
              <w:right w:val="single" w:color="auto" w:sz="4" w:space="0"/>
            </w:tcBorders>
            <w:vAlign w:val="center"/>
          </w:tcPr>
          <w:p w14:paraId="5F5089AE">
            <w:pPr>
              <w:spacing w:line="240" w:lineRule="auto"/>
              <w:jc w:val="center"/>
              <w:rPr>
                <w:rFonts w:ascii="Calibri"/>
                <w:color w:val="auto"/>
                <w:szCs w:val="22"/>
                <w:highlight w:val="none"/>
              </w:rPr>
            </w:pPr>
            <w:r>
              <w:rPr>
                <w:rFonts w:hint="eastAsia" w:hAnsi="宋体" w:cs="宋体"/>
                <w:b/>
                <w:bCs/>
                <w:color w:val="auto"/>
                <w:highlight w:val="none"/>
              </w:rPr>
              <w:t>名称</w:t>
            </w:r>
          </w:p>
        </w:tc>
        <w:tc>
          <w:tcPr>
            <w:tcW w:w="3761" w:type="dxa"/>
            <w:tcBorders>
              <w:top w:val="single" w:color="auto" w:sz="4" w:space="0"/>
              <w:left w:val="single" w:color="auto" w:sz="4" w:space="0"/>
              <w:bottom w:val="single" w:color="auto" w:sz="4" w:space="0"/>
              <w:right w:val="single" w:color="auto" w:sz="4" w:space="0"/>
            </w:tcBorders>
            <w:vAlign w:val="center"/>
          </w:tcPr>
          <w:p w14:paraId="2FBED079">
            <w:pPr>
              <w:spacing w:line="240" w:lineRule="auto"/>
              <w:jc w:val="center"/>
              <w:rPr>
                <w:rFonts w:ascii="Calibri"/>
                <w:color w:val="auto"/>
                <w:szCs w:val="22"/>
                <w:highlight w:val="none"/>
              </w:rPr>
            </w:pPr>
            <w:r>
              <w:rPr>
                <w:rFonts w:hint="eastAsia" w:hAnsi="宋体" w:cs="宋体"/>
                <w:b/>
                <w:bCs/>
                <w:color w:val="auto"/>
                <w:highlight w:val="none"/>
              </w:rPr>
              <w:t>依据的标准</w:t>
            </w:r>
          </w:p>
        </w:tc>
      </w:tr>
      <w:tr w14:paraId="3F55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860E1B1">
            <w:pPr>
              <w:spacing w:line="240" w:lineRule="auto"/>
              <w:jc w:val="center"/>
              <w:rPr>
                <w:rFonts w:hAnsi="宋体"/>
                <w:color w:val="auto"/>
                <w:szCs w:val="21"/>
                <w:highlight w:val="none"/>
              </w:rPr>
            </w:pPr>
            <w:r>
              <w:rPr>
                <w:rFonts w:hint="eastAsia" w:hAnsi="宋体"/>
                <w:color w:val="auto"/>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57BF102D">
            <w:pPr>
              <w:spacing w:line="240" w:lineRule="auto"/>
              <w:jc w:val="center"/>
              <w:rPr>
                <w:rFonts w:hAnsi="宋体"/>
                <w:color w:val="auto"/>
                <w:szCs w:val="21"/>
                <w:highlight w:val="none"/>
              </w:rPr>
            </w:pPr>
            <w:r>
              <w:rPr>
                <w:rFonts w:hint="eastAsia" w:hAnsi="宋体" w:cs="方正仿宋_GB2312"/>
                <w:color w:val="auto"/>
                <w:szCs w:val="21"/>
                <w:highlight w:val="none"/>
              </w:rPr>
              <w:t>A02010100</w:t>
            </w:r>
            <w:r>
              <w:rPr>
                <w:rFonts w:hint="eastAsia" w:hAnsi="宋体" w:cs="宋体"/>
                <w:color w:val="auto"/>
                <w:szCs w:val="21"/>
                <w:highlight w:val="none"/>
              </w:rPr>
              <w:t>计算机</w:t>
            </w:r>
          </w:p>
        </w:tc>
        <w:tc>
          <w:tcPr>
            <w:tcW w:w="1496" w:type="dxa"/>
            <w:tcBorders>
              <w:top w:val="single" w:color="auto" w:sz="4" w:space="0"/>
              <w:left w:val="single" w:color="auto" w:sz="4" w:space="0"/>
              <w:bottom w:val="single" w:color="auto" w:sz="4" w:space="0"/>
              <w:right w:val="single" w:color="auto" w:sz="4" w:space="0"/>
            </w:tcBorders>
            <w:vAlign w:val="center"/>
          </w:tcPr>
          <w:p w14:paraId="57DC761F">
            <w:pPr>
              <w:spacing w:before="93" w:line="240" w:lineRule="auto"/>
              <w:ind w:left="7" w:right="5"/>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方正仿宋_GB2312"/>
                <w:color w:val="auto"/>
                <w:szCs w:val="21"/>
                <w:highlight w:val="none"/>
                <w:lang w:eastAsia="en-US"/>
              </w:rPr>
              <w:t>A02010105</w:t>
            </w:r>
            <w:r>
              <w:rPr>
                <w:rFonts w:hint="eastAsia" w:hAnsi="宋体" w:cs="宋体"/>
                <w:color w:val="auto"/>
                <w:szCs w:val="21"/>
                <w:highlight w:val="none"/>
                <w:lang w:eastAsia="en-US"/>
              </w:rPr>
              <w:t>台式计算机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3FAC730E">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55C6BA39">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《微型计算机能效限定值及能效等级》（GB28380）</w:t>
            </w:r>
          </w:p>
        </w:tc>
      </w:tr>
      <w:tr w14:paraId="3C80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80D2884">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BD8460B">
            <w:pPr>
              <w:widowControl/>
              <w:spacing w:line="240" w:lineRule="auto"/>
              <w:rPr>
                <w:rFonts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303D1AA">
            <w:pPr>
              <w:spacing w:before="44" w:line="240" w:lineRule="auto"/>
              <w:ind w:left="7" w:right="5"/>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方正仿宋_GB2312"/>
                <w:color w:val="auto"/>
                <w:szCs w:val="21"/>
                <w:highlight w:val="none"/>
                <w:lang w:eastAsia="en-US"/>
              </w:rPr>
              <w:t>A02010108</w:t>
            </w:r>
            <w:r>
              <w:rPr>
                <w:rFonts w:hint="eastAsia" w:hAnsi="宋体" w:cs="宋体"/>
                <w:color w:val="auto"/>
                <w:szCs w:val="21"/>
                <w:highlight w:val="none"/>
                <w:lang w:eastAsia="en-US"/>
              </w:rPr>
              <w:t>便携式计算机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648F2D0A">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63BFC102">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《微型计算机能效限定值及能效等级》（GB28380）</w:t>
            </w:r>
          </w:p>
        </w:tc>
      </w:tr>
      <w:tr w14:paraId="377F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4BE41AB">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1EA074D">
            <w:pPr>
              <w:widowControl/>
              <w:spacing w:line="240" w:lineRule="auto"/>
              <w:rPr>
                <w:rFonts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A26E812">
            <w:pPr>
              <w:spacing w:before="64" w:line="240" w:lineRule="auto"/>
              <w:ind w:left="7" w:right="5"/>
              <w:jc w:val="center"/>
              <w:rPr>
                <w:rFonts w:hAnsi="宋体" w:cs="宋体"/>
                <w:color w:val="auto"/>
                <w:szCs w:val="21"/>
                <w:highlight w:val="none"/>
              </w:rPr>
            </w:pPr>
            <w:r>
              <w:rPr>
                <w:rFonts w:hint="eastAsia" w:hAnsi="宋体" w:cs="宋体"/>
                <w:color w:val="auto"/>
                <w:szCs w:val="21"/>
                <w:highlight w:val="none"/>
              </w:rPr>
              <w:t>★</w:t>
            </w:r>
            <w:r>
              <w:rPr>
                <w:rFonts w:hint="eastAsia" w:hAnsi="宋体" w:cs="方正仿宋_GB2312"/>
                <w:color w:val="auto"/>
                <w:szCs w:val="21"/>
                <w:highlight w:val="none"/>
              </w:rPr>
              <w:t>A02010109平板式计算机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61A1BEDF">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15246408">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《微型计算机能效限定值及能效等级》（GB28380）</w:t>
            </w:r>
          </w:p>
        </w:tc>
      </w:tr>
      <w:tr w14:paraId="30CF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1A73F4E">
            <w:pPr>
              <w:spacing w:line="240" w:lineRule="auto"/>
              <w:jc w:val="center"/>
              <w:rPr>
                <w:rFonts w:hAnsi="宋体"/>
                <w:color w:val="auto"/>
                <w:szCs w:val="21"/>
                <w:highlight w:val="none"/>
              </w:rPr>
            </w:pPr>
            <w:r>
              <w:rPr>
                <w:rFonts w:hint="eastAsia" w:hAnsi="宋体"/>
                <w:color w:val="auto"/>
                <w:szCs w:val="21"/>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583445FC">
            <w:pPr>
              <w:spacing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A02020000</w:t>
            </w:r>
            <w:r>
              <w:rPr>
                <w:rFonts w:hint="eastAsia" w:hAnsi="宋体" w:cs="宋体"/>
                <w:color w:val="auto"/>
                <w:szCs w:val="21"/>
                <w:highlight w:val="none"/>
                <w:lang w:eastAsia="en-US"/>
              </w:rPr>
              <w:t>办公设备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686DCCA8">
            <w:pPr>
              <w:spacing w:line="240" w:lineRule="auto"/>
              <w:jc w:val="center"/>
              <w:rPr>
                <w:rFonts w:hAnsi="宋体"/>
                <w:color w:val="auto"/>
                <w:szCs w:val="21"/>
                <w:highlight w:val="none"/>
              </w:rPr>
            </w:pPr>
            <w:r>
              <w:rPr>
                <w:rFonts w:hint="eastAsia" w:hAnsi="宋体" w:cs="宋体"/>
                <w:color w:val="auto"/>
                <w:spacing w:val="1"/>
                <w:szCs w:val="21"/>
                <w:highlight w:val="none"/>
              </w:rPr>
              <w:t>A02021000</w:t>
            </w:r>
            <w:r>
              <w:rPr>
                <w:rFonts w:hint="eastAsia" w:hAnsi="宋体" w:cs="Arial"/>
                <w:color w:val="auto"/>
                <w:szCs w:val="21"/>
                <w:highlight w:val="none"/>
                <w:shd w:val="clear" w:color="auto" w:fill="FFFFFF"/>
              </w:rPr>
              <w:t>打印机</w:t>
            </w:r>
          </w:p>
        </w:tc>
        <w:tc>
          <w:tcPr>
            <w:tcW w:w="1481" w:type="dxa"/>
            <w:tcBorders>
              <w:top w:val="single" w:color="auto" w:sz="4" w:space="0"/>
              <w:left w:val="single" w:color="auto" w:sz="4" w:space="0"/>
              <w:bottom w:val="single" w:color="auto" w:sz="4" w:space="0"/>
              <w:right w:val="single" w:color="auto" w:sz="4" w:space="0"/>
            </w:tcBorders>
            <w:vAlign w:val="center"/>
          </w:tcPr>
          <w:p w14:paraId="57512963">
            <w:pPr>
              <w:spacing w:line="240" w:lineRule="auto"/>
              <w:jc w:val="center"/>
              <w:rPr>
                <w:rFonts w:hAnsi="宋体"/>
                <w:color w:val="auto"/>
                <w:szCs w:val="21"/>
                <w:highlight w:val="none"/>
              </w:rPr>
            </w:pPr>
            <w:r>
              <w:rPr>
                <w:rFonts w:hint="eastAsia" w:hAnsi="宋体"/>
                <w:color w:val="auto"/>
                <w:szCs w:val="21"/>
                <w:highlight w:val="none"/>
              </w:rPr>
              <w:t>A02021001 A3黑白打印机</w:t>
            </w:r>
          </w:p>
        </w:tc>
        <w:tc>
          <w:tcPr>
            <w:tcW w:w="3761" w:type="dxa"/>
            <w:tcBorders>
              <w:top w:val="single" w:color="auto" w:sz="4" w:space="0"/>
              <w:left w:val="single" w:color="auto" w:sz="4" w:space="0"/>
              <w:bottom w:val="single" w:color="auto" w:sz="4" w:space="0"/>
              <w:right w:val="single" w:color="auto" w:sz="4" w:space="0"/>
            </w:tcBorders>
          </w:tcPr>
          <w:p w14:paraId="5FADAB6E">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2D0C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EBD6399">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2A2B0DD">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3667BE51">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4FCED77">
            <w:pPr>
              <w:spacing w:line="240" w:lineRule="auto"/>
              <w:jc w:val="center"/>
              <w:rPr>
                <w:rFonts w:hAnsi="宋体"/>
                <w:color w:val="auto"/>
                <w:szCs w:val="21"/>
                <w:highlight w:val="none"/>
              </w:rPr>
            </w:pPr>
            <w:r>
              <w:rPr>
                <w:rFonts w:hint="eastAsia" w:hAnsi="宋体"/>
                <w:color w:val="auto"/>
                <w:szCs w:val="21"/>
                <w:highlight w:val="none"/>
              </w:rPr>
              <w:t>A02021002 A3彩色打印机</w:t>
            </w:r>
          </w:p>
        </w:tc>
        <w:tc>
          <w:tcPr>
            <w:tcW w:w="3761" w:type="dxa"/>
            <w:tcBorders>
              <w:top w:val="single" w:color="auto" w:sz="4" w:space="0"/>
              <w:left w:val="single" w:color="auto" w:sz="4" w:space="0"/>
              <w:bottom w:val="single" w:color="auto" w:sz="4" w:space="0"/>
              <w:right w:val="single" w:color="auto" w:sz="4" w:space="0"/>
            </w:tcBorders>
          </w:tcPr>
          <w:p w14:paraId="362EB603">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537F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9693D5C">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563B317">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CDA2377">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78F6937">
            <w:pPr>
              <w:spacing w:line="240" w:lineRule="auto"/>
              <w:jc w:val="center"/>
              <w:rPr>
                <w:rFonts w:hAnsi="宋体"/>
                <w:color w:val="auto"/>
                <w:szCs w:val="21"/>
                <w:highlight w:val="none"/>
              </w:rPr>
            </w:pPr>
            <w:r>
              <w:rPr>
                <w:rFonts w:hint="eastAsia" w:hAnsi="宋体"/>
                <w:color w:val="auto"/>
                <w:szCs w:val="21"/>
                <w:highlight w:val="none"/>
              </w:rPr>
              <w:t>A02021003 A4黑白打印机</w:t>
            </w:r>
          </w:p>
        </w:tc>
        <w:tc>
          <w:tcPr>
            <w:tcW w:w="3761" w:type="dxa"/>
            <w:tcBorders>
              <w:top w:val="single" w:color="auto" w:sz="4" w:space="0"/>
              <w:left w:val="single" w:color="auto" w:sz="4" w:space="0"/>
              <w:bottom w:val="single" w:color="auto" w:sz="4" w:space="0"/>
              <w:right w:val="single" w:color="auto" w:sz="4" w:space="0"/>
            </w:tcBorders>
          </w:tcPr>
          <w:p w14:paraId="63C44CC7">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574B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7137278">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01B370A">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3F1B657B">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1910FA46">
            <w:pPr>
              <w:spacing w:line="240" w:lineRule="auto"/>
              <w:jc w:val="center"/>
              <w:rPr>
                <w:rFonts w:hAnsi="宋体"/>
                <w:color w:val="auto"/>
                <w:szCs w:val="21"/>
                <w:highlight w:val="none"/>
              </w:rPr>
            </w:pPr>
            <w:r>
              <w:rPr>
                <w:rFonts w:hint="eastAsia" w:hAnsi="宋体"/>
                <w:color w:val="auto"/>
                <w:szCs w:val="21"/>
                <w:highlight w:val="none"/>
              </w:rPr>
              <w:t>A02021004 A4彩色打印机</w:t>
            </w:r>
          </w:p>
        </w:tc>
        <w:tc>
          <w:tcPr>
            <w:tcW w:w="3761" w:type="dxa"/>
            <w:tcBorders>
              <w:top w:val="single" w:color="auto" w:sz="4" w:space="0"/>
              <w:left w:val="single" w:color="auto" w:sz="4" w:space="0"/>
              <w:bottom w:val="single" w:color="auto" w:sz="4" w:space="0"/>
              <w:right w:val="single" w:color="auto" w:sz="4" w:space="0"/>
            </w:tcBorders>
          </w:tcPr>
          <w:p w14:paraId="3B5E1A0F">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08C8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8DFED3F">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19D58CA">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C63FB1F">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2A5C7E1">
            <w:pPr>
              <w:spacing w:line="240" w:lineRule="auto"/>
              <w:jc w:val="center"/>
              <w:rPr>
                <w:rFonts w:hAnsi="宋体"/>
                <w:color w:val="auto"/>
                <w:szCs w:val="21"/>
                <w:highlight w:val="none"/>
              </w:rPr>
            </w:pPr>
            <w:r>
              <w:rPr>
                <w:rFonts w:hint="eastAsia" w:hAnsi="宋体"/>
                <w:color w:val="auto"/>
                <w:szCs w:val="21"/>
                <w:highlight w:val="none"/>
              </w:rPr>
              <w:t>A02021005 3D打印机</w:t>
            </w:r>
          </w:p>
        </w:tc>
        <w:tc>
          <w:tcPr>
            <w:tcW w:w="3761" w:type="dxa"/>
            <w:tcBorders>
              <w:top w:val="single" w:color="auto" w:sz="4" w:space="0"/>
              <w:left w:val="single" w:color="auto" w:sz="4" w:space="0"/>
              <w:bottom w:val="single" w:color="auto" w:sz="4" w:space="0"/>
              <w:right w:val="single" w:color="auto" w:sz="4" w:space="0"/>
            </w:tcBorders>
          </w:tcPr>
          <w:p w14:paraId="4CF1C0B4">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077B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7AE21C1">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E519F23">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C52DA21">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1870AB6">
            <w:pPr>
              <w:spacing w:line="240" w:lineRule="auto"/>
              <w:jc w:val="center"/>
              <w:rPr>
                <w:rFonts w:hAnsi="宋体"/>
                <w:color w:val="auto"/>
                <w:szCs w:val="21"/>
                <w:highlight w:val="none"/>
              </w:rPr>
            </w:pPr>
            <w:r>
              <w:rPr>
                <w:rFonts w:hint="eastAsia" w:hAnsi="宋体"/>
                <w:color w:val="auto"/>
                <w:szCs w:val="21"/>
                <w:highlight w:val="none"/>
              </w:rPr>
              <w:t>A02021006票据打印机</w:t>
            </w:r>
          </w:p>
        </w:tc>
        <w:tc>
          <w:tcPr>
            <w:tcW w:w="3761" w:type="dxa"/>
            <w:tcBorders>
              <w:top w:val="single" w:color="auto" w:sz="4" w:space="0"/>
              <w:left w:val="single" w:color="auto" w:sz="4" w:space="0"/>
              <w:bottom w:val="single" w:color="auto" w:sz="4" w:space="0"/>
              <w:right w:val="single" w:color="auto" w:sz="4" w:space="0"/>
            </w:tcBorders>
          </w:tcPr>
          <w:p w14:paraId="64B2E971">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2C17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125735B">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4C75C06">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F223696">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E94DB40">
            <w:pPr>
              <w:spacing w:line="240" w:lineRule="auto"/>
              <w:jc w:val="center"/>
              <w:rPr>
                <w:rFonts w:hAnsi="宋体"/>
                <w:color w:val="auto"/>
                <w:szCs w:val="21"/>
                <w:highlight w:val="none"/>
              </w:rPr>
            </w:pPr>
            <w:r>
              <w:rPr>
                <w:rFonts w:hint="eastAsia" w:hAnsi="宋体"/>
                <w:color w:val="auto"/>
                <w:szCs w:val="21"/>
                <w:highlight w:val="none"/>
              </w:rPr>
              <w:t>A02021007条码打印机</w:t>
            </w:r>
          </w:p>
        </w:tc>
        <w:tc>
          <w:tcPr>
            <w:tcW w:w="3761" w:type="dxa"/>
            <w:tcBorders>
              <w:top w:val="single" w:color="auto" w:sz="4" w:space="0"/>
              <w:left w:val="single" w:color="auto" w:sz="4" w:space="0"/>
              <w:bottom w:val="single" w:color="auto" w:sz="4" w:space="0"/>
              <w:right w:val="single" w:color="auto" w:sz="4" w:space="0"/>
            </w:tcBorders>
          </w:tcPr>
          <w:p w14:paraId="2FAC2062">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1E03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CACA08C">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5980F60">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5929ABC">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446F55E">
            <w:pPr>
              <w:spacing w:line="240" w:lineRule="auto"/>
              <w:jc w:val="center"/>
              <w:rPr>
                <w:rFonts w:hAnsi="宋体"/>
                <w:color w:val="auto"/>
                <w:szCs w:val="21"/>
                <w:highlight w:val="none"/>
              </w:rPr>
            </w:pPr>
            <w:r>
              <w:rPr>
                <w:rFonts w:hint="eastAsia" w:hAnsi="宋体"/>
                <w:color w:val="auto"/>
                <w:szCs w:val="21"/>
                <w:highlight w:val="none"/>
              </w:rPr>
              <w:t>A02021008地址打印机</w:t>
            </w:r>
          </w:p>
        </w:tc>
        <w:tc>
          <w:tcPr>
            <w:tcW w:w="3761" w:type="dxa"/>
            <w:tcBorders>
              <w:top w:val="single" w:color="auto" w:sz="4" w:space="0"/>
              <w:left w:val="single" w:color="auto" w:sz="4" w:space="0"/>
              <w:bottom w:val="single" w:color="auto" w:sz="4" w:space="0"/>
              <w:right w:val="single" w:color="auto" w:sz="4" w:space="0"/>
            </w:tcBorders>
          </w:tcPr>
          <w:p w14:paraId="313FCD2C">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7C30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C3CD4C9">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4BBD7B2">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54E95BE">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32D357D7">
            <w:pPr>
              <w:spacing w:line="240" w:lineRule="auto"/>
              <w:jc w:val="center"/>
              <w:rPr>
                <w:rFonts w:hAnsi="宋体"/>
                <w:color w:val="auto"/>
                <w:szCs w:val="21"/>
                <w:highlight w:val="none"/>
              </w:rPr>
            </w:pPr>
            <w:r>
              <w:rPr>
                <w:rFonts w:hint="eastAsia" w:hAnsi="宋体"/>
                <w:color w:val="auto"/>
                <w:szCs w:val="21"/>
                <w:highlight w:val="none"/>
              </w:rPr>
              <w:t>A02021099其他打印机</w:t>
            </w:r>
          </w:p>
        </w:tc>
        <w:tc>
          <w:tcPr>
            <w:tcW w:w="3761" w:type="dxa"/>
            <w:tcBorders>
              <w:top w:val="single" w:color="auto" w:sz="4" w:space="0"/>
              <w:left w:val="single" w:color="auto" w:sz="4" w:space="0"/>
              <w:bottom w:val="single" w:color="auto" w:sz="4" w:space="0"/>
              <w:right w:val="single" w:color="auto" w:sz="4" w:space="0"/>
            </w:tcBorders>
          </w:tcPr>
          <w:p w14:paraId="70DDA752">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6BB0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107CFB29">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5BC0CFF">
            <w:pPr>
              <w:widowControl/>
              <w:spacing w:line="240" w:lineRule="auto"/>
              <w:rPr>
                <w:rFonts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3A4B467D">
            <w:pPr>
              <w:spacing w:line="240" w:lineRule="auto"/>
              <w:jc w:val="center"/>
              <w:rPr>
                <w:rFonts w:hAnsi="宋体"/>
                <w:color w:val="auto"/>
                <w:szCs w:val="21"/>
                <w:highlight w:val="none"/>
              </w:rPr>
            </w:pPr>
            <w:r>
              <w:rPr>
                <w:rFonts w:hint="eastAsia" w:hAnsi="宋体"/>
                <w:color w:val="auto"/>
                <w:szCs w:val="21"/>
                <w:highlight w:val="none"/>
              </w:rPr>
              <w:t>A02021100输入输出设备</w:t>
            </w:r>
          </w:p>
        </w:tc>
        <w:tc>
          <w:tcPr>
            <w:tcW w:w="1481" w:type="dxa"/>
            <w:tcBorders>
              <w:top w:val="single" w:color="auto" w:sz="4" w:space="0"/>
              <w:left w:val="single" w:color="auto" w:sz="4" w:space="0"/>
              <w:bottom w:val="single" w:color="auto" w:sz="4" w:space="0"/>
              <w:right w:val="single" w:color="auto" w:sz="4" w:space="0"/>
            </w:tcBorders>
            <w:vAlign w:val="center"/>
          </w:tcPr>
          <w:p w14:paraId="74DBF78F">
            <w:pPr>
              <w:spacing w:line="240" w:lineRule="auto"/>
              <w:jc w:val="center"/>
              <w:rPr>
                <w:rFonts w:hAnsi="宋体"/>
                <w:color w:val="auto"/>
                <w:szCs w:val="21"/>
                <w:highlight w:val="none"/>
              </w:rPr>
            </w:pPr>
            <w:r>
              <w:rPr>
                <w:rFonts w:hint="eastAsia" w:hAnsi="宋体" w:cs="宋体"/>
                <w:color w:val="auto"/>
                <w:szCs w:val="21"/>
                <w:highlight w:val="none"/>
              </w:rPr>
              <w:t>★</w:t>
            </w:r>
            <w:r>
              <w:rPr>
                <w:rFonts w:hint="eastAsia" w:hAnsi="宋体"/>
                <w:color w:val="auto"/>
                <w:szCs w:val="21"/>
                <w:highlight w:val="none"/>
              </w:rPr>
              <w:t>A02021104液晶显示器</w:t>
            </w:r>
          </w:p>
        </w:tc>
        <w:tc>
          <w:tcPr>
            <w:tcW w:w="3761" w:type="dxa"/>
            <w:tcBorders>
              <w:top w:val="single" w:color="auto" w:sz="4" w:space="0"/>
              <w:left w:val="single" w:color="auto" w:sz="4" w:space="0"/>
              <w:bottom w:val="single" w:color="auto" w:sz="4" w:space="0"/>
              <w:right w:val="single" w:color="auto" w:sz="4" w:space="0"/>
            </w:tcBorders>
            <w:vAlign w:val="center"/>
          </w:tcPr>
          <w:p w14:paraId="35B51419">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《计算机显示器能效限定值及能效等级》（GB21520）</w:t>
            </w:r>
          </w:p>
        </w:tc>
      </w:tr>
      <w:tr w14:paraId="619C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C482BF6">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7CB4C50">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D3B91FE">
            <w:pPr>
              <w:widowControl/>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15CC3EB">
            <w:pPr>
              <w:spacing w:line="240" w:lineRule="auto"/>
              <w:jc w:val="center"/>
              <w:rPr>
                <w:rFonts w:hAnsi="宋体"/>
                <w:color w:val="auto"/>
                <w:szCs w:val="21"/>
                <w:highlight w:val="none"/>
              </w:rPr>
            </w:pPr>
            <w:r>
              <w:rPr>
                <w:rFonts w:hint="eastAsia" w:hAnsi="宋体"/>
                <w:color w:val="auto"/>
                <w:szCs w:val="21"/>
                <w:highlight w:val="none"/>
              </w:rPr>
              <w:t>A02021118扫描仪</w:t>
            </w:r>
          </w:p>
        </w:tc>
        <w:tc>
          <w:tcPr>
            <w:tcW w:w="3761" w:type="dxa"/>
            <w:tcBorders>
              <w:top w:val="single" w:color="auto" w:sz="4" w:space="0"/>
              <w:left w:val="single" w:color="auto" w:sz="4" w:space="0"/>
              <w:bottom w:val="single" w:color="auto" w:sz="4" w:space="0"/>
              <w:right w:val="single" w:color="auto" w:sz="4" w:space="0"/>
            </w:tcBorders>
            <w:vAlign w:val="center"/>
          </w:tcPr>
          <w:p w14:paraId="0ED4F7F3">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参照《复印机、打印机和传真机能效限定值及能效等级》（GB21521）中打印速度为15页/分的针式打印机相关要求</w:t>
            </w:r>
          </w:p>
        </w:tc>
      </w:tr>
      <w:tr w14:paraId="2DE3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E7E7A2E">
            <w:pPr>
              <w:spacing w:line="240" w:lineRule="auto"/>
              <w:jc w:val="center"/>
              <w:rPr>
                <w:rFonts w:hAnsi="宋体"/>
                <w:color w:val="auto"/>
                <w:szCs w:val="21"/>
                <w:highlight w:val="none"/>
              </w:rPr>
            </w:pPr>
            <w:r>
              <w:rPr>
                <w:rFonts w:hint="eastAsia" w:hAnsi="宋体"/>
                <w:color w:val="auto"/>
                <w:szCs w:val="21"/>
                <w:highlight w:val="none"/>
              </w:rPr>
              <w:t>3</w:t>
            </w:r>
          </w:p>
        </w:tc>
        <w:tc>
          <w:tcPr>
            <w:tcW w:w="1422" w:type="dxa"/>
            <w:tcBorders>
              <w:top w:val="single" w:color="auto" w:sz="4" w:space="0"/>
              <w:left w:val="single" w:color="auto" w:sz="4" w:space="0"/>
              <w:bottom w:val="single" w:color="auto" w:sz="4" w:space="0"/>
              <w:right w:val="single" w:color="auto" w:sz="4" w:space="0"/>
            </w:tcBorders>
            <w:vAlign w:val="center"/>
          </w:tcPr>
          <w:p w14:paraId="05222921">
            <w:pPr>
              <w:spacing w:line="240" w:lineRule="auto"/>
              <w:jc w:val="center"/>
              <w:rPr>
                <w:rFonts w:hAnsi="宋体"/>
                <w:color w:val="auto"/>
                <w:szCs w:val="21"/>
                <w:highlight w:val="none"/>
              </w:rPr>
            </w:pPr>
            <w:r>
              <w:rPr>
                <w:rFonts w:hint="eastAsia" w:hAnsi="宋体"/>
                <w:color w:val="auto"/>
                <w:szCs w:val="21"/>
                <w:highlight w:val="none"/>
              </w:rPr>
              <w:t>A02020200投影仪</w:t>
            </w:r>
          </w:p>
        </w:tc>
        <w:tc>
          <w:tcPr>
            <w:tcW w:w="1496" w:type="dxa"/>
            <w:tcBorders>
              <w:top w:val="single" w:color="auto" w:sz="4" w:space="0"/>
              <w:left w:val="single" w:color="auto" w:sz="4" w:space="0"/>
              <w:bottom w:val="single" w:color="auto" w:sz="4" w:space="0"/>
              <w:right w:val="single" w:color="auto" w:sz="4" w:space="0"/>
            </w:tcBorders>
            <w:vAlign w:val="center"/>
          </w:tcPr>
          <w:p w14:paraId="0A90988E">
            <w:pPr>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8393096">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vAlign w:val="center"/>
          </w:tcPr>
          <w:p w14:paraId="7509E2C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《投影机能效限定值及能效等级》（GB32028）</w:t>
            </w:r>
          </w:p>
        </w:tc>
      </w:tr>
      <w:tr w14:paraId="13EB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9D6AB95">
            <w:pPr>
              <w:spacing w:line="240" w:lineRule="auto"/>
              <w:jc w:val="center"/>
              <w:rPr>
                <w:rFonts w:hAnsi="宋体"/>
                <w:color w:val="auto"/>
                <w:szCs w:val="21"/>
                <w:highlight w:val="none"/>
              </w:rPr>
            </w:pPr>
            <w:r>
              <w:rPr>
                <w:rFonts w:hint="eastAsia" w:hAnsi="宋体"/>
                <w:color w:val="auto"/>
                <w:szCs w:val="21"/>
                <w:highlight w:val="none"/>
              </w:rPr>
              <w:t>4</w:t>
            </w:r>
          </w:p>
        </w:tc>
        <w:tc>
          <w:tcPr>
            <w:tcW w:w="1422" w:type="dxa"/>
            <w:tcBorders>
              <w:top w:val="single" w:color="auto" w:sz="4" w:space="0"/>
              <w:left w:val="single" w:color="auto" w:sz="4" w:space="0"/>
              <w:bottom w:val="single" w:color="auto" w:sz="4" w:space="0"/>
              <w:right w:val="single" w:color="auto" w:sz="4" w:space="0"/>
            </w:tcBorders>
            <w:vAlign w:val="center"/>
          </w:tcPr>
          <w:p w14:paraId="4B815B0E">
            <w:pPr>
              <w:spacing w:before="66"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A02020400</w:t>
            </w:r>
            <w:r>
              <w:rPr>
                <w:rFonts w:hint="eastAsia" w:hAnsi="宋体" w:cs="宋体"/>
                <w:color w:val="auto"/>
                <w:szCs w:val="21"/>
                <w:highlight w:val="none"/>
                <w:lang w:eastAsia="en-US"/>
              </w:rPr>
              <w:t>多功能一体机</w:t>
            </w:r>
          </w:p>
        </w:tc>
        <w:tc>
          <w:tcPr>
            <w:tcW w:w="1496" w:type="dxa"/>
            <w:tcBorders>
              <w:top w:val="single" w:color="auto" w:sz="4" w:space="0"/>
              <w:left w:val="single" w:color="auto" w:sz="4" w:space="0"/>
              <w:bottom w:val="single" w:color="auto" w:sz="4" w:space="0"/>
              <w:right w:val="single" w:color="auto" w:sz="4" w:space="0"/>
            </w:tcBorders>
            <w:vAlign w:val="center"/>
          </w:tcPr>
          <w:p w14:paraId="3C8EFF74">
            <w:pPr>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4EAD709">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vAlign w:val="center"/>
          </w:tcPr>
          <w:p w14:paraId="5048629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《复印机、打印机和传真机能效限定值及能效等级》（GB21521）</w:t>
            </w:r>
          </w:p>
        </w:tc>
      </w:tr>
      <w:tr w14:paraId="48E2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C3F7903">
            <w:pPr>
              <w:spacing w:before="160" w:line="240" w:lineRule="auto"/>
              <w:ind w:right="1"/>
              <w:jc w:val="center"/>
              <w:rPr>
                <w:rFonts w:hAnsi="宋体" w:cs="宋体"/>
                <w:color w:val="auto"/>
                <w:szCs w:val="21"/>
                <w:highlight w:val="none"/>
                <w:lang w:eastAsia="en-US"/>
              </w:rPr>
            </w:pPr>
            <w:r>
              <w:rPr>
                <w:rFonts w:hint="eastAsia" w:hAnsi="宋体"/>
                <w:color w:val="auto"/>
                <w:szCs w:val="21"/>
                <w:highlight w:val="none"/>
                <w:lang w:eastAsia="en-US"/>
              </w:rPr>
              <w:t>5</w:t>
            </w:r>
          </w:p>
        </w:tc>
        <w:tc>
          <w:tcPr>
            <w:tcW w:w="1422" w:type="dxa"/>
            <w:tcBorders>
              <w:top w:val="single" w:color="auto" w:sz="4" w:space="0"/>
              <w:left w:val="single" w:color="auto" w:sz="4" w:space="0"/>
              <w:bottom w:val="single" w:color="auto" w:sz="4" w:space="0"/>
              <w:right w:val="single" w:color="auto" w:sz="4" w:space="0"/>
            </w:tcBorders>
            <w:vAlign w:val="center"/>
          </w:tcPr>
          <w:p w14:paraId="1A122981">
            <w:pPr>
              <w:spacing w:before="160"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A02051900</w:t>
            </w:r>
            <w:r>
              <w:rPr>
                <w:rFonts w:hint="eastAsia" w:hAnsi="宋体" w:cs="宋体"/>
                <w:color w:val="auto"/>
                <w:szCs w:val="21"/>
                <w:highlight w:val="none"/>
                <w:lang w:eastAsia="en-US"/>
              </w:rPr>
              <w:t>泵</w:t>
            </w:r>
          </w:p>
        </w:tc>
        <w:tc>
          <w:tcPr>
            <w:tcW w:w="1496" w:type="dxa"/>
            <w:tcBorders>
              <w:top w:val="single" w:color="auto" w:sz="4" w:space="0"/>
              <w:left w:val="single" w:color="auto" w:sz="4" w:space="0"/>
              <w:bottom w:val="single" w:color="auto" w:sz="4" w:space="0"/>
              <w:right w:val="single" w:color="auto" w:sz="4" w:space="0"/>
            </w:tcBorders>
            <w:vAlign w:val="center"/>
          </w:tcPr>
          <w:p w14:paraId="45CF034B">
            <w:pPr>
              <w:spacing w:before="160" w:line="240" w:lineRule="auto"/>
              <w:ind w:left="7"/>
              <w:jc w:val="center"/>
              <w:rPr>
                <w:rFonts w:hAnsi="宋体" w:cs="宋体"/>
                <w:color w:val="auto"/>
                <w:szCs w:val="21"/>
                <w:highlight w:val="none"/>
                <w:lang w:eastAsia="en-US"/>
              </w:rPr>
            </w:pPr>
            <w:r>
              <w:rPr>
                <w:rFonts w:hint="eastAsia" w:hAnsi="宋体" w:cs="宋体"/>
                <w:color w:val="auto"/>
                <w:spacing w:val="1"/>
                <w:szCs w:val="21"/>
                <w:highlight w:val="none"/>
                <w:lang w:eastAsia="en-US"/>
              </w:rPr>
              <w:t>A02</w:t>
            </w:r>
            <w:r>
              <w:rPr>
                <w:rFonts w:hint="eastAsia" w:hAnsi="宋体" w:cs="宋体"/>
                <w:color w:val="auto"/>
                <w:szCs w:val="21"/>
                <w:highlight w:val="none"/>
                <w:lang w:eastAsia="en-US"/>
              </w:rPr>
              <w:t>05</w:t>
            </w:r>
            <w:r>
              <w:rPr>
                <w:rFonts w:hint="eastAsia" w:hAnsi="宋体" w:cs="宋体"/>
                <w:color w:val="auto"/>
                <w:spacing w:val="1"/>
                <w:szCs w:val="21"/>
                <w:highlight w:val="none"/>
                <w:lang w:eastAsia="en-US"/>
              </w:rPr>
              <w:t>1</w:t>
            </w:r>
            <w:r>
              <w:rPr>
                <w:rFonts w:hint="eastAsia" w:hAnsi="宋体" w:cs="宋体"/>
                <w:color w:val="auto"/>
                <w:szCs w:val="21"/>
                <w:highlight w:val="none"/>
                <w:lang w:eastAsia="en-US"/>
              </w:rPr>
              <w:t>901离心泵</w:t>
            </w:r>
          </w:p>
        </w:tc>
        <w:tc>
          <w:tcPr>
            <w:tcW w:w="1481" w:type="dxa"/>
            <w:tcBorders>
              <w:top w:val="single" w:color="auto" w:sz="4" w:space="0"/>
              <w:left w:val="single" w:color="auto" w:sz="4" w:space="0"/>
              <w:bottom w:val="single" w:color="auto" w:sz="4" w:space="0"/>
              <w:right w:val="single" w:color="auto" w:sz="4" w:space="0"/>
            </w:tcBorders>
            <w:vAlign w:val="center"/>
          </w:tcPr>
          <w:p w14:paraId="31BE2E63">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68065325">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《清水离心泵能效限定值及节能评价值》（GB19762）</w:t>
            </w:r>
          </w:p>
        </w:tc>
      </w:tr>
      <w:tr w14:paraId="403A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743892D7">
            <w:pPr>
              <w:spacing w:line="240" w:lineRule="auto"/>
              <w:jc w:val="center"/>
              <w:rPr>
                <w:rFonts w:hAnsi="宋体"/>
                <w:color w:val="auto"/>
                <w:szCs w:val="21"/>
                <w:highlight w:val="none"/>
              </w:rPr>
            </w:pPr>
            <w:r>
              <w:rPr>
                <w:rFonts w:hint="eastAsia" w:hAnsi="宋体"/>
                <w:color w:val="auto"/>
                <w:szCs w:val="21"/>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39662623">
            <w:pPr>
              <w:spacing w:line="240" w:lineRule="auto"/>
              <w:jc w:val="center"/>
              <w:rPr>
                <w:rFonts w:hAnsi="宋体" w:cs="宋体"/>
                <w:color w:val="auto"/>
                <w:szCs w:val="21"/>
                <w:highlight w:val="none"/>
                <w:lang w:eastAsia="en-US"/>
              </w:rPr>
            </w:pPr>
            <w:r>
              <w:rPr>
                <w:rFonts w:hint="eastAsia" w:hAnsi="宋体" w:cs="方正仿宋_GB2312"/>
                <w:color w:val="auto"/>
                <w:szCs w:val="21"/>
                <w:highlight w:val="none"/>
                <w:lang w:eastAsia="en-US"/>
              </w:rPr>
              <w:t>A02052300</w:t>
            </w:r>
            <w:r>
              <w:rPr>
                <w:rFonts w:hint="eastAsia" w:hAnsi="宋体" w:cs="宋体"/>
                <w:color w:val="auto"/>
                <w:szCs w:val="21"/>
                <w:highlight w:val="none"/>
                <w:lang w:eastAsia="en-US"/>
              </w:rPr>
              <w:t>制冷空调设备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1ED1D313">
            <w:pPr>
              <w:spacing w:line="276" w:lineRule="auto"/>
              <w:ind w:right="5"/>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宋体"/>
                <w:color w:val="auto"/>
                <w:spacing w:val="1"/>
                <w:szCs w:val="21"/>
                <w:highlight w:val="none"/>
                <w:lang w:eastAsia="en-US"/>
              </w:rPr>
              <w:t>A020</w:t>
            </w:r>
            <w:r>
              <w:rPr>
                <w:rFonts w:hint="eastAsia" w:hAnsi="宋体" w:cs="宋体"/>
                <w:color w:val="auto"/>
                <w:szCs w:val="21"/>
                <w:highlight w:val="none"/>
                <w:lang w:eastAsia="en-US"/>
              </w:rPr>
              <w:t>52</w:t>
            </w:r>
            <w:r>
              <w:rPr>
                <w:rFonts w:hint="eastAsia" w:hAnsi="宋体" w:cs="宋体"/>
                <w:color w:val="auto"/>
                <w:spacing w:val="1"/>
                <w:szCs w:val="21"/>
                <w:highlight w:val="none"/>
                <w:lang w:eastAsia="en-US"/>
              </w:rPr>
              <w:t>3</w:t>
            </w:r>
            <w:r>
              <w:rPr>
                <w:rFonts w:hint="eastAsia" w:hAnsi="宋体" w:cs="宋体"/>
                <w:color w:val="auto"/>
                <w:szCs w:val="21"/>
                <w:highlight w:val="none"/>
                <w:lang w:eastAsia="en-US"/>
              </w:rPr>
              <w:t>01制冷压缩机</w:t>
            </w:r>
          </w:p>
        </w:tc>
        <w:tc>
          <w:tcPr>
            <w:tcW w:w="1481" w:type="dxa"/>
            <w:tcBorders>
              <w:top w:val="single" w:color="auto" w:sz="4" w:space="0"/>
              <w:left w:val="single" w:color="auto" w:sz="4" w:space="0"/>
              <w:bottom w:val="single" w:color="auto" w:sz="4" w:space="0"/>
              <w:right w:val="single" w:color="auto" w:sz="4" w:space="0"/>
            </w:tcBorders>
            <w:vAlign w:val="center"/>
          </w:tcPr>
          <w:p w14:paraId="729B48E1">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冷水机组</w:t>
            </w:r>
          </w:p>
        </w:tc>
        <w:tc>
          <w:tcPr>
            <w:tcW w:w="3761" w:type="dxa"/>
            <w:tcBorders>
              <w:top w:val="single" w:color="auto" w:sz="4" w:space="0"/>
              <w:left w:val="single" w:color="auto" w:sz="4" w:space="0"/>
              <w:bottom w:val="single" w:color="auto" w:sz="4" w:space="0"/>
              <w:right w:val="single" w:color="auto" w:sz="4" w:space="0"/>
            </w:tcBorders>
          </w:tcPr>
          <w:p w14:paraId="4A47DCCB">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《冷水机组能效限定值及能效等级》（GB19577），《低环境温度空气源热泵（冷水）机组能效限定值及能效等级》（GB37480）</w:t>
            </w:r>
          </w:p>
        </w:tc>
      </w:tr>
      <w:tr w14:paraId="0FF8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ADCCE8F">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3ED24AF">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BA5143C">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7060049">
            <w:pPr>
              <w:spacing w:line="240" w:lineRule="auto"/>
              <w:jc w:val="center"/>
              <w:rPr>
                <w:rFonts w:hAnsi="宋体"/>
                <w:color w:val="auto"/>
                <w:szCs w:val="21"/>
                <w:highlight w:val="none"/>
              </w:rPr>
            </w:pPr>
            <w:r>
              <w:rPr>
                <w:rFonts w:hint="eastAsia" w:hAnsi="宋体"/>
                <w:color w:val="auto"/>
                <w:szCs w:val="21"/>
                <w:highlight w:val="none"/>
              </w:rPr>
              <w:t>溴化锂吸收式冷水机组</w:t>
            </w:r>
          </w:p>
        </w:tc>
        <w:tc>
          <w:tcPr>
            <w:tcW w:w="3761" w:type="dxa"/>
            <w:tcBorders>
              <w:top w:val="single" w:color="auto" w:sz="4" w:space="0"/>
              <w:left w:val="single" w:color="auto" w:sz="4" w:space="0"/>
              <w:bottom w:val="single" w:color="auto" w:sz="4" w:space="0"/>
              <w:right w:val="single" w:color="auto" w:sz="4" w:space="0"/>
            </w:tcBorders>
            <w:vAlign w:val="center"/>
          </w:tcPr>
          <w:p w14:paraId="3C45DD17">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《溴化锂吸收式冷水机组能效限</w:t>
            </w:r>
          </w:p>
          <w:p w14:paraId="5F3F9CD6">
            <w:pPr>
              <w:spacing w:before="131" w:line="276" w:lineRule="auto"/>
              <w:ind w:right="4"/>
              <w:jc w:val="both"/>
              <w:rPr>
                <w:rFonts w:hAnsi="宋体" w:cs="宋体"/>
                <w:color w:val="auto"/>
                <w:spacing w:val="10"/>
                <w:szCs w:val="21"/>
                <w:highlight w:val="none"/>
              </w:rPr>
            </w:pPr>
            <w:r>
              <w:rPr>
                <w:rFonts w:hint="eastAsia" w:hAnsi="宋体" w:cs="宋体"/>
                <w:color w:val="auto"/>
                <w:spacing w:val="10"/>
                <w:szCs w:val="21"/>
                <w:highlight w:val="none"/>
              </w:rPr>
              <w:t>定值及能效等级》（GB29540）</w:t>
            </w:r>
          </w:p>
        </w:tc>
      </w:tr>
      <w:tr w14:paraId="50F6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A42CBFB">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F982A41">
            <w:pPr>
              <w:widowControl/>
              <w:spacing w:line="240" w:lineRule="auto"/>
              <w:rPr>
                <w:rFonts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0B9A0A29">
            <w:pPr>
              <w:spacing w:line="276" w:lineRule="auto"/>
              <w:ind w:right="5"/>
              <w:jc w:val="center"/>
              <w:rPr>
                <w:rFonts w:hAnsi="宋体" w:cs="宋体"/>
                <w:color w:val="auto"/>
                <w:szCs w:val="21"/>
                <w:highlight w:val="none"/>
                <w:lang w:eastAsia="en-US"/>
              </w:rPr>
            </w:pPr>
            <w:r>
              <w:rPr>
                <w:rFonts w:hint="eastAsia" w:hAnsi="宋体" w:cs="宋体"/>
                <w:color w:val="auto"/>
                <w:szCs w:val="21"/>
                <w:highlight w:val="none"/>
                <w:lang w:eastAsia="en-US"/>
              </w:rPr>
              <w:t>★A02052305空调机组</w:t>
            </w:r>
          </w:p>
        </w:tc>
        <w:tc>
          <w:tcPr>
            <w:tcW w:w="1481" w:type="dxa"/>
            <w:tcBorders>
              <w:top w:val="single" w:color="auto" w:sz="4" w:space="0"/>
              <w:left w:val="single" w:color="auto" w:sz="4" w:space="0"/>
              <w:bottom w:val="single" w:color="auto" w:sz="4" w:space="0"/>
              <w:right w:val="single" w:color="auto" w:sz="4" w:space="0"/>
            </w:tcBorders>
            <w:vAlign w:val="center"/>
          </w:tcPr>
          <w:p w14:paraId="2F8474D4">
            <w:pPr>
              <w:spacing w:before="4" w:line="276" w:lineRule="auto"/>
              <w:ind w:left="7" w:right="7"/>
              <w:jc w:val="center"/>
              <w:rPr>
                <w:rFonts w:hAnsi="宋体" w:cs="宋体"/>
                <w:color w:val="auto"/>
                <w:szCs w:val="21"/>
                <w:highlight w:val="none"/>
              </w:rPr>
            </w:pPr>
            <w:r>
              <w:rPr>
                <w:rFonts w:hint="eastAsia" w:hAnsi="宋体" w:cs="宋体"/>
                <w:color w:val="auto"/>
                <w:szCs w:val="21"/>
                <w:highlight w:val="none"/>
              </w:rPr>
              <w:t>多联式空调（热泵）机组（制冷量&gt;14000W）</w:t>
            </w:r>
          </w:p>
        </w:tc>
        <w:tc>
          <w:tcPr>
            <w:tcW w:w="3761" w:type="dxa"/>
            <w:tcBorders>
              <w:top w:val="single" w:color="auto" w:sz="4" w:space="0"/>
              <w:left w:val="single" w:color="auto" w:sz="4" w:space="0"/>
              <w:bottom w:val="single" w:color="auto" w:sz="4" w:space="0"/>
              <w:right w:val="single" w:color="auto" w:sz="4" w:space="0"/>
            </w:tcBorders>
          </w:tcPr>
          <w:p w14:paraId="0782A9C2">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《多联式空调（热泵）机组能效限定值及能源效率等级》（GB21454）</w:t>
            </w:r>
          </w:p>
        </w:tc>
      </w:tr>
      <w:tr w14:paraId="1C35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1F9BA874">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19A2DF4">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2E1ABE2">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68BA018">
            <w:pPr>
              <w:spacing w:line="240" w:lineRule="auto"/>
              <w:jc w:val="center"/>
              <w:rPr>
                <w:rFonts w:hAnsi="宋体"/>
                <w:color w:val="auto"/>
                <w:szCs w:val="21"/>
                <w:highlight w:val="none"/>
              </w:rPr>
            </w:pPr>
            <w:r>
              <w:rPr>
                <w:rFonts w:hint="eastAsia" w:hAnsi="宋体" w:cs="宋体"/>
                <w:color w:val="auto"/>
                <w:szCs w:val="21"/>
                <w:highlight w:val="none"/>
              </w:rPr>
              <w:t>单元式空气调节机</w:t>
            </w:r>
          </w:p>
        </w:tc>
        <w:tc>
          <w:tcPr>
            <w:tcW w:w="3761" w:type="dxa"/>
            <w:tcBorders>
              <w:top w:val="single" w:color="auto" w:sz="4" w:space="0"/>
              <w:left w:val="single" w:color="auto" w:sz="4" w:space="0"/>
              <w:bottom w:val="single" w:color="auto" w:sz="4" w:space="0"/>
              <w:right w:val="single" w:color="auto" w:sz="4" w:space="0"/>
            </w:tcBorders>
          </w:tcPr>
          <w:p w14:paraId="55898BE4">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《单元式空气调节机能效限定值及能效等级》（GB19576）《风管送风式空调机组能效限定值及能效等级》（GB37479）</w:t>
            </w:r>
          </w:p>
        </w:tc>
      </w:tr>
      <w:tr w14:paraId="5416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0B4DA2D">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522EAC9">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795CCD9">
            <w:pPr>
              <w:spacing w:before="83" w:line="240" w:lineRule="auto"/>
              <w:ind w:left="7"/>
              <w:jc w:val="center"/>
              <w:rPr>
                <w:rFonts w:hAnsi="宋体" w:cs="宋体"/>
                <w:color w:val="auto"/>
                <w:szCs w:val="21"/>
                <w:highlight w:val="none"/>
              </w:rPr>
            </w:pPr>
            <w:r>
              <w:rPr>
                <w:rFonts w:hint="eastAsia" w:hAnsi="宋体" w:cs="宋体"/>
                <w:color w:val="auto"/>
                <w:szCs w:val="21"/>
                <w:highlight w:val="none"/>
              </w:rPr>
              <w:t>★A02052309专用制冷、空调设备</w:t>
            </w:r>
          </w:p>
        </w:tc>
        <w:tc>
          <w:tcPr>
            <w:tcW w:w="1481" w:type="dxa"/>
            <w:tcBorders>
              <w:top w:val="single" w:color="auto" w:sz="4" w:space="0"/>
              <w:left w:val="single" w:color="auto" w:sz="4" w:space="0"/>
              <w:bottom w:val="single" w:color="auto" w:sz="4" w:space="0"/>
              <w:right w:val="single" w:color="auto" w:sz="4" w:space="0"/>
            </w:tcBorders>
            <w:vAlign w:val="center"/>
          </w:tcPr>
          <w:p w14:paraId="48E0AB00">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机房空调</w:t>
            </w:r>
          </w:p>
        </w:tc>
        <w:tc>
          <w:tcPr>
            <w:tcW w:w="3761" w:type="dxa"/>
            <w:tcBorders>
              <w:top w:val="single" w:color="auto" w:sz="4" w:space="0"/>
              <w:left w:val="single" w:color="auto" w:sz="4" w:space="0"/>
              <w:bottom w:val="single" w:color="auto" w:sz="4" w:space="0"/>
              <w:right w:val="single" w:color="auto" w:sz="4" w:space="0"/>
            </w:tcBorders>
          </w:tcPr>
          <w:p w14:paraId="6E0CF6BD">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《单元式空气调节机能效限定值</w:t>
            </w:r>
          </w:p>
          <w:p w14:paraId="0262A567">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及能效等级》（GB19576）</w:t>
            </w:r>
          </w:p>
        </w:tc>
      </w:tr>
      <w:tr w14:paraId="784D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FB809DD">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25F53AF">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E19FF5F">
            <w:pPr>
              <w:spacing w:line="254" w:lineRule="exact"/>
              <w:ind w:left="7"/>
              <w:jc w:val="center"/>
              <w:rPr>
                <w:rFonts w:hAnsi="宋体" w:cs="宋体"/>
                <w:color w:val="auto"/>
                <w:szCs w:val="21"/>
                <w:highlight w:val="none"/>
                <w:lang w:eastAsia="en-US"/>
              </w:rPr>
            </w:pPr>
            <w:r>
              <w:rPr>
                <w:rFonts w:hint="eastAsia" w:hAnsi="宋体" w:cs="宋体"/>
                <w:color w:val="auto"/>
                <w:szCs w:val="21"/>
                <w:highlight w:val="none"/>
                <w:lang w:eastAsia="en-US"/>
              </w:rPr>
              <w:t>A02052399其他制冷</w:t>
            </w:r>
          </w:p>
          <w:p w14:paraId="6666AC17">
            <w:pPr>
              <w:spacing w:line="254" w:lineRule="exact"/>
              <w:ind w:left="7"/>
              <w:jc w:val="center"/>
              <w:rPr>
                <w:rFonts w:hAnsi="宋体" w:cs="宋体"/>
                <w:color w:val="auto"/>
                <w:szCs w:val="21"/>
                <w:highlight w:val="none"/>
                <w:lang w:eastAsia="en-US"/>
              </w:rPr>
            </w:pPr>
            <w:r>
              <w:rPr>
                <w:rFonts w:hint="eastAsia" w:hAnsi="宋体" w:cs="宋体"/>
                <w:color w:val="auto"/>
                <w:szCs w:val="21"/>
                <w:highlight w:val="none"/>
                <w:lang w:eastAsia="en-US"/>
              </w:rPr>
              <w:t>空调设备</w:t>
            </w:r>
          </w:p>
        </w:tc>
        <w:tc>
          <w:tcPr>
            <w:tcW w:w="1481" w:type="dxa"/>
            <w:tcBorders>
              <w:top w:val="single" w:color="auto" w:sz="4" w:space="0"/>
              <w:left w:val="single" w:color="auto" w:sz="4" w:space="0"/>
              <w:bottom w:val="single" w:color="auto" w:sz="4" w:space="0"/>
              <w:right w:val="single" w:color="auto" w:sz="4" w:space="0"/>
            </w:tcBorders>
            <w:vAlign w:val="center"/>
          </w:tcPr>
          <w:p w14:paraId="0BE4D144">
            <w:pPr>
              <w:widowControl/>
              <w:spacing w:line="240" w:lineRule="auto"/>
              <w:jc w:val="center"/>
              <w:rPr>
                <w:rFonts w:hAnsi="宋体" w:cs="宋体"/>
                <w:color w:val="auto"/>
                <w:szCs w:val="21"/>
                <w:highlight w:val="none"/>
                <w:lang w:eastAsia="en-US"/>
              </w:rPr>
            </w:pPr>
            <w:r>
              <w:rPr>
                <w:rFonts w:hint="eastAsia" w:hAnsi="宋体" w:cs="宋体"/>
                <w:color w:val="auto"/>
                <w:szCs w:val="21"/>
                <w:highlight w:val="none"/>
              </w:rPr>
              <w:t>冷却塔</w:t>
            </w:r>
          </w:p>
        </w:tc>
        <w:tc>
          <w:tcPr>
            <w:tcW w:w="3761" w:type="dxa"/>
            <w:tcBorders>
              <w:top w:val="single" w:color="auto" w:sz="4" w:space="0"/>
              <w:left w:val="single" w:color="auto" w:sz="4" w:space="0"/>
              <w:bottom w:val="single" w:color="auto" w:sz="4" w:space="0"/>
              <w:right w:val="single" w:color="auto" w:sz="4" w:space="0"/>
            </w:tcBorders>
          </w:tcPr>
          <w:p w14:paraId="643CC83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《机械通风冷却塔第1部分：中小型开式冷却塔》（GB/T7190.1）</w:t>
            </w:r>
          </w:p>
          <w:p w14:paraId="0AD8B2E8">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《机械通风冷却塔第2部分：大型开式冷却塔》（GB/T7190.2）</w:t>
            </w:r>
          </w:p>
        </w:tc>
      </w:tr>
      <w:tr w14:paraId="5951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3EDA92A">
            <w:pPr>
              <w:spacing w:line="240" w:lineRule="auto"/>
              <w:ind w:right="1"/>
              <w:jc w:val="center"/>
              <w:rPr>
                <w:rFonts w:hAnsi="宋体" w:cs="宋体"/>
                <w:color w:val="auto"/>
                <w:szCs w:val="21"/>
                <w:highlight w:val="none"/>
                <w:lang w:eastAsia="en-US"/>
              </w:rPr>
            </w:pPr>
            <w:r>
              <w:rPr>
                <w:rFonts w:hint="eastAsia" w:hAnsi="宋体"/>
                <w:color w:val="auto"/>
                <w:szCs w:val="21"/>
                <w:highlight w:val="none"/>
                <w:lang w:eastAsia="en-US"/>
              </w:rPr>
              <w:t>7</w:t>
            </w:r>
          </w:p>
        </w:tc>
        <w:tc>
          <w:tcPr>
            <w:tcW w:w="1422" w:type="dxa"/>
            <w:tcBorders>
              <w:top w:val="single" w:color="auto" w:sz="4" w:space="0"/>
              <w:left w:val="single" w:color="auto" w:sz="4" w:space="0"/>
              <w:bottom w:val="single" w:color="auto" w:sz="4" w:space="0"/>
              <w:right w:val="single" w:color="auto" w:sz="4" w:space="0"/>
            </w:tcBorders>
            <w:vAlign w:val="center"/>
          </w:tcPr>
          <w:p w14:paraId="5F7FA2F9">
            <w:pPr>
              <w:spacing w:line="240" w:lineRule="auto"/>
              <w:jc w:val="center"/>
              <w:rPr>
                <w:rFonts w:hAnsi="宋体" w:cs="宋体"/>
                <w:color w:val="auto"/>
                <w:szCs w:val="21"/>
                <w:highlight w:val="none"/>
                <w:lang w:eastAsia="en-US"/>
              </w:rPr>
            </w:pPr>
            <w:r>
              <w:rPr>
                <w:rFonts w:hint="eastAsia" w:hAnsi="宋体" w:cs="方正仿宋_GB2312"/>
                <w:color w:val="auto"/>
                <w:szCs w:val="21"/>
                <w:highlight w:val="none"/>
                <w:lang w:eastAsia="en-US"/>
              </w:rPr>
              <w:t>A02060100</w:t>
            </w:r>
            <w:r>
              <w:rPr>
                <w:rFonts w:hint="eastAsia" w:hAnsi="宋体" w:cs="宋体"/>
                <w:color w:val="auto"/>
                <w:szCs w:val="21"/>
                <w:highlight w:val="none"/>
                <w:lang w:eastAsia="en-US"/>
              </w:rPr>
              <w:t>电机</w:t>
            </w:r>
          </w:p>
        </w:tc>
        <w:tc>
          <w:tcPr>
            <w:tcW w:w="1496" w:type="dxa"/>
            <w:tcBorders>
              <w:top w:val="single" w:color="auto" w:sz="4" w:space="0"/>
              <w:left w:val="single" w:color="auto" w:sz="4" w:space="0"/>
              <w:bottom w:val="single" w:color="auto" w:sz="4" w:space="0"/>
              <w:right w:val="single" w:color="auto" w:sz="4" w:space="0"/>
            </w:tcBorders>
            <w:vAlign w:val="center"/>
          </w:tcPr>
          <w:p w14:paraId="3E9C07D1">
            <w:pPr>
              <w:spacing w:line="240" w:lineRule="auto"/>
              <w:jc w:val="center"/>
              <w:rPr>
                <w:rFonts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2E4C335">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1D217969">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《中小型三相异步电动机能效限定值及能效等级》（GB18613）</w:t>
            </w:r>
          </w:p>
        </w:tc>
      </w:tr>
      <w:tr w14:paraId="3769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A760618">
            <w:pPr>
              <w:spacing w:line="240" w:lineRule="auto"/>
              <w:ind w:right="1"/>
              <w:jc w:val="center"/>
              <w:rPr>
                <w:rFonts w:hAnsi="宋体" w:cs="宋体"/>
                <w:color w:val="auto"/>
                <w:szCs w:val="21"/>
                <w:highlight w:val="none"/>
                <w:lang w:eastAsia="en-US"/>
              </w:rPr>
            </w:pPr>
            <w:r>
              <w:rPr>
                <w:rFonts w:hint="eastAsia" w:hAnsi="宋体"/>
                <w:color w:val="auto"/>
                <w:szCs w:val="21"/>
                <w:highlight w:val="none"/>
                <w:lang w:eastAsia="en-US"/>
              </w:rPr>
              <w:t>8</w:t>
            </w:r>
          </w:p>
        </w:tc>
        <w:tc>
          <w:tcPr>
            <w:tcW w:w="1422" w:type="dxa"/>
            <w:tcBorders>
              <w:top w:val="single" w:color="auto" w:sz="4" w:space="0"/>
              <w:left w:val="single" w:color="auto" w:sz="4" w:space="0"/>
              <w:bottom w:val="single" w:color="auto" w:sz="4" w:space="0"/>
              <w:right w:val="single" w:color="auto" w:sz="4" w:space="0"/>
            </w:tcBorders>
            <w:vAlign w:val="center"/>
          </w:tcPr>
          <w:p w14:paraId="6CD48043">
            <w:pPr>
              <w:spacing w:before="30"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A02060200</w:t>
            </w:r>
            <w:r>
              <w:rPr>
                <w:rFonts w:hint="eastAsia" w:hAnsi="宋体" w:cs="宋体"/>
                <w:color w:val="auto"/>
                <w:szCs w:val="21"/>
                <w:highlight w:val="none"/>
                <w:lang w:eastAsia="en-US"/>
              </w:rPr>
              <w:t>变压</w:t>
            </w:r>
          </w:p>
        </w:tc>
        <w:tc>
          <w:tcPr>
            <w:tcW w:w="1496" w:type="dxa"/>
            <w:tcBorders>
              <w:top w:val="single" w:color="auto" w:sz="4" w:space="0"/>
              <w:left w:val="single" w:color="auto" w:sz="4" w:space="0"/>
              <w:bottom w:val="single" w:color="auto" w:sz="4" w:space="0"/>
              <w:right w:val="single" w:color="auto" w:sz="4" w:space="0"/>
            </w:tcBorders>
            <w:vAlign w:val="center"/>
          </w:tcPr>
          <w:p w14:paraId="2F49775D">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配电变压器</w:t>
            </w:r>
          </w:p>
        </w:tc>
        <w:tc>
          <w:tcPr>
            <w:tcW w:w="1481" w:type="dxa"/>
            <w:tcBorders>
              <w:top w:val="single" w:color="auto" w:sz="4" w:space="0"/>
              <w:left w:val="single" w:color="auto" w:sz="4" w:space="0"/>
              <w:bottom w:val="single" w:color="auto" w:sz="4" w:space="0"/>
              <w:right w:val="single" w:color="auto" w:sz="4" w:space="0"/>
            </w:tcBorders>
            <w:vAlign w:val="center"/>
          </w:tcPr>
          <w:p w14:paraId="3074E95A">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1028EEE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《三相配电变压器能效限定值及能效等级》（GB 20052）</w:t>
            </w:r>
          </w:p>
        </w:tc>
      </w:tr>
      <w:tr w14:paraId="6018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37148EB">
            <w:pPr>
              <w:spacing w:line="240" w:lineRule="auto"/>
              <w:ind w:right="1"/>
              <w:jc w:val="center"/>
              <w:rPr>
                <w:rFonts w:hAnsi="宋体" w:cs="宋体"/>
                <w:color w:val="auto"/>
                <w:szCs w:val="21"/>
                <w:highlight w:val="none"/>
                <w:lang w:eastAsia="en-US"/>
              </w:rPr>
            </w:pPr>
            <w:r>
              <w:rPr>
                <w:rFonts w:hint="eastAsia" w:hAnsi="宋体"/>
                <w:color w:val="auto"/>
                <w:szCs w:val="21"/>
                <w:highlight w:val="none"/>
                <w:lang w:eastAsia="en-US"/>
              </w:rPr>
              <w:t>9</w:t>
            </w:r>
          </w:p>
        </w:tc>
        <w:tc>
          <w:tcPr>
            <w:tcW w:w="1422" w:type="dxa"/>
            <w:tcBorders>
              <w:top w:val="single" w:color="auto" w:sz="4" w:space="0"/>
              <w:left w:val="single" w:color="auto" w:sz="4" w:space="0"/>
              <w:bottom w:val="single" w:color="auto" w:sz="4" w:space="0"/>
              <w:right w:val="single" w:color="auto" w:sz="4" w:space="0"/>
            </w:tcBorders>
            <w:vAlign w:val="center"/>
          </w:tcPr>
          <w:p w14:paraId="3C073B02">
            <w:pPr>
              <w:spacing w:before="126" w:line="240" w:lineRule="auto"/>
              <w:ind w:left="7"/>
              <w:jc w:val="center"/>
              <w:rPr>
                <w:rFonts w:hAnsi="宋体" w:cs="宋体"/>
                <w:color w:val="auto"/>
                <w:szCs w:val="21"/>
                <w:highlight w:val="none"/>
                <w:lang w:eastAsia="en-US"/>
              </w:rPr>
            </w:pPr>
            <w:r>
              <w:rPr>
                <w:rFonts w:hint="eastAsia" w:hAnsi="宋体" w:cs="宋体"/>
                <w:color w:val="auto"/>
                <w:szCs w:val="21"/>
                <w:highlight w:val="none"/>
                <w:lang w:eastAsia="en-US"/>
              </w:rPr>
              <w:t>★A02060900镇流器</w:t>
            </w:r>
          </w:p>
        </w:tc>
        <w:tc>
          <w:tcPr>
            <w:tcW w:w="1496" w:type="dxa"/>
            <w:tcBorders>
              <w:top w:val="single" w:color="auto" w:sz="4" w:space="0"/>
              <w:left w:val="single" w:color="auto" w:sz="4" w:space="0"/>
              <w:bottom w:val="single" w:color="auto" w:sz="4" w:space="0"/>
              <w:right w:val="single" w:color="auto" w:sz="4" w:space="0"/>
            </w:tcBorders>
            <w:vAlign w:val="center"/>
          </w:tcPr>
          <w:p w14:paraId="7C6F9B2F">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管型荧光灯镇流器</w:t>
            </w:r>
          </w:p>
        </w:tc>
        <w:tc>
          <w:tcPr>
            <w:tcW w:w="1481" w:type="dxa"/>
            <w:tcBorders>
              <w:top w:val="single" w:color="auto" w:sz="4" w:space="0"/>
              <w:left w:val="single" w:color="auto" w:sz="4" w:space="0"/>
              <w:bottom w:val="single" w:color="auto" w:sz="4" w:space="0"/>
              <w:right w:val="single" w:color="auto" w:sz="4" w:space="0"/>
            </w:tcBorders>
            <w:vAlign w:val="center"/>
          </w:tcPr>
          <w:p w14:paraId="60A143A6">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25AD0E99">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《管形荧光灯镇流器能效限定值及能效等级》（GB17896）</w:t>
            </w:r>
          </w:p>
        </w:tc>
      </w:tr>
      <w:tr w14:paraId="32B6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0EA043A5">
            <w:pPr>
              <w:spacing w:line="240" w:lineRule="auto"/>
              <w:jc w:val="center"/>
              <w:rPr>
                <w:rFonts w:hAnsi="宋体" w:cs="宋体"/>
                <w:color w:val="auto"/>
                <w:szCs w:val="21"/>
                <w:highlight w:val="none"/>
                <w:lang w:eastAsia="en-US"/>
              </w:rPr>
            </w:pPr>
            <w:r>
              <w:rPr>
                <w:rFonts w:hint="eastAsia" w:hAnsi="宋体"/>
                <w:color w:val="auto"/>
                <w:szCs w:val="21"/>
                <w:highlight w:val="none"/>
                <w:lang w:eastAsia="en-US"/>
              </w:rPr>
              <w:t>10</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354FD281">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A02061800生活用电器</w:t>
            </w:r>
          </w:p>
        </w:tc>
        <w:tc>
          <w:tcPr>
            <w:tcW w:w="1496" w:type="dxa"/>
            <w:tcBorders>
              <w:top w:val="single" w:color="auto" w:sz="4" w:space="0"/>
              <w:left w:val="single" w:color="auto" w:sz="4" w:space="0"/>
              <w:bottom w:val="single" w:color="auto" w:sz="4" w:space="0"/>
              <w:right w:val="single" w:color="auto" w:sz="4" w:space="0"/>
            </w:tcBorders>
            <w:vAlign w:val="center"/>
          </w:tcPr>
          <w:p w14:paraId="524B763B">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A02061801电冰箱</w:t>
            </w:r>
          </w:p>
        </w:tc>
        <w:tc>
          <w:tcPr>
            <w:tcW w:w="1481" w:type="dxa"/>
            <w:tcBorders>
              <w:top w:val="single" w:color="auto" w:sz="4" w:space="0"/>
              <w:left w:val="single" w:color="auto" w:sz="4" w:space="0"/>
              <w:bottom w:val="single" w:color="auto" w:sz="4" w:space="0"/>
              <w:right w:val="single" w:color="auto" w:sz="4" w:space="0"/>
            </w:tcBorders>
            <w:vAlign w:val="center"/>
          </w:tcPr>
          <w:p w14:paraId="34038755">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066B8FD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《家用电冰箱耗电量限定值及能效等级》（GB12021.2）</w:t>
            </w:r>
          </w:p>
        </w:tc>
      </w:tr>
      <w:tr w14:paraId="0B56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346827A">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30843BB">
            <w:pPr>
              <w:widowControl/>
              <w:spacing w:line="240" w:lineRule="auto"/>
              <w:rPr>
                <w:rFonts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4F1B4CBA">
            <w:pPr>
              <w:spacing w:before="171"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方正仿宋_GB2312"/>
                <w:color w:val="auto"/>
                <w:szCs w:val="21"/>
                <w:highlight w:val="none"/>
                <w:lang w:eastAsia="en-US"/>
              </w:rPr>
              <w:t>A02061804</w:t>
            </w:r>
            <w:r>
              <w:rPr>
                <w:rFonts w:hint="eastAsia" w:hAnsi="宋体" w:cs="宋体"/>
                <w:color w:val="auto"/>
                <w:szCs w:val="21"/>
                <w:highlight w:val="none"/>
                <w:lang w:eastAsia="en-US"/>
              </w:rPr>
              <w:t>空调机</w:t>
            </w:r>
          </w:p>
        </w:tc>
        <w:tc>
          <w:tcPr>
            <w:tcW w:w="1481" w:type="dxa"/>
            <w:tcBorders>
              <w:top w:val="single" w:color="auto" w:sz="4" w:space="0"/>
              <w:left w:val="single" w:color="auto" w:sz="4" w:space="0"/>
              <w:bottom w:val="single" w:color="auto" w:sz="4" w:space="0"/>
              <w:right w:val="single" w:color="auto" w:sz="4" w:space="0"/>
            </w:tcBorders>
            <w:vAlign w:val="center"/>
          </w:tcPr>
          <w:p w14:paraId="655B55B5">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房间空气调节器</w:t>
            </w:r>
          </w:p>
        </w:tc>
        <w:tc>
          <w:tcPr>
            <w:tcW w:w="3761" w:type="dxa"/>
            <w:tcBorders>
              <w:top w:val="single" w:color="auto" w:sz="4" w:space="0"/>
              <w:left w:val="single" w:color="auto" w:sz="4" w:space="0"/>
              <w:bottom w:val="single" w:color="auto" w:sz="4" w:space="0"/>
              <w:right w:val="single" w:color="auto" w:sz="4" w:space="0"/>
            </w:tcBorders>
          </w:tcPr>
          <w:p w14:paraId="7BF3EE4C">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《房间空气调节器能效限定值及能效等级》（GB21455-2019）</w:t>
            </w:r>
          </w:p>
        </w:tc>
      </w:tr>
      <w:tr w14:paraId="2383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A6C2F8A">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36885C4">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BE098BB">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2500065">
            <w:pPr>
              <w:spacing w:before="4" w:line="276" w:lineRule="auto"/>
              <w:ind w:left="7" w:right="7"/>
              <w:jc w:val="center"/>
              <w:rPr>
                <w:rFonts w:hAnsi="宋体" w:cs="宋体"/>
                <w:color w:val="auto"/>
                <w:szCs w:val="21"/>
                <w:highlight w:val="none"/>
              </w:rPr>
            </w:pPr>
            <w:r>
              <w:rPr>
                <w:rFonts w:hint="eastAsia" w:hAnsi="宋体" w:cs="宋体"/>
                <w:color w:val="auto"/>
                <w:szCs w:val="21"/>
                <w:highlight w:val="none"/>
              </w:rPr>
              <w:t>多联式空调（热泵）机组（制冷量≤ 14000W）</w:t>
            </w:r>
          </w:p>
        </w:tc>
        <w:tc>
          <w:tcPr>
            <w:tcW w:w="3761" w:type="dxa"/>
            <w:tcBorders>
              <w:top w:val="single" w:color="auto" w:sz="4" w:space="0"/>
              <w:left w:val="single" w:color="auto" w:sz="4" w:space="0"/>
              <w:bottom w:val="single" w:color="auto" w:sz="4" w:space="0"/>
              <w:right w:val="single" w:color="auto" w:sz="4" w:space="0"/>
            </w:tcBorders>
          </w:tcPr>
          <w:p w14:paraId="122C00F4">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《多联式空调（热泵）机组能效限定值及能源效率等级》（GB21454）</w:t>
            </w:r>
          </w:p>
        </w:tc>
      </w:tr>
      <w:tr w14:paraId="7F2B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F80A335">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501E638">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44E9D480">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98A0A64">
            <w:pPr>
              <w:spacing w:line="240" w:lineRule="auto"/>
              <w:jc w:val="center"/>
              <w:rPr>
                <w:rFonts w:hAnsi="宋体" w:cs="宋体"/>
                <w:color w:val="auto"/>
                <w:szCs w:val="21"/>
                <w:highlight w:val="none"/>
              </w:rPr>
            </w:pPr>
            <w:r>
              <w:rPr>
                <w:rFonts w:hint="eastAsia" w:hAnsi="宋体" w:cs="宋体"/>
                <w:color w:val="auto"/>
                <w:szCs w:val="21"/>
                <w:highlight w:val="none"/>
              </w:rPr>
              <w:t>单元式空气调节机（制冷量≤ 14000W）</w:t>
            </w:r>
          </w:p>
        </w:tc>
        <w:tc>
          <w:tcPr>
            <w:tcW w:w="3761" w:type="dxa"/>
            <w:tcBorders>
              <w:top w:val="single" w:color="auto" w:sz="4" w:space="0"/>
              <w:left w:val="single" w:color="auto" w:sz="4" w:space="0"/>
              <w:bottom w:val="single" w:color="auto" w:sz="4" w:space="0"/>
              <w:right w:val="single" w:color="auto" w:sz="4" w:space="0"/>
            </w:tcBorders>
          </w:tcPr>
          <w:p w14:paraId="1FBD7AA4">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《单元式空气调节机能效限定值及能源效率等级》（GB19576）《风管送风式空调机组能效限定值及能效等级》（GB37479）</w:t>
            </w:r>
          </w:p>
        </w:tc>
      </w:tr>
      <w:tr w14:paraId="4AC1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9784C07">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7098321">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42F879FB">
            <w:pPr>
              <w:spacing w:before="162"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A02061810</w:t>
            </w:r>
            <w:r>
              <w:rPr>
                <w:rFonts w:hint="eastAsia" w:hAnsi="宋体" w:cs="宋体"/>
                <w:color w:val="auto"/>
                <w:szCs w:val="21"/>
                <w:highlight w:val="none"/>
                <w:lang w:eastAsia="en-US"/>
              </w:rPr>
              <w:t>洗衣机</w:t>
            </w:r>
          </w:p>
        </w:tc>
        <w:tc>
          <w:tcPr>
            <w:tcW w:w="1481" w:type="dxa"/>
            <w:tcBorders>
              <w:top w:val="single" w:color="auto" w:sz="4" w:space="0"/>
              <w:left w:val="single" w:color="auto" w:sz="4" w:space="0"/>
              <w:bottom w:val="single" w:color="auto" w:sz="4" w:space="0"/>
              <w:right w:val="single" w:color="auto" w:sz="4" w:space="0"/>
            </w:tcBorders>
            <w:vAlign w:val="center"/>
          </w:tcPr>
          <w:p w14:paraId="516C68BA">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46FA798B">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《电动洗衣机能效水效限定值及等级》（GB12021.4）</w:t>
            </w:r>
          </w:p>
        </w:tc>
      </w:tr>
      <w:tr w14:paraId="76DE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1843ECB">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969E55D">
            <w:pPr>
              <w:widowControl/>
              <w:spacing w:line="240" w:lineRule="auto"/>
              <w:rPr>
                <w:rFonts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5E90DEAD">
            <w:pPr>
              <w:spacing w:before="161" w:line="240" w:lineRule="auto"/>
              <w:jc w:val="center"/>
              <w:rPr>
                <w:rFonts w:hAnsi="宋体" w:cs="宋体"/>
                <w:color w:val="auto"/>
                <w:szCs w:val="21"/>
                <w:highlight w:val="none"/>
                <w:lang w:eastAsia="en-US"/>
              </w:rPr>
            </w:pPr>
            <w:r>
              <w:rPr>
                <w:rFonts w:hint="eastAsia" w:hAnsi="宋体" w:cs="方正仿宋_GB2312"/>
                <w:color w:val="auto"/>
                <w:szCs w:val="21"/>
                <w:highlight w:val="none"/>
                <w:lang w:eastAsia="en-US"/>
              </w:rPr>
              <w:t>A02061819</w:t>
            </w:r>
            <w:r>
              <w:rPr>
                <w:rFonts w:hint="eastAsia" w:hAnsi="宋体" w:cs="宋体"/>
                <w:color w:val="auto"/>
                <w:szCs w:val="21"/>
                <w:highlight w:val="none"/>
                <w:lang w:eastAsia="en-US"/>
              </w:rPr>
              <w:t>热水器</w:t>
            </w:r>
          </w:p>
        </w:tc>
        <w:tc>
          <w:tcPr>
            <w:tcW w:w="1481" w:type="dxa"/>
            <w:tcBorders>
              <w:top w:val="single" w:color="auto" w:sz="4" w:space="0"/>
              <w:left w:val="single" w:color="auto" w:sz="4" w:space="0"/>
              <w:bottom w:val="single" w:color="auto" w:sz="4" w:space="0"/>
              <w:right w:val="single" w:color="auto" w:sz="4" w:space="0"/>
            </w:tcBorders>
            <w:vAlign w:val="center"/>
          </w:tcPr>
          <w:p w14:paraId="76BB6E08">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★电热</w:t>
            </w:r>
            <w:r>
              <w:rPr>
                <w:rFonts w:hint="eastAsia" w:hAnsi="宋体" w:cs="宋体"/>
                <w:color w:val="auto"/>
                <w:spacing w:val="2"/>
                <w:szCs w:val="21"/>
                <w:highlight w:val="none"/>
                <w:lang w:eastAsia="en-US"/>
              </w:rPr>
              <w:t>水</w:t>
            </w:r>
            <w:r>
              <w:rPr>
                <w:rFonts w:hint="eastAsia" w:hAnsi="宋体" w:cs="宋体"/>
                <w:color w:val="auto"/>
                <w:szCs w:val="21"/>
                <w:highlight w:val="none"/>
                <w:lang w:eastAsia="en-US"/>
              </w:rPr>
              <w:t>器</w:t>
            </w:r>
          </w:p>
        </w:tc>
        <w:tc>
          <w:tcPr>
            <w:tcW w:w="3761" w:type="dxa"/>
            <w:tcBorders>
              <w:top w:val="single" w:color="auto" w:sz="4" w:space="0"/>
              <w:left w:val="single" w:color="auto" w:sz="4" w:space="0"/>
              <w:bottom w:val="single" w:color="auto" w:sz="4" w:space="0"/>
              <w:right w:val="single" w:color="auto" w:sz="4" w:space="0"/>
            </w:tcBorders>
          </w:tcPr>
          <w:p w14:paraId="0F792B49">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《储水式电热水器能效限定值及能效等级》（GB21519）</w:t>
            </w:r>
          </w:p>
        </w:tc>
      </w:tr>
      <w:tr w14:paraId="4443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52D7EB0">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D61FF07">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3818843">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B552836">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燃气热</w:t>
            </w:r>
            <w:r>
              <w:rPr>
                <w:rFonts w:hint="eastAsia" w:hAnsi="宋体" w:cs="宋体"/>
                <w:color w:val="auto"/>
                <w:spacing w:val="2"/>
                <w:szCs w:val="21"/>
                <w:highlight w:val="none"/>
                <w:lang w:eastAsia="en-US"/>
              </w:rPr>
              <w:t>水</w:t>
            </w:r>
            <w:r>
              <w:rPr>
                <w:rFonts w:hint="eastAsia" w:hAnsi="宋体" w:cs="宋体"/>
                <w:color w:val="auto"/>
                <w:szCs w:val="21"/>
                <w:highlight w:val="none"/>
                <w:lang w:eastAsia="en-US"/>
              </w:rPr>
              <w:t>器</w:t>
            </w:r>
          </w:p>
        </w:tc>
        <w:tc>
          <w:tcPr>
            <w:tcW w:w="3761" w:type="dxa"/>
            <w:tcBorders>
              <w:top w:val="single" w:color="auto" w:sz="4" w:space="0"/>
              <w:left w:val="single" w:color="auto" w:sz="4" w:space="0"/>
              <w:bottom w:val="single" w:color="auto" w:sz="4" w:space="0"/>
              <w:right w:val="single" w:color="auto" w:sz="4" w:space="0"/>
            </w:tcBorders>
          </w:tcPr>
          <w:p w14:paraId="3CF49076">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《家用燃气快速热水器和燃气采暖热水炉能效限定值及能效等级》（GB20665）</w:t>
            </w:r>
          </w:p>
        </w:tc>
      </w:tr>
      <w:tr w14:paraId="6D91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53506E9">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E5704EA">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B6470E8">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74C3D55">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热泵热</w:t>
            </w:r>
            <w:r>
              <w:rPr>
                <w:rFonts w:hint="eastAsia" w:hAnsi="宋体" w:cs="宋体"/>
                <w:color w:val="auto"/>
                <w:spacing w:val="2"/>
                <w:szCs w:val="21"/>
                <w:highlight w:val="none"/>
                <w:lang w:eastAsia="en-US"/>
              </w:rPr>
              <w:t>水</w:t>
            </w:r>
            <w:r>
              <w:rPr>
                <w:rFonts w:hint="eastAsia" w:hAnsi="宋体" w:cs="宋体"/>
                <w:color w:val="auto"/>
                <w:szCs w:val="21"/>
                <w:highlight w:val="none"/>
                <w:lang w:eastAsia="en-US"/>
              </w:rPr>
              <w:t>器</w:t>
            </w:r>
          </w:p>
        </w:tc>
        <w:tc>
          <w:tcPr>
            <w:tcW w:w="3761" w:type="dxa"/>
            <w:tcBorders>
              <w:top w:val="single" w:color="auto" w:sz="4" w:space="0"/>
              <w:left w:val="single" w:color="auto" w:sz="4" w:space="0"/>
              <w:bottom w:val="single" w:color="auto" w:sz="4" w:space="0"/>
              <w:right w:val="single" w:color="auto" w:sz="4" w:space="0"/>
            </w:tcBorders>
          </w:tcPr>
          <w:p w14:paraId="42D9E9E7">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《热泵热水机（器）能效限定值及能效等级》（GB29541）</w:t>
            </w:r>
          </w:p>
        </w:tc>
      </w:tr>
      <w:tr w14:paraId="07FD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C7F8C87">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43EF023">
            <w:pPr>
              <w:widowControl/>
              <w:spacing w:line="240" w:lineRule="auto"/>
              <w:rPr>
                <w:rFonts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D8F2110">
            <w:pPr>
              <w:widowControl/>
              <w:spacing w:line="240" w:lineRule="auto"/>
              <w:jc w:val="center"/>
              <w:rPr>
                <w:rFonts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6F46569">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太阳能</w:t>
            </w:r>
            <w:r>
              <w:rPr>
                <w:rFonts w:hint="eastAsia" w:hAnsi="宋体" w:cs="宋体"/>
                <w:color w:val="auto"/>
                <w:spacing w:val="2"/>
                <w:szCs w:val="21"/>
                <w:highlight w:val="none"/>
                <w:lang w:eastAsia="en-US"/>
              </w:rPr>
              <w:t>热</w:t>
            </w:r>
            <w:r>
              <w:rPr>
                <w:rFonts w:hint="eastAsia" w:hAnsi="宋体" w:cs="宋体"/>
                <w:color w:val="auto"/>
                <w:szCs w:val="21"/>
                <w:highlight w:val="none"/>
                <w:lang w:eastAsia="en-US"/>
              </w:rPr>
              <w:t>水系统</w:t>
            </w:r>
          </w:p>
        </w:tc>
        <w:tc>
          <w:tcPr>
            <w:tcW w:w="3761" w:type="dxa"/>
            <w:tcBorders>
              <w:top w:val="single" w:color="auto" w:sz="4" w:space="0"/>
              <w:left w:val="single" w:color="auto" w:sz="4" w:space="0"/>
              <w:bottom w:val="single" w:color="auto" w:sz="4" w:space="0"/>
              <w:right w:val="single" w:color="auto" w:sz="4" w:space="0"/>
            </w:tcBorders>
          </w:tcPr>
          <w:p w14:paraId="18E35E1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《家用太阳能热水系统能效限定值及能效等级》（GB26969）</w:t>
            </w:r>
          </w:p>
        </w:tc>
      </w:tr>
      <w:tr w14:paraId="44F1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3A6D9AEE">
            <w:pPr>
              <w:spacing w:line="240" w:lineRule="auto"/>
              <w:jc w:val="center"/>
              <w:rPr>
                <w:rFonts w:hAnsi="宋体" w:cs="宋体"/>
                <w:color w:val="auto"/>
                <w:szCs w:val="21"/>
                <w:highlight w:val="none"/>
                <w:lang w:eastAsia="en-US"/>
              </w:rPr>
            </w:pPr>
            <w:r>
              <w:rPr>
                <w:rFonts w:hint="eastAsia" w:hAnsi="宋体"/>
                <w:color w:val="auto"/>
                <w:spacing w:val="1"/>
                <w:szCs w:val="21"/>
                <w:highlight w:val="none"/>
                <w:lang w:eastAsia="en-US"/>
              </w:rPr>
              <w:t>1</w:t>
            </w:r>
            <w:r>
              <w:rPr>
                <w:rFonts w:hint="eastAsia" w:hAnsi="宋体"/>
                <w:color w:val="auto"/>
                <w:szCs w:val="21"/>
                <w:highlight w:val="none"/>
                <w:lang w:eastAsia="en-US"/>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19DD66DE">
            <w:pPr>
              <w:spacing w:before="157" w:line="240" w:lineRule="auto"/>
              <w:jc w:val="center"/>
              <w:rPr>
                <w:rFonts w:hAnsi="宋体" w:cs="宋体"/>
                <w:color w:val="auto"/>
                <w:szCs w:val="21"/>
                <w:highlight w:val="none"/>
                <w:lang w:eastAsia="en-US"/>
              </w:rPr>
            </w:pPr>
            <w:r>
              <w:rPr>
                <w:rFonts w:hint="eastAsia" w:hAnsi="宋体" w:cs="宋体"/>
                <w:color w:val="auto"/>
                <w:spacing w:val="1"/>
                <w:szCs w:val="21"/>
                <w:highlight w:val="none"/>
                <w:lang w:eastAsia="en-US"/>
              </w:rPr>
              <w:t>A02</w:t>
            </w:r>
            <w:r>
              <w:rPr>
                <w:rFonts w:hint="eastAsia" w:hAnsi="宋体" w:cs="宋体"/>
                <w:color w:val="auto"/>
                <w:szCs w:val="21"/>
                <w:highlight w:val="none"/>
                <w:lang w:eastAsia="en-US"/>
              </w:rPr>
              <w:t>06</w:t>
            </w:r>
            <w:r>
              <w:rPr>
                <w:rFonts w:hint="eastAsia" w:hAnsi="宋体" w:cs="宋体"/>
                <w:color w:val="auto"/>
                <w:spacing w:val="1"/>
                <w:szCs w:val="21"/>
                <w:highlight w:val="none"/>
                <w:lang w:eastAsia="en-US"/>
              </w:rPr>
              <w:t>1</w:t>
            </w:r>
            <w:r>
              <w:rPr>
                <w:rFonts w:hint="eastAsia" w:hAnsi="宋体" w:cs="宋体"/>
                <w:color w:val="auto"/>
                <w:szCs w:val="21"/>
                <w:highlight w:val="none"/>
                <w:lang w:eastAsia="en-US"/>
              </w:rPr>
              <w:t>900照明设备</w:t>
            </w:r>
          </w:p>
        </w:tc>
        <w:tc>
          <w:tcPr>
            <w:tcW w:w="1496" w:type="dxa"/>
            <w:tcBorders>
              <w:top w:val="single" w:color="auto" w:sz="4" w:space="0"/>
              <w:left w:val="single" w:color="auto" w:sz="4" w:space="0"/>
              <w:bottom w:val="single" w:color="auto" w:sz="4" w:space="0"/>
              <w:right w:val="single" w:color="auto" w:sz="4" w:space="0"/>
            </w:tcBorders>
            <w:vAlign w:val="center"/>
          </w:tcPr>
          <w:p w14:paraId="5DC01449">
            <w:pPr>
              <w:spacing w:before="133" w:line="276" w:lineRule="auto"/>
              <w:ind w:left="7" w:right="7"/>
              <w:jc w:val="center"/>
              <w:rPr>
                <w:rFonts w:hAnsi="宋体" w:cs="宋体"/>
                <w:color w:val="auto"/>
                <w:szCs w:val="21"/>
                <w:highlight w:val="none"/>
              </w:rPr>
            </w:pPr>
            <w:r>
              <w:rPr>
                <w:rFonts w:hint="eastAsia" w:hAnsi="宋体" w:cs="宋体"/>
                <w:color w:val="auto"/>
                <w:szCs w:val="21"/>
                <w:highlight w:val="none"/>
              </w:rPr>
              <w:t>★普通照明用双端荧光灯</w:t>
            </w:r>
          </w:p>
        </w:tc>
        <w:tc>
          <w:tcPr>
            <w:tcW w:w="1481" w:type="dxa"/>
            <w:tcBorders>
              <w:top w:val="single" w:color="auto" w:sz="4" w:space="0"/>
              <w:left w:val="single" w:color="auto" w:sz="4" w:space="0"/>
              <w:bottom w:val="single" w:color="auto" w:sz="4" w:space="0"/>
              <w:right w:val="single" w:color="auto" w:sz="4" w:space="0"/>
            </w:tcBorders>
            <w:vAlign w:val="center"/>
          </w:tcPr>
          <w:p w14:paraId="51FB2955">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2B6D908D">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《普通照明用双端荧光灯能效限定值及能效等级》（GB19043）</w:t>
            </w:r>
          </w:p>
        </w:tc>
      </w:tr>
      <w:tr w14:paraId="01BB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57F7E90">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727387F">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6AF4656">
            <w:pPr>
              <w:spacing w:before="92" w:line="276" w:lineRule="auto"/>
              <w:ind w:left="7" w:right="2"/>
              <w:jc w:val="center"/>
              <w:rPr>
                <w:rFonts w:hAnsi="宋体" w:cs="宋体"/>
                <w:color w:val="auto"/>
                <w:szCs w:val="21"/>
                <w:highlight w:val="none"/>
                <w:lang w:eastAsia="en-US"/>
              </w:rPr>
            </w:pPr>
            <w:r>
              <w:rPr>
                <w:rFonts w:hint="eastAsia" w:hAnsi="宋体" w:cs="宋体"/>
                <w:color w:val="auto"/>
                <w:spacing w:val="1"/>
                <w:szCs w:val="21"/>
                <w:highlight w:val="none"/>
                <w:lang w:eastAsia="en-US"/>
              </w:rPr>
              <w:t>LE</w:t>
            </w:r>
            <w:r>
              <w:rPr>
                <w:rFonts w:hint="eastAsia" w:hAnsi="宋体" w:cs="宋体"/>
                <w:color w:val="auto"/>
                <w:szCs w:val="21"/>
                <w:highlight w:val="none"/>
                <w:lang w:eastAsia="en-US"/>
              </w:rPr>
              <w:t>D</w:t>
            </w:r>
            <w:r>
              <w:rPr>
                <w:rFonts w:hint="eastAsia" w:hAnsi="宋体" w:cs="宋体"/>
                <w:color w:val="auto"/>
                <w:spacing w:val="12"/>
                <w:szCs w:val="21"/>
                <w:highlight w:val="none"/>
                <w:lang w:eastAsia="en-US"/>
              </w:rPr>
              <w:t>道</w:t>
            </w:r>
            <w:r>
              <w:rPr>
                <w:rFonts w:hint="eastAsia" w:hAnsi="宋体" w:cs="宋体"/>
                <w:color w:val="auto"/>
                <w:spacing w:val="9"/>
                <w:szCs w:val="21"/>
                <w:highlight w:val="none"/>
                <w:lang w:eastAsia="en-US"/>
              </w:rPr>
              <w:t>路</w:t>
            </w:r>
            <w:r>
              <w:rPr>
                <w:rFonts w:hint="eastAsia" w:hAnsi="宋体" w:cs="宋体"/>
                <w:color w:val="auto"/>
                <w:spacing w:val="13"/>
                <w:szCs w:val="21"/>
                <w:highlight w:val="none"/>
                <w:lang w:eastAsia="en-US"/>
              </w:rPr>
              <w:t>/</w:t>
            </w:r>
            <w:r>
              <w:rPr>
                <w:rFonts w:hint="eastAsia" w:hAnsi="宋体" w:cs="宋体"/>
                <w:color w:val="auto"/>
                <w:spacing w:val="12"/>
                <w:szCs w:val="21"/>
                <w:highlight w:val="none"/>
                <w:lang w:eastAsia="en-US"/>
              </w:rPr>
              <w:t>隧道照</w:t>
            </w:r>
            <w:r>
              <w:rPr>
                <w:rFonts w:hint="eastAsia" w:hAnsi="宋体" w:cs="宋体"/>
                <w:color w:val="auto"/>
                <w:szCs w:val="21"/>
                <w:highlight w:val="none"/>
                <w:lang w:eastAsia="en-US"/>
              </w:rPr>
              <w:t>明产品</w:t>
            </w:r>
          </w:p>
        </w:tc>
        <w:tc>
          <w:tcPr>
            <w:tcW w:w="1481" w:type="dxa"/>
            <w:tcBorders>
              <w:top w:val="single" w:color="auto" w:sz="4" w:space="0"/>
              <w:left w:val="single" w:color="auto" w:sz="4" w:space="0"/>
              <w:bottom w:val="single" w:color="auto" w:sz="4" w:space="0"/>
              <w:right w:val="single" w:color="auto" w:sz="4" w:space="0"/>
            </w:tcBorders>
            <w:vAlign w:val="center"/>
          </w:tcPr>
          <w:p w14:paraId="6D2A4827">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0A1EE420">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《道路和隧道照明用LED灯具能效限定值及能效等级》（GB37478</w:t>
            </w:r>
            <w:r>
              <w:rPr>
                <w:rFonts w:hAnsi="宋体" w:cs="宋体"/>
                <w:color w:val="auto"/>
                <w:spacing w:val="10"/>
                <w:szCs w:val="21"/>
                <w:highlight w:val="none"/>
              </w:rPr>
              <w:t>）</w:t>
            </w:r>
          </w:p>
        </w:tc>
      </w:tr>
      <w:tr w14:paraId="21D4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7A6C96C">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48A2CCC">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43E54B8D">
            <w:pPr>
              <w:spacing w:line="240" w:lineRule="auto"/>
              <w:jc w:val="center"/>
              <w:rPr>
                <w:rFonts w:hAnsi="宋体" w:cs="宋体"/>
                <w:color w:val="auto"/>
                <w:szCs w:val="21"/>
                <w:highlight w:val="none"/>
                <w:lang w:eastAsia="en-US"/>
              </w:rPr>
            </w:pPr>
            <w:r>
              <w:rPr>
                <w:rFonts w:hint="eastAsia" w:hAnsi="宋体" w:cs="宋体"/>
                <w:color w:val="auto"/>
                <w:spacing w:val="1"/>
                <w:szCs w:val="21"/>
                <w:highlight w:val="none"/>
                <w:lang w:eastAsia="en-US"/>
              </w:rPr>
              <w:t>LE</w:t>
            </w:r>
            <w:r>
              <w:rPr>
                <w:rFonts w:hint="eastAsia" w:hAnsi="宋体" w:cs="宋体"/>
                <w:color w:val="auto"/>
                <w:szCs w:val="21"/>
                <w:highlight w:val="none"/>
                <w:lang w:eastAsia="en-US"/>
              </w:rPr>
              <w:t>D筒灯</w:t>
            </w:r>
          </w:p>
        </w:tc>
        <w:tc>
          <w:tcPr>
            <w:tcW w:w="1481" w:type="dxa"/>
            <w:tcBorders>
              <w:top w:val="single" w:color="auto" w:sz="4" w:space="0"/>
              <w:left w:val="single" w:color="auto" w:sz="4" w:space="0"/>
              <w:bottom w:val="single" w:color="auto" w:sz="4" w:space="0"/>
              <w:right w:val="single" w:color="auto" w:sz="4" w:space="0"/>
            </w:tcBorders>
            <w:vAlign w:val="center"/>
          </w:tcPr>
          <w:p w14:paraId="4E9037F7">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0DBFCD1C">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《室内照明用LED产品能效限定值及能效等级》（GB30255）</w:t>
            </w:r>
          </w:p>
        </w:tc>
      </w:tr>
      <w:tr w14:paraId="0477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B32183C">
            <w:pPr>
              <w:widowControl/>
              <w:spacing w:line="240" w:lineRule="auto"/>
              <w:rPr>
                <w:rFonts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BD8976D">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F362470">
            <w:pPr>
              <w:spacing w:line="276" w:lineRule="auto"/>
              <w:ind w:right="7"/>
              <w:jc w:val="center"/>
              <w:rPr>
                <w:rFonts w:hAnsi="宋体" w:cs="宋体"/>
                <w:color w:val="auto"/>
                <w:szCs w:val="21"/>
                <w:highlight w:val="none"/>
              </w:rPr>
            </w:pPr>
            <w:r>
              <w:rPr>
                <w:rFonts w:hint="eastAsia" w:hAnsi="宋体" w:cs="宋体"/>
                <w:color w:val="auto"/>
                <w:szCs w:val="21"/>
                <w:highlight w:val="none"/>
              </w:rPr>
              <w:t>普</w:t>
            </w:r>
            <w:r>
              <w:rPr>
                <w:rFonts w:hint="eastAsia" w:hAnsi="宋体" w:cs="宋体"/>
                <w:color w:val="auto"/>
                <w:spacing w:val="24"/>
                <w:szCs w:val="21"/>
                <w:highlight w:val="none"/>
              </w:rPr>
              <w:t>通</w:t>
            </w:r>
            <w:r>
              <w:rPr>
                <w:rFonts w:hint="eastAsia" w:hAnsi="宋体" w:cs="宋体"/>
                <w:color w:val="auto"/>
                <w:szCs w:val="21"/>
                <w:highlight w:val="none"/>
              </w:rPr>
              <w:t>照明用非</w:t>
            </w:r>
            <w:r>
              <w:rPr>
                <w:rFonts w:hint="eastAsia" w:hAnsi="宋体" w:cs="宋体"/>
                <w:color w:val="auto"/>
                <w:spacing w:val="24"/>
                <w:szCs w:val="21"/>
                <w:highlight w:val="none"/>
              </w:rPr>
              <w:t>定</w:t>
            </w:r>
            <w:r>
              <w:rPr>
                <w:rFonts w:hint="eastAsia" w:hAnsi="宋体" w:cs="宋体"/>
                <w:color w:val="auto"/>
                <w:szCs w:val="21"/>
                <w:highlight w:val="none"/>
              </w:rPr>
              <w:t>向自镇流</w:t>
            </w:r>
            <w:r>
              <w:rPr>
                <w:rFonts w:hint="eastAsia" w:hAnsi="宋体" w:cs="宋体"/>
                <w:color w:val="auto"/>
                <w:spacing w:val="1"/>
                <w:szCs w:val="21"/>
                <w:highlight w:val="none"/>
              </w:rPr>
              <w:t>LE</w:t>
            </w:r>
            <w:r>
              <w:rPr>
                <w:rFonts w:hint="eastAsia" w:hAnsi="宋体" w:cs="宋体"/>
                <w:color w:val="auto"/>
                <w:szCs w:val="21"/>
                <w:highlight w:val="none"/>
              </w:rPr>
              <w:t>D灯</w:t>
            </w:r>
          </w:p>
        </w:tc>
        <w:tc>
          <w:tcPr>
            <w:tcW w:w="1481" w:type="dxa"/>
            <w:tcBorders>
              <w:top w:val="single" w:color="auto" w:sz="4" w:space="0"/>
              <w:left w:val="single" w:color="auto" w:sz="4" w:space="0"/>
              <w:bottom w:val="single" w:color="auto" w:sz="4" w:space="0"/>
              <w:right w:val="single" w:color="auto" w:sz="4" w:space="0"/>
            </w:tcBorders>
            <w:vAlign w:val="center"/>
          </w:tcPr>
          <w:p w14:paraId="2FF8F6DF">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7D23A625">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《室内照明用LED产品能效限定值及能效等级》（GB30255）</w:t>
            </w:r>
          </w:p>
        </w:tc>
      </w:tr>
      <w:tr w14:paraId="3BC3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CCA8F61">
            <w:pPr>
              <w:spacing w:line="240" w:lineRule="auto"/>
              <w:jc w:val="center"/>
              <w:rPr>
                <w:rFonts w:hAnsi="宋体" w:cs="宋体"/>
                <w:color w:val="auto"/>
                <w:szCs w:val="21"/>
                <w:highlight w:val="none"/>
                <w:lang w:eastAsia="en-US"/>
              </w:rPr>
            </w:pPr>
            <w:r>
              <w:rPr>
                <w:rFonts w:hint="eastAsia" w:hAnsi="宋体"/>
                <w:color w:val="auto"/>
                <w:spacing w:val="1"/>
                <w:szCs w:val="21"/>
                <w:highlight w:val="none"/>
                <w:lang w:eastAsia="en-US"/>
              </w:rPr>
              <w:t>1</w:t>
            </w:r>
            <w:r>
              <w:rPr>
                <w:rFonts w:hint="eastAsia" w:hAnsi="宋体"/>
                <w:color w:val="auto"/>
                <w:szCs w:val="21"/>
                <w:highlight w:val="none"/>
                <w:lang w:eastAsia="en-US"/>
              </w:rPr>
              <w:t>2</w:t>
            </w:r>
          </w:p>
        </w:tc>
        <w:tc>
          <w:tcPr>
            <w:tcW w:w="1422" w:type="dxa"/>
            <w:tcBorders>
              <w:top w:val="single" w:color="auto" w:sz="4" w:space="0"/>
              <w:left w:val="single" w:color="auto" w:sz="4" w:space="0"/>
              <w:bottom w:val="single" w:color="auto" w:sz="4" w:space="0"/>
              <w:right w:val="single" w:color="auto" w:sz="4" w:space="0"/>
            </w:tcBorders>
            <w:vAlign w:val="center"/>
          </w:tcPr>
          <w:p w14:paraId="21EB4286">
            <w:pPr>
              <w:spacing w:before="81" w:line="240" w:lineRule="auto"/>
              <w:ind w:left="7"/>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宋体"/>
                <w:color w:val="auto"/>
                <w:spacing w:val="1"/>
                <w:szCs w:val="21"/>
                <w:highlight w:val="none"/>
                <w:lang w:eastAsia="en-US"/>
              </w:rPr>
              <w:t>A020</w:t>
            </w:r>
            <w:r>
              <w:rPr>
                <w:rFonts w:hint="eastAsia" w:hAnsi="宋体" w:cs="宋体"/>
                <w:color w:val="auto"/>
                <w:szCs w:val="21"/>
                <w:highlight w:val="none"/>
                <w:lang w:eastAsia="en-US"/>
              </w:rPr>
              <w:t>91000电视设备</w:t>
            </w:r>
          </w:p>
        </w:tc>
        <w:tc>
          <w:tcPr>
            <w:tcW w:w="1496" w:type="dxa"/>
            <w:tcBorders>
              <w:top w:val="single" w:color="auto" w:sz="4" w:space="0"/>
              <w:left w:val="single" w:color="auto" w:sz="4" w:space="0"/>
              <w:bottom w:val="single" w:color="auto" w:sz="4" w:space="0"/>
              <w:right w:val="single" w:color="auto" w:sz="4" w:space="0"/>
            </w:tcBorders>
            <w:vAlign w:val="center"/>
          </w:tcPr>
          <w:p w14:paraId="5963D0B1">
            <w:pPr>
              <w:spacing w:before="81" w:line="276" w:lineRule="auto"/>
              <w:ind w:left="7" w:right="5"/>
              <w:jc w:val="center"/>
              <w:rPr>
                <w:rFonts w:hAnsi="宋体" w:cs="宋体"/>
                <w:color w:val="auto"/>
                <w:szCs w:val="21"/>
                <w:highlight w:val="none"/>
              </w:rPr>
            </w:pPr>
            <w:r>
              <w:rPr>
                <w:rFonts w:hint="eastAsia" w:hAnsi="宋体" w:cs="宋体"/>
                <w:color w:val="auto"/>
                <w:spacing w:val="1"/>
                <w:szCs w:val="21"/>
                <w:highlight w:val="none"/>
              </w:rPr>
              <w:t>A02</w:t>
            </w:r>
            <w:r>
              <w:rPr>
                <w:rFonts w:hint="eastAsia" w:hAnsi="宋体" w:cs="宋体"/>
                <w:color w:val="auto"/>
                <w:szCs w:val="21"/>
                <w:highlight w:val="none"/>
              </w:rPr>
              <w:t>09</w:t>
            </w:r>
            <w:r>
              <w:rPr>
                <w:rFonts w:hint="eastAsia" w:hAnsi="宋体" w:cs="宋体"/>
                <w:color w:val="auto"/>
                <w:spacing w:val="1"/>
                <w:szCs w:val="21"/>
                <w:highlight w:val="none"/>
              </w:rPr>
              <w:t>1</w:t>
            </w:r>
            <w:r>
              <w:rPr>
                <w:rFonts w:hint="eastAsia" w:hAnsi="宋体" w:cs="宋体"/>
                <w:color w:val="auto"/>
                <w:szCs w:val="21"/>
                <w:highlight w:val="none"/>
              </w:rPr>
              <w:t>001普通电视设备（</w:t>
            </w:r>
            <w:r>
              <w:rPr>
                <w:rFonts w:hint="eastAsia" w:hAnsi="宋体" w:cs="宋体"/>
                <w:color w:val="auto"/>
                <w:spacing w:val="2"/>
                <w:szCs w:val="21"/>
                <w:highlight w:val="none"/>
              </w:rPr>
              <w:t>电</w:t>
            </w:r>
            <w:r>
              <w:rPr>
                <w:rFonts w:hint="eastAsia" w:hAnsi="宋体" w:cs="宋体"/>
                <w:color w:val="auto"/>
                <w:szCs w:val="21"/>
                <w:highlight w:val="none"/>
              </w:rPr>
              <w:t>视机）</w:t>
            </w:r>
          </w:p>
        </w:tc>
        <w:tc>
          <w:tcPr>
            <w:tcW w:w="1481" w:type="dxa"/>
            <w:tcBorders>
              <w:top w:val="single" w:color="auto" w:sz="4" w:space="0"/>
              <w:left w:val="single" w:color="auto" w:sz="4" w:space="0"/>
              <w:bottom w:val="single" w:color="auto" w:sz="4" w:space="0"/>
              <w:right w:val="single" w:color="auto" w:sz="4" w:space="0"/>
            </w:tcBorders>
            <w:vAlign w:val="center"/>
          </w:tcPr>
          <w:p w14:paraId="60B3C511">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6B9C0DB7">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《平板电视与机顶盒能效限定值及能效等级》（GB24850）</w:t>
            </w:r>
          </w:p>
        </w:tc>
      </w:tr>
      <w:tr w14:paraId="6601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DFAC7F5">
            <w:pPr>
              <w:spacing w:line="240" w:lineRule="auto"/>
              <w:jc w:val="center"/>
              <w:rPr>
                <w:rFonts w:hAnsi="宋体" w:cs="宋体"/>
                <w:color w:val="auto"/>
                <w:szCs w:val="21"/>
                <w:highlight w:val="none"/>
                <w:lang w:eastAsia="en-US"/>
              </w:rPr>
            </w:pPr>
            <w:r>
              <w:rPr>
                <w:rFonts w:hint="eastAsia" w:hAnsi="宋体"/>
                <w:color w:val="auto"/>
                <w:spacing w:val="1"/>
                <w:szCs w:val="21"/>
                <w:highlight w:val="none"/>
                <w:lang w:eastAsia="en-US"/>
              </w:rPr>
              <w:t>1</w:t>
            </w:r>
            <w:r>
              <w:rPr>
                <w:rFonts w:hint="eastAsia" w:hAnsi="宋体"/>
                <w:color w:val="auto"/>
                <w:szCs w:val="21"/>
                <w:highlight w:val="none"/>
                <w:lang w:eastAsia="en-US"/>
              </w:rPr>
              <w:t>3</w:t>
            </w:r>
          </w:p>
        </w:tc>
        <w:tc>
          <w:tcPr>
            <w:tcW w:w="1422" w:type="dxa"/>
            <w:tcBorders>
              <w:top w:val="single" w:color="auto" w:sz="4" w:space="0"/>
              <w:left w:val="single" w:color="auto" w:sz="4" w:space="0"/>
              <w:bottom w:val="single" w:color="auto" w:sz="4" w:space="0"/>
              <w:right w:val="single" w:color="auto" w:sz="4" w:space="0"/>
            </w:tcBorders>
            <w:vAlign w:val="center"/>
          </w:tcPr>
          <w:p w14:paraId="78D5FBFC">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宋体"/>
                <w:color w:val="auto"/>
                <w:spacing w:val="1"/>
                <w:szCs w:val="21"/>
                <w:highlight w:val="none"/>
                <w:lang w:eastAsia="en-US"/>
              </w:rPr>
              <w:t>A020</w:t>
            </w:r>
            <w:r>
              <w:rPr>
                <w:rFonts w:hint="eastAsia" w:hAnsi="宋体" w:cs="宋体"/>
                <w:color w:val="auto"/>
                <w:szCs w:val="21"/>
                <w:highlight w:val="none"/>
                <w:lang w:eastAsia="en-US"/>
              </w:rPr>
              <w:t>91100视频设备</w:t>
            </w:r>
          </w:p>
        </w:tc>
        <w:tc>
          <w:tcPr>
            <w:tcW w:w="1496" w:type="dxa"/>
            <w:tcBorders>
              <w:top w:val="single" w:color="auto" w:sz="4" w:space="0"/>
              <w:left w:val="single" w:color="auto" w:sz="4" w:space="0"/>
              <w:bottom w:val="single" w:color="auto" w:sz="4" w:space="0"/>
              <w:right w:val="single" w:color="auto" w:sz="4" w:space="0"/>
            </w:tcBorders>
            <w:vAlign w:val="center"/>
          </w:tcPr>
          <w:p w14:paraId="4430E7A9">
            <w:pPr>
              <w:spacing w:line="276" w:lineRule="auto"/>
              <w:ind w:right="5"/>
              <w:jc w:val="center"/>
              <w:rPr>
                <w:rFonts w:hAnsi="宋体" w:cs="宋体"/>
                <w:color w:val="auto"/>
                <w:szCs w:val="21"/>
                <w:highlight w:val="none"/>
                <w:lang w:eastAsia="en-US"/>
              </w:rPr>
            </w:pPr>
            <w:r>
              <w:rPr>
                <w:rFonts w:hint="eastAsia" w:hAnsi="宋体" w:cs="宋体"/>
                <w:color w:val="auto"/>
                <w:spacing w:val="1"/>
                <w:szCs w:val="21"/>
                <w:highlight w:val="none"/>
                <w:lang w:eastAsia="en-US"/>
              </w:rPr>
              <w:t>A02</w:t>
            </w:r>
            <w:r>
              <w:rPr>
                <w:rFonts w:hint="eastAsia" w:hAnsi="宋体" w:cs="宋体"/>
                <w:color w:val="auto"/>
                <w:szCs w:val="21"/>
                <w:highlight w:val="none"/>
                <w:lang w:eastAsia="en-US"/>
              </w:rPr>
              <w:t>09</w:t>
            </w:r>
            <w:r>
              <w:rPr>
                <w:rFonts w:hint="eastAsia" w:hAnsi="宋体" w:cs="宋体"/>
                <w:color w:val="auto"/>
                <w:spacing w:val="1"/>
                <w:szCs w:val="21"/>
                <w:highlight w:val="none"/>
                <w:lang w:eastAsia="en-US"/>
              </w:rPr>
              <w:t>1</w:t>
            </w:r>
            <w:r>
              <w:rPr>
                <w:rFonts w:hint="eastAsia" w:hAnsi="宋体" w:cs="宋体"/>
                <w:color w:val="auto"/>
                <w:szCs w:val="21"/>
                <w:highlight w:val="none"/>
                <w:lang w:eastAsia="en-US"/>
              </w:rPr>
              <w:t>107视频监控设备</w:t>
            </w:r>
          </w:p>
        </w:tc>
        <w:tc>
          <w:tcPr>
            <w:tcW w:w="1481" w:type="dxa"/>
            <w:tcBorders>
              <w:top w:val="single" w:color="auto" w:sz="4" w:space="0"/>
              <w:left w:val="single" w:color="auto" w:sz="4" w:space="0"/>
              <w:bottom w:val="single" w:color="auto" w:sz="4" w:space="0"/>
              <w:right w:val="single" w:color="auto" w:sz="4" w:space="0"/>
            </w:tcBorders>
            <w:vAlign w:val="center"/>
          </w:tcPr>
          <w:p w14:paraId="233414A4">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监视器</w:t>
            </w:r>
          </w:p>
        </w:tc>
        <w:tc>
          <w:tcPr>
            <w:tcW w:w="3761" w:type="dxa"/>
            <w:tcBorders>
              <w:top w:val="single" w:color="auto" w:sz="4" w:space="0"/>
              <w:left w:val="single" w:color="auto" w:sz="4" w:space="0"/>
              <w:bottom w:val="single" w:color="auto" w:sz="4" w:space="0"/>
              <w:right w:val="single" w:color="auto" w:sz="4" w:space="0"/>
            </w:tcBorders>
          </w:tcPr>
          <w:p w14:paraId="20088DAE">
            <w:pPr>
              <w:spacing w:before="131" w:line="276" w:lineRule="auto"/>
              <w:ind w:left="7" w:right="4"/>
              <w:rPr>
                <w:rFonts w:hAnsi="宋体" w:cs="宋体"/>
                <w:color w:val="auto"/>
                <w:spacing w:val="10"/>
                <w:szCs w:val="21"/>
                <w:highlight w:val="none"/>
              </w:rPr>
            </w:pPr>
            <w:r>
              <w:rPr>
                <w:rFonts w:hint="eastAsia" w:hAnsi="宋体" w:cs="宋体"/>
                <w:color w:val="auto"/>
                <w:spacing w:val="10"/>
                <w:szCs w:val="21"/>
                <w:highlight w:val="none"/>
              </w:rPr>
              <w:t>以射频信号为主要信号输入的监视器应符合《平板电视与机顶盒能效限定值及能效等级》（GB24850），以数字信号为主要信号输入的监视器应符合《计算机显示器能效限定值及能效等级》（GB21520）</w:t>
            </w:r>
          </w:p>
        </w:tc>
      </w:tr>
      <w:tr w14:paraId="5990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4458B0A">
            <w:pPr>
              <w:spacing w:line="240" w:lineRule="auto"/>
              <w:jc w:val="center"/>
              <w:rPr>
                <w:rFonts w:hAnsi="宋体" w:cs="宋体"/>
                <w:color w:val="auto"/>
                <w:szCs w:val="21"/>
                <w:highlight w:val="none"/>
                <w:lang w:eastAsia="en-US"/>
              </w:rPr>
            </w:pPr>
            <w:r>
              <w:rPr>
                <w:rFonts w:hint="eastAsia" w:hAnsi="宋体"/>
                <w:color w:val="auto"/>
                <w:spacing w:val="1"/>
                <w:szCs w:val="21"/>
                <w:highlight w:val="none"/>
                <w:lang w:eastAsia="en-US"/>
              </w:rPr>
              <w:t>1</w:t>
            </w:r>
            <w:r>
              <w:rPr>
                <w:rFonts w:hint="eastAsia" w:hAnsi="宋体"/>
                <w:color w:val="auto"/>
                <w:szCs w:val="21"/>
                <w:highlight w:val="none"/>
                <w:lang w:eastAsia="en-US"/>
              </w:rPr>
              <w:t>4</w:t>
            </w:r>
          </w:p>
        </w:tc>
        <w:tc>
          <w:tcPr>
            <w:tcW w:w="1422" w:type="dxa"/>
            <w:tcBorders>
              <w:top w:val="single" w:color="auto" w:sz="4" w:space="0"/>
              <w:left w:val="single" w:color="auto" w:sz="4" w:space="0"/>
              <w:bottom w:val="single" w:color="auto" w:sz="4" w:space="0"/>
              <w:right w:val="single" w:color="auto" w:sz="4" w:space="0"/>
            </w:tcBorders>
            <w:vAlign w:val="center"/>
          </w:tcPr>
          <w:p w14:paraId="5AF3D9F9">
            <w:pPr>
              <w:spacing w:before="76"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A02241000</w:t>
            </w:r>
            <w:r>
              <w:rPr>
                <w:rFonts w:hint="eastAsia" w:hAnsi="宋体" w:cs="宋体"/>
                <w:color w:val="auto"/>
                <w:szCs w:val="21"/>
                <w:highlight w:val="none"/>
                <w:lang w:eastAsia="en-US"/>
              </w:rPr>
              <w:t>饮食炊事机械</w:t>
            </w:r>
          </w:p>
        </w:tc>
        <w:tc>
          <w:tcPr>
            <w:tcW w:w="1496" w:type="dxa"/>
            <w:tcBorders>
              <w:top w:val="single" w:color="auto" w:sz="4" w:space="0"/>
              <w:left w:val="single" w:color="auto" w:sz="4" w:space="0"/>
              <w:bottom w:val="single" w:color="auto" w:sz="4" w:space="0"/>
              <w:right w:val="single" w:color="auto" w:sz="4" w:space="0"/>
            </w:tcBorders>
            <w:vAlign w:val="center"/>
          </w:tcPr>
          <w:p w14:paraId="57FE000B">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商用燃</w:t>
            </w:r>
            <w:r>
              <w:rPr>
                <w:rFonts w:hint="eastAsia" w:hAnsi="宋体" w:cs="宋体"/>
                <w:color w:val="auto"/>
                <w:spacing w:val="2"/>
                <w:szCs w:val="21"/>
                <w:highlight w:val="none"/>
                <w:lang w:eastAsia="en-US"/>
              </w:rPr>
              <w:t>气</w:t>
            </w:r>
            <w:r>
              <w:rPr>
                <w:rFonts w:hint="eastAsia" w:hAnsi="宋体" w:cs="宋体"/>
                <w:color w:val="auto"/>
                <w:szCs w:val="21"/>
                <w:highlight w:val="none"/>
                <w:lang w:eastAsia="en-US"/>
              </w:rPr>
              <w:t>灶具</w:t>
            </w:r>
          </w:p>
        </w:tc>
        <w:tc>
          <w:tcPr>
            <w:tcW w:w="1481" w:type="dxa"/>
            <w:tcBorders>
              <w:top w:val="single" w:color="auto" w:sz="4" w:space="0"/>
              <w:left w:val="single" w:color="auto" w:sz="4" w:space="0"/>
              <w:bottom w:val="single" w:color="auto" w:sz="4" w:space="0"/>
              <w:right w:val="single" w:color="auto" w:sz="4" w:space="0"/>
            </w:tcBorders>
            <w:vAlign w:val="center"/>
          </w:tcPr>
          <w:p w14:paraId="465496FD">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36313E74">
            <w:pPr>
              <w:spacing w:before="131" w:line="276" w:lineRule="auto"/>
              <w:ind w:left="7" w:right="4"/>
              <w:rPr>
                <w:rFonts w:hAnsi="宋体" w:cs="宋体"/>
                <w:color w:val="auto"/>
                <w:szCs w:val="21"/>
                <w:highlight w:val="none"/>
              </w:rPr>
            </w:pPr>
            <w:r>
              <w:rPr>
                <w:rFonts w:hint="eastAsia" w:hAnsi="宋体" w:cs="宋体"/>
                <w:color w:val="auto"/>
                <w:szCs w:val="21"/>
                <w:highlight w:val="none"/>
              </w:rPr>
              <w:t>《商用燃气灶具能效限定值及能效等级》（GB30531）</w:t>
            </w:r>
          </w:p>
        </w:tc>
      </w:tr>
      <w:tr w14:paraId="2834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A31B970">
            <w:pPr>
              <w:spacing w:line="240" w:lineRule="auto"/>
              <w:jc w:val="center"/>
              <w:rPr>
                <w:rFonts w:hAnsi="宋体"/>
                <w:color w:val="auto"/>
                <w:szCs w:val="21"/>
                <w:highlight w:val="none"/>
              </w:rPr>
            </w:pPr>
            <w:r>
              <w:rPr>
                <w:rFonts w:hint="eastAsia" w:hAnsi="宋体"/>
                <w:color w:val="auto"/>
                <w:szCs w:val="21"/>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00A3BB6F">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方正仿宋_GB2312"/>
                <w:color w:val="auto"/>
                <w:szCs w:val="21"/>
                <w:highlight w:val="none"/>
                <w:lang w:eastAsia="en-US"/>
              </w:rPr>
              <w:t>A05020105</w:t>
            </w:r>
            <w:r>
              <w:rPr>
                <w:rFonts w:hint="eastAsia" w:hAnsi="宋体" w:cs="宋体"/>
                <w:color w:val="auto"/>
                <w:szCs w:val="21"/>
                <w:highlight w:val="none"/>
                <w:lang w:eastAsia="en-US"/>
              </w:rPr>
              <w:t>便器</w:t>
            </w:r>
          </w:p>
        </w:tc>
        <w:tc>
          <w:tcPr>
            <w:tcW w:w="1496" w:type="dxa"/>
            <w:tcBorders>
              <w:top w:val="single" w:color="auto" w:sz="4" w:space="0"/>
              <w:left w:val="single" w:color="auto" w:sz="4" w:space="0"/>
              <w:bottom w:val="single" w:color="auto" w:sz="4" w:space="0"/>
              <w:right w:val="single" w:color="auto" w:sz="4" w:space="0"/>
            </w:tcBorders>
            <w:vAlign w:val="center"/>
          </w:tcPr>
          <w:p w14:paraId="245A3837">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坐便器</w:t>
            </w:r>
          </w:p>
        </w:tc>
        <w:tc>
          <w:tcPr>
            <w:tcW w:w="1481" w:type="dxa"/>
            <w:tcBorders>
              <w:top w:val="single" w:color="auto" w:sz="4" w:space="0"/>
              <w:left w:val="single" w:color="auto" w:sz="4" w:space="0"/>
              <w:bottom w:val="single" w:color="auto" w:sz="4" w:space="0"/>
              <w:right w:val="single" w:color="auto" w:sz="4" w:space="0"/>
            </w:tcBorders>
            <w:vAlign w:val="center"/>
          </w:tcPr>
          <w:p w14:paraId="342B53E0">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7D3D78B3">
            <w:pPr>
              <w:spacing w:before="131" w:line="276" w:lineRule="auto"/>
              <w:ind w:left="7" w:right="4"/>
              <w:rPr>
                <w:rFonts w:hAnsi="宋体" w:cs="宋体"/>
                <w:color w:val="auto"/>
                <w:szCs w:val="21"/>
                <w:highlight w:val="none"/>
              </w:rPr>
            </w:pPr>
            <w:r>
              <w:rPr>
                <w:rFonts w:hint="eastAsia" w:hAnsi="宋体" w:cs="宋体"/>
                <w:color w:val="auto"/>
                <w:szCs w:val="21"/>
                <w:highlight w:val="none"/>
              </w:rPr>
              <w:t>《坐便器水效限定值及水效等级》</w:t>
            </w:r>
          </w:p>
          <w:p w14:paraId="3A4C55B0">
            <w:pPr>
              <w:spacing w:before="131" w:line="276" w:lineRule="auto"/>
              <w:ind w:left="7" w:right="4"/>
              <w:rPr>
                <w:rFonts w:hAnsi="宋体" w:cs="宋体"/>
                <w:color w:val="auto"/>
                <w:szCs w:val="21"/>
                <w:highlight w:val="none"/>
              </w:rPr>
            </w:pPr>
            <w:r>
              <w:rPr>
                <w:rFonts w:hint="eastAsia" w:hAnsi="宋体" w:cs="宋体"/>
                <w:color w:val="auto"/>
                <w:szCs w:val="21"/>
                <w:highlight w:val="none"/>
                <w:lang w:eastAsia="zh-CN"/>
              </w:rPr>
              <w:t>(</w:t>
            </w:r>
            <w:r>
              <w:rPr>
                <w:rFonts w:hint="eastAsia" w:hAnsi="宋体" w:cs="宋体"/>
                <w:color w:val="auto"/>
                <w:szCs w:val="21"/>
                <w:highlight w:val="none"/>
              </w:rPr>
              <w:t>GB25502</w:t>
            </w:r>
            <w:r>
              <w:rPr>
                <w:rFonts w:hint="eastAsia" w:hAnsi="宋体" w:cs="宋体"/>
                <w:color w:val="auto"/>
                <w:szCs w:val="21"/>
                <w:highlight w:val="none"/>
                <w:lang w:eastAsia="zh-CN"/>
              </w:rPr>
              <w:t>)</w:t>
            </w:r>
          </w:p>
        </w:tc>
      </w:tr>
      <w:tr w14:paraId="7721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6F1D191">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6018E68">
            <w:pPr>
              <w:widowControl/>
              <w:spacing w:line="240" w:lineRule="auto"/>
              <w:rPr>
                <w:rFonts w:hAnsi="宋体" w:cs="宋体"/>
                <w:color w:val="auto"/>
                <w:szCs w:val="21"/>
                <w:highlight w:val="none"/>
                <w:lang w:eastAsia="en-US"/>
              </w:rPr>
            </w:pPr>
          </w:p>
        </w:tc>
        <w:tc>
          <w:tcPr>
            <w:tcW w:w="1496" w:type="dxa"/>
            <w:tcBorders>
              <w:top w:val="single" w:color="auto" w:sz="4" w:space="0"/>
              <w:left w:val="single" w:color="auto" w:sz="4" w:space="0"/>
              <w:bottom w:val="single" w:color="auto" w:sz="4" w:space="0"/>
              <w:right w:val="single" w:color="auto" w:sz="4" w:space="0"/>
            </w:tcBorders>
            <w:vAlign w:val="center"/>
          </w:tcPr>
          <w:p w14:paraId="54C0E061">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蹲便器</w:t>
            </w:r>
          </w:p>
        </w:tc>
        <w:tc>
          <w:tcPr>
            <w:tcW w:w="1481" w:type="dxa"/>
            <w:tcBorders>
              <w:top w:val="single" w:color="auto" w:sz="4" w:space="0"/>
              <w:left w:val="single" w:color="auto" w:sz="4" w:space="0"/>
              <w:bottom w:val="single" w:color="auto" w:sz="4" w:space="0"/>
              <w:right w:val="single" w:color="auto" w:sz="4" w:space="0"/>
            </w:tcBorders>
            <w:vAlign w:val="center"/>
          </w:tcPr>
          <w:p w14:paraId="066CD6B6">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1875C60F">
            <w:pPr>
              <w:spacing w:before="131" w:line="276" w:lineRule="auto"/>
              <w:ind w:left="7" w:right="4"/>
              <w:rPr>
                <w:rFonts w:hAnsi="宋体" w:cs="宋体"/>
                <w:color w:val="auto"/>
                <w:szCs w:val="21"/>
                <w:highlight w:val="none"/>
              </w:rPr>
            </w:pPr>
            <w:r>
              <w:rPr>
                <w:rFonts w:hint="eastAsia" w:hAnsi="宋体" w:cs="宋体"/>
                <w:color w:val="auto"/>
                <w:szCs w:val="21"/>
                <w:highlight w:val="none"/>
              </w:rPr>
              <w:t>《蹲便器用水效率限定值及用水效率等级》（GB30717）</w:t>
            </w:r>
          </w:p>
        </w:tc>
      </w:tr>
      <w:tr w14:paraId="629A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84AC01F">
            <w:pPr>
              <w:widowControl/>
              <w:spacing w:line="240" w:lineRule="auto"/>
              <w:rPr>
                <w:rFonts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6B908DB">
            <w:pPr>
              <w:widowControl/>
              <w:spacing w:line="240" w:lineRule="auto"/>
              <w:rPr>
                <w:rFonts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39577BF">
            <w:pPr>
              <w:spacing w:line="240" w:lineRule="auto"/>
              <w:jc w:val="center"/>
              <w:rPr>
                <w:rFonts w:hAnsi="宋体" w:cs="宋体"/>
                <w:color w:val="auto"/>
                <w:szCs w:val="21"/>
                <w:highlight w:val="none"/>
                <w:lang w:eastAsia="en-US"/>
              </w:rPr>
            </w:pPr>
            <w:r>
              <w:rPr>
                <w:rFonts w:hint="eastAsia" w:hAnsi="宋体" w:cs="宋体"/>
                <w:color w:val="auto"/>
                <w:szCs w:val="21"/>
                <w:highlight w:val="none"/>
                <w:lang w:eastAsia="en-US"/>
              </w:rPr>
              <w:t>小便器</w:t>
            </w:r>
          </w:p>
        </w:tc>
        <w:tc>
          <w:tcPr>
            <w:tcW w:w="1481" w:type="dxa"/>
            <w:tcBorders>
              <w:top w:val="single" w:color="auto" w:sz="4" w:space="0"/>
              <w:left w:val="single" w:color="auto" w:sz="4" w:space="0"/>
              <w:bottom w:val="single" w:color="auto" w:sz="4" w:space="0"/>
              <w:right w:val="single" w:color="auto" w:sz="4" w:space="0"/>
            </w:tcBorders>
            <w:vAlign w:val="center"/>
          </w:tcPr>
          <w:p w14:paraId="481FD173">
            <w:pPr>
              <w:spacing w:line="240" w:lineRule="auto"/>
              <w:jc w:val="center"/>
              <w:rPr>
                <w:rFonts w:hAnsi="宋体"/>
                <w:color w:val="auto"/>
                <w:szCs w:val="21"/>
                <w:highlight w:val="none"/>
              </w:rPr>
            </w:pPr>
          </w:p>
        </w:tc>
        <w:tc>
          <w:tcPr>
            <w:tcW w:w="3761" w:type="dxa"/>
            <w:tcBorders>
              <w:top w:val="single" w:color="auto" w:sz="4" w:space="0"/>
              <w:left w:val="single" w:color="auto" w:sz="4" w:space="0"/>
              <w:bottom w:val="single" w:color="auto" w:sz="4" w:space="0"/>
              <w:right w:val="single" w:color="auto" w:sz="4" w:space="0"/>
            </w:tcBorders>
          </w:tcPr>
          <w:p w14:paraId="07B2F462">
            <w:pPr>
              <w:spacing w:before="131" w:line="276" w:lineRule="auto"/>
              <w:ind w:left="7" w:right="4"/>
              <w:rPr>
                <w:rFonts w:hAnsi="宋体" w:cs="宋体"/>
                <w:color w:val="auto"/>
                <w:szCs w:val="21"/>
                <w:highlight w:val="none"/>
              </w:rPr>
            </w:pPr>
            <w:r>
              <w:rPr>
                <w:rFonts w:hint="eastAsia" w:hAnsi="宋体" w:cs="宋体"/>
                <w:color w:val="auto"/>
                <w:szCs w:val="21"/>
                <w:highlight w:val="none"/>
              </w:rPr>
              <w:t>《小便器用水效率限定值及用水效率等级》（GB28377）</w:t>
            </w:r>
          </w:p>
        </w:tc>
      </w:tr>
      <w:tr w14:paraId="4911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3BEFA9B4">
            <w:pPr>
              <w:spacing w:line="240" w:lineRule="auto"/>
              <w:jc w:val="center"/>
              <w:rPr>
                <w:rFonts w:hAnsi="宋体" w:cs="宋体"/>
                <w:color w:val="auto"/>
                <w:szCs w:val="21"/>
                <w:highlight w:val="none"/>
                <w:lang w:eastAsia="en-US"/>
              </w:rPr>
            </w:pPr>
            <w:r>
              <w:rPr>
                <w:rFonts w:hint="eastAsia" w:hAnsi="宋体"/>
                <w:color w:val="auto"/>
                <w:szCs w:val="21"/>
                <w:highlight w:val="none"/>
                <w:lang w:eastAsia="en-US"/>
              </w:rPr>
              <w:t>16</w:t>
            </w:r>
          </w:p>
        </w:tc>
        <w:tc>
          <w:tcPr>
            <w:tcW w:w="1422" w:type="dxa"/>
            <w:tcBorders>
              <w:top w:val="single" w:color="auto" w:sz="4" w:space="0"/>
              <w:left w:val="single" w:color="auto" w:sz="4" w:space="0"/>
              <w:bottom w:val="single" w:color="auto" w:sz="4" w:space="0"/>
              <w:right w:val="single" w:color="auto" w:sz="4" w:space="0"/>
            </w:tcBorders>
            <w:vAlign w:val="center"/>
          </w:tcPr>
          <w:p w14:paraId="744E323C">
            <w:pPr>
              <w:spacing w:before="153" w:line="240" w:lineRule="auto"/>
              <w:ind w:left="7"/>
              <w:jc w:val="center"/>
              <w:rPr>
                <w:rFonts w:hAnsi="宋体" w:cs="宋体"/>
                <w:color w:val="auto"/>
                <w:szCs w:val="21"/>
                <w:highlight w:val="none"/>
                <w:lang w:eastAsia="en-US"/>
              </w:rPr>
            </w:pPr>
            <w:r>
              <w:rPr>
                <w:rFonts w:hint="eastAsia" w:hAnsi="宋体" w:cs="宋体"/>
                <w:color w:val="auto"/>
                <w:szCs w:val="21"/>
                <w:highlight w:val="none"/>
                <w:lang w:eastAsia="en-US"/>
              </w:rPr>
              <w:t>★</w:t>
            </w:r>
            <w:r>
              <w:rPr>
                <w:rFonts w:hint="eastAsia" w:hAnsi="宋体" w:cs="方正仿宋_GB2312"/>
                <w:color w:val="auto"/>
                <w:szCs w:val="21"/>
                <w:highlight w:val="none"/>
                <w:lang w:eastAsia="en-US"/>
              </w:rPr>
              <w:t>A05020106</w:t>
            </w:r>
            <w:r>
              <w:rPr>
                <w:rFonts w:hint="eastAsia" w:hAnsi="宋体" w:cs="宋体"/>
                <w:color w:val="auto"/>
                <w:szCs w:val="21"/>
                <w:highlight w:val="none"/>
                <w:lang w:eastAsia="en-US"/>
              </w:rPr>
              <w:t>水嘴</w:t>
            </w:r>
          </w:p>
        </w:tc>
        <w:tc>
          <w:tcPr>
            <w:tcW w:w="1496" w:type="dxa"/>
            <w:tcBorders>
              <w:top w:val="single" w:color="auto" w:sz="4" w:space="0"/>
              <w:left w:val="single" w:color="auto" w:sz="4" w:space="0"/>
              <w:bottom w:val="single" w:color="auto" w:sz="4" w:space="0"/>
              <w:right w:val="single" w:color="auto" w:sz="4" w:space="0"/>
            </w:tcBorders>
            <w:vAlign w:val="center"/>
          </w:tcPr>
          <w:p w14:paraId="76EA0B73">
            <w:pPr>
              <w:spacing w:line="240" w:lineRule="auto"/>
              <w:jc w:val="center"/>
              <w:rPr>
                <w:rFonts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0BC62B19">
            <w:pPr>
              <w:spacing w:line="240" w:lineRule="auto"/>
              <w:jc w:val="center"/>
              <w:rPr>
                <w:rFonts w:hAnsi="宋体"/>
                <w:color w:val="auto"/>
                <w:szCs w:val="21"/>
                <w:highlight w:val="none"/>
                <w:lang w:eastAsia="en-US"/>
              </w:rPr>
            </w:pPr>
          </w:p>
        </w:tc>
        <w:tc>
          <w:tcPr>
            <w:tcW w:w="3761" w:type="dxa"/>
            <w:tcBorders>
              <w:top w:val="single" w:color="auto" w:sz="4" w:space="0"/>
              <w:left w:val="single" w:color="auto" w:sz="4" w:space="0"/>
              <w:bottom w:val="single" w:color="auto" w:sz="4" w:space="0"/>
              <w:right w:val="single" w:color="auto" w:sz="4" w:space="0"/>
            </w:tcBorders>
          </w:tcPr>
          <w:p w14:paraId="4C701C59">
            <w:pPr>
              <w:spacing w:before="153" w:line="276" w:lineRule="auto"/>
              <w:ind w:left="7" w:right="4"/>
              <w:rPr>
                <w:rFonts w:hAnsi="宋体" w:cs="宋体"/>
                <w:color w:val="auto"/>
                <w:szCs w:val="21"/>
                <w:highlight w:val="none"/>
              </w:rPr>
            </w:pPr>
            <w:r>
              <w:rPr>
                <w:rFonts w:hint="eastAsia" w:hAnsi="宋体" w:cs="宋体"/>
                <w:color w:val="auto"/>
                <w:spacing w:val="10"/>
                <w:szCs w:val="21"/>
                <w:highlight w:val="none"/>
              </w:rPr>
              <w:t>《水嘴用水效率限定值及用水效</w:t>
            </w:r>
            <w:r>
              <w:rPr>
                <w:rFonts w:hint="eastAsia" w:hAnsi="宋体" w:cs="宋体"/>
                <w:color w:val="auto"/>
                <w:szCs w:val="21"/>
                <w:highlight w:val="none"/>
              </w:rPr>
              <w:t>率等级》（GB 25501）</w:t>
            </w:r>
          </w:p>
        </w:tc>
      </w:tr>
      <w:tr w14:paraId="2FC0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3157969">
            <w:pPr>
              <w:spacing w:line="240" w:lineRule="auto"/>
              <w:jc w:val="center"/>
              <w:rPr>
                <w:rFonts w:hAnsi="宋体" w:cs="宋体"/>
                <w:color w:val="auto"/>
                <w:szCs w:val="21"/>
                <w:highlight w:val="none"/>
                <w:lang w:eastAsia="en-US"/>
              </w:rPr>
            </w:pPr>
            <w:r>
              <w:rPr>
                <w:rFonts w:hint="eastAsia" w:hAnsi="宋体"/>
                <w:color w:val="auto"/>
                <w:szCs w:val="21"/>
                <w:highlight w:val="none"/>
                <w:lang w:eastAsia="en-US"/>
              </w:rPr>
              <w:t>17</w:t>
            </w:r>
          </w:p>
        </w:tc>
        <w:tc>
          <w:tcPr>
            <w:tcW w:w="1422" w:type="dxa"/>
            <w:tcBorders>
              <w:top w:val="single" w:color="auto" w:sz="4" w:space="0"/>
              <w:left w:val="single" w:color="auto" w:sz="4" w:space="0"/>
              <w:bottom w:val="single" w:color="auto" w:sz="4" w:space="0"/>
              <w:right w:val="single" w:color="auto" w:sz="4" w:space="0"/>
            </w:tcBorders>
            <w:vAlign w:val="center"/>
          </w:tcPr>
          <w:p w14:paraId="69DF6897">
            <w:pPr>
              <w:spacing w:before="112"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A05020107</w:t>
            </w:r>
            <w:r>
              <w:rPr>
                <w:rFonts w:hint="eastAsia" w:hAnsi="宋体" w:cs="宋体"/>
                <w:color w:val="auto"/>
                <w:szCs w:val="21"/>
                <w:highlight w:val="none"/>
                <w:lang w:eastAsia="en-US"/>
              </w:rPr>
              <w:t>便器冲洗阀</w:t>
            </w:r>
          </w:p>
        </w:tc>
        <w:tc>
          <w:tcPr>
            <w:tcW w:w="1496" w:type="dxa"/>
            <w:tcBorders>
              <w:top w:val="single" w:color="auto" w:sz="4" w:space="0"/>
              <w:left w:val="single" w:color="auto" w:sz="4" w:space="0"/>
              <w:bottom w:val="single" w:color="auto" w:sz="4" w:space="0"/>
              <w:right w:val="single" w:color="auto" w:sz="4" w:space="0"/>
            </w:tcBorders>
            <w:vAlign w:val="center"/>
          </w:tcPr>
          <w:p w14:paraId="3ABC5295">
            <w:pPr>
              <w:spacing w:line="240" w:lineRule="auto"/>
              <w:jc w:val="center"/>
              <w:rPr>
                <w:rFonts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65B8F3EB">
            <w:pPr>
              <w:spacing w:line="240" w:lineRule="auto"/>
              <w:jc w:val="center"/>
              <w:rPr>
                <w:rFonts w:hAnsi="宋体"/>
                <w:color w:val="auto"/>
                <w:szCs w:val="21"/>
                <w:highlight w:val="none"/>
                <w:lang w:eastAsia="en-US"/>
              </w:rPr>
            </w:pPr>
          </w:p>
        </w:tc>
        <w:tc>
          <w:tcPr>
            <w:tcW w:w="3761" w:type="dxa"/>
            <w:tcBorders>
              <w:top w:val="single" w:color="auto" w:sz="4" w:space="0"/>
              <w:left w:val="single" w:color="auto" w:sz="4" w:space="0"/>
              <w:bottom w:val="single" w:color="auto" w:sz="4" w:space="0"/>
              <w:right w:val="single" w:color="auto" w:sz="4" w:space="0"/>
            </w:tcBorders>
          </w:tcPr>
          <w:p w14:paraId="03727DC1">
            <w:pPr>
              <w:spacing w:before="112" w:line="276" w:lineRule="auto"/>
              <w:ind w:left="7" w:right="4"/>
              <w:rPr>
                <w:rFonts w:hAnsi="宋体" w:cs="宋体"/>
                <w:color w:val="auto"/>
                <w:szCs w:val="21"/>
                <w:highlight w:val="none"/>
              </w:rPr>
            </w:pPr>
            <w:r>
              <w:rPr>
                <w:rFonts w:hint="eastAsia" w:hAnsi="宋体" w:cs="宋体"/>
                <w:color w:val="auto"/>
                <w:spacing w:val="10"/>
                <w:szCs w:val="21"/>
                <w:highlight w:val="none"/>
              </w:rPr>
              <w:t>《便器冲洗阀用水效率限定值及</w:t>
            </w:r>
            <w:r>
              <w:rPr>
                <w:rFonts w:hint="eastAsia" w:hAnsi="宋体" w:cs="宋体"/>
                <w:color w:val="auto"/>
                <w:szCs w:val="21"/>
                <w:highlight w:val="none"/>
              </w:rPr>
              <w:t>用水效率等级》（GB28379）</w:t>
            </w:r>
          </w:p>
        </w:tc>
      </w:tr>
      <w:tr w14:paraId="7908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3D2E87F">
            <w:pPr>
              <w:spacing w:line="240" w:lineRule="auto"/>
              <w:jc w:val="center"/>
              <w:rPr>
                <w:rFonts w:hAnsi="宋体" w:cs="宋体"/>
                <w:color w:val="auto"/>
                <w:szCs w:val="21"/>
                <w:highlight w:val="none"/>
                <w:lang w:eastAsia="en-US"/>
              </w:rPr>
            </w:pPr>
            <w:r>
              <w:rPr>
                <w:rFonts w:hint="eastAsia" w:hAnsi="宋体"/>
                <w:color w:val="auto"/>
                <w:szCs w:val="21"/>
                <w:highlight w:val="none"/>
                <w:lang w:eastAsia="en-US"/>
              </w:rPr>
              <w:t>18</w:t>
            </w:r>
          </w:p>
        </w:tc>
        <w:tc>
          <w:tcPr>
            <w:tcW w:w="1422" w:type="dxa"/>
            <w:tcBorders>
              <w:top w:val="single" w:color="auto" w:sz="4" w:space="0"/>
              <w:left w:val="single" w:color="auto" w:sz="4" w:space="0"/>
              <w:bottom w:val="single" w:color="auto" w:sz="4" w:space="0"/>
              <w:right w:val="single" w:color="auto" w:sz="4" w:space="0"/>
            </w:tcBorders>
            <w:vAlign w:val="center"/>
          </w:tcPr>
          <w:p w14:paraId="6D2E1A3D">
            <w:pPr>
              <w:spacing w:before="131" w:line="240" w:lineRule="auto"/>
              <w:ind w:left="7"/>
              <w:jc w:val="center"/>
              <w:rPr>
                <w:rFonts w:hAnsi="宋体" w:cs="宋体"/>
                <w:color w:val="auto"/>
                <w:szCs w:val="21"/>
                <w:highlight w:val="none"/>
                <w:lang w:eastAsia="en-US"/>
              </w:rPr>
            </w:pPr>
            <w:r>
              <w:rPr>
                <w:rFonts w:hint="eastAsia" w:hAnsi="宋体" w:cs="方正仿宋_GB2312"/>
                <w:color w:val="auto"/>
                <w:szCs w:val="21"/>
                <w:highlight w:val="none"/>
                <w:lang w:eastAsia="en-US"/>
              </w:rPr>
              <w:t>A05020110</w:t>
            </w:r>
            <w:r>
              <w:rPr>
                <w:rFonts w:hint="eastAsia" w:hAnsi="宋体" w:cs="宋体"/>
                <w:color w:val="auto"/>
                <w:szCs w:val="21"/>
                <w:highlight w:val="none"/>
                <w:lang w:eastAsia="en-US"/>
              </w:rPr>
              <w:t>淋浴器</w:t>
            </w:r>
          </w:p>
        </w:tc>
        <w:tc>
          <w:tcPr>
            <w:tcW w:w="1496" w:type="dxa"/>
            <w:tcBorders>
              <w:top w:val="single" w:color="auto" w:sz="4" w:space="0"/>
              <w:left w:val="single" w:color="auto" w:sz="4" w:space="0"/>
              <w:bottom w:val="single" w:color="auto" w:sz="4" w:space="0"/>
              <w:right w:val="single" w:color="auto" w:sz="4" w:space="0"/>
            </w:tcBorders>
            <w:vAlign w:val="center"/>
          </w:tcPr>
          <w:p w14:paraId="1CB188A7">
            <w:pPr>
              <w:spacing w:line="240" w:lineRule="auto"/>
              <w:jc w:val="center"/>
              <w:rPr>
                <w:rFonts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61D4371F">
            <w:pPr>
              <w:spacing w:line="240" w:lineRule="auto"/>
              <w:jc w:val="center"/>
              <w:rPr>
                <w:rFonts w:hAnsi="宋体"/>
                <w:color w:val="auto"/>
                <w:szCs w:val="21"/>
                <w:highlight w:val="none"/>
                <w:lang w:eastAsia="en-US"/>
              </w:rPr>
            </w:pPr>
          </w:p>
        </w:tc>
        <w:tc>
          <w:tcPr>
            <w:tcW w:w="3761" w:type="dxa"/>
            <w:tcBorders>
              <w:top w:val="single" w:color="auto" w:sz="4" w:space="0"/>
              <w:left w:val="single" w:color="auto" w:sz="4" w:space="0"/>
              <w:bottom w:val="single" w:color="auto" w:sz="4" w:space="0"/>
              <w:right w:val="single" w:color="auto" w:sz="4" w:space="0"/>
            </w:tcBorders>
          </w:tcPr>
          <w:p w14:paraId="255392E7">
            <w:pPr>
              <w:spacing w:before="131" w:line="276" w:lineRule="auto"/>
              <w:ind w:left="7" w:right="4"/>
              <w:rPr>
                <w:rFonts w:hAnsi="宋体" w:cs="宋体"/>
                <w:color w:val="auto"/>
                <w:szCs w:val="21"/>
                <w:highlight w:val="none"/>
              </w:rPr>
            </w:pPr>
            <w:r>
              <w:rPr>
                <w:rFonts w:hint="eastAsia" w:hAnsi="宋体" w:cs="宋体"/>
                <w:color w:val="auto"/>
                <w:spacing w:val="10"/>
                <w:szCs w:val="21"/>
                <w:highlight w:val="none"/>
              </w:rPr>
              <w:t>《淋浴器用水效率限定值及用水</w:t>
            </w:r>
            <w:r>
              <w:rPr>
                <w:rFonts w:hint="eastAsia" w:hAnsi="宋体" w:cs="宋体"/>
                <w:color w:val="auto"/>
                <w:szCs w:val="21"/>
                <w:highlight w:val="none"/>
              </w:rPr>
              <w:t>效率等级》（GB28378）</w:t>
            </w:r>
          </w:p>
        </w:tc>
      </w:tr>
    </w:tbl>
    <w:p w14:paraId="75F58718">
      <w:pPr>
        <w:jc w:val="both"/>
        <w:rPr>
          <w:rFonts w:hAnsi="宋体"/>
          <w:color w:val="auto"/>
          <w:szCs w:val="21"/>
          <w:highlight w:val="none"/>
        </w:rPr>
      </w:pPr>
      <w:r>
        <w:rPr>
          <w:rFonts w:hint="eastAsia" w:hAnsi="宋体"/>
          <w:color w:val="auto"/>
          <w:spacing w:val="-3"/>
          <w:szCs w:val="21"/>
          <w:highlight w:val="none"/>
        </w:rPr>
        <w:t>注：</w:t>
      </w:r>
      <w:r>
        <w:rPr>
          <w:rFonts w:hAnsi="宋体"/>
          <w:color w:val="auto"/>
          <w:spacing w:val="-3"/>
          <w:szCs w:val="21"/>
          <w:highlight w:val="none"/>
        </w:rPr>
        <w:t>1.</w:t>
      </w:r>
      <w:r>
        <w:rPr>
          <w:rFonts w:hint="eastAsia" w:hAnsi="宋体"/>
          <w:color w:val="auto"/>
          <w:spacing w:val="-3"/>
          <w:szCs w:val="21"/>
          <w:highlight w:val="none"/>
        </w:rPr>
        <w:t>节能产品认证应依据相关国家标准的最新版本，依据国家标准中二级能效（水效）</w:t>
      </w:r>
      <w:r>
        <w:rPr>
          <w:rFonts w:hint="eastAsia" w:hAnsi="宋体"/>
          <w:color w:val="auto"/>
          <w:szCs w:val="21"/>
          <w:highlight w:val="none"/>
        </w:rPr>
        <w:t>指标。</w:t>
      </w:r>
    </w:p>
    <w:p w14:paraId="674CA139">
      <w:pPr>
        <w:ind w:firstLine="465"/>
        <w:jc w:val="both"/>
        <w:rPr>
          <w:rFonts w:hAnsi="宋体"/>
          <w:color w:val="auto"/>
          <w:szCs w:val="21"/>
          <w:highlight w:val="none"/>
        </w:rPr>
      </w:pPr>
      <w:r>
        <w:rPr>
          <w:rFonts w:hAnsi="宋体"/>
          <w:color w:val="auto"/>
          <w:szCs w:val="21"/>
          <w:highlight w:val="none"/>
        </w:rPr>
        <w:t>2</w:t>
      </w:r>
      <w:r>
        <w:rPr>
          <w:rFonts w:hint="eastAsia" w:hAnsi="宋体"/>
          <w:color w:val="auto"/>
          <w:szCs w:val="21"/>
          <w:highlight w:val="none"/>
        </w:rPr>
        <w:t>.以</w:t>
      </w:r>
      <w:r>
        <w:rPr>
          <w:rFonts w:hAnsi="宋体"/>
          <w:color w:val="auto"/>
          <w:szCs w:val="21"/>
          <w:highlight w:val="none"/>
        </w:rPr>
        <w:t>“</w:t>
      </w:r>
      <w:r>
        <w:rPr>
          <w:rFonts w:hint="eastAsia" w:hAnsi="宋体"/>
          <w:color w:val="auto"/>
          <w:szCs w:val="21"/>
          <w:highlight w:val="none"/>
        </w:rPr>
        <w:t>★</w:t>
      </w:r>
      <w:r>
        <w:rPr>
          <w:rFonts w:hAnsi="宋体"/>
          <w:color w:val="auto"/>
          <w:szCs w:val="21"/>
          <w:highlight w:val="none"/>
        </w:rPr>
        <w:t>”</w:t>
      </w:r>
      <w:r>
        <w:rPr>
          <w:rFonts w:hint="eastAsia" w:hAnsi="宋体"/>
          <w:color w:val="auto"/>
          <w:szCs w:val="21"/>
          <w:highlight w:val="none"/>
        </w:rPr>
        <w:t>标注的为政府强制采购产品。</w:t>
      </w:r>
    </w:p>
    <w:p w14:paraId="01D1EB24">
      <w:pPr>
        <w:widowControl/>
        <w:spacing w:line="240" w:lineRule="auto"/>
        <w:rPr>
          <w:rFonts w:hAnsi="宋体" w:cs="宋体"/>
          <w:color w:val="auto"/>
          <w:sz w:val="20"/>
          <w:szCs w:val="20"/>
          <w:highlight w:val="none"/>
        </w:rPr>
      </w:pPr>
    </w:p>
    <w:p w14:paraId="6D3678FA">
      <w:pPr>
        <w:widowControl/>
        <w:spacing w:line="240" w:lineRule="auto"/>
        <w:rPr>
          <w:rFonts w:hAnsi="宋体" w:cs="宋体"/>
          <w:color w:val="auto"/>
          <w:sz w:val="20"/>
          <w:szCs w:val="20"/>
          <w:highlight w:val="none"/>
        </w:rPr>
      </w:pPr>
    </w:p>
    <w:p w14:paraId="5DCBF1CD">
      <w:pPr>
        <w:widowControl/>
        <w:spacing w:line="240" w:lineRule="auto"/>
        <w:rPr>
          <w:rFonts w:ascii="黑体" w:hAnsi="黑体" w:eastAsia="黑体" w:cs="黑体"/>
          <w:color w:val="auto"/>
          <w:sz w:val="32"/>
          <w:szCs w:val="32"/>
          <w:highlight w:val="none"/>
        </w:rPr>
      </w:pPr>
      <w:r>
        <w:rPr>
          <w:rFonts w:hAnsi="宋体" w:cs="宋体"/>
          <w:color w:val="auto"/>
          <w:sz w:val="20"/>
          <w:szCs w:val="20"/>
          <w:highlight w:val="none"/>
        </w:rPr>
        <w:br w:type="page" w:clear="all"/>
      </w:r>
      <w:r>
        <w:rPr>
          <w:rFonts w:hint="eastAsia" w:ascii="黑体" w:hAnsi="黑体" w:eastAsia="黑体" w:cs="黑体"/>
          <w:color w:val="auto"/>
          <w:sz w:val="32"/>
          <w:szCs w:val="32"/>
          <w:highlight w:val="none"/>
        </w:rPr>
        <w:t>附件2：</w:t>
      </w:r>
    </w:p>
    <w:p w14:paraId="7408344A">
      <w:pPr>
        <w:spacing w:line="380" w:lineRule="exact"/>
        <w:jc w:val="center"/>
        <w:rPr>
          <w:rFonts w:ascii="Times New Roman"/>
          <w:b/>
          <w:color w:val="auto"/>
          <w:sz w:val="28"/>
          <w:szCs w:val="28"/>
          <w:highlight w:val="none"/>
        </w:rPr>
      </w:pPr>
      <w:r>
        <w:rPr>
          <w:rFonts w:hint="eastAsia" w:ascii="Times New Roman"/>
          <w:b/>
          <w:color w:val="auto"/>
          <w:sz w:val="28"/>
          <w:szCs w:val="28"/>
          <w:highlight w:val="none"/>
        </w:rPr>
        <w:t>中小企业划型标准规定</w:t>
      </w:r>
    </w:p>
    <w:p w14:paraId="79CAED85">
      <w:pPr>
        <w:spacing w:line="380" w:lineRule="exact"/>
        <w:jc w:val="center"/>
        <w:rPr>
          <w:rFonts w:hAnsi="宋体"/>
          <w:color w:val="auto"/>
          <w:szCs w:val="21"/>
          <w:highlight w:val="none"/>
        </w:rPr>
      </w:pPr>
      <w:r>
        <w:rPr>
          <w:rFonts w:hint="eastAsia" w:hAnsi="宋体"/>
          <w:color w:val="auto"/>
          <w:szCs w:val="21"/>
          <w:highlight w:val="none"/>
        </w:rPr>
        <w:t>工信部联企业〔2011〕300号</w:t>
      </w:r>
    </w:p>
    <w:p w14:paraId="79070438">
      <w:pPr>
        <w:spacing w:line="380" w:lineRule="exact"/>
        <w:jc w:val="both"/>
        <w:rPr>
          <w:rFonts w:ascii="Times New Roman"/>
          <w:color w:val="auto"/>
          <w:szCs w:val="21"/>
          <w:highlight w:val="none"/>
        </w:rPr>
      </w:pPr>
    </w:p>
    <w:p w14:paraId="1D39D0C2">
      <w:pPr>
        <w:spacing w:line="380" w:lineRule="exact"/>
        <w:jc w:val="both"/>
        <w:rPr>
          <w:rFonts w:ascii="Times New Roman"/>
          <w:color w:val="auto"/>
          <w:szCs w:val="21"/>
          <w:highlight w:val="none"/>
        </w:rPr>
      </w:pPr>
      <w:r>
        <w:rPr>
          <w:rFonts w:hint="eastAsia" w:ascii="Times New Roman"/>
          <w:color w:val="auto"/>
          <w:szCs w:val="21"/>
          <w:highlight w:val="none"/>
        </w:rPr>
        <w:t>　　一、根据《中华人民共和国中小企业促进法》和《国务院关于进一步促进中小企业发展的若干意见》</w:t>
      </w:r>
      <w:r>
        <w:rPr>
          <w:rFonts w:hint="eastAsia" w:ascii="Times New Roman"/>
          <w:color w:val="auto"/>
          <w:szCs w:val="21"/>
          <w:highlight w:val="none"/>
          <w:lang w:eastAsia="zh-CN"/>
        </w:rPr>
        <w:t>（</w:t>
      </w:r>
      <w:r>
        <w:rPr>
          <w:rFonts w:hint="eastAsia" w:ascii="Times New Roman"/>
          <w:color w:val="auto"/>
          <w:szCs w:val="21"/>
          <w:highlight w:val="none"/>
        </w:rPr>
        <w:t>国发〔2009〕36号</w:t>
      </w:r>
      <w:r>
        <w:rPr>
          <w:rFonts w:hint="eastAsia" w:ascii="Times New Roman"/>
          <w:color w:val="auto"/>
          <w:szCs w:val="21"/>
          <w:highlight w:val="none"/>
          <w:lang w:eastAsia="zh-CN"/>
        </w:rPr>
        <w:t>）</w:t>
      </w:r>
      <w:r>
        <w:rPr>
          <w:rFonts w:hint="eastAsia" w:ascii="Times New Roman"/>
          <w:color w:val="auto"/>
          <w:szCs w:val="21"/>
          <w:highlight w:val="none"/>
        </w:rPr>
        <w:t>，制定本规定。</w:t>
      </w:r>
    </w:p>
    <w:p w14:paraId="4E0A520E">
      <w:pPr>
        <w:spacing w:line="380" w:lineRule="exact"/>
        <w:jc w:val="both"/>
        <w:rPr>
          <w:rFonts w:ascii="Times New Roman"/>
          <w:color w:val="auto"/>
          <w:szCs w:val="21"/>
          <w:highlight w:val="none"/>
        </w:rPr>
      </w:pPr>
      <w:r>
        <w:rPr>
          <w:rFonts w:hint="eastAsia" w:ascii="Times New Roman"/>
          <w:color w:val="auto"/>
          <w:szCs w:val="21"/>
          <w:highlight w:val="none"/>
        </w:rPr>
        <w:t>　　二、中小企业划分为中型、小型、微型三种类型，具体标准根据企业从业人员、营业收入、资产总额等指标，结合行业特点制定。</w:t>
      </w:r>
    </w:p>
    <w:p w14:paraId="7CFACA09">
      <w:pPr>
        <w:spacing w:line="380" w:lineRule="exact"/>
        <w:jc w:val="both"/>
        <w:rPr>
          <w:rFonts w:ascii="Times New Roman"/>
          <w:color w:val="auto"/>
          <w:szCs w:val="21"/>
          <w:highlight w:val="none"/>
        </w:rPr>
      </w:pPr>
      <w:r>
        <w:rPr>
          <w:rFonts w:hint="eastAsia" w:ascii="Times New Roman"/>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C25AB23">
      <w:pPr>
        <w:spacing w:line="380" w:lineRule="exact"/>
        <w:jc w:val="both"/>
        <w:rPr>
          <w:rFonts w:ascii="Times New Roman"/>
          <w:color w:val="auto"/>
          <w:szCs w:val="21"/>
          <w:highlight w:val="none"/>
        </w:rPr>
      </w:pPr>
      <w:r>
        <w:rPr>
          <w:rFonts w:hint="eastAsia" w:ascii="Times New Roman"/>
          <w:color w:val="auto"/>
          <w:szCs w:val="21"/>
          <w:highlight w:val="none"/>
        </w:rPr>
        <w:t>　　四、各行业划型标准为：</w:t>
      </w:r>
    </w:p>
    <w:p w14:paraId="0C233EE6">
      <w:pPr>
        <w:spacing w:line="380" w:lineRule="exact"/>
        <w:jc w:val="both"/>
        <w:rPr>
          <w:rFonts w:ascii="Times New Roman"/>
          <w:color w:val="auto"/>
          <w:szCs w:val="21"/>
          <w:highlight w:val="none"/>
        </w:rPr>
      </w:pPr>
      <w:r>
        <w:rPr>
          <w:rFonts w:hint="eastAsia" w:ascii="Times New Roman"/>
          <w:color w:val="auto"/>
          <w:szCs w:val="21"/>
          <w:highlight w:val="none"/>
        </w:rPr>
        <w:t>　　（一）农、林、牧、渔业。营业收入20000万元以下的为中小微型企业。其中，营业收入500万元及以上的为中型企业，营业收入50万元及以上的为小型企业，营业收入50万元以下的为微型企业。</w:t>
      </w:r>
    </w:p>
    <w:p w14:paraId="3F30C796">
      <w:pPr>
        <w:spacing w:line="380" w:lineRule="exact"/>
        <w:jc w:val="both"/>
        <w:rPr>
          <w:rFonts w:ascii="Times New Roman"/>
          <w:color w:val="auto"/>
          <w:szCs w:val="21"/>
          <w:highlight w:val="none"/>
        </w:rPr>
      </w:pPr>
      <w:r>
        <w:rPr>
          <w:rFonts w:hint="eastAsia" w:ascii="Times New Roman"/>
          <w:color w:val="auto"/>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D658AA7">
      <w:pPr>
        <w:spacing w:line="380" w:lineRule="exact"/>
        <w:jc w:val="both"/>
        <w:rPr>
          <w:rFonts w:ascii="Times New Roman"/>
          <w:color w:val="auto"/>
          <w:szCs w:val="21"/>
          <w:highlight w:val="none"/>
        </w:rPr>
      </w:pPr>
      <w:r>
        <w:rPr>
          <w:rFonts w:hint="eastAsia" w:ascii="Times New Roman"/>
          <w:color w:val="auto"/>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B84F53F">
      <w:pPr>
        <w:spacing w:line="380" w:lineRule="exact"/>
        <w:jc w:val="both"/>
        <w:rPr>
          <w:rFonts w:ascii="Times New Roman"/>
          <w:color w:val="auto"/>
          <w:szCs w:val="21"/>
          <w:highlight w:val="none"/>
        </w:rPr>
      </w:pPr>
      <w:r>
        <w:rPr>
          <w:rFonts w:hint="eastAsia" w:ascii="Times New Roman"/>
          <w:color w:val="auto"/>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6C13DCA">
      <w:pPr>
        <w:spacing w:line="380" w:lineRule="exact"/>
        <w:jc w:val="both"/>
        <w:rPr>
          <w:rFonts w:ascii="Times New Roman"/>
          <w:color w:val="auto"/>
          <w:szCs w:val="21"/>
          <w:highlight w:val="none"/>
        </w:rPr>
      </w:pPr>
      <w:r>
        <w:rPr>
          <w:rFonts w:hint="eastAsia" w:ascii="Times New Roman"/>
          <w:color w:val="auto"/>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E6C484B">
      <w:pPr>
        <w:spacing w:line="380" w:lineRule="exact"/>
        <w:jc w:val="both"/>
        <w:rPr>
          <w:rFonts w:ascii="Times New Roman"/>
          <w:color w:val="auto"/>
          <w:szCs w:val="21"/>
          <w:highlight w:val="none"/>
        </w:rPr>
      </w:pPr>
      <w:r>
        <w:rPr>
          <w:rFonts w:hint="eastAsia" w:ascii="Times New Roman"/>
          <w:color w:val="auto"/>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B1E6441">
      <w:pPr>
        <w:spacing w:line="380" w:lineRule="exact"/>
        <w:jc w:val="both"/>
        <w:rPr>
          <w:rFonts w:ascii="Times New Roman"/>
          <w:color w:val="auto"/>
          <w:szCs w:val="21"/>
          <w:highlight w:val="none"/>
        </w:rPr>
      </w:pPr>
      <w:r>
        <w:rPr>
          <w:rFonts w:hint="eastAsia" w:ascii="Times New Roman"/>
          <w:color w:val="auto"/>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7F8C097">
      <w:pPr>
        <w:spacing w:line="380" w:lineRule="exact"/>
        <w:jc w:val="both"/>
        <w:rPr>
          <w:rFonts w:ascii="Times New Roman"/>
          <w:color w:val="auto"/>
          <w:szCs w:val="21"/>
          <w:highlight w:val="none"/>
        </w:rPr>
      </w:pPr>
      <w:r>
        <w:rPr>
          <w:rFonts w:hint="eastAsia" w:ascii="Times New Roman"/>
          <w:color w:val="auto"/>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D015CCA">
      <w:pPr>
        <w:spacing w:line="380" w:lineRule="exact"/>
        <w:jc w:val="both"/>
        <w:rPr>
          <w:rFonts w:ascii="Times New Roman"/>
          <w:color w:val="auto"/>
          <w:szCs w:val="21"/>
          <w:highlight w:val="none"/>
        </w:rPr>
      </w:pPr>
      <w:r>
        <w:rPr>
          <w:rFonts w:hint="eastAsia" w:ascii="Times New Roman"/>
          <w:color w:val="auto"/>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85175A4">
      <w:pPr>
        <w:spacing w:line="380" w:lineRule="exact"/>
        <w:jc w:val="both"/>
        <w:rPr>
          <w:rFonts w:ascii="Times New Roman"/>
          <w:color w:val="auto"/>
          <w:szCs w:val="21"/>
          <w:highlight w:val="none"/>
        </w:rPr>
      </w:pPr>
      <w:r>
        <w:rPr>
          <w:rFonts w:hint="eastAsia" w:ascii="Times New Roman"/>
          <w:color w:val="auto"/>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81B00A0">
      <w:pPr>
        <w:spacing w:line="380" w:lineRule="exact"/>
        <w:jc w:val="both"/>
        <w:rPr>
          <w:rFonts w:ascii="Times New Roman"/>
          <w:color w:val="auto"/>
          <w:szCs w:val="21"/>
          <w:highlight w:val="none"/>
        </w:rPr>
      </w:pPr>
      <w:r>
        <w:rPr>
          <w:rFonts w:hint="eastAsia" w:ascii="Times New Roman"/>
          <w:color w:val="auto"/>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EF3D11E">
      <w:pPr>
        <w:spacing w:line="380" w:lineRule="exact"/>
        <w:jc w:val="both"/>
        <w:rPr>
          <w:rFonts w:ascii="Times New Roman"/>
          <w:color w:val="auto"/>
          <w:szCs w:val="21"/>
          <w:highlight w:val="none"/>
        </w:rPr>
      </w:pPr>
      <w:r>
        <w:rPr>
          <w:rFonts w:hint="eastAsia" w:ascii="Times New Roman"/>
          <w:color w:val="auto"/>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AAA4150">
      <w:pPr>
        <w:spacing w:line="380" w:lineRule="exact"/>
        <w:jc w:val="both"/>
        <w:rPr>
          <w:rFonts w:ascii="Times New Roman"/>
          <w:color w:val="auto"/>
          <w:szCs w:val="21"/>
          <w:highlight w:val="none"/>
        </w:rPr>
      </w:pPr>
      <w:r>
        <w:rPr>
          <w:rFonts w:hint="eastAsia" w:ascii="Times New Roman"/>
          <w:color w:val="auto"/>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0989CF6">
      <w:pPr>
        <w:spacing w:line="380" w:lineRule="exact"/>
        <w:jc w:val="both"/>
        <w:rPr>
          <w:rFonts w:ascii="Times New Roman"/>
          <w:color w:val="auto"/>
          <w:szCs w:val="21"/>
          <w:highlight w:val="none"/>
        </w:rPr>
      </w:pPr>
      <w:r>
        <w:rPr>
          <w:rFonts w:hint="eastAsia" w:ascii="Times New Roman"/>
          <w:color w:val="auto"/>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9CA6FCC">
      <w:pPr>
        <w:spacing w:line="380" w:lineRule="exact"/>
        <w:jc w:val="both"/>
        <w:rPr>
          <w:rFonts w:ascii="Times New Roman"/>
          <w:color w:val="auto"/>
          <w:szCs w:val="21"/>
          <w:highlight w:val="none"/>
        </w:rPr>
      </w:pPr>
      <w:r>
        <w:rPr>
          <w:rFonts w:hint="eastAsia" w:ascii="Times New Roman"/>
          <w:color w:val="auto"/>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62FA446">
      <w:pPr>
        <w:spacing w:line="380" w:lineRule="exact"/>
        <w:jc w:val="both"/>
        <w:rPr>
          <w:rFonts w:ascii="Times New Roman"/>
          <w:color w:val="auto"/>
          <w:szCs w:val="21"/>
          <w:highlight w:val="none"/>
        </w:rPr>
      </w:pPr>
      <w:r>
        <w:rPr>
          <w:rFonts w:hint="eastAsia" w:ascii="Times New Roman"/>
          <w:color w:val="auto"/>
          <w:szCs w:val="21"/>
          <w:highlight w:val="none"/>
        </w:rPr>
        <w:t>　　（十六）其他未列明行业。从业人员300人以下的为中小微型企业。其中，从业人员100人及以上的为中型企业；从业人员10人及以上的为小型企业；从业人员10人以下的为微型企业。</w:t>
      </w:r>
    </w:p>
    <w:p w14:paraId="7CBDEFFC">
      <w:pPr>
        <w:spacing w:line="380" w:lineRule="exact"/>
        <w:jc w:val="both"/>
        <w:rPr>
          <w:rFonts w:ascii="Times New Roman"/>
          <w:color w:val="auto"/>
          <w:szCs w:val="21"/>
          <w:highlight w:val="none"/>
        </w:rPr>
      </w:pPr>
      <w:r>
        <w:rPr>
          <w:rFonts w:hint="eastAsia" w:ascii="Times New Roman"/>
          <w:color w:val="auto"/>
          <w:szCs w:val="21"/>
          <w:highlight w:val="none"/>
        </w:rPr>
        <w:t>　　五、企业类型的划分以统计部门的统计数据为依据。</w:t>
      </w:r>
    </w:p>
    <w:p w14:paraId="1DAC9F98">
      <w:pPr>
        <w:spacing w:line="380" w:lineRule="exact"/>
        <w:jc w:val="both"/>
        <w:rPr>
          <w:rFonts w:ascii="Times New Roman"/>
          <w:color w:val="auto"/>
          <w:szCs w:val="21"/>
          <w:highlight w:val="none"/>
        </w:rPr>
      </w:pPr>
      <w:r>
        <w:rPr>
          <w:rFonts w:hint="eastAsia" w:ascii="Times New Roman"/>
          <w:color w:val="auto"/>
          <w:szCs w:val="21"/>
          <w:highlight w:val="none"/>
        </w:rPr>
        <w:t>　　六、本规定适用于在中华人民共和国境内依法设立的各类所有制和各种组织形式的企业。个体工商户和本规定以外的行业，参照本规定进行划型。</w:t>
      </w:r>
    </w:p>
    <w:p w14:paraId="0273463E">
      <w:pPr>
        <w:spacing w:line="380" w:lineRule="exact"/>
        <w:jc w:val="both"/>
        <w:rPr>
          <w:rFonts w:ascii="Times New Roman"/>
          <w:color w:val="auto"/>
          <w:szCs w:val="21"/>
          <w:highlight w:val="none"/>
        </w:rPr>
      </w:pPr>
      <w:r>
        <w:rPr>
          <w:rFonts w:hint="eastAsia" w:ascii="Times New Roman"/>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14524E33">
      <w:pPr>
        <w:spacing w:line="380" w:lineRule="exact"/>
        <w:jc w:val="both"/>
        <w:rPr>
          <w:rFonts w:ascii="Times New Roman"/>
          <w:color w:val="auto"/>
          <w:szCs w:val="21"/>
          <w:highlight w:val="none"/>
        </w:rPr>
      </w:pPr>
      <w:r>
        <w:rPr>
          <w:rFonts w:hint="eastAsia" w:ascii="Times New Roman"/>
          <w:color w:val="auto"/>
          <w:szCs w:val="21"/>
          <w:highlight w:val="none"/>
        </w:rPr>
        <w:t>　　八、本规定由工业和信息化部、国家统计局会同有关部门根据《国民经济行业分类》修订情况和企业发展变化情况适时修订。</w:t>
      </w:r>
    </w:p>
    <w:p w14:paraId="348EAB75">
      <w:pPr>
        <w:spacing w:line="380" w:lineRule="exact"/>
        <w:jc w:val="both"/>
        <w:rPr>
          <w:rFonts w:ascii="Times New Roman"/>
          <w:color w:val="auto"/>
          <w:szCs w:val="21"/>
          <w:highlight w:val="none"/>
        </w:rPr>
      </w:pPr>
      <w:r>
        <w:rPr>
          <w:rFonts w:hint="eastAsia" w:ascii="Times New Roman"/>
          <w:color w:val="auto"/>
          <w:szCs w:val="21"/>
          <w:highlight w:val="none"/>
        </w:rPr>
        <w:t>　　九、本规定由工业和信息化部、国家统计局会同有关部门负责解释。</w:t>
      </w:r>
    </w:p>
    <w:p w14:paraId="6054726E">
      <w:pPr>
        <w:widowControl/>
        <w:ind w:firstLine="420"/>
        <w:rPr>
          <w:rFonts w:hAnsi="Calibri"/>
          <w:color w:val="auto"/>
          <w:szCs w:val="21"/>
          <w:highlight w:val="none"/>
        </w:rPr>
      </w:pPr>
      <w:r>
        <w:rPr>
          <w:rFonts w:hint="eastAsia" w:ascii="Times New Roman"/>
          <w:color w:val="auto"/>
          <w:szCs w:val="21"/>
          <w:highlight w:val="none"/>
        </w:rPr>
        <w:t>十、本规定自发布之日起执行，原国家经贸委、原国家计委、财政部和国家统计局2003年颁布的《中小企业标准暂行规定》同时废止。</w:t>
      </w:r>
    </w:p>
    <w:p w14:paraId="22B6D861">
      <w:pPr>
        <w:pStyle w:val="2"/>
        <w:rPr>
          <w:color w:val="auto"/>
          <w:highlight w:val="none"/>
        </w:rPr>
      </w:pPr>
      <w:r>
        <w:rPr>
          <w:color w:val="auto"/>
          <w:highlight w:val="none"/>
        </w:rPr>
        <w:br w:type="page" w:clear="all"/>
      </w:r>
      <w:bookmarkStart w:id="47" w:name="_Toc30637"/>
      <w:r>
        <w:rPr>
          <w:rFonts w:hint="eastAsia"/>
          <w:color w:val="auto"/>
          <w:highlight w:val="none"/>
        </w:rPr>
        <w:t>第三章  投标人须知</w:t>
      </w:r>
      <w:bookmarkEnd w:id="47"/>
    </w:p>
    <w:p w14:paraId="5B97C2B9">
      <w:pPr>
        <w:pStyle w:val="3"/>
        <w:rPr>
          <w:color w:val="auto"/>
          <w:highlight w:val="none"/>
        </w:rPr>
      </w:pPr>
      <w:bookmarkStart w:id="48" w:name="_Toc254970667"/>
      <w:bookmarkStart w:id="49" w:name="_Toc254970526"/>
      <w:r>
        <w:rPr>
          <w:rFonts w:hint="eastAsia"/>
          <w:color w:val="auto"/>
          <w:highlight w:val="none"/>
        </w:rPr>
        <w:t>投标人须知前附表</w:t>
      </w:r>
      <w:bookmarkEnd w:id="48"/>
      <w:bookmarkEnd w:id="49"/>
    </w:p>
    <w:tbl>
      <w:tblPr>
        <w:tblStyle w:val="4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7761"/>
      </w:tblGrid>
      <w:tr w14:paraId="0F795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681629F7">
            <w:pPr>
              <w:rPr>
                <w:rFonts w:hAnsi="宋体"/>
                <w:b/>
                <w:bCs/>
                <w:color w:val="auto"/>
                <w:szCs w:val="21"/>
                <w:highlight w:val="none"/>
              </w:rPr>
            </w:pPr>
            <w:r>
              <w:rPr>
                <w:rFonts w:hint="eastAsia" w:hAnsi="宋体"/>
                <w:b/>
                <w:bCs/>
                <w:color w:val="auto"/>
                <w:szCs w:val="21"/>
                <w:highlight w:val="none"/>
              </w:rPr>
              <w:t>条款号</w:t>
            </w:r>
          </w:p>
        </w:tc>
        <w:tc>
          <w:tcPr>
            <w:tcW w:w="7761" w:type="dxa"/>
            <w:tcBorders>
              <w:top w:val="single" w:color="auto" w:sz="4" w:space="0"/>
              <w:left w:val="single" w:color="auto" w:sz="4" w:space="0"/>
              <w:bottom w:val="single" w:color="auto" w:sz="4" w:space="0"/>
              <w:right w:val="single" w:color="auto" w:sz="4" w:space="0"/>
            </w:tcBorders>
            <w:vAlign w:val="center"/>
          </w:tcPr>
          <w:p w14:paraId="3554E51D">
            <w:pPr>
              <w:jc w:val="center"/>
              <w:rPr>
                <w:rFonts w:hAnsi="宋体"/>
                <w:b/>
                <w:bCs/>
                <w:color w:val="auto"/>
                <w:szCs w:val="21"/>
                <w:highlight w:val="none"/>
              </w:rPr>
            </w:pPr>
            <w:r>
              <w:rPr>
                <w:rFonts w:hint="eastAsia" w:hAnsi="宋体"/>
                <w:b/>
                <w:bCs/>
                <w:color w:val="auto"/>
                <w:szCs w:val="21"/>
                <w:highlight w:val="none"/>
              </w:rPr>
              <w:t>编列内容</w:t>
            </w:r>
          </w:p>
        </w:tc>
      </w:tr>
      <w:tr w14:paraId="3C97E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62C1CB1A">
            <w:pPr>
              <w:jc w:val="center"/>
              <w:rPr>
                <w:rFonts w:hAnsi="宋体"/>
                <w:color w:val="auto"/>
                <w:szCs w:val="21"/>
                <w:highlight w:val="none"/>
              </w:rPr>
            </w:pPr>
            <w:r>
              <w:rPr>
                <w:rFonts w:hint="eastAsia" w:hAnsi="宋体"/>
                <w:color w:val="auto"/>
                <w:szCs w:val="21"/>
                <w:highlight w:val="none"/>
              </w:rPr>
              <w:t>3</w:t>
            </w:r>
          </w:p>
        </w:tc>
        <w:tc>
          <w:tcPr>
            <w:tcW w:w="7761" w:type="dxa"/>
            <w:tcBorders>
              <w:top w:val="single" w:color="auto" w:sz="4" w:space="0"/>
              <w:left w:val="single" w:color="auto" w:sz="4" w:space="0"/>
              <w:bottom w:val="single" w:color="auto" w:sz="4" w:space="0"/>
              <w:right w:val="single" w:color="auto" w:sz="4" w:space="0"/>
            </w:tcBorders>
            <w:vAlign w:val="center"/>
          </w:tcPr>
          <w:p w14:paraId="3F9985ED">
            <w:pPr>
              <w:rPr>
                <w:rFonts w:hAnsi="宋体"/>
                <w:color w:val="auto"/>
                <w:szCs w:val="21"/>
                <w:highlight w:val="none"/>
              </w:rPr>
            </w:pPr>
            <w:r>
              <w:rPr>
                <w:rFonts w:hint="eastAsia" w:hAnsi="宋体"/>
                <w:color w:val="auto"/>
                <w:szCs w:val="21"/>
                <w:highlight w:val="none"/>
              </w:rPr>
              <w:t>1</w:t>
            </w:r>
            <w:r>
              <w:rPr>
                <w:rFonts w:hAnsi="宋体"/>
                <w:color w:val="auto"/>
                <w:szCs w:val="21"/>
                <w:highlight w:val="none"/>
              </w:rPr>
              <w:t>.</w:t>
            </w:r>
            <w:r>
              <w:rPr>
                <w:rFonts w:hint="eastAsia" w:hAnsi="宋体"/>
                <w:color w:val="auto"/>
                <w:szCs w:val="21"/>
                <w:highlight w:val="none"/>
              </w:rPr>
              <w:t>投标人的资格要求详见招标公告。</w:t>
            </w:r>
          </w:p>
          <w:p w14:paraId="7FB3BAFF">
            <w:pPr>
              <w:rPr>
                <w:rFonts w:hAnsi="宋体"/>
                <w:color w:val="auto"/>
                <w:szCs w:val="21"/>
                <w:highlight w:val="none"/>
              </w:rPr>
            </w:pPr>
            <w:r>
              <w:rPr>
                <w:rFonts w:hint="eastAsia" w:hAnsi="宋体"/>
                <w:color w:val="auto"/>
                <w:szCs w:val="21"/>
                <w:highlight w:val="none"/>
              </w:rPr>
              <w:t>2</w:t>
            </w:r>
            <w:r>
              <w:rPr>
                <w:rFonts w:hAnsi="宋体"/>
                <w:color w:val="auto"/>
                <w:szCs w:val="21"/>
                <w:highlight w:val="none"/>
              </w:rPr>
              <w:t>.</w:t>
            </w:r>
            <w:r>
              <w:rPr>
                <w:rFonts w:hint="eastAsia" w:hAnsi="宋体"/>
                <w:color w:val="auto"/>
                <w:szCs w:val="21"/>
                <w:highlight w:val="none"/>
              </w:rPr>
              <w:t>投标人出现下列情形之一的，不得参加政府采购活动：</w:t>
            </w:r>
          </w:p>
          <w:p w14:paraId="2D19CA0A">
            <w:pPr>
              <w:ind w:firstLine="420"/>
              <w:rPr>
                <w:rFonts w:hAnsi="宋体"/>
                <w:color w:val="auto"/>
                <w:szCs w:val="21"/>
                <w:highlight w:val="none"/>
              </w:rPr>
            </w:pPr>
            <w:r>
              <w:rPr>
                <w:rFonts w:hAnsi="宋体"/>
                <w:color w:val="auto"/>
                <w:szCs w:val="21"/>
                <w:highlight w:val="none"/>
              </w:rPr>
              <w:t>2.1</w:t>
            </w:r>
            <w:r>
              <w:rPr>
                <w:rFonts w:hint="eastAsia"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68AFC8">
            <w:pPr>
              <w:ind w:firstLine="420"/>
              <w:rPr>
                <w:rFonts w:hAnsi="宋体"/>
                <w:color w:val="auto"/>
                <w:szCs w:val="21"/>
                <w:highlight w:val="none"/>
              </w:rPr>
            </w:pPr>
            <w:r>
              <w:rPr>
                <w:rFonts w:hAnsi="宋体"/>
                <w:color w:val="auto"/>
                <w:szCs w:val="21"/>
                <w:highlight w:val="none"/>
              </w:rPr>
              <w:t>2.2</w:t>
            </w:r>
            <w:r>
              <w:rPr>
                <w:rFonts w:hint="eastAsia"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B4957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1CD68CF0">
            <w:pPr>
              <w:jc w:val="center"/>
              <w:rPr>
                <w:rFonts w:hAnsi="宋体"/>
                <w:color w:val="auto"/>
                <w:szCs w:val="21"/>
                <w:highlight w:val="none"/>
              </w:rPr>
            </w:pPr>
            <w:bookmarkStart w:id="50" w:name="_5"/>
            <w:bookmarkEnd w:id="50"/>
            <w:bookmarkStart w:id="51" w:name="_8.1"/>
            <w:bookmarkEnd w:id="51"/>
            <w:bookmarkStart w:id="52" w:name="_9.2"/>
            <w:bookmarkEnd w:id="52"/>
            <w:r>
              <w:rPr>
                <w:rFonts w:hint="eastAsia" w:hAnsi="宋体"/>
                <w:color w:val="auto"/>
                <w:szCs w:val="21"/>
                <w:highlight w:val="none"/>
              </w:rPr>
              <w:t>6.1</w:t>
            </w:r>
          </w:p>
        </w:tc>
        <w:tc>
          <w:tcPr>
            <w:tcW w:w="7761" w:type="dxa"/>
            <w:tcBorders>
              <w:top w:val="single" w:color="auto" w:sz="4" w:space="0"/>
              <w:left w:val="single" w:color="auto" w:sz="4" w:space="0"/>
              <w:bottom w:val="single" w:color="auto" w:sz="4" w:space="0"/>
              <w:right w:val="single" w:color="auto" w:sz="4" w:space="0"/>
            </w:tcBorders>
            <w:vAlign w:val="center"/>
          </w:tcPr>
          <w:p w14:paraId="6DE98D54">
            <w:pPr>
              <w:pStyle w:val="15"/>
              <w:rPr>
                <w:rFonts w:hAnsi="宋体"/>
                <w:color w:val="auto"/>
                <w:szCs w:val="21"/>
                <w:highlight w:val="none"/>
              </w:rPr>
            </w:pPr>
            <w:r>
              <w:rPr>
                <w:rFonts w:hint="eastAsia" w:hAnsi="宋体"/>
                <w:color w:val="auto"/>
                <w:szCs w:val="21"/>
                <w:highlight w:val="none"/>
              </w:rPr>
              <w:t>本项目是否接受联合体投标：详见招标公告。</w:t>
            </w:r>
          </w:p>
        </w:tc>
      </w:tr>
      <w:tr w14:paraId="379F0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2BEB9AB2">
            <w:pPr>
              <w:jc w:val="center"/>
              <w:rPr>
                <w:rFonts w:hAnsi="宋体"/>
                <w:color w:val="auto"/>
                <w:szCs w:val="21"/>
                <w:highlight w:val="none"/>
              </w:rPr>
            </w:pPr>
            <w:r>
              <w:rPr>
                <w:rFonts w:hAnsi="宋体"/>
                <w:color w:val="auto"/>
                <w:szCs w:val="21"/>
                <w:highlight w:val="none"/>
              </w:rPr>
              <w:t>6.2</w:t>
            </w:r>
          </w:p>
        </w:tc>
        <w:tc>
          <w:tcPr>
            <w:tcW w:w="7761" w:type="dxa"/>
            <w:tcBorders>
              <w:top w:val="single" w:color="auto" w:sz="4" w:space="0"/>
              <w:left w:val="single" w:color="auto" w:sz="4" w:space="0"/>
              <w:bottom w:val="single" w:color="auto" w:sz="4" w:space="0"/>
              <w:right w:val="single" w:color="auto" w:sz="4" w:space="0"/>
            </w:tcBorders>
            <w:vAlign w:val="center"/>
          </w:tcPr>
          <w:p w14:paraId="089A6ED7">
            <w:pPr>
              <w:pStyle w:val="15"/>
              <w:rPr>
                <w:rFonts w:hAnsi="宋体"/>
                <w:color w:val="auto"/>
                <w:szCs w:val="21"/>
                <w:highlight w:val="none"/>
              </w:rPr>
            </w:pPr>
            <w:bookmarkStart w:id="53" w:name="_Hlk54105293"/>
            <w:r>
              <w:rPr>
                <w:rFonts w:hint="eastAsia" w:hAnsi="宋体"/>
                <w:color w:val="auto"/>
                <w:szCs w:val="21"/>
                <w:highlight w:val="none"/>
              </w:rPr>
              <w:t>如接受联合体投标，</w:t>
            </w:r>
            <w:bookmarkEnd w:id="53"/>
            <w:r>
              <w:rPr>
                <w:rFonts w:hint="eastAsia" w:hAnsi="宋体"/>
                <w:color w:val="auto"/>
                <w:szCs w:val="21"/>
                <w:highlight w:val="none"/>
              </w:rPr>
              <w:t>联合体投标要求如下：</w:t>
            </w:r>
          </w:p>
          <w:p w14:paraId="279AEF38">
            <w:pPr>
              <w:pStyle w:val="15"/>
              <w:ind w:firstLine="420"/>
              <w:rPr>
                <w:rFonts w:hAnsi="宋体"/>
                <w:color w:val="auto"/>
                <w:szCs w:val="21"/>
                <w:highlight w:val="none"/>
              </w:rPr>
            </w:pPr>
            <w:r>
              <w:rPr>
                <w:rFonts w:hint="eastAsia" w:hAnsi="宋体"/>
                <w:color w:val="auto"/>
                <w:szCs w:val="21"/>
                <w:highlight w:val="none"/>
              </w:rPr>
              <w:t>1</w:t>
            </w:r>
            <w:r>
              <w:rPr>
                <w:rFonts w:hAnsi="宋体"/>
                <w:color w:val="auto"/>
                <w:szCs w:val="21"/>
                <w:highlight w:val="none"/>
              </w:rPr>
              <w:t>.</w:t>
            </w:r>
            <w:r>
              <w:rPr>
                <w:rFonts w:hint="eastAsia" w:hAnsi="宋体"/>
                <w:color w:val="auto"/>
                <w:szCs w:val="21"/>
                <w:highlight w:val="none"/>
              </w:rPr>
              <w:t>两个以上投标人可以组成一个投标联合体，以一个投标人的身份共同参加投标。联合体投标的，须提供《联合体投标协议书》（格式后附）。</w:t>
            </w:r>
          </w:p>
          <w:p w14:paraId="7DD80B43">
            <w:pPr>
              <w:pStyle w:val="15"/>
              <w:ind w:firstLine="420"/>
              <w:rPr>
                <w:rFonts w:hAnsi="宋体"/>
                <w:color w:val="auto"/>
                <w:szCs w:val="21"/>
                <w:highlight w:val="none"/>
              </w:rPr>
            </w:pPr>
            <w:r>
              <w:rPr>
                <w:rFonts w:hint="eastAsia" w:hAnsi="宋体"/>
                <w:color w:val="auto"/>
                <w:szCs w:val="21"/>
                <w:highlight w:val="none"/>
              </w:rPr>
              <w:t>2</w:t>
            </w:r>
            <w:r>
              <w:rPr>
                <w:rFonts w:hAnsi="宋体"/>
                <w:color w:val="auto"/>
                <w:szCs w:val="21"/>
                <w:highlight w:val="none"/>
              </w:rPr>
              <w:t>.</w:t>
            </w:r>
            <w:r>
              <w:rPr>
                <w:rFonts w:hint="eastAsia"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6434F3F6">
            <w:pPr>
              <w:pStyle w:val="15"/>
              <w:ind w:firstLine="420"/>
              <w:rPr>
                <w:rFonts w:hAnsi="宋体"/>
                <w:color w:val="auto"/>
                <w:szCs w:val="21"/>
                <w:highlight w:val="none"/>
              </w:rPr>
            </w:pPr>
            <w:r>
              <w:rPr>
                <w:rFonts w:hint="eastAsia" w:hAnsi="宋体"/>
                <w:color w:val="auto"/>
                <w:szCs w:val="21"/>
                <w:highlight w:val="none"/>
              </w:rPr>
              <w:t>3</w:t>
            </w:r>
            <w:r>
              <w:rPr>
                <w:rFonts w:hAnsi="宋体"/>
                <w:color w:val="auto"/>
                <w:szCs w:val="21"/>
                <w:highlight w:val="none"/>
              </w:rPr>
              <w:t>.</w:t>
            </w:r>
            <w:r>
              <w:rPr>
                <w:rFonts w:hint="eastAsia" w:hAnsi="宋体"/>
                <w:color w:val="auto"/>
                <w:szCs w:val="21"/>
                <w:highlight w:val="none"/>
              </w:rPr>
              <w:t>联合体各方之间必须签订联合投标协议，协议书必须明确主体方（或者牵头方）并明确约定联合体各方承担的工作和相应的责任（</w:t>
            </w:r>
            <w:r>
              <w:rPr>
                <w:rFonts w:hint="eastAsia" w:hAnsi="宋体"/>
                <w:b/>
                <w:color w:val="auto"/>
                <w:szCs w:val="21"/>
                <w:highlight w:val="none"/>
              </w:rPr>
              <w:t>各方承担责任与义务的分工必须符合采购需求，否则，联合体投标无效</w:t>
            </w:r>
            <w:r>
              <w:rPr>
                <w:rFonts w:hint="eastAsia" w:hAnsi="宋体"/>
                <w:color w:val="auto"/>
                <w:szCs w:val="21"/>
                <w:highlight w:val="none"/>
              </w:rPr>
              <w:t>），并将联合投标协议放入投标文件。联合体各方必须共同与采购人签订采购合同，就采购合同约定的事项对采购人承担连带责任。</w:t>
            </w:r>
          </w:p>
          <w:p w14:paraId="5E80107D">
            <w:pPr>
              <w:pStyle w:val="15"/>
              <w:ind w:firstLine="420"/>
              <w:rPr>
                <w:rFonts w:hAnsi="宋体"/>
                <w:color w:val="auto"/>
                <w:szCs w:val="21"/>
                <w:highlight w:val="none"/>
              </w:rPr>
            </w:pPr>
            <w:r>
              <w:rPr>
                <w:rFonts w:hint="eastAsia" w:hAnsi="宋体"/>
                <w:color w:val="auto"/>
                <w:szCs w:val="21"/>
                <w:highlight w:val="none"/>
              </w:rPr>
              <w:t>4</w:t>
            </w:r>
            <w:r>
              <w:rPr>
                <w:rFonts w:hAnsi="宋体"/>
                <w:color w:val="auto"/>
                <w:szCs w:val="21"/>
                <w:highlight w:val="none"/>
              </w:rPr>
              <w:t>.</w:t>
            </w:r>
            <w:r>
              <w:rPr>
                <w:rFonts w:hint="eastAsia" w:hAnsi="宋体"/>
                <w:color w:val="auto"/>
                <w:szCs w:val="21"/>
                <w:highlight w:val="none"/>
              </w:rPr>
              <w:t>以联合体形式参加政府采购活动的，联合体各方不得再单独参加或者与其他投标人另外组成联合体参加同一合同项下的政府采购活动。</w:t>
            </w:r>
          </w:p>
          <w:p w14:paraId="7205695E">
            <w:pPr>
              <w:pStyle w:val="15"/>
              <w:ind w:firstLine="420"/>
              <w:rPr>
                <w:rFonts w:hAnsi="宋体"/>
                <w:color w:val="auto"/>
                <w:szCs w:val="21"/>
                <w:highlight w:val="none"/>
              </w:rPr>
            </w:pPr>
            <w:r>
              <w:rPr>
                <w:rFonts w:hint="eastAsia" w:hAnsi="宋体"/>
                <w:color w:val="auto"/>
                <w:szCs w:val="21"/>
                <w:highlight w:val="none"/>
              </w:rPr>
              <w:t>5</w:t>
            </w:r>
            <w:r>
              <w:rPr>
                <w:rFonts w:hAnsi="宋体"/>
                <w:color w:val="auto"/>
                <w:szCs w:val="21"/>
                <w:highlight w:val="none"/>
              </w:rPr>
              <w:t>.</w:t>
            </w:r>
            <w:r>
              <w:rPr>
                <w:rFonts w:hint="eastAsia" w:hAnsi="宋体"/>
                <w:color w:val="auto"/>
                <w:szCs w:val="21"/>
                <w:highlight w:val="none"/>
              </w:rPr>
              <w:t>联合体中有同类资质的投标人按照联合体分工承担相同工作的，应当按照资质等级较低的投标人确定资质等级。</w:t>
            </w:r>
          </w:p>
          <w:p w14:paraId="54A832CF">
            <w:pPr>
              <w:pStyle w:val="15"/>
              <w:ind w:firstLine="420"/>
              <w:rPr>
                <w:rFonts w:hAnsi="宋体"/>
                <w:color w:val="auto"/>
                <w:szCs w:val="21"/>
                <w:highlight w:val="none"/>
              </w:rPr>
            </w:pPr>
            <w:r>
              <w:rPr>
                <w:rFonts w:hint="eastAsia" w:hAnsi="宋体"/>
                <w:color w:val="auto"/>
                <w:szCs w:val="21"/>
                <w:highlight w:val="none"/>
              </w:rPr>
              <w:t>6</w:t>
            </w:r>
            <w:r>
              <w:rPr>
                <w:rFonts w:hAnsi="宋体"/>
                <w:color w:val="auto"/>
                <w:szCs w:val="21"/>
                <w:highlight w:val="none"/>
              </w:rPr>
              <w:t>.</w:t>
            </w:r>
            <w:r>
              <w:rPr>
                <w:rFonts w:hint="eastAsia" w:hAnsi="宋体"/>
                <w:color w:val="auto"/>
                <w:szCs w:val="21"/>
                <w:highlight w:val="none"/>
              </w:rPr>
              <w:t>联合体投标业绩、履约能力按照联合体各方其中较高的一方认定并计算（招标文件另有规定的除外）。</w:t>
            </w:r>
          </w:p>
          <w:p w14:paraId="53B20C2F">
            <w:pPr>
              <w:pStyle w:val="15"/>
              <w:ind w:firstLine="420"/>
              <w:rPr>
                <w:rFonts w:hAnsi="宋体"/>
                <w:color w:val="auto"/>
                <w:szCs w:val="21"/>
                <w:highlight w:val="none"/>
              </w:rPr>
            </w:pPr>
            <w:r>
              <w:rPr>
                <w:rFonts w:hint="eastAsia" w:hAnsi="宋体"/>
                <w:color w:val="auto"/>
                <w:szCs w:val="21"/>
                <w:highlight w:val="none"/>
              </w:rPr>
              <w:t>7</w:t>
            </w:r>
            <w:r>
              <w:rPr>
                <w:rFonts w:hAnsi="宋体"/>
                <w:color w:val="auto"/>
                <w:szCs w:val="21"/>
                <w:highlight w:val="none"/>
              </w:rPr>
              <w:t>.</w:t>
            </w:r>
            <w:r>
              <w:rPr>
                <w:rFonts w:hint="eastAsia" w:hAnsi="宋体"/>
                <w:color w:val="auto"/>
                <w:szCs w:val="21"/>
                <w:highlight w:val="none"/>
              </w:rPr>
              <w:t>投标人为联合体的，可以由联合体中的一方或者多方共同交纳投标保证金，其交纳的保证金对联合体各方均具有约束力。</w:t>
            </w:r>
          </w:p>
          <w:p w14:paraId="708A50DF">
            <w:pPr>
              <w:pStyle w:val="15"/>
              <w:ind w:firstLine="420"/>
              <w:rPr>
                <w:rFonts w:hAnsi="宋体"/>
                <w:color w:val="auto"/>
                <w:szCs w:val="21"/>
                <w:highlight w:val="none"/>
              </w:rPr>
            </w:pPr>
            <w:r>
              <w:rPr>
                <w:rFonts w:hint="eastAsia" w:hAnsi="宋体"/>
                <w:color w:val="auto"/>
                <w:szCs w:val="21"/>
                <w:highlight w:val="none"/>
              </w:rPr>
              <w:t>8</w:t>
            </w:r>
            <w:r>
              <w:rPr>
                <w:rFonts w:hAnsi="宋体"/>
                <w:color w:val="auto"/>
                <w:szCs w:val="21"/>
                <w:highlight w:val="none"/>
              </w:rPr>
              <w:t>.</w:t>
            </w:r>
            <w:r>
              <w:rPr>
                <w:rFonts w:hint="eastAsia" w:hAnsi="宋体"/>
                <w:color w:val="auto"/>
                <w:szCs w:val="21"/>
                <w:highlight w:val="none"/>
              </w:rPr>
              <w:t>联合体各方均应按照招标文件的规定提交资格证明文件。</w:t>
            </w:r>
          </w:p>
        </w:tc>
      </w:tr>
      <w:tr w14:paraId="6C287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057A6164">
            <w:pPr>
              <w:jc w:val="center"/>
              <w:rPr>
                <w:rFonts w:hAnsi="宋体"/>
                <w:color w:val="auto"/>
                <w:szCs w:val="21"/>
                <w:highlight w:val="none"/>
              </w:rPr>
            </w:pPr>
            <w:r>
              <w:rPr>
                <w:rFonts w:hint="eastAsia" w:hAnsi="宋体"/>
                <w:color w:val="auto"/>
                <w:szCs w:val="21"/>
                <w:highlight w:val="none"/>
              </w:rPr>
              <w:t>7.2</w:t>
            </w:r>
          </w:p>
        </w:tc>
        <w:tc>
          <w:tcPr>
            <w:tcW w:w="7761" w:type="dxa"/>
            <w:tcBorders>
              <w:top w:val="single" w:color="auto" w:sz="4" w:space="0"/>
              <w:left w:val="single" w:color="auto" w:sz="4" w:space="0"/>
              <w:bottom w:val="single" w:color="auto" w:sz="4" w:space="0"/>
              <w:right w:val="single" w:color="auto" w:sz="4" w:space="0"/>
            </w:tcBorders>
            <w:vAlign w:val="center"/>
          </w:tcPr>
          <w:p w14:paraId="42F6EB3B">
            <w:pPr>
              <w:rPr>
                <w:rFonts w:hAnsi="宋体"/>
                <w:b/>
                <w:bCs/>
                <w:color w:val="auto"/>
                <w:szCs w:val="21"/>
                <w:highlight w:val="none"/>
              </w:rPr>
            </w:pPr>
            <w:r>
              <w:rPr>
                <w:rFonts w:hAnsi="宋体"/>
                <w:b/>
                <w:bCs/>
                <w:color w:val="auto"/>
                <w:szCs w:val="21"/>
                <w:highlight w:val="none"/>
              </w:rPr>
              <w:fldChar w:fldCharType="begin"/>
            </w:r>
            <w:r>
              <w:rPr>
                <w:rFonts w:hAnsi="宋体"/>
                <w:b/>
                <w:bCs/>
                <w:color w:val="auto"/>
                <w:szCs w:val="21"/>
                <w:highlight w:val="none"/>
              </w:rPr>
              <w:instrText xml:space="preserve"> </w:instrText>
            </w:r>
            <w:r>
              <w:rPr>
                <w:rFonts w:hint="eastAsia" w:hAnsi="宋体"/>
                <w:b/>
                <w:bCs/>
                <w:color w:val="auto"/>
                <w:szCs w:val="21"/>
                <w:highlight w:val="none"/>
              </w:rPr>
              <w:instrText xml:space="preserve">eq \o\ac(□,</w:instrText>
            </w:r>
            <w:r>
              <w:rPr>
                <w:rFonts w:hint="eastAsia" w:hAnsi="宋体"/>
                <w:b/>
                <w:bCs/>
                <w:color w:val="auto"/>
                <w:position w:val="2"/>
                <w:sz w:val="13"/>
                <w:szCs w:val="21"/>
                <w:highlight w:val="none"/>
              </w:rPr>
              <w:instrText xml:space="preserve">√</w:instrText>
            </w:r>
            <w:r>
              <w:rPr>
                <w:rFonts w:hint="eastAsia" w:hAnsi="宋体"/>
                <w:b/>
                <w:bCs/>
                <w:color w:val="auto"/>
                <w:szCs w:val="21"/>
                <w:highlight w:val="none"/>
              </w:rPr>
              <w:instrText xml:space="preserve">)</w:instrText>
            </w:r>
            <w:r>
              <w:rPr>
                <w:rFonts w:hAnsi="宋体"/>
                <w:b/>
                <w:bCs/>
                <w:color w:val="auto"/>
                <w:szCs w:val="21"/>
                <w:highlight w:val="none"/>
              </w:rPr>
              <w:fldChar w:fldCharType="end"/>
            </w:r>
            <w:r>
              <w:rPr>
                <w:rFonts w:hint="eastAsia" w:hAnsi="宋体"/>
                <w:b/>
                <w:bCs/>
                <w:color w:val="auto"/>
                <w:szCs w:val="21"/>
                <w:highlight w:val="none"/>
              </w:rPr>
              <w:t>不允许分包</w:t>
            </w:r>
          </w:p>
          <w:p w14:paraId="15AB0F3A">
            <w:pPr>
              <w:rPr>
                <w:rFonts w:hAnsi="宋体"/>
                <w:color w:val="auto"/>
                <w:szCs w:val="21"/>
                <w:highlight w:val="none"/>
              </w:rPr>
            </w:pPr>
            <w:r>
              <w:rPr>
                <w:rFonts w:hint="eastAsia" w:hAnsi="宋体"/>
                <w:color w:val="auto"/>
                <w:szCs w:val="21"/>
                <w:highlight w:val="none"/>
              </w:rPr>
              <w:t>□允许分包</w:t>
            </w:r>
          </w:p>
          <w:p w14:paraId="5E73E0E9">
            <w:pPr>
              <w:ind w:firstLine="420"/>
              <w:rPr>
                <w:rFonts w:hAnsi="宋体"/>
                <w:color w:val="auto"/>
                <w:szCs w:val="21"/>
                <w:highlight w:val="none"/>
              </w:rPr>
            </w:pPr>
            <w:r>
              <w:rPr>
                <w:rFonts w:hint="eastAsia" w:hAnsi="宋体"/>
                <w:color w:val="auto"/>
                <w:szCs w:val="21"/>
                <w:highlight w:val="none"/>
              </w:rPr>
              <w:t>分包内容</w:t>
            </w:r>
            <w:r>
              <w:rPr>
                <w:rFonts w:hint="eastAsia" w:hAnsi="宋体"/>
                <w:color w:val="auto"/>
                <w:szCs w:val="21"/>
                <w:highlight w:val="none"/>
                <w:lang w:eastAsia="zh-CN"/>
              </w:rPr>
              <w:t>：</w:t>
            </w:r>
          </w:p>
          <w:p w14:paraId="1E88375E">
            <w:pPr>
              <w:ind w:firstLine="420"/>
              <w:rPr>
                <w:rFonts w:hAnsi="宋体"/>
                <w:color w:val="auto"/>
                <w:szCs w:val="21"/>
                <w:highlight w:val="none"/>
                <w:u w:val="single"/>
              </w:rPr>
            </w:pPr>
            <w:r>
              <w:rPr>
                <w:rFonts w:hint="eastAsia" w:hAnsi="宋体"/>
                <w:color w:val="auto"/>
                <w:szCs w:val="21"/>
                <w:highlight w:val="none"/>
              </w:rPr>
              <w:t>分包金额或者比例：</w:t>
            </w:r>
            <w:r>
              <w:rPr>
                <w:rFonts w:hint="eastAsia" w:hAnsi="宋体"/>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u w:val="single"/>
              </w:rPr>
              <w:t xml:space="preserve">         </w:t>
            </w:r>
            <w:r>
              <w:rPr>
                <w:rFonts w:hint="eastAsia" w:hAnsi="宋体"/>
                <w:color w:val="auto"/>
                <w:szCs w:val="21"/>
                <w:highlight w:val="none"/>
              </w:rPr>
              <w:t>。</w:t>
            </w:r>
          </w:p>
        </w:tc>
      </w:tr>
      <w:tr w14:paraId="671D5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037CFAAF">
            <w:pPr>
              <w:jc w:val="center"/>
              <w:rPr>
                <w:rFonts w:hAnsi="宋体"/>
                <w:color w:val="auto"/>
                <w:szCs w:val="21"/>
                <w:highlight w:val="none"/>
              </w:rPr>
            </w:pPr>
            <w:r>
              <w:rPr>
                <w:rFonts w:hint="eastAsia" w:hAnsi="宋体"/>
                <w:color w:val="auto"/>
                <w:szCs w:val="21"/>
                <w:highlight w:val="none"/>
              </w:rPr>
              <w:t>8.1</w:t>
            </w:r>
          </w:p>
        </w:tc>
        <w:tc>
          <w:tcPr>
            <w:tcW w:w="7761" w:type="dxa"/>
            <w:tcBorders>
              <w:top w:val="single" w:color="auto" w:sz="4" w:space="0"/>
              <w:left w:val="single" w:color="auto" w:sz="4" w:space="0"/>
              <w:bottom w:val="single" w:color="auto" w:sz="4" w:space="0"/>
              <w:right w:val="single" w:color="auto" w:sz="4" w:space="0"/>
            </w:tcBorders>
            <w:vAlign w:val="center"/>
          </w:tcPr>
          <w:p w14:paraId="6CA9C51E">
            <w:pPr>
              <w:rPr>
                <w:rFonts w:hAnsi="宋体"/>
                <w:color w:val="auto"/>
                <w:szCs w:val="21"/>
                <w:highlight w:val="none"/>
              </w:rPr>
            </w:pPr>
            <w:r>
              <w:rPr>
                <w:rFonts w:hint="eastAsia" w:hAnsi="宋体"/>
                <w:color w:val="auto"/>
                <w:szCs w:val="21"/>
                <w:highlight w:val="none"/>
              </w:rPr>
              <w:t>采用最低评标价法的采购项目，提供相同品牌产品（非单一产品采购项目的，指核心产品）的不同投标人评标报价相同时，按照下列方式确定一个投标人获得中标供应商推荐资格：</w:t>
            </w:r>
          </w:p>
          <w:p w14:paraId="2922A84D">
            <w:pPr>
              <w:ind w:firstLine="420"/>
              <w:rPr>
                <w:rFonts w:hAnsi="宋体"/>
                <w:color w:val="auto"/>
                <w:szCs w:val="21"/>
                <w:highlight w:val="none"/>
              </w:rPr>
            </w:pPr>
            <w:r>
              <w:rPr>
                <w:rFonts w:hint="eastAsia" w:hAnsi="宋体"/>
                <w:color w:val="auto"/>
                <w:szCs w:val="21"/>
                <w:highlight w:val="none"/>
              </w:rPr>
              <w:t>□依次按投标报价低的优先、带“</w:t>
            </w:r>
            <w:r>
              <w:rPr>
                <w:rFonts w:hint="eastAsia" w:hAnsi="宋体" w:cs="宋体"/>
                <w:color w:val="auto"/>
                <w:szCs w:val="21"/>
                <w:highlight w:val="none"/>
              </w:rPr>
              <w:t>△</w:t>
            </w:r>
            <w:r>
              <w:rPr>
                <w:rFonts w:hint="eastAsia" w:hAnsi="宋体"/>
                <w:color w:val="auto"/>
                <w:szCs w:val="21"/>
                <w:highlight w:val="none"/>
              </w:rPr>
              <w:t>”的要求正偏离项数多的优先、均无正偏离或者正偏离项数一致时负偏离项数少的优先、质保期长优先、交货期短优先、故障响应时间短优先的顺序推荐。</w:t>
            </w:r>
          </w:p>
          <w:p w14:paraId="319F5F26">
            <w:pPr>
              <w:ind w:firstLine="420"/>
              <w:rPr>
                <w:rFonts w:hAnsi="宋体"/>
                <w:color w:val="auto"/>
                <w:szCs w:val="21"/>
                <w:highlight w:val="none"/>
              </w:rPr>
            </w:pPr>
            <w:r>
              <w:rPr>
                <w:rFonts w:hint="eastAsia" w:hAnsi="宋体"/>
                <w:color w:val="auto"/>
                <w:szCs w:val="21"/>
                <w:highlight w:val="none"/>
              </w:rPr>
              <w:t>□随机抽取；</w:t>
            </w:r>
          </w:p>
          <w:p w14:paraId="4A121217">
            <w:pPr>
              <w:ind w:firstLine="420"/>
              <w:rPr>
                <w:rFonts w:hAnsi="宋体"/>
                <w:color w:val="auto"/>
                <w:sz w:val="22"/>
                <w:szCs w:val="22"/>
                <w:highlight w:val="none"/>
              </w:rPr>
            </w:pPr>
            <w:r>
              <w:rPr>
                <w:rFonts w:hint="eastAsia" w:hAnsi="宋体"/>
                <w:color w:val="auto"/>
                <w:szCs w:val="21"/>
                <w:highlight w:val="none"/>
              </w:rPr>
              <w:t>□……</w:t>
            </w:r>
          </w:p>
          <w:p w14:paraId="324CDBAA">
            <w:pPr>
              <w:rPr>
                <w:rFonts w:hAnsi="宋体"/>
                <w:color w:val="auto"/>
                <w:szCs w:val="21"/>
                <w:highlight w:val="none"/>
              </w:rPr>
            </w:pPr>
            <w:r>
              <w:rPr>
                <w:rFonts w:hint="eastAsia" w:hAnsi="宋体"/>
                <w:color w:val="auto"/>
                <w:sz w:val="22"/>
                <w:szCs w:val="22"/>
                <w:highlight w:val="none"/>
              </w:rPr>
              <w:t>采用综合评分法的采购项目，</w:t>
            </w:r>
            <w:r>
              <w:rPr>
                <w:rFonts w:hint="eastAsia" w:hAnsi="宋体"/>
                <w:color w:val="auto"/>
                <w:szCs w:val="21"/>
                <w:highlight w:val="none"/>
              </w:rPr>
              <w:t>提供相同品牌产品（非单一产品采购项目的，指核心产品）的不同投标人评审得分相同时，按照下列方式确定一个投标人获得中标供应商推荐资格：</w:t>
            </w:r>
          </w:p>
          <w:p w14:paraId="4993E465">
            <w:pPr>
              <w:ind w:firstLine="422"/>
              <w:rPr>
                <w:rFonts w:hAnsi="宋体"/>
                <w:b/>
                <w:bCs/>
                <w:color w:val="auto"/>
                <w:szCs w:val="21"/>
                <w:highlight w:val="none"/>
              </w:rPr>
            </w:pPr>
            <w:r>
              <w:rPr>
                <w:rFonts w:hAnsi="宋体"/>
                <w:b/>
                <w:bCs/>
                <w:color w:val="auto"/>
                <w:szCs w:val="21"/>
                <w:highlight w:val="none"/>
              </w:rPr>
              <w:fldChar w:fldCharType="begin"/>
            </w:r>
            <w:r>
              <w:rPr>
                <w:rFonts w:hAnsi="宋体"/>
                <w:b/>
                <w:bCs/>
                <w:color w:val="auto"/>
                <w:szCs w:val="21"/>
                <w:highlight w:val="none"/>
              </w:rPr>
              <w:instrText xml:space="preserve"> </w:instrText>
            </w:r>
            <w:r>
              <w:rPr>
                <w:rFonts w:hint="eastAsia" w:hAnsi="宋体"/>
                <w:b/>
                <w:bCs/>
                <w:color w:val="auto"/>
                <w:szCs w:val="21"/>
                <w:highlight w:val="none"/>
              </w:rPr>
              <w:instrText xml:space="preserve">eq \o\ac(□,√)</w:instrText>
            </w:r>
            <w:r>
              <w:rPr>
                <w:rFonts w:hAnsi="宋体"/>
                <w:b/>
                <w:bCs/>
                <w:color w:val="auto"/>
                <w:szCs w:val="21"/>
                <w:highlight w:val="none"/>
              </w:rPr>
              <w:fldChar w:fldCharType="end"/>
            </w:r>
            <w:r>
              <w:rPr>
                <w:rFonts w:hint="eastAsia" w:hAnsi="宋体"/>
                <w:b/>
                <w:bCs/>
                <w:color w:val="auto"/>
                <w:szCs w:val="21"/>
                <w:highlight w:val="none"/>
              </w:rPr>
              <w:t>依次按投标报价低的优先、政策分得分高的优先、技术评分高的优先、商务评分高的优先、质保期长优先、交货期短优先、故障响应时间短优先的顺序推荐；</w:t>
            </w:r>
          </w:p>
          <w:p w14:paraId="49ADD626">
            <w:pPr>
              <w:ind w:firstLine="420"/>
              <w:rPr>
                <w:rFonts w:hAnsi="宋体"/>
                <w:color w:val="auto"/>
                <w:szCs w:val="21"/>
                <w:highlight w:val="none"/>
              </w:rPr>
            </w:pPr>
            <w:r>
              <w:rPr>
                <w:rFonts w:hint="eastAsia" w:hAnsi="宋体"/>
                <w:color w:val="auto"/>
                <w:szCs w:val="21"/>
                <w:highlight w:val="none"/>
              </w:rPr>
              <w:t>□随机抽取；</w:t>
            </w:r>
          </w:p>
          <w:p w14:paraId="2CFD5961">
            <w:pPr>
              <w:ind w:firstLine="420"/>
              <w:rPr>
                <w:rFonts w:hAnsi="宋体"/>
                <w:color w:val="auto"/>
                <w:szCs w:val="21"/>
                <w:highlight w:val="none"/>
              </w:rPr>
            </w:pPr>
            <w:r>
              <w:rPr>
                <w:rFonts w:hint="eastAsia" w:hAnsi="宋体"/>
                <w:color w:val="auto"/>
                <w:szCs w:val="21"/>
                <w:highlight w:val="none"/>
              </w:rPr>
              <w:t>□……</w:t>
            </w:r>
          </w:p>
        </w:tc>
      </w:tr>
      <w:tr w14:paraId="6C15F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jc w:val="center"/>
        </w:trPr>
        <w:tc>
          <w:tcPr>
            <w:tcW w:w="959" w:type="dxa"/>
            <w:vMerge w:val="restart"/>
            <w:tcBorders>
              <w:top w:val="single" w:color="auto" w:sz="4" w:space="0"/>
              <w:left w:val="single" w:color="auto" w:sz="4" w:space="0"/>
              <w:bottom w:val="single" w:color="auto" w:sz="4" w:space="0"/>
              <w:right w:val="single" w:color="auto" w:sz="4" w:space="0"/>
            </w:tcBorders>
            <w:vAlign w:val="center"/>
          </w:tcPr>
          <w:p w14:paraId="48F00D77">
            <w:pPr>
              <w:jc w:val="center"/>
              <w:rPr>
                <w:rFonts w:hAnsi="宋体"/>
                <w:color w:val="auto"/>
                <w:szCs w:val="21"/>
                <w:highlight w:val="none"/>
              </w:rPr>
            </w:pPr>
            <w:r>
              <w:rPr>
                <w:rFonts w:hint="eastAsia" w:hAnsi="宋体"/>
                <w:color w:val="auto"/>
                <w:szCs w:val="21"/>
                <w:highlight w:val="none"/>
              </w:rPr>
              <w:t>1</w:t>
            </w:r>
            <w:r>
              <w:rPr>
                <w:rFonts w:hAnsi="宋体"/>
                <w:color w:val="auto"/>
                <w:szCs w:val="21"/>
                <w:highlight w:val="none"/>
              </w:rPr>
              <w:t>1.2</w:t>
            </w:r>
          </w:p>
        </w:tc>
        <w:tc>
          <w:tcPr>
            <w:tcW w:w="7761" w:type="dxa"/>
            <w:tcBorders>
              <w:top w:val="single" w:color="auto" w:sz="4" w:space="0"/>
              <w:left w:val="single" w:color="auto" w:sz="4" w:space="0"/>
              <w:bottom w:val="single" w:color="auto" w:sz="4" w:space="0"/>
              <w:right w:val="single" w:color="auto" w:sz="4" w:space="0"/>
            </w:tcBorders>
            <w:vAlign w:val="center"/>
          </w:tcPr>
          <w:p w14:paraId="3C415E67">
            <w:pPr>
              <w:rPr>
                <w:rFonts w:hAnsi="宋体"/>
                <w:b/>
                <w:bCs/>
                <w:color w:val="auto"/>
                <w:szCs w:val="21"/>
                <w:highlight w:val="none"/>
              </w:rPr>
            </w:pPr>
            <w:r>
              <w:rPr>
                <w:rFonts w:hAnsi="宋体"/>
                <w:b/>
                <w:bCs/>
                <w:color w:val="auto"/>
                <w:szCs w:val="21"/>
                <w:highlight w:val="none"/>
              </w:rPr>
              <w:fldChar w:fldCharType="begin"/>
            </w:r>
            <w:r>
              <w:rPr>
                <w:rFonts w:hAnsi="宋体"/>
                <w:b/>
                <w:bCs/>
                <w:color w:val="auto"/>
                <w:szCs w:val="21"/>
                <w:highlight w:val="none"/>
              </w:rPr>
              <w:instrText xml:space="preserve"> </w:instrText>
            </w:r>
            <w:r>
              <w:rPr>
                <w:rFonts w:hint="eastAsia" w:hAnsi="宋体"/>
                <w:b/>
                <w:bCs/>
                <w:color w:val="auto"/>
                <w:szCs w:val="21"/>
                <w:highlight w:val="none"/>
              </w:rPr>
              <w:instrText xml:space="preserve">eq \o\ac(□,</w:instrText>
            </w:r>
            <w:r>
              <w:rPr>
                <w:rFonts w:hint="eastAsia" w:hAnsi="宋体"/>
                <w:b/>
                <w:bCs/>
                <w:color w:val="auto"/>
                <w:position w:val="2"/>
                <w:sz w:val="13"/>
                <w:szCs w:val="21"/>
                <w:highlight w:val="none"/>
              </w:rPr>
              <w:instrText xml:space="preserve">√</w:instrText>
            </w:r>
            <w:r>
              <w:rPr>
                <w:rFonts w:hint="eastAsia" w:hAnsi="宋体"/>
                <w:b/>
                <w:bCs/>
                <w:color w:val="auto"/>
                <w:szCs w:val="21"/>
                <w:highlight w:val="none"/>
              </w:rPr>
              <w:instrText xml:space="preserve">)</w:instrText>
            </w:r>
            <w:r>
              <w:rPr>
                <w:rFonts w:hAnsi="宋体"/>
                <w:b/>
                <w:bCs/>
                <w:color w:val="auto"/>
                <w:szCs w:val="21"/>
                <w:highlight w:val="none"/>
              </w:rPr>
              <w:fldChar w:fldCharType="end"/>
            </w:r>
            <w:r>
              <w:rPr>
                <w:rFonts w:hint="eastAsia" w:hAnsi="宋体"/>
                <w:b/>
                <w:bCs/>
                <w:color w:val="auto"/>
                <w:szCs w:val="21"/>
                <w:highlight w:val="none"/>
              </w:rPr>
              <w:t>不组织现场考察</w:t>
            </w:r>
          </w:p>
          <w:p w14:paraId="5CF7311C">
            <w:pPr>
              <w:rPr>
                <w:rFonts w:hAnsi="宋体"/>
                <w:color w:val="auto"/>
                <w:szCs w:val="21"/>
                <w:highlight w:val="none"/>
              </w:rPr>
            </w:pPr>
            <w:r>
              <w:rPr>
                <w:rFonts w:hint="eastAsia" w:hAnsi="宋体"/>
                <w:color w:val="auto"/>
                <w:szCs w:val="21"/>
                <w:highlight w:val="none"/>
              </w:rPr>
              <w:t>□组织现场考察：</w:t>
            </w:r>
          </w:p>
          <w:p w14:paraId="06CCFCCC">
            <w:pPr>
              <w:widowControl/>
              <w:ind w:firstLine="420"/>
              <w:rPr>
                <w:rFonts w:hAnsi="宋体"/>
                <w:color w:val="auto"/>
                <w:szCs w:val="21"/>
                <w:highlight w:val="none"/>
                <w:u w:val="single"/>
              </w:rPr>
            </w:pPr>
            <w:r>
              <w:rPr>
                <w:rFonts w:hint="eastAsia" w:hAnsi="宋体"/>
                <w:color w:val="auto"/>
                <w:szCs w:val="21"/>
                <w:highlight w:val="none"/>
              </w:rPr>
              <w:t>集中时间：</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时</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分，逾期后果自负。集中地点：</w:t>
            </w:r>
            <w:r>
              <w:rPr>
                <w:rFonts w:hint="eastAsia" w:hAnsi="宋体"/>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u w:val="single"/>
              </w:rPr>
              <w:t xml:space="preserve"> </w:t>
            </w:r>
            <w:r>
              <w:rPr>
                <w:rFonts w:hint="eastAsia" w:hAnsi="宋体"/>
                <w:color w:val="auto"/>
                <w:szCs w:val="21"/>
                <w:highlight w:val="none"/>
              </w:rPr>
              <w:t>。</w:t>
            </w:r>
          </w:p>
          <w:p w14:paraId="010ACEBE">
            <w:pPr>
              <w:widowControl/>
              <w:ind w:firstLine="420"/>
              <w:rPr>
                <w:rFonts w:hAnsi="宋体"/>
                <w:color w:val="auto"/>
                <w:szCs w:val="21"/>
                <w:highlight w:val="none"/>
                <w:u w:val="single"/>
              </w:rPr>
            </w:pPr>
            <w:r>
              <w:rPr>
                <w:rFonts w:hint="eastAsia" w:hAnsi="宋体"/>
                <w:color w:val="auto"/>
                <w:szCs w:val="21"/>
                <w:highlight w:val="none"/>
              </w:rPr>
              <w:t>联系人：</w:t>
            </w:r>
            <w:r>
              <w:rPr>
                <w:rFonts w:hint="eastAsia" w:hAnsi="宋体"/>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u w:val="single"/>
              </w:rPr>
              <w:t xml:space="preserve"> </w:t>
            </w:r>
            <w:r>
              <w:rPr>
                <w:rFonts w:hint="eastAsia" w:hAnsi="宋体"/>
                <w:color w:val="auto"/>
                <w:szCs w:val="21"/>
                <w:highlight w:val="none"/>
              </w:rPr>
              <w:t>；联系电话：</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w:t>
            </w:r>
          </w:p>
        </w:tc>
      </w:tr>
      <w:tr w14:paraId="229D5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jc w:val="center"/>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128521CE">
            <w:pPr>
              <w:jc w:val="center"/>
              <w:rPr>
                <w:rFonts w:hAnsi="宋体"/>
                <w:color w:val="auto"/>
                <w:szCs w:val="21"/>
                <w:highlight w:val="none"/>
              </w:rPr>
            </w:pPr>
          </w:p>
        </w:tc>
        <w:tc>
          <w:tcPr>
            <w:tcW w:w="7761" w:type="dxa"/>
            <w:tcBorders>
              <w:top w:val="single" w:color="auto" w:sz="4" w:space="0"/>
              <w:left w:val="single" w:color="auto" w:sz="4" w:space="0"/>
              <w:bottom w:val="single" w:color="auto" w:sz="4" w:space="0"/>
              <w:right w:val="single" w:color="auto" w:sz="4" w:space="0"/>
            </w:tcBorders>
            <w:vAlign w:val="center"/>
          </w:tcPr>
          <w:p w14:paraId="186EA754">
            <w:pPr>
              <w:rPr>
                <w:rFonts w:hAnsi="宋体"/>
                <w:b/>
                <w:bCs/>
                <w:color w:val="auto"/>
                <w:szCs w:val="21"/>
                <w:highlight w:val="none"/>
              </w:rPr>
            </w:pPr>
            <w:r>
              <w:rPr>
                <w:rFonts w:hAnsi="宋体"/>
                <w:b/>
                <w:bCs/>
                <w:color w:val="auto"/>
                <w:szCs w:val="21"/>
                <w:highlight w:val="none"/>
              </w:rPr>
              <w:fldChar w:fldCharType="begin"/>
            </w:r>
            <w:r>
              <w:rPr>
                <w:rFonts w:hAnsi="宋体"/>
                <w:b/>
                <w:bCs/>
                <w:color w:val="auto"/>
                <w:szCs w:val="21"/>
                <w:highlight w:val="none"/>
              </w:rPr>
              <w:instrText xml:space="preserve"> </w:instrText>
            </w:r>
            <w:r>
              <w:rPr>
                <w:rFonts w:hint="eastAsia" w:hAnsi="宋体"/>
                <w:b/>
                <w:bCs/>
                <w:color w:val="auto"/>
                <w:szCs w:val="21"/>
                <w:highlight w:val="none"/>
              </w:rPr>
              <w:instrText xml:space="preserve">eq \o\ac(□,√)</w:instrText>
            </w:r>
            <w:r>
              <w:rPr>
                <w:rFonts w:hAnsi="宋体"/>
                <w:b/>
                <w:bCs/>
                <w:color w:val="auto"/>
                <w:szCs w:val="21"/>
                <w:highlight w:val="none"/>
              </w:rPr>
              <w:fldChar w:fldCharType="end"/>
            </w:r>
            <w:r>
              <w:rPr>
                <w:rFonts w:hint="eastAsia" w:hAnsi="宋体"/>
                <w:b/>
                <w:bCs/>
                <w:color w:val="auto"/>
                <w:szCs w:val="21"/>
                <w:highlight w:val="none"/>
              </w:rPr>
              <w:t>不组织召开开标前答疑会</w:t>
            </w:r>
          </w:p>
          <w:p w14:paraId="68160849">
            <w:pPr>
              <w:rPr>
                <w:rFonts w:hAnsi="宋体"/>
                <w:color w:val="auto"/>
                <w:szCs w:val="21"/>
                <w:highlight w:val="none"/>
              </w:rPr>
            </w:pPr>
            <w:r>
              <w:rPr>
                <w:rFonts w:hint="eastAsia" w:hAnsi="宋体"/>
                <w:color w:val="auto"/>
                <w:szCs w:val="21"/>
                <w:highlight w:val="none"/>
              </w:rPr>
              <w:t>□组织召开开标前答疑会</w:t>
            </w:r>
          </w:p>
          <w:p w14:paraId="3048B4A5">
            <w:pPr>
              <w:ind w:firstLine="420"/>
              <w:rPr>
                <w:rFonts w:hAnsi="宋体"/>
                <w:color w:val="auto"/>
                <w:szCs w:val="21"/>
                <w:highlight w:val="none"/>
              </w:rPr>
            </w:pPr>
            <w:r>
              <w:rPr>
                <w:rFonts w:hint="eastAsia" w:hAnsi="宋体"/>
                <w:color w:val="auto"/>
                <w:szCs w:val="21"/>
                <w:highlight w:val="none"/>
              </w:rPr>
              <w:t>会议开始时间：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时</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分，逾期后果自负。会议地点：</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w:t>
            </w:r>
          </w:p>
        </w:tc>
      </w:tr>
      <w:tr w14:paraId="4E3BD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vMerge w:val="restart"/>
            <w:tcBorders>
              <w:top w:val="single" w:color="auto" w:sz="4" w:space="0"/>
              <w:left w:val="single" w:color="auto" w:sz="4" w:space="0"/>
              <w:bottom w:val="single" w:color="auto" w:sz="4" w:space="0"/>
              <w:right w:val="single" w:color="auto" w:sz="4" w:space="0"/>
            </w:tcBorders>
            <w:vAlign w:val="center"/>
          </w:tcPr>
          <w:p w14:paraId="6C9CB0D6">
            <w:pPr>
              <w:jc w:val="center"/>
              <w:rPr>
                <w:rFonts w:hAnsi="宋体"/>
                <w:color w:val="auto"/>
                <w:szCs w:val="21"/>
                <w:highlight w:val="none"/>
              </w:rPr>
            </w:pPr>
            <w:bookmarkStart w:id="54" w:name="_13.1"/>
            <w:bookmarkEnd w:id="54"/>
            <w:r>
              <w:rPr>
                <w:rFonts w:hint="eastAsia" w:hAnsi="宋体"/>
                <w:color w:val="auto"/>
                <w:szCs w:val="21"/>
                <w:highlight w:val="none"/>
              </w:rPr>
              <w:t>13</w:t>
            </w:r>
          </w:p>
        </w:tc>
        <w:tc>
          <w:tcPr>
            <w:tcW w:w="7761" w:type="dxa"/>
            <w:tcBorders>
              <w:top w:val="single" w:color="auto" w:sz="4" w:space="0"/>
              <w:left w:val="single" w:color="auto" w:sz="4" w:space="0"/>
              <w:bottom w:val="single" w:color="auto" w:sz="4" w:space="0"/>
              <w:right w:val="single" w:color="auto" w:sz="4" w:space="0"/>
            </w:tcBorders>
            <w:vAlign w:val="center"/>
          </w:tcPr>
          <w:p w14:paraId="5238F0B6">
            <w:pPr>
              <w:rPr>
                <w:rFonts w:hAnsi="宋体" w:cs="Courier New"/>
                <w:b/>
                <w:color w:val="auto"/>
                <w:szCs w:val="21"/>
                <w:highlight w:val="none"/>
              </w:rPr>
            </w:pPr>
            <w:r>
              <w:rPr>
                <w:rFonts w:hint="eastAsia" w:hAnsi="宋体" w:cs="Courier New"/>
                <w:b/>
                <w:color w:val="auto"/>
                <w:szCs w:val="21"/>
                <w:highlight w:val="none"/>
              </w:rPr>
              <w:t>报价文件：</w:t>
            </w:r>
          </w:p>
          <w:p w14:paraId="6D775067">
            <w:pPr>
              <w:ind w:left="420"/>
              <w:rPr>
                <w:rFonts w:hAnsi="宋体"/>
                <w:color w:val="auto"/>
                <w:szCs w:val="21"/>
                <w:highlight w:val="none"/>
              </w:rPr>
            </w:pPr>
            <w:r>
              <w:rPr>
                <w:rFonts w:hint="eastAsia" w:hAnsi="宋体"/>
                <w:b/>
                <w:bCs/>
                <w:color w:val="auto"/>
                <w:szCs w:val="21"/>
                <w:highlight w:val="none"/>
              </w:rPr>
              <w:t>1.</w:t>
            </w:r>
            <w:r>
              <w:rPr>
                <w:rFonts w:hint="eastAsia" w:hAnsi="宋体"/>
                <w:color w:val="auto"/>
                <w:szCs w:val="21"/>
                <w:highlight w:val="none"/>
              </w:rPr>
              <w:t>投标函（格式后附）；</w:t>
            </w:r>
            <w:r>
              <w:rPr>
                <w:rFonts w:hint="eastAsia" w:hAnsi="宋体"/>
                <w:b/>
                <w:color w:val="auto"/>
                <w:szCs w:val="21"/>
                <w:highlight w:val="none"/>
              </w:rPr>
              <w:t>（必须提供，否则按无效投标处理）</w:t>
            </w:r>
          </w:p>
          <w:p w14:paraId="15547AE7">
            <w:pPr>
              <w:ind w:left="420"/>
              <w:rPr>
                <w:rFonts w:hAnsi="宋体"/>
                <w:color w:val="auto"/>
                <w:szCs w:val="21"/>
                <w:highlight w:val="none"/>
              </w:rPr>
            </w:pPr>
            <w:r>
              <w:rPr>
                <w:rFonts w:hint="eastAsia" w:hAnsi="宋体"/>
                <w:b/>
                <w:bCs/>
                <w:color w:val="auto"/>
                <w:szCs w:val="21"/>
                <w:highlight w:val="none"/>
              </w:rPr>
              <w:t>2.</w:t>
            </w:r>
            <w:r>
              <w:rPr>
                <w:rFonts w:hint="eastAsia" w:hAnsi="宋体"/>
                <w:color w:val="auto"/>
                <w:szCs w:val="21"/>
                <w:highlight w:val="none"/>
              </w:rPr>
              <w:t>开标一览表（格式后附）；（</w:t>
            </w:r>
            <w:r>
              <w:rPr>
                <w:rFonts w:hint="eastAsia" w:hAnsi="宋体"/>
                <w:b/>
                <w:color w:val="auto"/>
                <w:szCs w:val="21"/>
                <w:highlight w:val="none"/>
              </w:rPr>
              <w:t>必须提供，否则按无效投标处理</w:t>
            </w:r>
            <w:r>
              <w:rPr>
                <w:rFonts w:hint="eastAsia" w:hAnsi="宋体"/>
                <w:color w:val="auto"/>
                <w:szCs w:val="21"/>
                <w:highlight w:val="none"/>
              </w:rPr>
              <w:t>）</w:t>
            </w:r>
          </w:p>
          <w:p w14:paraId="76366818">
            <w:pPr>
              <w:ind w:left="459" w:hanging="39"/>
              <w:rPr>
                <w:rFonts w:hAnsi="宋体"/>
                <w:color w:val="auto"/>
                <w:szCs w:val="21"/>
                <w:highlight w:val="none"/>
              </w:rPr>
            </w:pPr>
            <w:r>
              <w:rPr>
                <w:rFonts w:hint="eastAsia" w:hAnsi="宋体"/>
                <w:b/>
                <w:color w:val="auto"/>
                <w:szCs w:val="21"/>
                <w:highlight w:val="none"/>
              </w:rPr>
              <w:t>3</w:t>
            </w:r>
            <w:r>
              <w:rPr>
                <w:rFonts w:hAnsi="宋体"/>
                <w:b/>
                <w:color w:val="auto"/>
                <w:szCs w:val="21"/>
                <w:highlight w:val="none"/>
              </w:rPr>
              <w:t>.</w:t>
            </w:r>
            <w:r>
              <w:rPr>
                <w:rFonts w:hAnsi="宋体"/>
                <w:color w:val="auto"/>
                <w:szCs w:val="21"/>
                <w:highlight w:val="none"/>
              </w:rPr>
              <w:t>《</w:t>
            </w:r>
            <w:r>
              <w:rPr>
                <w:rFonts w:hint="eastAsia" w:hAnsi="宋体"/>
                <w:color w:val="auto"/>
                <w:szCs w:val="21"/>
                <w:highlight w:val="none"/>
              </w:rPr>
              <w:t>关于符合本国产品标准的声明函</w:t>
            </w:r>
            <w:r>
              <w:rPr>
                <w:rFonts w:hAnsi="宋体"/>
                <w:color w:val="auto"/>
                <w:szCs w:val="21"/>
                <w:highlight w:val="none"/>
              </w:rPr>
              <w:t>》</w:t>
            </w:r>
            <w:r>
              <w:rPr>
                <w:rFonts w:hint="eastAsia" w:hAnsi="宋体"/>
                <w:color w:val="auto"/>
                <w:szCs w:val="21"/>
                <w:highlight w:val="none"/>
              </w:rPr>
              <w:t>或者财政部会同有关部门规定的有关证明文件；（投标人根据自身响应情况出具）</w:t>
            </w:r>
          </w:p>
          <w:p w14:paraId="2044650B">
            <w:pPr>
              <w:ind w:left="420"/>
              <w:rPr>
                <w:rFonts w:hAnsi="宋体"/>
                <w:color w:val="auto"/>
                <w:szCs w:val="21"/>
                <w:highlight w:val="none"/>
              </w:rPr>
            </w:pPr>
            <w:r>
              <w:rPr>
                <w:rFonts w:hint="eastAsia" w:hAnsi="宋体"/>
                <w:b/>
                <w:bCs/>
                <w:color w:val="auto"/>
                <w:szCs w:val="21"/>
                <w:highlight w:val="none"/>
              </w:rPr>
              <w:t>4.</w:t>
            </w:r>
            <w:r>
              <w:rPr>
                <w:rFonts w:hint="eastAsia" w:hAnsi="宋体"/>
                <w:color w:val="auto"/>
                <w:szCs w:val="21"/>
                <w:highlight w:val="none"/>
              </w:rPr>
              <w:t>投标人针对报价需要说明的其他文件和说明（格式自拟）。</w:t>
            </w:r>
          </w:p>
        </w:tc>
      </w:tr>
      <w:tr w14:paraId="16C95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444D61E6">
            <w:pPr>
              <w:jc w:val="center"/>
              <w:rPr>
                <w:rFonts w:hAnsi="宋体"/>
                <w:color w:val="auto"/>
                <w:szCs w:val="21"/>
                <w:highlight w:val="none"/>
              </w:rPr>
            </w:pPr>
            <w:bookmarkStart w:id="55" w:name="_13.2"/>
            <w:bookmarkEnd w:id="55"/>
          </w:p>
        </w:tc>
        <w:tc>
          <w:tcPr>
            <w:tcW w:w="7761" w:type="dxa"/>
            <w:tcBorders>
              <w:top w:val="single" w:color="auto" w:sz="4" w:space="0"/>
              <w:left w:val="single" w:color="auto" w:sz="4" w:space="0"/>
              <w:bottom w:val="single" w:color="auto" w:sz="4" w:space="0"/>
              <w:right w:val="single" w:color="auto" w:sz="4" w:space="0"/>
            </w:tcBorders>
            <w:vAlign w:val="center"/>
          </w:tcPr>
          <w:p w14:paraId="67B18F4A">
            <w:pPr>
              <w:rPr>
                <w:rFonts w:hAnsi="宋体" w:cs="Courier New"/>
                <w:b/>
                <w:color w:val="auto"/>
                <w:szCs w:val="21"/>
                <w:highlight w:val="none"/>
              </w:rPr>
            </w:pPr>
            <w:r>
              <w:rPr>
                <w:rFonts w:hint="eastAsia" w:hAnsi="宋体" w:cs="Courier New"/>
                <w:b/>
                <w:color w:val="auto"/>
                <w:szCs w:val="21"/>
                <w:highlight w:val="none"/>
              </w:rPr>
              <w:t>资格证明文件</w:t>
            </w:r>
          </w:p>
          <w:p w14:paraId="21D308D0">
            <w:pPr>
              <w:ind w:left="420"/>
              <w:rPr>
                <w:rFonts w:hAnsi="宋体"/>
                <w:color w:val="auto"/>
                <w:szCs w:val="21"/>
                <w:highlight w:val="none"/>
              </w:rPr>
            </w:pPr>
            <w:r>
              <w:rPr>
                <w:rFonts w:hint="eastAsia" w:hAnsi="宋体"/>
                <w:b/>
                <w:bCs/>
                <w:color w:val="auto"/>
                <w:szCs w:val="21"/>
                <w:highlight w:val="none"/>
              </w:rPr>
              <w:t>1.</w:t>
            </w:r>
            <w:r>
              <w:rPr>
                <w:rFonts w:hint="eastAsia" w:hAnsi="宋体"/>
                <w:color w:val="auto"/>
                <w:szCs w:val="21"/>
                <w:highlight w:val="none"/>
              </w:rPr>
              <w:t>投标人为法人或者其他组织的，提供有效的营业执照等证明文件</w:t>
            </w:r>
            <w:r>
              <w:rPr>
                <w:rFonts w:hint="eastAsia" w:hAnsi="宋体" w:cs="宋体"/>
                <w:color w:val="auto"/>
                <w:szCs w:val="21"/>
                <w:highlight w:val="none"/>
              </w:rPr>
              <w:t>（如营业执照或者事业单位法人证书或者</w:t>
            </w:r>
            <w:r>
              <w:rPr>
                <w:rStyle w:val="275"/>
                <w:color w:val="auto"/>
                <w:sz w:val="21"/>
                <w:szCs w:val="21"/>
                <w:highlight w:val="none"/>
              </w:rPr>
              <w:t>执业许可证</w:t>
            </w:r>
            <w:r>
              <w:rPr>
                <w:rFonts w:hint="eastAsia" w:hAnsi="宋体" w:cs="宋体"/>
                <w:color w:val="auto"/>
                <w:szCs w:val="21"/>
                <w:highlight w:val="none"/>
              </w:rPr>
              <w:t>或者登记证书等）</w:t>
            </w:r>
            <w:r>
              <w:rPr>
                <w:rFonts w:hint="eastAsia" w:hAnsi="宋体"/>
                <w:color w:val="auto"/>
                <w:szCs w:val="21"/>
                <w:highlight w:val="none"/>
              </w:rPr>
              <w:t>，投标人为自然人的，提供身份证</w:t>
            </w:r>
            <w:r>
              <w:rPr>
                <w:rFonts w:hint="eastAsia" w:hAnsi="宋体" w:cs="宋体"/>
                <w:color w:val="auto"/>
                <w:szCs w:val="21"/>
                <w:highlight w:val="none"/>
              </w:rPr>
              <w:t>复印件</w:t>
            </w:r>
            <w:r>
              <w:rPr>
                <w:rFonts w:hint="eastAsia" w:hAnsi="宋体"/>
                <w:color w:val="auto"/>
                <w:szCs w:val="21"/>
                <w:highlight w:val="none"/>
              </w:rPr>
              <w:t>；（</w:t>
            </w:r>
            <w:r>
              <w:rPr>
                <w:rFonts w:hint="eastAsia" w:hAnsi="宋体"/>
                <w:b/>
                <w:color w:val="auto"/>
                <w:szCs w:val="21"/>
                <w:highlight w:val="none"/>
              </w:rPr>
              <w:t>必须提供，否则按无效投标处理</w:t>
            </w:r>
            <w:r>
              <w:rPr>
                <w:rFonts w:hint="eastAsia" w:hAnsi="宋体"/>
                <w:color w:val="auto"/>
                <w:szCs w:val="21"/>
                <w:highlight w:val="none"/>
              </w:rPr>
              <w:t>）</w:t>
            </w:r>
          </w:p>
          <w:p w14:paraId="28EE58C0">
            <w:pPr>
              <w:ind w:left="420"/>
              <w:rPr>
                <w:rFonts w:hAnsi="宋体"/>
                <w:color w:val="auto"/>
                <w:szCs w:val="21"/>
                <w:highlight w:val="none"/>
              </w:rPr>
            </w:pPr>
            <w:r>
              <w:rPr>
                <w:rFonts w:hint="eastAsia" w:hAnsi="宋体"/>
                <w:b/>
                <w:bCs/>
                <w:color w:val="auto"/>
                <w:szCs w:val="21"/>
                <w:highlight w:val="none"/>
              </w:rPr>
              <w:t>2.</w:t>
            </w:r>
            <w:r>
              <w:rPr>
                <w:rFonts w:hint="eastAsia"/>
                <w:color w:val="auto"/>
                <w:highlight w:val="none"/>
              </w:rPr>
              <w:t>本项目专门面向中小微企业，制造商必须为中型或小型或微型企业（监狱企业、残疾人福利单位视同小微企业），投标文件中必须提供中小企业声明函或残疾人福利性单位声明函或供应商属于监狱企业的证明材料，</w:t>
            </w:r>
            <w:r>
              <w:rPr>
                <w:rFonts w:hint="eastAsia"/>
                <w:b/>
                <w:bCs/>
                <w:color w:val="auto"/>
                <w:highlight w:val="none"/>
              </w:rPr>
              <w:t>否则投标文件按无效投标处理</w:t>
            </w:r>
            <w:r>
              <w:rPr>
                <w:rFonts w:hint="eastAsia"/>
                <w:color w:val="auto"/>
                <w:highlight w:val="none"/>
              </w:rPr>
              <w:t>。</w:t>
            </w:r>
          </w:p>
          <w:p w14:paraId="3805E1DD">
            <w:pPr>
              <w:ind w:left="420"/>
              <w:rPr>
                <w:rFonts w:hAnsi="宋体" w:cs="Courier New"/>
                <w:bCs/>
                <w:color w:val="auto"/>
                <w:szCs w:val="21"/>
                <w:highlight w:val="none"/>
              </w:rPr>
            </w:pPr>
            <w:r>
              <w:rPr>
                <w:rFonts w:hint="eastAsia" w:hAnsi="宋体" w:cs="Courier New"/>
                <w:b/>
                <w:color w:val="auto"/>
                <w:szCs w:val="21"/>
                <w:highlight w:val="none"/>
              </w:rPr>
              <w:t>3</w:t>
            </w:r>
            <w:r>
              <w:rPr>
                <w:rFonts w:hAnsi="宋体" w:cs="Courier New"/>
                <w:b/>
                <w:color w:val="auto"/>
                <w:szCs w:val="21"/>
                <w:highlight w:val="none"/>
              </w:rPr>
              <w:t>.</w:t>
            </w:r>
            <w:r>
              <w:rPr>
                <w:rFonts w:hint="eastAsia" w:hAnsi="宋体" w:cs="Courier New"/>
                <w:bCs/>
                <w:color w:val="auto"/>
                <w:szCs w:val="21"/>
                <w:highlight w:val="none"/>
              </w:rPr>
              <w:t>政府采购供应商资格信用承诺函</w:t>
            </w:r>
            <w:r>
              <w:rPr>
                <w:rFonts w:hint="eastAsia" w:hAnsi="宋体"/>
                <w:color w:val="auto"/>
                <w:szCs w:val="21"/>
                <w:highlight w:val="none"/>
              </w:rPr>
              <w:t>（格式后附）</w:t>
            </w:r>
            <w:r>
              <w:rPr>
                <w:rFonts w:hint="eastAsia" w:hAnsi="宋体" w:cs="Courier New"/>
                <w:bCs/>
                <w:color w:val="auto"/>
                <w:szCs w:val="21"/>
                <w:highlight w:val="none"/>
              </w:rPr>
              <w:t>；</w:t>
            </w:r>
            <w:r>
              <w:rPr>
                <w:rFonts w:hint="eastAsia" w:hAnsi="宋体"/>
                <w:color w:val="auto"/>
                <w:szCs w:val="21"/>
                <w:highlight w:val="none"/>
              </w:rPr>
              <w:t>（</w:t>
            </w:r>
            <w:r>
              <w:rPr>
                <w:rFonts w:hint="eastAsia" w:hAnsi="宋体"/>
                <w:b/>
                <w:color w:val="auto"/>
                <w:szCs w:val="21"/>
                <w:highlight w:val="none"/>
              </w:rPr>
              <w:t>必须提供，否则按无效投标处理</w:t>
            </w:r>
            <w:r>
              <w:rPr>
                <w:rFonts w:hint="eastAsia" w:hAnsi="宋体"/>
                <w:color w:val="auto"/>
                <w:szCs w:val="21"/>
                <w:highlight w:val="none"/>
              </w:rPr>
              <w:t>）</w:t>
            </w:r>
          </w:p>
          <w:p w14:paraId="54B6AE01">
            <w:pPr>
              <w:ind w:left="420"/>
              <w:rPr>
                <w:rFonts w:hAnsi="宋体"/>
                <w:color w:val="auto"/>
                <w:szCs w:val="21"/>
                <w:highlight w:val="none"/>
              </w:rPr>
            </w:pPr>
            <w:r>
              <w:rPr>
                <w:rFonts w:hint="eastAsia" w:hAnsi="宋体"/>
                <w:b/>
                <w:color w:val="auto"/>
                <w:szCs w:val="21"/>
                <w:highlight w:val="none"/>
              </w:rPr>
              <w:t>4</w:t>
            </w:r>
            <w:r>
              <w:rPr>
                <w:rFonts w:hAnsi="宋体"/>
                <w:b/>
                <w:color w:val="auto"/>
                <w:szCs w:val="21"/>
                <w:highlight w:val="none"/>
              </w:rPr>
              <w:t>.</w:t>
            </w:r>
            <w:r>
              <w:rPr>
                <w:rFonts w:hint="eastAsia" w:hAnsi="宋体"/>
                <w:color w:val="auto"/>
                <w:szCs w:val="21"/>
                <w:highlight w:val="none"/>
              </w:rPr>
              <w:t>投标人直接控股股东信息表（格式后附）；（</w:t>
            </w:r>
            <w:r>
              <w:rPr>
                <w:rFonts w:hint="eastAsia" w:hAnsi="宋体"/>
                <w:b/>
                <w:color w:val="auto"/>
                <w:szCs w:val="21"/>
                <w:highlight w:val="none"/>
              </w:rPr>
              <w:t>必须提供，否则按无效投标处理</w:t>
            </w:r>
            <w:r>
              <w:rPr>
                <w:rFonts w:hint="eastAsia" w:hAnsi="宋体"/>
                <w:color w:val="auto"/>
                <w:szCs w:val="21"/>
                <w:highlight w:val="none"/>
              </w:rPr>
              <w:t>）</w:t>
            </w:r>
          </w:p>
          <w:p w14:paraId="7F3E4A94">
            <w:pPr>
              <w:ind w:left="420"/>
              <w:rPr>
                <w:rFonts w:hAnsi="宋体"/>
                <w:color w:val="auto"/>
                <w:szCs w:val="21"/>
                <w:highlight w:val="none"/>
              </w:rPr>
            </w:pPr>
            <w:r>
              <w:rPr>
                <w:rFonts w:hint="eastAsia" w:hAnsi="宋体"/>
                <w:b/>
                <w:color w:val="auto"/>
                <w:szCs w:val="21"/>
                <w:highlight w:val="none"/>
              </w:rPr>
              <w:t>5</w:t>
            </w:r>
            <w:r>
              <w:rPr>
                <w:rFonts w:hAnsi="宋体"/>
                <w:b/>
                <w:color w:val="auto"/>
                <w:szCs w:val="21"/>
                <w:highlight w:val="none"/>
              </w:rPr>
              <w:t>.</w:t>
            </w:r>
            <w:r>
              <w:rPr>
                <w:rFonts w:hint="eastAsia" w:hAnsi="宋体"/>
                <w:color w:val="auto"/>
                <w:szCs w:val="21"/>
                <w:highlight w:val="none"/>
              </w:rPr>
              <w:t>投标人直接管理关系信息表（格式后附）；（</w:t>
            </w:r>
            <w:r>
              <w:rPr>
                <w:rFonts w:hint="eastAsia" w:hAnsi="宋体"/>
                <w:b/>
                <w:color w:val="auto"/>
                <w:szCs w:val="21"/>
                <w:highlight w:val="none"/>
              </w:rPr>
              <w:t>必须提供，否则按无效投标处理</w:t>
            </w:r>
            <w:r>
              <w:rPr>
                <w:rFonts w:hint="eastAsia" w:hAnsi="宋体"/>
                <w:color w:val="auto"/>
                <w:szCs w:val="21"/>
                <w:highlight w:val="none"/>
              </w:rPr>
              <w:t>）</w:t>
            </w:r>
          </w:p>
          <w:p w14:paraId="7E924739">
            <w:pPr>
              <w:ind w:left="420"/>
              <w:rPr>
                <w:rFonts w:hAnsi="宋体" w:cs="Courier New"/>
                <w:b/>
                <w:color w:val="auto"/>
                <w:szCs w:val="21"/>
                <w:highlight w:val="none"/>
              </w:rPr>
            </w:pPr>
            <w:r>
              <w:rPr>
                <w:rFonts w:hint="eastAsia" w:hAnsi="宋体" w:cs="Courier New"/>
                <w:b/>
                <w:color w:val="auto"/>
                <w:szCs w:val="21"/>
                <w:highlight w:val="none"/>
              </w:rPr>
              <w:t>6</w:t>
            </w:r>
            <w:r>
              <w:rPr>
                <w:rFonts w:hAnsi="宋体" w:cs="Courier New"/>
                <w:b/>
                <w:color w:val="auto"/>
                <w:szCs w:val="21"/>
                <w:highlight w:val="none"/>
              </w:rPr>
              <w:t>.</w:t>
            </w:r>
            <w:r>
              <w:rPr>
                <w:rFonts w:hint="eastAsia" w:hAnsi="宋体"/>
                <w:color w:val="auto"/>
                <w:szCs w:val="21"/>
                <w:highlight w:val="none"/>
              </w:rPr>
              <w:t>联合体协议书（格式后附）；（</w:t>
            </w:r>
            <w:r>
              <w:rPr>
                <w:rFonts w:hint="eastAsia" w:hAnsi="宋体"/>
                <w:b/>
                <w:color w:val="auto"/>
                <w:szCs w:val="21"/>
                <w:highlight w:val="none"/>
              </w:rPr>
              <w:t>联合体投标时必须提供，否则按无效投标处理</w:t>
            </w:r>
            <w:r>
              <w:rPr>
                <w:rFonts w:hint="eastAsia" w:hAnsi="宋体"/>
                <w:color w:val="auto"/>
                <w:szCs w:val="21"/>
                <w:highlight w:val="none"/>
              </w:rPr>
              <w:t>）</w:t>
            </w:r>
          </w:p>
          <w:p w14:paraId="4CC33F6E">
            <w:pPr>
              <w:ind w:left="420"/>
              <w:rPr>
                <w:rFonts w:hAnsi="宋体" w:cs="Courier New"/>
                <w:b/>
                <w:color w:val="auto"/>
                <w:szCs w:val="21"/>
                <w:highlight w:val="none"/>
              </w:rPr>
            </w:pPr>
            <w:r>
              <w:rPr>
                <w:rFonts w:hint="eastAsia" w:hAnsi="宋体" w:cs="Courier New"/>
                <w:b/>
                <w:color w:val="auto"/>
                <w:szCs w:val="21"/>
                <w:highlight w:val="none"/>
              </w:rPr>
              <w:t>7</w:t>
            </w:r>
            <w:r>
              <w:rPr>
                <w:rFonts w:hAnsi="宋体" w:cs="Courier New"/>
                <w:b/>
                <w:color w:val="auto"/>
                <w:szCs w:val="21"/>
                <w:highlight w:val="none"/>
              </w:rPr>
              <w:t>.</w:t>
            </w:r>
            <w:r>
              <w:rPr>
                <w:rFonts w:hint="eastAsia" w:hAnsi="宋体"/>
                <w:color w:val="auto"/>
                <w:szCs w:val="21"/>
                <w:highlight w:val="none"/>
              </w:rPr>
              <w:t>除招标文件规定必须提供以外，投标人认为需要提供的其他证明材料。</w:t>
            </w:r>
          </w:p>
          <w:p w14:paraId="79654430">
            <w:pPr>
              <w:rPr>
                <w:rFonts w:hAnsi="宋体" w:cs="Courier New"/>
                <w:b/>
                <w:color w:val="auto"/>
                <w:szCs w:val="21"/>
                <w:highlight w:val="none"/>
              </w:rPr>
            </w:pPr>
            <w:r>
              <w:rPr>
                <w:rFonts w:hint="eastAsia" w:hAnsi="宋体"/>
                <w:b/>
                <w:bCs/>
                <w:color w:val="auto"/>
                <w:szCs w:val="21"/>
                <w:highlight w:val="none"/>
              </w:rPr>
              <w:t>注：1.以上标明“必须提供”的材料属于复印件的，必须加盖投标人电子签章，否则按无效投标</w:t>
            </w:r>
            <w:r>
              <w:rPr>
                <w:rFonts w:hint="eastAsia" w:hAnsi="宋体" w:cs="Courier New"/>
                <w:b/>
                <w:color w:val="auto"/>
                <w:szCs w:val="21"/>
                <w:highlight w:val="none"/>
              </w:rPr>
              <w:t>处理。</w:t>
            </w:r>
          </w:p>
          <w:p w14:paraId="3CF5CE7D">
            <w:pPr>
              <w:ind w:firstLine="422"/>
              <w:rPr>
                <w:rFonts w:hAnsi="宋体"/>
                <w:b/>
                <w:bCs/>
                <w:color w:val="auto"/>
                <w:szCs w:val="21"/>
                <w:highlight w:val="none"/>
              </w:rPr>
            </w:pPr>
            <w:r>
              <w:rPr>
                <w:rFonts w:hint="eastAsia" w:hAnsi="宋体"/>
                <w:b/>
                <w:bCs/>
                <w:color w:val="auto"/>
                <w:szCs w:val="21"/>
                <w:highlight w:val="none"/>
              </w:rPr>
              <w:t>2.联合体投标时，第1-5项资格证明文件联合体各方均必须分别提供，</w:t>
            </w:r>
            <w:r>
              <w:rPr>
                <w:rFonts w:hint="eastAsia" w:hAnsi="宋体"/>
                <w:b/>
                <w:color w:val="auto"/>
                <w:szCs w:val="21"/>
                <w:highlight w:val="none"/>
              </w:rPr>
              <w:t>并由</w:t>
            </w:r>
            <w:r>
              <w:rPr>
                <w:rFonts w:hint="eastAsia" w:hAnsi="宋体" w:cs="宋体"/>
                <w:b/>
                <w:color w:val="auto"/>
                <w:szCs w:val="21"/>
                <w:highlight w:val="none"/>
              </w:rPr>
              <w:t>联合体</w:t>
            </w:r>
            <w:r>
              <w:rPr>
                <w:rFonts w:hint="eastAsia" w:hAnsi="宋体"/>
                <w:b/>
                <w:color w:val="auto"/>
                <w:szCs w:val="21"/>
                <w:highlight w:val="none"/>
              </w:rPr>
              <w:t>牵头人加盖电子签章</w:t>
            </w:r>
            <w:r>
              <w:rPr>
                <w:rFonts w:hint="eastAsia" w:hAnsi="宋体"/>
                <w:b/>
                <w:color w:val="auto"/>
                <w:szCs w:val="21"/>
                <w:highlight w:val="none"/>
                <w:lang w:eastAsia="zh-CN"/>
              </w:rPr>
              <w:t>，在</w:t>
            </w:r>
            <w:r>
              <w:rPr>
                <w:rFonts w:hint="eastAsia" w:hAnsi="宋体"/>
                <w:b/>
                <w:color w:val="auto"/>
                <w:szCs w:val="21"/>
                <w:highlight w:val="none"/>
              </w:rPr>
              <w:t>规定签字</w:t>
            </w:r>
            <w:r>
              <w:rPr>
                <w:rFonts w:hint="eastAsia" w:hAnsi="宋体" w:cs="宋体"/>
                <w:b/>
                <w:color w:val="auto"/>
                <w:szCs w:val="21"/>
                <w:highlight w:val="none"/>
              </w:rPr>
              <w:t>处签字</w:t>
            </w:r>
            <w:r>
              <w:rPr>
                <w:rFonts w:hint="eastAsia" w:hAnsi="宋体"/>
                <w:b/>
                <w:bCs/>
                <w:color w:val="auto"/>
                <w:szCs w:val="21"/>
                <w:highlight w:val="none"/>
              </w:rPr>
              <w:t>（或者电子签名），否则按无效投标</w:t>
            </w:r>
            <w:r>
              <w:rPr>
                <w:rFonts w:hint="eastAsia" w:hAnsi="宋体" w:cs="Courier New"/>
                <w:b/>
                <w:color w:val="auto"/>
                <w:szCs w:val="21"/>
                <w:highlight w:val="none"/>
              </w:rPr>
              <w:t>处理</w:t>
            </w:r>
            <w:r>
              <w:rPr>
                <w:rFonts w:hint="eastAsia" w:hAnsi="宋体"/>
                <w:b/>
                <w:bCs/>
                <w:color w:val="auto"/>
                <w:szCs w:val="21"/>
                <w:highlight w:val="none"/>
              </w:rPr>
              <w:t>。</w:t>
            </w:r>
          </w:p>
        </w:tc>
      </w:tr>
      <w:tr w14:paraId="4558F8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vMerge w:val="continue"/>
            <w:tcBorders>
              <w:top w:val="single" w:color="auto" w:sz="4" w:space="0"/>
              <w:left w:val="single" w:color="auto" w:sz="4" w:space="0"/>
              <w:bottom w:val="single" w:color="auto" w:sz="4" w:space="0"/>
              <w:right w:val="single" w:color="auto" w:sz="4" w:space="0"/>
            </w:tcBorders>
            <w:vAlign w:val="center"/>
          </w:tcPr>
          <w:p w14:paraId="2BD3DE2B">
            <w:pPr>
              <w:jc w:val="center"/>
              <w:rPr>
                <w:rFonts w:hAnsi="宋体"/>
                <w:color w:val="auto"/>
                <w:szCs w:val="21"/>
                <w:highlight w:val="none"/>
              </w:rPr>
            </w:pPr>
            <w:bookmarkStart w:id="56" w:name="_13.3"/>
            <w:bookmarkEnd w:id="56"/>
          </w:p>
        </w:tc>
        <w:tc>
          <w:tcPr>
            <w:tcW w:w="7761" w:type="dxa"/>
            <w:tcBorders>
              <w:top w:val="single" w:color="auto" w:sz="4" w:space="0"/>
              <w:left w:val="single" w:color="auto" w:sz="4" w:space="0"/>
              <w:bottom w:val="single" w:color="auto" w:sz="4" w:space="0"/>
              <w:right w:val="single" w:color="auto" w:sz="4" w:space="0"/>
            </w:tcBorders>
            <w:vAlign w:val="center"/>
          </w:tcPr>
          <w:p w14:paraId="79FEDCED">
            <w:pPr>
              <w:rPr>
                <w:rFonts w:hAnsi="宋体" w:cs="Courier New"/>
                <w:b/>
                <w:color w:val="auto"/>
                <w:szCs w:val="21"/>
                <w:highlight w:val="none"/>
              </w:rPr>
            </w:pPr>
            <w:r>
              <w:rPr>
                <w:rFonts w:hint="eastAsia" w:hAnsi="宋体" w:cs="Courier New"/>
                <w:b/>
                <w:color w:val="auto"/>
                <w:szCs w:val="21"/>
                <w:highlight w:val="none"/>
              </w:rPr>
              <w:t>商务及</w:t>
            </w:r>
            <w:r>
              <w:rPr>
                <w:rFonts w:hAnsi="宋体" w:cs="Courier New"/>
                <w:b/>
                <w:color w:val="auto"/>
                <w:szCs w:val="21"/>
                <w:highlight w:val="none"/>
              </w:rPr>
              <w:t>技术</w:t>
            </w:r>
            <w:r>
              <w:rPr>
                <w:rFonts w:hint="eastAsia" w:hAnsi="宋体" w:cs="Courier New"/>
                <w:b/>
                <w:color w:val="auto"/>
                <w:szCs w:val="21"/>
                <w:highlight w:val="none"/>
              </w:rPr>
              <w:t>文件：</w:t>
            </w:r>
          </w:p>
          <w:p w14:paraId="416E70F9">
            <w:pPr>
              <w:ind w:left="459" w:hanging="39"/>
              <w:rPr>
                <w:rFonts w:hAnsi="宋体"/>
                <w:color w:val="auto"/>
                <w:szCs w:val="21"/>
                <w:highlight w:val="none"/>
              </w:rPr>
            </w:pPr>
            <w:r>
              <w:rPr>
                <w:rFonts w:hint="eastAsia" w:hAnsi="宋体"/>
                <w:b/>
                <w:color w:val="auto"/>
                <w:szCs w:val="21"/>
                <w:highlight w:val="none"/>
              </w:rPr>
              <w:t>1.</w:t>
            </w:r>
            <w:r>
              <w:rPr>
                <w:rFonts w:hint="eastAsia" w:hAnsi="宋体"/>
                <w:color w:val="auto"/>
                <w:szCs w:val="21"/>
                <w:highlight w:val="none"/>
              </w:rPr>
              <w:t>无围标串标行为的承诺函（格式后附）；（</w:t>
            </w:r>
            <w:r>
              <w:rPr>
                <w:rFonts w:hint="eastAsia" w:hAnsi="宋体"/>
                <w:b/>
                <w:bCs/>
                <w:color w:val="auto"/>
                <w:szCs w:val="21"/>
                <w:highlight w:val="none"/>
              </w:rPr>
              <w:t>必须提供，否则按无效投标处理</w:t>
            </w:r>
            <w:r>
              <w:rPr>
                <w:rFonts w:hint="eastAsia" w:hAnsi="宋体"/>
                <w:color w:val="auto"/>
                <w:szCs w:val="21"/>
                <w:highlight w:val="none"/>
              </w:rPr>
              <w:t>）</w:t>
            </w:r>
          </w:p>
          <w:p w14:paraId="44F0EA7B">
            <w:pPr>
              <w:ind w:left="459" w:hanging="39"/>
              <w:rPr>
                <w:rFonts w:hAnsi="宋体"/>
                <w:color w:val="auto"/>
                <w:szCs w:val="21"/>
                <w:highlight w:val="none"/>
              </w:rPr>
            </w:pPr>
            <w:r>
              <w:rPr>
                <w:rFonts w:hint="eastAsia" w:hAnsi="宋体"/>
                <w:b/>
                <w:color w:val="auto"/>
                <w:szCs w:val="21"/>
                <w:highlight w:val="none"/>
              </w:rPr>
              <w:t>2.</w:t>
            </w:r>
            <w:r>
              <w:rPr>
                <w:rFonts w:hint="eastAsia" w:hAnsi="宋体"/>
                <w:color w:val="auto"/>
                <w:szCs w:val="21"/>
                <w:highlight w:val="none"/>
              </w:rPr>
              <w:t>投标保证金提交凭证；（</w:t>
            </w:r>
            <w:r>
              <w:rPr>
                <w:rFonts w:hint="eastAsia"/>
                <w:b/>
                <w:bCs/>
                <w:color w:val="auto"/>
                <w:highlight w:val="none"/>
              </w:rPr>
              <w:t>如要求提交投标保证金的则必须提供</w:t>
            </w:r>
            <w:r>
              <w:rPr>
                <w:rFonts w:hint="eastAsia" w:hAnsi="宋体"/>
                <w:b/>
                <w:color w:val="auto"/>
                <w:szCs w:val="21"/>
                <w:highlight w:val="none"/>
              </w:rPr>
              <w:t>，否则按无效投标处理</w:t>
            </w:r>
            <w:r>
              <w:rPr>
                <w:rFonts w:hint="eastAsia" w:hAnsi="宋体"/>
                <w:color w:val="auto"/>
                <w:szCs w:val="21"/>
                <w:highlight w:val="none"/>
              </w:rPr>
              <w:t>）</w:t>
            </w:r>
          </w:p>
          <w:p w14:paraId="69604B58">
            <w:pPr>
              <w:ind w:left="459" w:right="-233" w:rightChars="-111" w:hanging="39"/>
              <w:rPr>
                <w:rFonts w:hAnsi="宋体"/>
                <w:color w:val="auto"/>
                <w:szCs w:val="21"/>
                <w:highlight w:val="none"/>
              </w:rPr>
            </w:pPr>
            <w:r>
              <w:rPr>
                <w:rFonts w:hint="eastAsia" w:hAnsi="宋体"/>
                <w:b/>
                <w:color w:val="auto"/>
                <w:szCs w:val="21"/>
                <w:highlight w:val="none"/>
              </w:rPr>
              <w:t>3</w:t>
            </w:r>
            <w:r>
              <w:rPr>
                <w:rFonts w:hAnsi="宋体"/>
                <w:b/>
                <w:color w:val="auto"/>
                <w:szCs w:val="21"/>
                <w:highlight w:val="none"/>
              </w:rPr>
              <w:t>.</w:t>
            </w:r>
            <w:r>
              <w:rPr>
                <w:rFonts w:hint="eastAsia" w:hAnsi="宋体"/>
                <w:color w:val="auto"/>
                <w:szCs w:val="21"/>
                <w:highlight w:val="none"/>
              </w:rPr>
              <w:t>法定代表人身份证明及法定代表人有效身份证正反面复印件（格式后附）；（</w:t>
            </w:r>
            <w:r>
              <w:rPr>
                <w:rFonts w:hint="eastAsia" w:hAnsi="宋体"/>
                <w:b/>
                <w:bCs/>
                <w:color w:val="auto"/>
                <w:szCs w:val="21"/>
                <w:highlight w:val="none"/>
              </w:rPr>
              <w:t>除自然人投标外必须提供，否则按无效投标处理</w:t>
            </w:r>
            <w:r>
              <w:rPr>
                <w:rFonts w:hint="eastAsia" w:hAnsi="宋体"/>
                <w:color w:val="auto"/>
                <w:szCs w:val="21"/>
                <w:highlight w:val="none"/>
              </w:rPr>
              <w:t>）</w:t>
            </w:r>
          </w:p>
          <w:p w14:paraId="2E3766EE">
            <w:pPr>
              <w:ind w:left="459" w:hanging="39"/>
              <w:rPr>
                <w:rFonts w:hAnsi="宋体"/>
                <w:color w:val="auto"/>
                <w:szCs w:val="21"/>
                <w:highlight w:val="none"/>
              </w:rPr>
            </w:pPr>
            <w:r>
              <w:rPr>
                <w:rFonts w:hint="eastAsia" w:hAnsi="宋体"/>
                <w:b/>
                <w:color w:val="auto"/>
                <w:szCs w:val="21"/>
                <w:highlight w:val="none"/>
              </w:rPr>
              <w:t>4</w:t>
            </w:r>
            <w:r>
              <w:rPr>
                <w:rFonts w:hAnsi="宋体"/>
                <w:b/>
                <w:color w:val="auto"/>
                <w:szCs w:val="21"/>
                <w:highlight w:val="none"/>
              </w:rPr>
              <w:t>.</w:t>
            </w:r>
            <w:r>
              <w:rPr>
                <w:rFonts w:hint="eastAsia" w:hAnsi="宋体"/>
                <w:color w:val="auto"/>
                <w:szCs w:val="21"/>
                <w:highlight w:val="none"/>
              </w:rPr>
              <w:t>授权委托书及委托代理人有效身份证正反面复印件（格式后附）；（</w:t>
            </w:r>
            <w:r>
              <w:rPr>
                <w:rFonts w:hint="eastAsia" w:hAnsi="宋体"/>
                <w:b/>
                <w:bCs/>
                <w:color w:val="auto"/>
                <w:szCs w:val="21"/>
                <w:highlight w:val="none"/>
              </w:rPr>
              <w:t>委托时必须提供，否则按无效投标处理</w:t>
            </w:r>
            <w:r>
              <w:rPr>
                <w:rFonts w:hint="eastAsia" w:hAnsi="宋体"/>
                <w:color w:val="auto"/>
                <w:szCs w:val="21"/>
                <w:highlight w:val="none"/>
              </w:rPr>
              <w:t>）</w:t>
            </w:r>
          </w:p>
          <w:p w14:paraId="1E748AE2">
            <w:pPr>
              <w:ind w:left="459" w:hanging="39"/>
              <w:rPr>
                <w:rFonts w:hAnsi="宋体"/>
                <w:color w:val="auto"/>
                <w:szCs w:val="21"/>
                <w:highlight w:val="none"/>
              </w:rPr>
            </w:pPr>
            <w:r>
              <w:rPr>
                <w:rFonts w:hint="eastAsia" w:hAnsi="宋体"/>
                <w:b/>
                <w:color w:val="auto"/>
                <w:szCs w:val="21"/>
                <w:highlight w:val="none"/>
              </w:rPr>
              <w:t>5.</w:t>
            </w:r>
            <w:r>
              <w:rPr>
                <w:rFonts w:hint="eastAsia" w:hAnsi="宋体"/>
                <w:color w:val="auto"/>
                <w:szCs w:val="21"/>
                <w:highlight w:val="none"/>
              </w:rPr>
              <w:t>商务要求偏离表（格式后附）；（</w:t>
            </w:r>
            <w:r>
              <w:rPr>
                <w:rFonts w:hint="eastAsia" w:hAnsi="宋体"/>
                <w:b/>
                <w:bCs/>
                <w:color w:val="auto"/>
                <w:szCs w:val="21"/>
                <w:highlight w:val="none"/>
              </w:rPr>
              <w:t>必须提供，否则按无效投标处理</w:t>
            </w:r>
            <w:r>
              <w:rPr>
                <w:rFonts w:hint="eastAsia" w:hAnsi="宋体"/>
                <w:color w:val="auto"/>
                <w:szCs w:val="21"/>
                <w:highlight w:val="none"/>
              </w:rPr>
              <w:t>）</w:t>
            </w:r>
          </w:p>
          <w:p w14:paraId="7800D272">
            <w:pPr>
              <w:ind w:left="459" w:hanging="39"/>
              <w:rPr>
                <w:rFonts w:hAnsi="宋体"/>
                <w:color w:val="auto"/>
                <w:szCs w:val="21"/>
                <w:highlight w:val="none"/>
              </w:rPr>
            </w:pPr>
            <w:r>
              <w:rPr>
                <w:rFonts w:hint="eastAsia" w:hAnsi="宋体"/>
                <w:b/>
                <w:color w:val="auto"/>
                <w:szCs w:val="21"/>
                <w:highlight w:val="none"/>
              </w:rPr>
              <w:t>6.</w:t>
            </w:r>
            <w:r>
              <w:rPr>
                <w:rFonts w:hint="eastAsia"/>
                <w:color w:val="auto"/>
                <w:spacing w:val="8"/>
                <w:highlight w:val="none"/>
              </w:rPr>
              <w:t>实施</w:t>
            </w:r>
            <w:r>
              <w:rPr>
                <w:color w:val="auto"/>
                <w:spacing w:val="8"/>
                <w:highlight w:val="none"/>
              </w:rPr>
              <w:t>方案</w:t>
            </w:r>
            <w:r>
              <w:rPr>
                <w:rFonts w:hint="eastAsia" w:hAnsi="宋体"/>
                <w:color w:val="auto"/>
                <w:szCs w:val="21"/>
                <w:highlight w:val="none"/>
              </w:rPr>
              <w:t>（格式自拟）；</w:t>
            </w:r>
          </w:p>
          <w:p w14:paraId="7C4F30C5">
            <w:pPr>
              <w:ind w:left="459" w:hanging="39"/>
              <w:rPr>
                <w:rFonts w:hAnsi="宋体"/>
                <w:color w:val="auto"/>
                <w:szCs w:val="21"/>
                <w:highlight w:val="none"/>
              </w:rPr>
            </w:pPr>
            <w:r>
              <w:rPr>
                <w:rFonts w:hint="eastAsia" w:hAnsi="宋体"/>
                <w:b/>
                <w:color w:val="auto"/>
                <w:szCs w:val="21"/>
                <w:highlight w:val="none"/>
              </w:rPr>
              <w:t>7.</w:t>
            </w:r>
            <w:r>
              <w:rPr>
                <w:rFonts w:hint="eastAsia" w:hAnsi="宋体"/>
                <w:color w:val="auto"/>
                <w:szCs w:val="21"/>
                <w:highlight w:val="none"/>
              </w:rPr>
              <w:t>技术要求偏离表（格式后附）；（</w:t>
            </w:r>
            <w:r>
              <w:rPr>
                <w:rFonts w:hint="eastAsia" w:hAnsi="宋体"/>
                <w:b/>
                <w:color w:val="auto"/>
                <w:szCs w:val="21"/>
                <w:highlight w:val="none"/>
              </w:rPr>
              <w:t>必须提供，否则按无效投标处理</w:t>
            </w:r>
            <w:r>
              <w:rPr>
                <w:rFonts w:hint="eastAsia" w:hAnsi="宋体"/>
                <w:color w:val="auto"/>
                <w:szCs w:val="21"/>
                <w:highlight w:val="none"/>
              </w:rPr>
              <w:t>）</w:t>
            </w:r>
          </w:p>
          <w:p w14:paraId="050EE67D">
            <w:pPr>
              <w:ind w:left="459" w:hanging="39"/>
              <w:rPr>
                <w:rFonts w:hAnsi="宋体"/>
                <w:color w:val="auto"/>
                <w:szCs w:val="21"/>
                <w:highlight w:val="none"/>
              </w:rPr>
            </w:pPr>
            <w:r>
              <w:rPr>
                <w:rFonts w:hint="eastAsia" w:hAnsi="宋体"/>
                <w:b/>
                <w:color w:val="auto"/>
                <w:szCs w:val="21"/>
                <w:highlight w:val="none"/>
              </w:rPr>
              <w:t>8</w:t>
            </w:r>
            <w:r>
              <w:rPr>
                <w:rFonts w:hAnsi="宋体"/>
                <w:b/>
                <w:color w:val="auto"/>
                <w:szCs w:val="21"/>
                <w:highlight w:val="none"/>
              </w:rPr>
              <w:t>.</w:t>
            </w:r>
            <w:r>
              <w:rPr>
                <w:rFonts w:hint="eastAsia" w:hAnsi="宋体"/>
                <w:color w:val="auto"/>
                <w:szCs w:val="21"/>
                <w:highlight w:val="none"/>
              </w:rPr>
              <w:t>售后服务承诺（格式自拟）；</w:t>
            </w:r>
          </w:p>
          <w:p w14:paraId="27ACF2B3">
            <w:pPr>
              <w:ind w:left="317" w:firstLine="103"/>
              <w:rPr>
                <w:rFonts w:hAnsi="宋体"/>
                <w:color w:val="auto"/>
                <w:szCs w:val="21"/>
                <w:highlight w:val="none"/>
              </w:rPr>
            </w:pPr>
            <w:r>
              <w:rPr>
                <w:rFonts w:hint="eastAsia" w:hAnsi="宋体"/>
                <w:b/>
                <w:color w:val="auto"/>
                <w:szCs w:val="21"/>
                <w:highlight w:val="none"/>
              </w:rPr>
              <w:t>9.</w:t>
            </w:r>
            <w:r>
              <w:rPr>
                <w:rFonts w:hint="eastAsia" w:hAnsi="宋体"/>
                <w:color w:val="auto"/>
                <w:szCs w:val="21"/>
                <w:highlight w:val="none"/>
              </w:rPr>
              <w:t>项目实施人员一览表（格式后附）；</w:t>
            </w:r>
          </w:p>
          <w:p w14:paraId="30E773BA">
            <w:pPr>
              <w:ind w:left="317" w:firstLine="103"/>
              <w:rPr>
                <w:rFonts w:hAnsi="宋体"/>
                <w:color w:val="auto"/>
                <w:szCs w:val="21"/>
                <w:highlight w:val="none"/>
              </w:rPr>
            </w:pPr>
            <w:r>
              <w:rPr>
                <w:rFonts w:hint="eastAsia" w:hAnsi="宋体"/>
                <w:b/>
                <w:color w:val="auto"/>
                <w:szCs w:val="21"/>
                <w:highlight w:val="none"/>
              </w:rPr>
              <w:t>10.</w:t>
            </w:r>
            <w:r>
              <w:rPr>
                <w:rFonts w:hint="eastAsia" w:hAnsi="宋体"/>
                <w:color w:val="auto"/>
                <w:szCs w:val="21"/>
                <w:highlight w:val="none"/>
              </w:rPr>
              <w:t xml:space="preserve">代理服务费承诺书（格式后附）； </w:t>
            </w:r>
          </w:p>
          <w:p w14:paraId="3A4F70FA">
            <w:pPr>
              <w:ind w:left="840" w:hanging="420"/>
              <w:rPr>
                <w:rFonts w:hAnsi="宋体"/>
                <w:color w:val="auto"/>
                <w:szCs w:val="21"/>
                <w:highlight w:val="none"/>
              </w:rPr>
            </w:pPr>
            <w:r>
              <w:rPr>
                <w:rFonts w:hint="eastAsia" w:hAnsi="宋体"/>
                <w:b/>
                <w:color w:val="auto"/>
                <w:szCs w:val="21"/>
                <w:highlight w:val="none"/>
              </w:rPr>
              <w:t>11.</w:t>
            </w:r>
            <w:r>
              <w:rPr>
                <w:rFonts w:hint="eastAsia" w:hAnsi="宋体"/>
                <w:color w:val="auto"/>
                <w:szCs w:val="21"/>
                <w:highlight w:val="none"/>
              </w:rPr>
              <w:t>投标人对本项目的合理化建议和改进措施（格式自拟）；</w:t>
            </w:r>
          </w:p>
          <w:p w14:paraId="6EBBAED6">
            <w:pPr>
              <w:ind w:left="840" w:hanging="420"/>
              <w:rPr>
                <w:rFonts w:hAnsi="宋体"/>
                <w:color w:val="auto"/>
                <w:szCs w:val="21"/>
                <w:highlight w:val="none"/>
              </w:rPr>
            </w:pPr>
            <w:r>
              <w:rPr>
                <w:rFonts w:hint="eastAsia" w:hAnsi="宋体"/>
                <w:b/>
                <w:color w:val="auto"/>
                <w:szCs w:val="21"/>
                <w:highlight w:val="none"/>
              </w:rPr>
              <w:t>12.</w:t>
            </w:r>
            <w:r>
              <w:rPr>
                <w:rFonts w:hint="eastAsia" w:hAnsi="宋体"/>
                <w:color w:val="auto"/>
                <w:szCs w:val="21"/>
                <w:highlight w:val="none"/>
              </w:rPr>
              <w:t>投标人情况介绍（格式自拟）；</w:t>
            </w:r>
          </w:p>
          <w:p w14:paraId="312F3BE2">
            <w:pPr>
              <w:ind w:left="459" w:hanging="39"/>
              <w:rPr>
                <w:rFonts w:hAnsi="宋体"/>
                <w:color w:val="auto"/>
                <w:szCs w:val="21"/>
                <w:highlight w:val="none"/>
              </w:rPr>
            </w:pPr>
            <w:r>
              <w:rPr>
                <w:rFonts w:hint="eastAsia" w:hAnsi="宋体"/>
                <w:b/>
                <w:color w:val="auto"/>
                <w:szCs w:val="21"/>
                <w:highlight w:val="none"/>
              </w:rPr>
              <w:t>13.</w:t>
            </w:r>
            <w:r>
              <w:rPr>
                <w:rFonts w:hint="eastAsia" w:hAnsi="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7C19158E">
            <w:pPr>
              <w:rPr>
                <w:rFonts w:hAnsi="宋体" w:cs="Courier New"/>
                <w:b/>
                <w:color w:val="auto"/>
                <w:szCs w:val="21"/>
                <w:highlight w:val="none"/>
              </w:rPr>
            </w:pPr>
            <w:r>
              <w:rPr>
                <w:rFonts w:hint="eastAsia" w:hAnsi="宋体"/>
                <w:b/>
                <w:bCs/>
                <w:color w:val="auto"/>
                <w:szCs w:val="21"/>
                <w:highlight w:val="none"/>
              </w:rPr>
              <w:t>注：以上标明“必须提供”的材料属于复印件的，必须加盖投标人电子签章，否则按无效投标</w:t>
            </w:r>
            <w:r>
              <w:rPr>
                <w:rFonts w:hint="eastAsia" w:hAnsi="宋体" w:cs="Courier New"/>
                <w:b/>
                <w:color w:val="auto"/>
                <w:szCs w:val="21"/>
                <w:highlight w:val="none"/>
              </w:rPr>
              <w:t>处理</w:t>
            </w:r>
            <w:r>
              <w:rPr>
                <w:rFonts w:hint="eastAsia" w:hAnsi="宋体"/>
                <w:b/>
                <w:bCs/>
                <w:color w:val="auto"/>
                <w:szCs w:val="21"/>
                <w:highlight w:val="none"/>
              </w:rPr>
              <w:t>。</w:t>
            </w:r>
          </w:p>
        </w:tc>
      </w:tr>
      <w:tr w14:paraId="01540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2A53169D">
            <w:pPr>
              <w:jc w:val="center"/>
              <w:rPr>
                <w:rFonts w:hAnsi="宋体"/>
                <w:color w:val="auto"/>
                <w:szCs w:val="21"/>
                <w:highlight w:val="none"/>
              </w:rPr>
            </w:pPr>
            <w:bookmarkStart w:id="57" w:name="_13.5"/>
            <w:bookmarkEnd w:id="57"/>
            <w:bookmarkStart w:id="58" w:name="_13.4"/>
            <w:bookmarkEnd w:id="58"/>
            <w:bookmarkStart w:id="59" w:name="_16.2"/>
            <w:bookmarkEnd w:id="59"/>
            <w:r>
              <w:rPr>
                <w:rFonts w:hint="eastAsia" w:hAnsi="宋体"/>
                <w:color w:val="auto"/>
                <w:szCs w:val="21"/>
                <w:highlight w:val="none"/>
              </w:rPr>
              <w:t>16</w:t>
            </w:r>
            <w:bookmarkStart w:id="60" w:name="_Hlt19194067"/>
            <w:bookmarkStart w:id="61" w:name="_Hlt19693758"/>
            <w:bookmarkStart w:id="62" w:name="_Hlt19693759"/>
            <w:bookmarkStart w:id="63" w:name="_Hlt19194066"/>
            <w:r>
              <w:rPr>
                <w:rFonts w:hint="eastAsia" w:hAnsi="宋体"/>
                <w:color w:val="auto"/>
                <w:szCs w:val="21"/>
                <w:highlight w:val="none"/>
              </w:rPr>
              <w:t>.</w:t>
            </w:r>
            <w:bookmarkEnd w:id="60"/>
            <w:bookmarkEnd w:id="61"/>
            <w:bookmarkEnd w:id="62"/>
            <w:bookmarkEnd w:id="63"/>
            <w:r>
              <w:rPr>
                <w:rFonts w:hint="eastAsia" w:hAnsi="宋体"/>
                <w:color w:val="auto"/>
                <w:szCs w:val="21"/>
                <w:highlight w:val="none"/>
              </w:rPr>
              <w:t>2</w:t>
            </w:r>
          </w:p>
        </w:tc>
        <w:tc>
          <w:tcPr>
            <w:tcW w:w="7761" w:type="dxa"/>
            <w:tcBorders>
              <w:top w:val="single" w:color="auto" w:sz="4" w:space="0"/>
              <w:left w:val="single" w:color="auto" w:sz="4" w:space="0"/>
              <w:bottom w:val="single" w:color="auto" w:sz="4" w:space="0"/>
              <w:right w:val="single" w:color="auto" w:sz="4" w:space="0"/>
            </w:tcBorders>
            <w:vAlign w:val="center"/>
          </w:tcPr>
          <w:p w14:paraId="50975702">
            <w:pPr>
              <w:rPr>
                <w:rFonts w:hAnsi="宋体"/>
                <w:b/>
                <w:color w:val="auto"/>
                <w:szCs w:val="21"/>
                <w:highlight w:val="none"/>
              </w:rPr>
            </w:pPr>
            <w:r>
              <w:rPr>
                <w:rFonts w:hint="eastAsia" w:hAnsi="宋体" w:cs="宋体"/>
                <w:color w:val="auto"/>
                <w:szCs w:val="21"/>
                <w:highlight w:val="none"/>
              </w:rPr>
              <w:t>本项目报价须为人民币报价，为产品送达指定地点，验收合格至正常使用前所有可能发生的费用。即包含但不限于：产品本身费用、运输费、装卸搬运费、人工劳务费、税金等。供应商认为</w:t>
            </w:r>
            <w:r>
              <w:rPr>
                <w:rFonts w:hint="eastAsia" w:hAnsi="宋体" w:cs="宋体"/>
                <w:color w:val="auto"/>
                <w:szCs w:val="21"/>
                <w:highlight w:val="none"/>
                <w:lang w:eastAsia="zh-CN"/>
              </w:rPr>
              <w:t>必需的</w:t>
            </w:r>
            <w:r>
              <w:rPr>
                <w:rFonts w:hint="eastAsia" w:hAnsi="宋体" w:cs="宋体"/>
                <w:color w:val="auto"/>
                <w:szCs w:val="21"/>
                <w:highlight w:val="none"/>
              </w:rPr>
              <w:t>费用也需综合考虑在报价中，在合同期内，采购人将不予调整供货单价。</w:t>
            </w:r>
          </w:p>
        </w:tc>
      </w:tr>
      <w:tr w14:paraId="0EA740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4BF7FC3B">
            <w:pPr>
              <w:jc w:val="center"/>
              <w:rPr>
                <w:rFonts w:hAnsi="宋体"/>
                <w:color w:val="auto"/>
                <w:szCs w:val="21"/>
                <w:highlight w:val="none"/>
              </w:rPr>
            </w:pPr>
            <w:bookmarkStart w:id="64" w:name="_17.1"/>
            <w:bookmarkEnd w:id="64"/>
            <w:r>
              <w:rPr>
                <w:rFonts w:hint="eastAsia" w:hAnsi="宋体"/>
                <w:color w:val="auto"/>
                <w:szCs w:val="21"/>
                <w:highlight w:val="none"/>
              </w:rPr>
              <w:t>17.</w:t>
            </w:r>
            <w:r>
              <w:rPr>
                <w:rFonts w:hAnsi="宋体"/>
                <w:color w:val="auto"/>
                <w:szCs w:val="21"/>
                <w:highlight w:val="none"/>
              </w:rPr>
              <w:t>2</w:t>
            </w:r>
          </w:p>
        </w:tc>
        <w:tc>
          <w:tcPr>
            <w:tcW w:w="7761" w:type="dxa"/>
            <w:tcBorders>
              <w:top w:val="single" w:color="auto" w:sz="4" w:space="0"/>
              <w:left w:val="single" w:color="auto" w:sz="4" w:space="0"/>
              <w:bottom w:val="single" w:color="auto" w:sz="4" w:space="0"/>
              <w:right w:val="single" w:color="auto" w:sz="4" w:space="0"/>
            </w:tcBorders>
            <w:vAlign w:val="center"/>
          </w:tcPr>
          <w:p w14:paraId="039430B0">
            <w:pPr>
              <w:rPr>
                <w:rFonts w:hAnsi="宋体"/>
                <w:color w:val="auto"/>
                <w:szCs w:val="21"/>
                <w:highlight w:val="none"/>
              </w:rPr>
            </w:pPr>
            <w:r>
              <w:rPr>
                <w:rFonts w:hint="eastAsia" w:hAnsi="宋体"/>
                <w:color w:val="auto"/>
                <w:szCs w:val="21"/>
                <w:highlight w:val="none"/>
              </w:rPr>
              <w:t>投标有效期：自投标截止之日起</w:t>
            </w:r>
            <w:r>
              <w:rPr>
                <w:rFonts w:hAnsi="宋体"/>
                <w:color w:val="auto"/>
                <w:szCs w:val="21"/>
                <w:highlight w:val="none"/>
                <w:u w:val="single"/>
              </w:rPr>
              <w:t xml:space="preserve"> 90 </w:t>
            </w:r>
            <w:r>
              <w:rPr>
                <w:rFonts w:hint="eastAsia" w:hAnsi="宋体"/>
                <w:color w:val="auto"/>
                <w:szCs w:val="21"/>
                <w:highlight w:val="none"/>
              </w:rPr>
              <w:t>日。</w:t>
            </w:r>
          </w:p>
        </w:tc>
      </w:tr>
      <w:tr w14:paraId="4169F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4D79D934">
            <w:pPr>
              <w:jc w:val="center"/>
              <w:rPr>
                <w:rFonts w:hAnsi="宋体"/>
                <w:color w:val="auto"/>
                <w:szCs w:val="21"/>
                <w:highlight w:val="none"/>
              </w:rPr>
            </w:pPr>
            <w:bookmarkStart w:id="65" w:name="_18"/>
            <w:bookmarkEnd w:id="65"/>
            <w:r>
              <w:rPr>
                <w:rFonts w:hint="eastAsia" w:hAnsi="宋体"/>
                <w:color w:val="auto"/>
                <w:szCs w:val="21"/>
                <w:highlight w:val="none"/>
              </w:rPr>
              <w:t>18</w:t>
            </w:r>
            <w:r>
              <w:rPr>
                <w:rFonts w:hAnsi="宋体"/>
                <w:color w:val="auto"/>
                <w:szCs w:val="21"/>
                <w:highlight w:val="none"/>
              </w:rPr>
              <w:t>.1</w:t>
            </w:r>
          </w:p>
        </w:tc>
        <w:tc>
          <w:tcPr>
            <w:tcW w:w="7761" w:type="dxa"/>
            <w:tcBorders>
              <w:top w:val="single" w:color="auto" w:sz="4" w:space="0"/>
              <w:left w:val="single" w:color="auto" w:sz="4" w:space="0"/>
              <w:bottom w:val="single" w:color="auto" w:sz="4" w:space="0"/>
              <w:right w:val="single" w:color="auto" w:sz="4" w:space="0"/>
            </w:tcBorders>
            <w:vAlign w:val="center"/>
          </w:tcPr>
          <w:p w14:paraId="568E7BE7">
            <w:pPr>
              <w:rPr>
                <w:rFonts w:hAnsi="宋体"/>
                <w:b/>
                <w:bCs/>
                <w:color w:val="auto"/>
                <w:szCs w:val="21"/>
                <w:highlight w:val="none"/>
              </w:rPr>
            </w:pP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int="eastAsia" w:hAnsi="宋体"/>
                <w:b/>
                <w:bCs/>
                <w:color w:val="auto"/>
                <w:position w:val="2"/>
                <w:sz w:val="13"/>
                <w:highlight w:val="none"/>
              </w:rPr>
              <w:instrText xml:space="preserve">√</w:instrText>
            </w:r>
            <w:r>
              <w:rPr>
                <w:rFonts w:hint="eastAsia" w:hAnsi="宋体"/>
                <w:b/>
                <w:bCs/>
                <w:color w:val="auto"/>
                <w:highlight w:val="none"/>
              </w:rPr>
              <w:instrText xml:space="preserve">)</w:instrText>
            </w:r>
            <w:r>
              <w:rPr>
                <w:rFonts w:hAnsi="宋体"/>
                <w:b/>
                <w:bCs/>
                <w:color w:val="auto"/>
                <w:highlight w:val="none"/>
              </w:rPr>
              <w:fldChar w:fldCharType="end"/>
            </w:r>
            <w:r>
              <w:rPr>
                <w:rFonts w:hint="eastAsia" w:hAnsi="宋体"/>
                <w:b/>
                <w:bCs/>
                <w:color w:val="auto"/>
                <w:szCs w:val="21"/>
                <w:highlight w:val="none"/>
              </w:rPr>
              <w:t>本项目不收取投标保证金。</w:t>
            </w:r>
          </w:p>
          <w:p w14:paraId="73102E86">
            <w:pPr>
              <w:rPr>
                <w:rFonts w:hAnsi="宋体"/>
                <w:color w:val="auto"/>
                <w:szCs w:val="21"/>
                <w:highlight w:val="none"/>
              </w:rPr>
            </w:pPr>
            <w:r>
              <w:rPr>
                <w:rFonts w:hint="eastAsia" w:hAnsi="宋体"/>
                <w:color w:val="auto"/>
                <w:szCs w:val="21"/>
                <w:highlight w:val="none"/>
              </w:rPr>
              <w:t>□本项目收取投标保证金，具体规定如下：</w:t>
            </w:r>
          </w:p>
          <w:p w14:paraId="4ED5CA22">
            <w:pPr>
              <w:rPr>
                <w:color w:val="auto"/>
                <w:highlight w:val="none"/>
              </w:rPr>
            </w:pPr>
            <w:r>
              <w:rPr>
                <w:rFonts w:hint="eastAsia" w:hAnsi="宋体" w:cs="宋体"/>
                <w:color w:val="auto"/>
                <w:szCs w:val="21"/>
                <w:highlight w:val="none"/>
              </w:rPr>
              <w:t>投标保证金</w:t>
            </w:r>
            <w:r>
              <w:rPr>
                <w:rFonts w:hint="eastAsia" w:hAnsi="宋体" w:cs="宋体"/>
                <w:color w:val="auto"/>
                <w:szCs w:val="21"/>
                <w:highlight w:val="none"/>
                <w:lang w:eastAsia="zh-CN"/>
              </w:rPr>
              <w:t>：</w:t>
            </w:r>
          </w:p>
          <w:p w14:paraId="7AB85323">
            <w:pPr>
              <w:ind w:firstLine="420"/>
              <w:rPr>
                <w:rFonts w:hAnsi="宋体"/>
                <w:color w:val="auto"/>
                <w:szCs w:val="21"/>
                <w:highlight w:val="none"/>
              </w:rPr>
            </w:pPr>
            <w:r>
              <w:rPr>
                <w:rFonts w:hint="eastAsia" w:hAnsi="宋体" w:cs="宋体"/>
                <w:color w:val="auto"/>
                <w:szCs w:val="21"/>
                <w:highlight w:val="none"/>
              </w:rPr>
              <w:t>投标保证金的交纳方式：银行转账、支票、汇票、本票或者银行、保险机构出具的保函</w:t>
            </w:r>
            <w:r>
              <w:rPr>
                <w:rFonts w:hint="eastAsia"/>
                <w:color w:val="auto"/>
                <w:highlight w:val="none"/>
              </w:rPr>
              <w:t>、保险</w:t>
            </w:r>
            <w:r>
              <w:rPr>
                <w:rFonts w:hint="eastAsia" w:hAnsi="宋体" w:cs="宋体"/>
                <w:color w:val="auto"/>
                <w:szCs w:val="21"/>
                <w:highlight w:val="none"/>
              </w:rPr>
              <w:t>，禁止采用现钞方式。采用银行转账方式的，在投标截止时间前</w:t>
            </w:r>
            <w:r>
              <w:rPr>
                <w:rFonts w:hint="eastAsia"/>
                <w:color w:val="auto"/>
                <w:highlight w:val="none"/>
              </w:rPr>
              <w:t>从投标人账户</w:t>
            </w:r>
            <w:r>
              <w:rPr>
                <w:rFonts w:hint="eastAsia" w:hAnsi="宋体" w:cs="宋体"/>
                <w:color w:val="auto"/>
                <w:szCs w:val="21"/>
                <w:highlight w:val="none"/>
              </w:rPr>
              <w:t>交至指定账户并且到账（</w:t>
            </w:r>
            <w:r>
              <w:rPr>
                <w:rFonts w:hint="eastAsia"/>
                <w:color w:val="auto"/>
                <w:highlight w:val="none"/>
              </w:rPr>
              <w:t>开户银行：</w:t>
            </w:r>
            <w:r>
              <w:rPr>
                <w:rFonts w:hint="eastAsia"/>
                <w:color w:val="auto"/>
                <w:highlight w:val="none"/>
                <w:u w:val="single"/>
              </w:rPr>
              <w:t>中信银行股份有限公司南宁园湖支行</w:t>
            </w:r>
            <w:r>
              <w:rPr>
                <w:rFonts w:hint="eastAsia"/>
                <w:color w:val="auto"/>
                <w:highlight w:val="none"/>
              </w:rPr>
              <w:t>，开户名称：</w:t>
            </w:r>
            <w:r>
              <w:rPr>
                <w:rFonts w:hint="eastAsia"/>
                <w:color w:val="auto"/>
                <w:highlight w:val="none"/>
                <w:u w:val="single"/>
              </w:rPr>
              <w:t>云之龙咨询集团有限公司柳州分公司</w:t>
            </w:r>
            <w:r>
              <w:rPr>
                <w:rFonts w:hint="eastAsia"/>
                <w:color w:val="auto"/>
                <w:highlight w:val="none"/>
              </w:rPr>
              <w:t>，银行账号：</w:t>
            </w:r>
            <w:r>
              <w:rPr>
                <w:rFonts w:hint="eastAsia"/>
                <w:color w:val="auto"/>
                <w:highlight w:val="none"/>
                <w:u w:val="single"/>
              </w:rPr>
              <w:t>8113 0010 1450 0074 537</w:t>
            </w:r>
            <w:r>
              <w:rPr>
                <w:rFonts w:hint="eastAsia" w:hAnsi="宋体" w:cs="宋体"/>
                <w:color w:val="auto"/>
                <w:szCs w:val="21"/>
                <w:highlight w:val="none"/>
              </w:rPr>
              <w:t>）；采用支票、汇票、本票或者保函</w:t>
            </w:r>
            <w:r>
              <w:rPr>
                <w:rFonts w:hint="eastAsia"/>
                <w:color w:val="auto"/>
                <w:highlight w:val="none"/>
              </w:rPr>
              <w:t>、保险</w:t>
            </w:r>
            <w:r>
              <w:rPr>
                <w:rFonts w:hint="eastAsia" w:hAnsi="宋体" w:cs="宋体"/>
                <w:color w:val="auto"/>
                <w:szCs w:val="21"/>
                <w:highlight w:val="none"/>
              </w:rPr>
              <w:t>等方式的，在投标截止时间前，投标人必须递交单独密封的支票、汇票、本票或者保函</w:t>
            </w:r>
            <w:r>
              <w:rPr>
                <w:rFonts w:hint="eastAsia"/>
                <w:color w:val="auto"/>
                <w:highlight w:val="none"/>
              </w:rPr>
              <w:t>、保险</w:t>
            </w:r>
            <w:r>
              <w:rPr>
                <w:rFonts w:hint="eastAsia" w:hAnsi="宋体" w:cs="宋体"/>
                <w:color w:val="auto"/>
                <w:szCs w:val="21"/>
                <w:highlight w:val="none"/>
              </w:rPr>
              <w:t>原件</w:t>
            </w:r>
            <w:r>
              <w:rPr>
                <w:rFonts w:hint="eastAsia" w:hAnsi="宋体" w:cs="宋体"/>
                <w:color w:val="auto"/>
                <w:highlight w:val="none"/>
              </w:rPr>
              <w:t>（采用电子保函、保险方式交纳投标保证金的，无需递交原件）</w:t>
            </w:r>
            <w:r>
              <w:rPr>
                <w:rFonts w:hint="eastAsia" w:hAnsi="宋体" w:cs="宋体"/>
                <w:color w:val="auto"/>
                <w:szCs w:val="21"/>
                <w:highlight w:val="none"/>
              </w:rPr>
              <w:t>。</w:t>
            </w:r>
            <w:r>
              <w:rPr>
                <w:rFonts w:hint="eastAsia" w:hAnsi="宋体" w:cs="宋体"/>
                <w:b/>
                <w:color w:val="auto"/>
                <w:szCs w:val="21"/>
                <w:highlight w:val="none"/>
              </w:rPr>
              <w:t>否则视为无效投标保证金</w:t>
            </w:r>
            <w:r>
              <w:rPr>
                <w:rFonts w:hint="eastAsia" w:hAnsi="宋体" w:cs="宋体"/>
                <w:color w:val="auto"/>
                <w:szCs w:val="21"/>
                <w:highlight w:val="none"/>
              </w:rPr>
              <w:t>。</w:t>
            </w:r>
          </w:p>
          <w:p w14:paraId="0C5A6F49">
            <w:pPr>
              <w:rPr>
                <w:rFonts w:hAnsi="宋体"/>
                <w:color w:val="auto"/>
                <w:szCs w:val="21"/>
                <w:highlight w:val="none"/>
              </w:rPr>
            </w:pPr>
            <w:r>
              <w:rPr>
                <w:rFonts w:hint="eastAsia" w:hAnsi="宋体"/>
                <w:color w:val="auto"/>
                <w:szCs w:val="21"/>
                <w:highlight w:val="none"/>
              </w:rPr>
              <w:t>相关要求：</w:t>
            </w:r>
          </w:p>
          <w:p w14:paraId="046C09E2">
            <w:pPr>
              <w:pStyle w:val="15"/>
              <w:ind w:firstLine="420"/>
              <w:rPr>
                <w:rFonts w:hAnsi="宋体"/>
                <w:color w:val="auto"/>
                <w:szCs w:val="21"/>
                <w:highlight w:val="none"/>
              </w:rPr>
            </w:pPr>
            <w:r>
              <w:rPr>
                <w:rFonts w:hint="eastAsia" w:hAnsi="宋体"/>
                <w:color w:val="auto"/>
                <w:szCs w:val="21"/>
                <w:highlight w:val="none"/>
              </w:rPr>
              <w:t>1.投标保证金采用银行转账交纳方式的，在投标截止时间前交至指定账户并且到账，投标人应将银行转账底单的复印件作为投标保证金提交凭证，</w:t>
            </w:r>
            <w:r>
              <w:rPr>
                <w:rFonts w:hAnsi="宋体"/>
                <w:color w:val="auto"/>
                <w:szCs w:val="21"/>
                <w:highlight w:val="none"/>
              </w:rPr>
              <w:t>放置于</w:t>
            </w:r>
            <w:r>
              <w:rPr>
                <w:rFonts w:hint="eastAsia" w:hAnsi="宋体"/>
                <w:color w:val="auto"/>
                <w:szCs w:val="21"/>
                <w:highlight w:val="none"/>
              </w:rPr>
              <w:t>商务及技术文件</w:t>
            </w:r>
            <w:r>
              <w:rPr>
                <w:rFonts w:hAnsi="宋体"/>
                <w:color w:val="auto"/>
                <w:szCs w:val="21"/>
                <w:highlight w:val="none"/>
              </w:rPr>
              <w:t>中</w:t>
            </w:r>
            <w:r>
              <w:rPr>
                <w:rFonts w:hint="eastAsia" w:hAnsi="宋体"/>
                <w:color w:val="auto"/>
                <w:szCs w:val="21"/>
                <w:highlight w:val="none"/>
              </w:rPr>
              <w:t>，</w:t>
            </w:r>
            <w:r>
              <w:rPr>
                <w:rFonts w:hint="eastAsia" w:hAnsi="宋体"/>
                <w:b/>
                <w:bCs/>
                <w:color w:val="auto"/>
                <w:szCs w:val="21"/>
                <w:highlight w:val="none"/>
              </w:rPr>
              <w:t>否则投标无效</w:t>
            </w:r>
            <w:r>
              <w:rPr>
                <w:rFonts w:hint="eastAsia" w:hAnsi="宋体"/>
                <w:color w:val="auto"/>
                <w:szCs w:val="21"/>
                <w:highlight w:val="none"/>
              </w:rPr>
              <w:t>。</w:t>
            </w:r>
          </w:p>
          <w:p w14:paraId="3FC3C5B8">
            <w:pPr>
              <w:ind w:firstLine="420"/>
              <w:rPr>
                <w:rFonts w:hAnsi="宋体"/>
                <w:color w:val="auto"/>
                <w:szCs w:val="21"/>
                <w:highlight w:val="none"/>
              </w:rPr>
            </w:pPr>
            <w:r>
              <w:rPr>
                <w:rFonts w:hint="eastAsia" w:hAnsi="宋体"/>
                <w:color w:val="auto"/>
                <w:szCs w:val="21"/>
                <w:highlight w:val="none"/>
              </w:rPr>
              <w:t>2.投标保证金采用支票、汇票、本票或者银行、保险机构出具的保函</w:t>
            </w:r>
            <w:r>
              <w:rPr>
                <w:rFonts w:hint="eastAsia"/>
                <w:color w:val="auto"/>
                <w:highlight w:val="none"/>
              </w:rPr>
              <w:t>、保险</w:t>
            </w:r>
            <w:r>
              <w:rPr>
                <w:rFonts w:hint="eastAsia" w:hAnsi="宋体"/>
                <w:color w:val="auto"/>
                <w:szCs w:val="21"/>
                <w:highlight w:val="none"/>
              </w:rPr>
              <w:t>交纳方式的，投标人应将支票、汇票、本票或者银行、保险机构出具的保函</w:t>
            </w:r>
            <w:r>
              <w:rPr>
                <w:rFonts w:hint="eastAsia"/>
                <w:color w:val="auto"/>
                <w:highlight w:val="none"/>
              </w:rPr>
              <w:t>、保险</w:t>
            </w:r>
            <w:r>
              <w:rPr>
                <w:rFonts w:hint="eastAsia" w:hAnsi="宋体"/>
                <w:color w:val="auto"/>
                <w:szCs w:val="21"/>
                <w:highlight w:val="none"/>
              </w:rPr>
              <w:t>的复印件作为投标保证金提交凭证，放置于商务及技术文件中，</w:t>
            </w:r>
            <w:r>
              <w:rPr>
                <w:rFonts w:hint="eastAsia" w:hAnsi="宋体"/>
                <w:b/>
                <w:bCs/>
                <w:color w:val="auto"/>
                <w:szCs w:val="21"/>
                <w:highlight w:val="none"/>
              </w:rPr>
              <w:t>否则投标无效</w:t>
            </w:r>
            <w:r>
              <w:rPr>
                <w:rFonts w:hint="eastAsia" w:hAnsi="宋体"/>
                <w:color w:val="auto"/>
                <w:szCs w:val="21"/>
                <w:highlight w:val="none"/>
              </w:rPr>
              <w:t>。</w:t>
            </w:r>
            <w:r>
              <w:rPr>
                <w:rFonts w:hint="eastAsia" w:hAnsi="宋体"/>
                <w:color w:val="auto"/>
                <w:highlight w:val="none"/>
              </w:rPr>
              <w:t>投标人必须</w:t>
            </w:r>
            <w:r>
              <w:rPr>
                <w:rFonts w:hint="eastAsia" w:hAnsi="宋体"/>
                <w:color w:val="auto"/>
                <w:szCs w:val="21"/>
                <w:highlight w:val="none"/>
              </w:rPr>
              <w:t>在投标截止时间前采用现场或邮寄方式</w:t>
            </w:r>
            <w:r>
              <w:rPr>
                <w:rFonts w:hint="eastAsia"/>
                <w:color w:val="auto"/>
                <w:highlight w:val="none"/>
              </w:rPr>
              <w:t>（现场提交地址：云之龙咨询集团有限公司（柳州市滨江东路16号三区二层211-218室）；邮寄地址：云之龙咨询集团有限公司（柳州市滨江东路16号三区二层211-218室），收件人：唐珉，联系方式：0772-3310669、3310109）</w:t>
            </w:r>
            <w:r>
              <w:rPr>
                <w:rFonts w:hint="eastAsia" w:hAnsi="宋体"/>
                <w:color w:val="auto"/>
                <w:szCs w:val="21"/>
                <w:highlight w:val="none"/>
              </w:rPr>
              <w:t>将</w:t>
            </w:r>
            <w:r>
              <w:rPr>
                <w:rFonts w:hint="eastAsia" w:hAnsi="宋体" w:cs="宋体"/>
                <w:color w:val="auto"/>
                <w:szCs w:val="21"/>
                <w:highlight w:val="none"/>
              </w:rPr>
              <w:t>单独密封的</w:t>
            </w:r>
            <w:r>
              <w:rPr>
                <w:rFonts w:hint="eastAsia" w:hAnsi="宋体"/>
                <w:color w:val="auto"/>
                <w:szCs w:val="21"/>
                <w:highlight w:val="none"/>
              </w:rPr>
              <w:t>支票、汇票、本票或者银行、保险机构出具的保函</w:t>
            </w:r>
            <w:r>
              <w:rPr>
                <w:rFonts w:hint="eastAsia"/>
                <w:color w:val="auto"/>
                <w:highlight w:val="none"/>
              </w:rPr>
              <w:t>、保险</w:t>
            </w:r>
            <w:r>
              <w:rPr>
                <w:rFonts w:hint="eastAsia" w:hAnsi="宋体"/>
                <w:color w:val="auto"/>
                <w:szCs w:val="21"/>
                <w:highlight w:val="none"/>
              </w:rPr>
              <w:t>原件提交给采购人或者采购代理机构，未按时提交的，</w:t>
            </w:r>
            <w:r>
              <w:rPr>
                <w:rFonts w:hint="eastAsia" w:hAnsi="宋体"/>
                <w:b/>
                <w:bCs/>
                <w:color w:val="auto"/>
                <w:szCs w:val="21"/>
                <w:highlight w:val="none"/>
              </w:rPr>
              <w:t>投标无效</w:t>
            </w:r>
            <w:r>
              <w:rPr>
                <w:rFonts w:hint="eastAsia" w:hAnsi="宋体"/>
                <w:color w:val="auto"/>
                <w:szCs w:val="21"/>
                <w:highlight w:val="none"/>
              </w:rPr>
              <w:t>，由采购人或者采购代理机构向投标人出具回执（邮寄方式的除外），并妥善保管</w:t>
            </w:r>
            <w:r>
              <w:rPr>
                <w:rFonts w:hint="eastAsia" w:hAnsi="宋体" w:cs="宋体"/>
                <w:color w:val="auto"/>
                <w:highlight w:val="none"/>
              </w:rPr>
              <w:t>（采用电子保函、保险方式交纳投标保证金的，无需递交原件）</w:t>
            </w:r>
            <w:r>
              <w:rPr>
                <w:rFonts w:hint="eastAsia" w:hAnsi="宋体"/>
                <w:color w:val="auto"/>
                <w:szCs w:val="21"/>
                <w:highlight w:val="none"/>
              </w:rPr>
              <w:t>。</w:t>
            </w:r>
          </w:p>
          <w:p w14:paraId="5484FA89">
            <w:pPr>
              <w:ind w:firstLine="420"/>
              <w:rPr>
                <w:rFonts w:hAnsi="宋体"/>
                <w:color w:val="auto"/>
                <w:szCs w:val="21"/>
                <w:highlight w:val="none"/>
              </w:rPr>
            </w:pPr>
            <w:r>
              <w:rPr>
                <w:rFonts w:hint="eastAsia" w:hAnsi="宋体" w:cs="宋体"/>
                <w:color w:val="auto"/>
                <w:szCs w:val="21"/>
                <w:highlight w:val="none"/>
              </w:rPr>
              <w:t>3.投标人为联合体的，可以由联合体中的一方或者多方共同交纳投标保证金，其交纳的保证金对联合体各方均具有约束力。</w:t>
            </w:r>
          </w:p>
          <w:p w14:paraId="0C8C39AE">
            <w:pPr>
              <w:rPr>
                <w:rFonts w:hAnsi="宋体"/>
                <w:color w:val="auto"/>
                <w:szCs w:val="21"/>
                <w:highlight w:val="none"/>
              </w:rPr>
            </w:pPr>
          </w:p>
          <w:p w14:paraId="7A8D8EDD">
            <w:pPr>
              <w:rPr>
                <w:rFonts w:hAnsi="宋体"/>
                <w:b/>
                <w:bCs/>
                <w:color w:val="auto"/>
                <w:szCs w:val="21"/>
                <w:highlight w:val="none"/>
              </w:rPr>
            </w:pPr>
            <w:r>
              <w:rPr>
                <w:rFonts w:hint="eastAsia" w:hAnsi="宋体"/>
                <w:b/>
                <w:bCs/>
                <w:color w:val="auto"/>
                <w:szCs w:val="21"/>
                <w:highlight w:val="none"/>
              </w:rPr>
              <w:t>注：1.投标保证金在投标截止时间后提交的，或者不按规定交纳方式交纳的，或者未足额交纳的（</w:t>
            </w:r>
            <w:r>
              <w:rPr>
                <w:rFonts w:hint="eastAsia"/>
                <w:b/>
                <w:bCs/>
                <w:color w:val="auto"/>
                <w:highlight w:val="none"/>
              </w:rPr>
              <w:t>包含保函或保险额度不足的</w:t>
            </w:r>
            <w:r>
              <w:rPr>
                <w:rFonts w:hint="eastAsia" w:hAnsi="宋体"/>
                <w:b/>
                <w:bCs/>
                <w:color w:val="auto"/>
                <w:szCs w:val="21"/>
                <w:highlight w:val="none"/>
              </w:rPr>
              <w:t>），视为无效投标保证金。</w:t>
            </w:r>
          </w:p>
          <w:p w14:paraId="23AEBF81">
            <w:pPr>
              <w:ind w:firstLine="422"/>
              <w:rPr>
                <w:rFonts w:hAnsi="宋体"/>
                <w:b/>
                <w:bCs/>
                <w:color w:val="auto"/>
                <w:szCs w:val="21"/>
                <w:highlight w:val="none"/>
              </w:rPr>
            </w:pPr>
            <w:r>
              <w:rPr>
                <w:rFonts w:hint="eastAsia" w:hAnsi="宋体"/>
                <w:b/>
                <w:bCs/>
                <w:color w:val="auto"/>
                <w:szCs w:val="21"/>
                <w:highlight w:val="none"/>
              </w:rPr>
              <w:t>2.投标人采用现钞方式或者从个人账户（自然人投标除外）转出的投标保证金，视为无效投标保证金。</w:t>
            </w:r>
          </w:p>
          <w:p w14:paraId="01F57E3A">
            <w:pPr>
              <w:ind w:firstLine="422"/>
              <w:rPr>
                <w:rFonts w:hAnsi="宋体"/>
                <w:b/>
                <w:bCs/>
                <w:color w:val="auto"/>
                <w:szCs w:val="21"/>
                <w:highlight w:val="none"/>
              </w:rPr>
            </w:pPr>
            <w:r>
              <w:rPr>
                <w:rFonts w:hint="eastAsia" w:hAnsi="宋体"/>
                <w:b/>
                <w:bCs/>
                <w:color w:val="auto"/>
                <w:szCs w:val="21"/>
                <w:highlight w:val="none"/>
              </w:rPr>
              <w:t>3.支票、汇票或者本票出现无效或者背书情形的，视为无效投标保证金。</w:t>
            </w:r>
          </w:p>
          <w:p w14:paraId="41F819B0">
            <w:pPr>
              <w:ind w:firstLine="422"/>
              <w:rPr>
                <w:rFonts w:hAnsi="宋体"/>
                <w:b/>
                <w:bCs/>
                <w:color w:val="auto"/>
                <w:szCs w:val="21"/>
                <w:highlight w:val="none"/>
              </w:rPr>
            </w:pPr>
            <w:r>
              <w:rPr>
                <w:rFonts w:hint="eastAsia" w:hAnsi="宋体"/>
                <w:b/>
                <w:bCs/>
                <w:color w:val="auto"/>
                <w:szCs w:val="21"/>
                <w:highlight w:val="none"/>
              </w:rPr>
              <w:t>4.保函</w:t>
            </w:r>
            <w:r>
              <w:rPr>
                <w:rFonts w:hint="eastAsia" w:hAnsi="宋体"/>
                <w:b/>
                <w:bCs/>
                <w:color w:val="auto"/>
                <w:highlight w:val="none"/>
              </w:rPr>
              <w:t>、保险</w:t>
            </w:r>
            <w:r>
              <w:rPr>
                <w:rFonts w:hint="eastAsia" w:hAnsi="宋体"/>
                <w:b/>
                <w:bCs/>
                <w:color w:val="auto"/>
                <w:szCs w:val="21"/>
                <w:highlight w:val="none"/>
              </w:rPr>
              <w:t>有效期低于投标有效期的，视为无效投标保证金。</w:t>
            </w:r>
          </w:p>
          <w:p w14:paraId="65FE4BA1">
            <w:pPr>
              <w:ind w:firstLine="422"/>
              <w:rPr>
                <w:rFonts w:hAnsi="宋体"/>
                <w:b/>
                <w:bCs/>
                <w:color w:val="auto"/>
                <w:szCs w:val="21"/>
                <w:highlight w:val="none"/>
              </w:rPr>
            </w:pPr>
            <w:r>
              <w:rPr>
                <w:rFonts w:hint="eastAsia" w:hAnsi="宋体"/>
                <w:b/>
                <w:bCs/>
                <w:color w:val="auto"/>
                <w:szCs w:val="21"/>
                <w:highlight w:val="none"/>
              </w:rPr>
              <w:t>5.采用银行、保险机构出具保函的，必须为无条件保函，否则视为无效投标保证金。</w:t>
            </w:r>
          </w:p>
          <w:p w14:paraId="67A85666">
            <w:pPr>
              <w:widowControl/>
              <w:ind w:firstLine="422"/>
              <w:rPr>
                <w:rFonts w:hAnsi="宋体"/>
                <w:b/>
                <w:color w:val="auto"/>
                <w:szCs w:val="21"/>
                <w:highlight w:val="none"/>
              </w:rPr>
            </w:pPr>
            <w:r>
              <w:rPr>
                <w:rFonts w:hAnsi="宋体"/>
                <w:b/>
                <w:bCs/>
                <w:color w:val="auto"/>
                <w:szCs w:val="21"/>
                <w:highlight w:val="none"/>
              </w:rPr>
              <w:t>6.</w:t>
            </w:r>
            <w:r>
              <w:rPr>
                <w:rFonts w:hint="eastAsia" w:hAnsi="宋体"/>
                <w:b/>
                <w:bCs/>
                <w:color w:val="auto"/>
                <w:szCs w:val="21"/>
                <w:highlight w:val="none"/>
              </w:rPr>
              <w:t>采用投标保证保险的，保单确定的受益人（本项目采购人）的权益应与采用银行保函形式同等，否则视为无效投标保证金。</w:t>
            </w:r>
          </w:p>
        </w:tc>
      </w:tr>
      <w:tr w14:paraId="18D330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77A11167">
            <w:pPr>
              <w:jc w:val="center"/>
              <w:rPr>
                <w:rFonts w:hAnsi="宋体"/>
                <w:color w:val="auto"/>
                <w:szCs w:val="21"/>
                <w:highlight w:val="none"/>
              </w:rPr>
            </w:pPr>
            <w:bookmarkStart w:id="66" w:name="_21.1"/>
            <w:bookmarkEnd w:id="66"/>
            <w:bookmarkStart w:id="67" w:name="_19.2"/>
            <w:bookmarkEnd w:id="67"/>
            <w:r>
              <w:rPr>
                <w:rFonts w:hint="eastAsia" w:hAnsi="宋体"/>
                <w:color w:val="auto"/>
                <w:szCs w:val="21"/>
                <w:highlight w:val="none"/>
              </w:rPr>
              <w:t>20</w:t>
            </w:r>
          </w:p>
        </w:tc>
        <w:tc>
          <w:tcPr>
            <w:tcW w:w="7761" w:type="dxa"/>
            <w:tcBorders>
              <w:top w:val="single" w:color="auto" w:sz="4" w:space="0"/>
              <w:left w:val="single" w:color="auto" w:sz="4" w:space="0"/>
              <w:bottom w:val="single" w:color="auto" w:sz="4" w:space="0"/>
              <w:right w:val="single" w:color="auto" w:sz="4" w:space="0"/>
            </w:tcBorders>
            <w:vAlign w:val="center"/>
          </w:tcPr>
          <w:p w14:paraId="792588E9">
            <w:pPr>
              <w:rPr>
                <w:rFonts w:hAnsi="宋体"/>
                <w:color w:val="auto"/>
                <w:szCs w:val="21"/>
                <w:highlight w:val="none"/>
              </w:rPr>
            </w:pPr>
            <w:r>
              <w:rPr>
                <w:rFonts w:hint="eastAsia" w:hAnsi="宋体"/>
                <w:color w:val="auto"/>
                <w:szCs w:val="21"/>
                <w:highlight w:val="none"/>
              </w:rPr>
              <w:t>本项目不接受电子备份投标文件</w:t>
            </w:r>
          </w:p>
        </w:tc>
      </w:tr>
      <w:tr w14:paraId="790270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64481F8B">
            <w:pPr>
              <w:jc w:val="center"/>
              <w:rPr>
                <w:rFonts w:hAnsi="宋体"/>
                <w:color w:val="auto"/>
                <w:szCs w:val="21"/>
                <w:highlight w:val="none"/>
              </w:rPr>
            </w:pPr>
            <w:r>
              <w:rPr>
                <w:rFonts w:hint="eastAsia" w:hAnsi="宋体"/>
                <w:color w:val="auto"/>
                <w:szCs w:val="21"/>
                <w:highlight w:val="none"/>
              </w:rPr>
              <w:t>21.1</w:t>
            </w:r>
          </w:p>
        </w:tc>
        <w:tc>
          <w:tcPr>
            <w:tcW w:w="7761" w:type="dxa"/>
            <w:tcBorders>
              <w:top w:val="single" w:color="auto" w:sz="4" w:space="0"/>
              <w:left w:val="single" w:color="auto" w:sz="4" w:space="0"/>
              <w:bottom w:val="single" w:color="auto" w:sz="4" w:space="0"/>
              <w:right w:val="single" w:color="auto" w:sz="4" w:space="0"/>
            </w:tcBorders>
            <w:vAlign w:val="center"/>
          </w:tcPr>
          <w:p w14:paraId="3DEEFD40">
            <w:pPr>
              <w:rPr>
                <w:rFonts w:hAnsi="宋体"/>
                <w:color w:val="auto"/>
                <w:szCs w:val="21"/>
                <w:highlight w:val="none"/>
                <w:u w:val="single"/>
              </w:rPr>
            </w:pPr>
            <w:r>
              <w:rPr>
                <w:rFonts w:hint="eastAsia" w:hAnsi="宋体"/>
                <w:color w:val="auto"/>
                <w:szCs w:val="21"/>
                <w:highlight w:val="none"/>
              </w:rPr>
              <w:t>1.提交投标文件截止时间：详见招标公告</w:t>
            </w:r>
          </w:p>
          <w:p w14:paraId="14764D5B">
            <w:pPr>
              <w:rPr>
                <w:rFonts w:hAnsi="宋体"/>
                <w:color w:val="auto"/>
                <w:szCs w:val="21"/>
                <w:highlight w:val="none"/>
              </w:rPr>
            </w:pPr>
            <w:r>
              <w:rPr>
                <w:rFonts w:hint="eastAsia" w:hAnsi="宋体"/>
                <w:color w:val="auto"/>
                <w:szCs w:val="21"/>
                <w:highlight w:val="none"/>
              </w:rPr>
              <w:t>2.投标地点：详见招标公告</w:t>
            </w:r>
          </w:p>
        </w:tc>
      </w:tr>
      <w:tr w14:paraId="6D9BD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36AAF285">
            <w:pPr>
              <w:jc w:val="center"/>
              <w:rPr>
                <w:rFonts w:hAnsi="宋体"/>
                <w:color w:val="auto"/>
                <w:szCs w:val="21"/>
                <w:highlight w:val="none"/>
              </w:rPr>
            </w:pPr>
            <w:bookmarkStart w:id="68" w:name="_23"/>
            <w:bookmarkEnd w:id="68"/>
            <w:r>
              <w:rPr>
                <w:rFonts w:hint="eastAsia" w:hAnsi="宋体"/>
                <w:color w:val="auto"/>
                <w:szCs w:val="21"/>
                <w:highlight w:val="none"/>
              </w:rPr>
              <w:t>23</w:t>
            </w:r>
          </w:p>
        </w:tc>
        <w:tc>
          <w:tcPr>
            <w:tcW w:w="7761" w:type="dxa"/>
            <w:tcBorders>
              <w:top w:val="single" w:color="auto" w:sz="4" w:space="0"/>
              <w:left w:val="single" w:color="auto" w:sz="4" w:space="0"/>
              <w:bottom w:val="single" w:color="auto" w:sz="4" w:space="0"/>
              <w:right w:val="single" w:color="auto" w:sz="4" w:space="0"/>
            </w:tcBorders>
            <w:vAlign w:val="center"/>
          </w:tcPr>
          <w:p w14:paraId="5726B394">
            <w:pPr>
              <w:rPr>
                <w:rFonts w:hAnsi="宋体"/>
                <w:color w:val="auto"/>
                <w:szCs w:val="21"/>
                <w:highlight w:val="none"/>
              </w:rPr>
            </w:pPr>
            <w:r>
              <w:rPr>
                <w:rFonts w:hint="eastAsia" w:hAnsi="宋体"/>
                <w:color w:val="auto"/>
                <w:szCs w:val="21"/>
                <w:highlight w:val="none"/>
              </w:rPr>
              <w:t>1.开标时间：详见招标公告</w:t>
            </w:r>
          </w:p>
          <w:p w14:paraId="02C417C0">
            <w:pPr>
              <w:rPr>
                <w:rFonts w:hAnsi="宋体"/>
                <w:color w:val="auto"/>
                <w:szCs w:val="21"/>
                <w:highlight w:val="none"/>
              </w:rPr>
            </w:pPr>
            <w:r>
              <w:rPr>
                <w:rFonts w:hint="eastAsia" w:hAnsi="宋体"/>
                <w:color w:val="auto"/>
                <w:szCs w:val="21"/>
                <w:highlight w:val="none"/>
              </w:rPr>
              <w:t>2.开标地点：详见招标公告</w:t>
            </w:r>
          </w:p>
        </w:tc>
      </w:tr>
      <w:tr w14:paraId="0FB64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3ABFEA3D">
            <w:pPr>
              <w:jc w:val="center"/>
              <w:rPr>
                <w:rFonts w:hAnsi="宋体"/>
                <w:color w:val="auto"/>
                <w:szCs w:val="21"/>
                <w:highlight w:val="none"/>
              </w:rPr>
            </w:pPr>
            <w:r>
              <w:rPr>
                <w:rFonts w:hint="eastAsia" w:hAnsi="宋体"/>
                <w:color w:val="auto"/>
                <w:szCs w:val="21"/>
                <w:highlight w:val="none"/>
              </w:rPr>
              <w:t>24.3</w:t>
            </w:r>
            <w:r>
              <w:rPr>
                <w:rFonts w:hint="eastAsia" w:hAnsi="宋体"/>
                <w:color w:val="auto"/>
                <w:szCs w:val="21"/>
                <w:highlight w:val="none"/>
                <w:lang w:eastAsia="zh-CN"/>
              </w:rPr>
              <w:t>(</w:t>
            </w:r>
            <w:r>
              <w:rPr>
                <w:rFonts w:hint="eastAsia" w:hAnsi="宋体"/>
                <w:color w:val="auto"/>
                <w:szCs w:val="21"/>
                <w:highlight w:val="none"/>
              </w:rPr>
              <w:t>1</w:t>
            </w:r>
            <w:r>
              <w:rPr>
                <w:rFonts w:hint="eastAsia" w:hAnsi="宋体"/>
                <w:color w:val="auto"/>
                <w:szCs w:val="21"/>
                <w:highlight w:val="none"/>
                <w:lang w:eastAsia="zh-CN"/>
              </w:rPr>
              <w:t>)</w:t>
            </w:r>
          </w:p>
        </w:tc>
        <w:tc>
          <w:tcPr>
            <w:tcW w:w="7761" w:type="dxa"/>
            <w:tcBorders>
              <w:top w:val="single" w:color="auto" w:sz="4" w:space="0"/>
              <w:left w:val="single" w:color="auto" w:sz="4" w:space="0"/>
              <w:bottom w:val="single" w:color="auto" w:sz="4" w:space="0"/>
              <w:right w:val="single" w:color="auto" w:sz="4" w:space="0"/>
            </w:tcBorders>
            <w:vAlign w:val="center"/>
          </w:tcPr>
          <w:p w14:paraId="6F89EC5E">
            <w:pPr>
              <w:rPr>
                <w:rFonts w:hAnsi="宋体"/>
                <w:iCs/>
                <w:color w:val="auto"/>
                <w:szCs w:val="21"/>
                <w:highlight w:val="none"/>
              </w:rPr>
            </w:pPr>
            <w:r>
              <w:rPr>
                <w:rFonts w:hint="eastAsia" w:hAnsi="宋体"/>
                <w:color w:val="auto"/>
                <w:szCs w:val="21"/>
                <w:highlight w:val="none"/>
              </w:rPr>
              <w:t>电子投标文件解密时间：</w:t>
            </w:r>
            <w:r>
              <w:rPr>
                <w:rFonts w:hint="eastAsia" w:hAnsi="宋体"/>
                <w:b/>
                <w:bCs/>
                <w:color w:val="auto"/>
                <w:szCs w:val="21"/>
                <w:highlight w:val="none"/>
                <w:u w:val="single"/>
              </w:rPr>
              <w:t xml:space="preserve"> </w:t>
            </w:r>
            <w:r>
              <w:rPr>
                <w:rFonts w:hAnsi="宋体"/>
                <w:b/>
                <w:bCs/>
                <w:color w:val="auto"/>
                <w:szCs w:val="21"/>
                <w:highlight w:val="none"/>
                <w:u w:val="single"/>
              </w:rPr>
              <w:t>30</w:t>
            </w:r>
            <w:r>
              <w:rPr>
                <w:rFonts w:hint="eastAsia" w:hAnsi="宋体"/>
                <w:b/>
                <w:bCs/>
                <w:color w:val="auto"/>
                <w:szCs w:val="21"/>
                <w:highlight w:val="none"/>
                <w:u w:val="single"/>
              </w:rPr>
              <w:t xml:space="preserve"> </w:t>
            </w:r>
            <w:r>
              <w:rPr>
                <w:rFonts w:hint="eastAsia" w:hAnsi="宋体"/>
                <w:color w:val="auto"/>
                <w:szCs w:val="21"/>
                <w:highlight w:val="none"/>
              </w:rPr>
              <w:t>分钟</w:t>
            </w:r>
          </w:p>
        </w:tc>
      </w:tr>
      <w:tr w14:paraId="5EB5D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6F1E2D84">
            <w:pPr>
              <w:jc w:val="center"/>
              <w:rPr>
                <w:rFonts w:hAnsi="宋体"/>
                <w:color w:val="auto"/>
                <w:szCs w:val="21"/>
                <w:highlight w:val="none"/>
              </w:rPr>
            </w:pPr>
            <w:bookmarkStart w:id="69" w:name="_25.3"/>
            <w:bookmarkEnd w:id="69"/>
            <w:r>
              <w:rPr>
                <w:rFonts w:hint="eastAsia" w:hAnsi="宋体"/>
                <w:color w:val="auto"/>
                <w:szCs w:val="21"/>
                <w:highlight w:val="none"/>
              </w:rPr>
              <w:t>25.3</w:t>
            </w:r>
            <w:r>
              <w:rPr>
                <w:rFonts w:hint="eastAsia" w:hAnsi="宋体"/>
                <w:color w:val="auto"/>
                <w:szCs w:val="21"/>
                <w:highlight w:val="none"/>
                <w:lang w:eastAsia="zh-CN"/>
              </w:rPr>
              <w:t>(</w:t>
            </w:r>
            <w:r>
              <w:rPr>
                <w:rFonts w:hint="eastAsia" w:hAnsi="宋体"/>
                <w:color w:val="auto"/>
                <w:szCs w:val="21"/>
                <w:highlight w:val="none"/>
              </w:rPr>
              <w:t>2</w:t>
            </w:r>
            <w:r>
              <w:rPr>
                <w:rFonts w:hint="eastAsia" w:hAnsi="宋体"/>
                <w:color w:val="auto"/>
                <w:szCs w:val="21"/>
                <w:highlight w:val="none"/>
                <w:lang w:eastAsia="zh-CN"/>
              </w:rPr>
              <w:t>)</w:t>
            </w:r>
          </w:p>
        </w:tc>
        <w:tc>
          <w:tcPr>
            <w:tcW w:w="7761" w:type="dxa"/>
            <w:tcBorders>
              <w:top w:val="single" w:color="auto" w:sz="4" w:space="0"/>
              <w:left w:val="single" w:color="auto" w:sz="4" w:space="0"/>
              <w:bottom w:val="single" w:color="auto" w:sz="4" w:space="0"/>
              <w:right w:val="single" w:color="auto" w:sz="4" w:space="0"/>
            </w:tcBorders>
            <w:vAlign w:val="center"/>
          </w:tcPr>
          <w:p w14:paraId="73C52679">
            <w:pPr>
              <w:rPr>
                <w:rFonts w:hAnsi="宋体"/>
                <w:color w:val="auto"/>
                <w:szCs w:val="21"/>
                <w:highlight w:val="none"/>
              </w:rPr>
            </w:pPr>
            <w:r>
              <w:rPr>
                <w:rFonts w:hint="eastAsia" w:hAnsi="宋体"/>
                <w:color w:val="auto"/>
                <w:szCs w:val="21"/>
                <w:highlight w:val="none"/>
              </w:rPr>
              <w:t>采购人或者采购代理机构在资格审查结束前，对投标人进行信用查询。</w:t>
            </w:r>
          </w:p>
          <w:p w14:paraId="6D61E42B">
            <w:pPr>
              <w:rPr>
                <w:rFonts w:hAnsi="宋体"/>
                <w:color w:val="auto"/>
                <w:szCs w:val="21"/>
                <w:highlight w:val="none"/>
              </w:rPr>
            </w:pPr>
            <w:r>
              <w:rPr>
                <w:rFonts w:hint="eastAsia" w:hAnsi="宋体"/>
                <w:color w:val="auto"/>
                <w:szCs w:val="21"/>
                <w:highlight w:val="none"/>
              </w:rPr>
              <w:t>查询渠道：“信用中国”网站（www.creditchina.gov.cn） 、中国政府采购网（www.ccgp.gov.cn）。</w:t>
            </w:r>
          </w:p>
          <w:p w14:paraId="5F7B3B55">
            <w:pPr>
              <w:rPr>
                <w:rFonts w:hAnsi="宋体"/>
                <w:color w:val="auto"/>
                <w:szCs w:val="21"/>
                <w:highlight w:val="none"/>
              </w:rPr>
            </w:pPr>
            <w:r>
              <w:rPr>
                <w:rFonts w:hint="eastAsia" w:hAnsi="宋体"/>
                <w:color w:val="auto"/>
                <w:szCs w:val="21"/>
                <w:highlight w:val="none"/>
              </w:rPr>
              <w:t>信用查询截止时点：资格审查结束前</w:t>
            </w:r>
          </w:p>
          <w:p w14:paraId="15A01382">
            <w:pPr>
              <w:rPr>
                <w:rFonts w:hAnsi="宋体"/>
                <w:color w:val="auto"/>
                <w:szCs w:val="21"/>
                <w:highlight w:val="none"/>
              </w:rPr>
            </w:pPr>
            <w:r>
              <w:rPr>
                <w:rFonts w:hint="eastAsia" w:hAnsi="宋体"/>
                <w:color w:val="auto"/>
                <w:szCs w:val="21"/>
                <w:highlight w:val="none"/>
              </w:rPr>
              <w:t>查询记录和证据留存方式：在查询网站中直接截图查询记录，截图在“广西政府采购云”平台作为附件上传保存。</w:t>
            </w:r>
          </w:p>
          <w:p w14:paraId="39191DB8">
            <w:pPr>
              <w:rPr>
                <w:rFonts w:hAnsi="宋体"/>
                <w:b/>
                <w:color w:val="auto"/>
                <w:szCs w:val="21"/>
                <w:highlight w:val="none"/>
              </w:rPr>
            </w:pPr>
            <w:r>
              <w:rPr>
                <w:rFonts w:hint="eastAsia"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1102D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7C46BD80">
            <w:pPr>
              <w:jc w:val="center"/>
              <w:rPr>
                <w:rFonts w:hAnsi="宋体"/>
                <w:color w:val="auto"/>
                <w:szCs w:val="21"/>
                <w:highlight w:val="none"/>
              </w:rPr>
            </w:pPr>
            <w:bookmarkStart w:id="70" w:name="_26"/>
            <w:bookmarkEnd w:id="70"/>
            <w:r>
              <w:rPr>
                <w:rFonts w:hint="eastAsia" w:hAnsi="宋体"/>
                <w:color w:val="auto"/>
                <w:szCs w:val="21"/>
                <w:highlight w:val="none"/>
              </w:rPr>
              <w:t>26.1</w:t>
            </w:r>
          </w:p>
        </w:tc>
        <w:tc>
          <w:tcPr>
            <w:tcW w:w="7761" w:type="dxa"/>
            <w:tcBorders>
              <w:top w:val="single" w:color="auto" w:sz="4" w:space="0"/>
              <w:left w:val="single" w:color="auto" w:sz="4" w:space="0"/>
              <w:bottom w:val="single" w:color="auto" w:sz="4" w:space="0"/>
              <w:right w:val="single" w:color="auto" w:sz="4" w:space="0"/>
            </w:tcBorders>
            <w:vAlign w:val="center"/>
          </w:tcPr>
          <w:p w14:paraId="40E0CDD0">
            <w:pPr>
              <w:rPr>
                <w:rFonts w:hAnsi="宋体"/>
                <w:color w:val="auto"/>
                <w:szCs w:val="21"/>
                <w:highlight w:val="none"/>
              </w:rPr>
            </w:pPr>
            <w:r>
              <w:rPr>
                <w:rFonts w:hint="eastAsia" w:hAnsi="宋体"/>
                <w:color w:val="auto"/>
                <w:szCs w:val="21"/>
                <w:highlight w:val="none"/>
              </w:rPr>
              <w:t>评标委员会的人数：</w:t>
            </w:r>
            <w:r>
              <w:rPr>
                <w:rFonts w:hint="eastAsia" w:hAnsi="宋体"/>
                <w:b/>
                <w:bCs/>
                <w:color w:val="auto"/>
                <w:szCs w:val="21"/>
                <w:highlight w:val="none"/>
                <w:u w:val="single"/>
              </w:rPr>
              <w:t xml:space="preserve"> 5 </w:t>
            </w:r>
            <w:r>
              <w:rPr>
                <w:rFonts w:hint="eastAsia" w:hAnsi="宋体"/>
                <w:color w:val="auto"/>
                <w:szCs w:val="21"/>
                <w:highlight w:val="none"/>
              </w:rPr>
              <w:t>人</w:t>
            </w:r>
          </w:p>
        </w:tc>
      </w:tr>
      <w:tr w14:paraId="649F6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5C9E1381">
            <w:pPr>
              <w:jc w:val="center"/>
              <w:rPr>
                <w:rFonts w:hAnsi="宋体"/>
                <w:color w:val="auto"/>
                <w:szCs w:val="21"/>
                <w:highlight w:val="none"/>
              </w:rPr>
            </w:pPr>
            <w:bookmarkStart w:id="71" w:name="_28.3"/>
            <w:bookmarkEnd w:id="71"/>
            <w:r>
              <w:rPr>
                <w:rFonts w:hAnsi="宋体"/>
                <w:color w:val="auto"/>
                <w:szCs w:val="21"/>
                <w:highlight w:val="none"/>
              </w:rPr>
              <w:t>29.1</w:t>
            </w:r>
          </w:p>
        </w:tc>
        <w:tc>
          <w:tcPr>
            <w:tcW w:w="7761" w:type="dxa"/>
            <w:tcBorders>
              <w:top w:val="single" w:color="auto" w:sz="4" w:space="0"/>
              <w:left w:val="single" w:color="auto" w:sz="4" w:space="0"/>
              <w:bottom w:val="single" w:color="auto" w:sz="4" w:space="0"/>
              <w:right w:val="single" w:color="auto" w:sz="4" w:space="0"/>
            </w:tcBorders>
            <w:vAlign w:val="center"/>
          </w:tcPr>
          <w:p w14:paraId="375F213E">
            <w:pPr>
              <w:rPr>
                <w:rFonts w:hAnsi="宋体"/>
                <w:color w:val="auto"/>
                <w:szCs w:val="21"/>
                <w:highlight w:val="none"/>
              </w:rPr>
            </w:pPr>
            <w:r>
              <w:rPr>
                <w:rFonts w:hint="eastAsia" w:hAnsi="宋体"/>
                <w:color w:val="auto"/>
                <w:szCs w:val="21"/>
                <w:highlight w:val="none"/>
              </w:rPr>
              <w:t>评标方法：</w:t>
            </w:r>
          </w:p>
          <w:p w14:paraId="578B1825">
            <w:pPr>
              <w:rPr>
                <w:rFonts w:hAnsi="宋体"/>
                <w:b/>
                <w:bCs/>
                <w:color w:val="auto"/>
                <w:szCs w:val="21"/>
                <w:highlight w:val="none"/>
              </w:rPr>
            </w:pP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Ansi="宋体"/>
                <w:b/>
                <w:bCs/>
                <w:color w:val="auto"/>
                <w:highlight w:val="none"/>
              </w:rPr>
              <w:fldChar w:fldCharType="end"/>
            </w:r>
            <w:r>
              <w:rPr>
                <w:rFonts w:hint="eastAsia" w:hAnsi="宋体"/>
                <w:b/>
                <w:bCs/>
                <w:color w:val="auto"/>
                <w:szCs w:val="21"/>
                <w:highlight w:val="none"/>
              </w:rPr>
              <w:t>综合评分法</w:t>
            </w:r>
          </w:p>
          <w:p w14:paraId="0E2A2E5E">
            <w:pPr>
              <w:rPr>
                <w:rFonts w:hAnsi="宋体"/>
                <w:color w:val="auto"/>
                <w:szCs w:val="21"/>
                <w:highlight w:val="none"/>
              </w:rPr>
            </w:pPr>
            <w:r>
              <w:rPr>
                <w:rFonts w:hint="eastAsia" w:hAnsi="宋体"/>
                <w:color w:val="auto"/>
                <w:szCs w:val="21"/>
                <w:highlight w:val="none"/>
              </w:rPr>
              <w:t>□最低评标价法</w:t>
            </w:r>
          </w:p>
        </w:tc>
      </w:tr>
      <w:tr w14:paraId="52B66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03F2017B">
            <w:pPr>
              <w:jc w:val="center"/>
              <w:rPr>
                <w:rFonts w:hAnsi="宋体"/>
                <w:color w:val="auto"/>
                <w:szCs w:val="21"/>
                <w:highlight w:val="none"/>
              </w:rPr>
            </w:pPr>
            <w:r>
              <w:rPr>
                <w:rFonts w:hint="eastAsia" w:hAnsi="宋体"/>
                <w:color w:val="auto"/>
                <w:szCs w:val="21"/>
                <w:highlight w:val="none"/>
              </w:rPr>
              <w:t>2</w:t>
            </w:r>
            <w:r>
              <w:rPr>
                <w:rFonts w:hAnsi="宋体"/>
                <w:color w:val="auto"/>
                <w:szCs w:val="21"/>
                <w:highlight w:val="none"/>
              </w:rPr>
              <w:t>9.2</w:t>
            </w:r>
          </w:p>
        </w:tc>
        <w:tc>
          <w:tcPr>
            <w:tcW w:w="7761" w:type="dxa"/>
            <w:tcBorders>
              <w:top w:val="single" w:color="auto" w:sz="4" w:space="0"/>
              <w:left w:val="single" w:color="auto" w:sz="4" w:space="0"/>
              <w:bottom w:val="single" w:color="auto" w:sz="4" w:space="0"/>
              <w:right w:val="single" w:color="auto" w:sz="4" w:space="0"/>
            </w:tcBorders>
            <w:vAlign w:val="center"/>
          </w:tcPr>
          <w:p w14:paraId="762F7C3D">
            <w:pPr>
              <w:rPr>
                <w:rFonts w:hAnsi="宋体"/>
                <w:color w:val="auto"/>
                <w:szCs w:val="21"/>
                <w:highlight w:val="none"/>
              </w:rPr>
            </w:pPr>
            <w:r>
              <w:rPr>
                <w:rFonts w:hint="eastAsia" w:hAnsi="宋体" w:cs="宋体"/>
                <w:b/>
                <w:color w:val="auto"/>
                <w:szCs w:val="21"/>
                <w:highlight w:val="none"/>
              </w:rPr>
              <w:t>商务要求</w:t>
            </w:r>
            <w:r>
              <w:rPr>
                <w:rFonts w:hint="eastAsia" w:hAnsi="宋体"/>
                <w:b/>
                <w:color w:val="auto"/>
                <w:szCs w:val="21"/>
                <w:highlight w:val="none"/>
              </w:rPr>
              <w:t>评审中允许负偏离的条款数为</w:t>
            </w:r>
            <w:r>
              <w:rPr>
                <w:rFonts w:hint="eastAsia" w:hAnsi="宋体"/>
                <w:b/>
                <w:color w:val="auto"/>
                <w:szCs w:val="21"/>
                <w:highlight w:val="none"/>
                <w:u w:val="single"/>
              </w:rPr>
              <w:t xml:space="preserve"> </w:t>
            </w:r>
            <w:r>
              <w:rPr>
                <w:rFonts w:hAnsi="宋体"/>
                <w:b/>
                <w:color w:val="auto"/>
                <w:szCs w:val="21"/>
                <w:highlight w:val="none"/>
                <w:u w:val="single"/>
              </w:rPr>
              <w:t>0</w:t>
            </w:r>
            <w:r>
              <w:rPr>
                <w:rFonts w:hint="eastAsia" w:hAnsi="宋体"/>
                <w:b/>
                <w:color w:val="auto"/>
                <w:szCs w:val="21"/>
                <w:highlight w:val="none"/>
                <w:u w:val="single"/>
              </w:rPr>
              <w:t xml:space="preserve"> </w:t>
            </w:r>
            <w:r>
              <w:rPr>
                <w:rFonts w:hint="eastAsia" w:hAnsi="宋体"/>
                <w:b/>
                <w:color w:val="auto"/>
                <w:szCs w:val="21"/>
                <w:highlight w:val="none"/>
              </w:rPr>
              <w:t>项。</w:t>
            </w:r>
          </w:p>
        </w:tc>
      </w:tr>
      <w:tr w14:paraId="3B7F3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54FA3C4">
            <w:pPr>
              <w:jc w:val="center"/>
              <w:rPr>
                <w:rFonts w:hAnsi="宋体"/>
                <w:color w:val="auto"/>
                <w:szCs w:val="21"/>
                <w:highlight w:val="none"/>
              </w:rPr>
            </w:pPr>
            <w:bookmarkStart w:id="72" w:name="_29.2.2（2）"/>
            <w:bookmarkEnd w:id="72"/>
            <w:r>
              <w:rPr>
                <w:rFonts w:hint="eastAsia" w:hAnsi="宋体"/>
                <w:color w:val="auto"/>
                <w:szCs w:val="21"/>
                <w:highlight w:val="none"/>
              </w:rPr>
              <w:t>29.3</w:t>
            </w:r>
          </w:p>
        </w:tc>
        <w:tc>
          <w:tcPr>
            <w:tcW w:w="7761" w:type="dxa"/>
            <w:tcBorders>
              <w:top w:val="single" w:color="auto" w:sz="4" w:space="0"/>
              <w:left w:val="single" w:color="auto" w:sz="4" w:space="0"/>
              <w:bottom w:val="single" w:color="auto" w:sz="4" w:space="0"/>
              <w:right w:val="single" w:color="auto" w:sz="4" w:space="0"/>
            </w:tcBorders>
            <w:vAlign w:val="center"/>
          </w:tcPr>
          <w:p w14:paraId="2B4A627B">
            <w:pPr>
              <w:rPr>
                <w:rFonts w:hAnsi="宋体"/>
                <w:color w:val="auto"/>
                <w:szCs w:val="21"/>
                <w:highlight w:val="none"/>
              </w:rPr>
            </w:pPr>
            <w:r>
              <w:rPr>
                <w:rFonts w:hAnsi="宋体"/>
                <w:color w:val="auto"/>
                <w:szCs w:val="21"/>
                <w:highlight w:val="none"/>
              </w:rPr>
              <w:t>中标候选人推荐数量</w:t>
            </w:r>
            <w:r>
              <w:rPr>
                <w:rFonts w:hint="eastAsia" w:hAnsi="宋体"/>
                <w:color w:val="auto"/>
                <w:szCs w:val="21"/>
                <w:highlight w:val="none"/>
              </w:rPr>
              <w:t>：</w:t>
            </w:r>
          </w:p>
          <w:p w14:paraId="5FB0DF13">
            <w:pPr>
              <w:rPr>
                <w:rFonts w:hAnsi="宋体"/>
                <w:b/>
                <w:bCs/>
                <w:color w:val="auto"/>
                <w:szCs w:val="21"/>
                <w:highlight w:val="none"/>
              </w:rPr>
            </w:pP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Ansi="宋体"/>
                <w:b/>
                <w:bCs/>
                <w:color w:val="auto"/>
                <w:highlight w:val="none"/>
              </w:rPr>
              <w:fldChar w:fldCharType="end"/>
            </w:r>
            <w:r>
              <w:rPr>
                <w:rFonts w:hint="eastAsia" w:hAnsi="宋体"/>
                <w:b/>
                <w:bCs/>
                <w:color w:val="auto"/>
                <w:szCs w:val="21"/>
                <w:highlight w:val="none"/>
                <w:u w:val="single"/>
              </w:rPr>
              <w:t xml:space="preserve"> </w:t>
            </w:r>
            <w:r>
              <w:rPr>
                <w:rFonts w:hint="eastAsia" w:hAnsi="宋体"/>
                <w:b/>
                <w:bCs/>
                <w:color w:val="auto"/>
                <w:szCs w:val="21"/>
                <w:highlight w:val="none"/>
                <w:u w:val="single"/>
                <w:lang w:val="en-US" w:eastAsia="zh-CN"/>
              </w:rPr>
              <w:t>1</w:t>
            </w:r>
            <w:r>
              <w:rPr>
                <w:rFonts w:hAnsi="宋体"/>
                <w:b/>
                <w:bCs/>
                <w:color w:val="auto"/>
                <w:szCs w:val="21"/>
                <w:highlight w:val="none"/>
                <w:u w:val="single"/>
              </w:rPr>
              <w:t xml:space="preserve"> </w:t>
            </w:r>
            <w:r>
              <w:rPr>
                <w:rFonts w:hAnsi="宋体"/>
                <w:b/>
                <w:bCs/>
                <w:color w:val="auto"/>
                <w:szCs w:val="21"/>
                <w:highlight w:val="none"/>
              </w:rPr>
              <w:t>名</w:t>
            </w:r>
          </w:p>
          <w:p w14:paraId="1F6AC64E">
            <w:pPr>
              <w:rPr>
                <w:rFonts w:hAnsi="宋体" w:cs="宋体"/>
                <w:color w:val="auto"/>
                <w:szCs w:val="21"/>
                <w:highlight w:val="none"/>
              </w:rPr>
            </w:pPr>
            <w:r>
              <w:rPr>
                <w:rFonts w:hint="eastAsia" w:hAnsi="宋体"/>
                <w:color w:val="auto"/>
                <w:szCs w:val="21"/>
                <w:highlight w:val="none"/>
              </w:rPr>
              <w:t>□根据[总得分由高到低（综合评分法）/评标报价从低到高（最低评标价法）</w:t>
            </w:r>
            <w:r>
              <w:rPr>
                <w:rFonts w:hAnsi="宋体"/>
                <w:color w:val="auto"/>
                <w:szCs w:val="21"/>
                <w:highlight w:val="none"/>
              </w:rPr>
              <w:t>]</w:t>
            </w:r>
            <w:r>
              <w:rPr>
                <w:rFonts w:hint="eastAsia" w:hAnsi="宋体"/>
                <w:color w:val="auto"/>
                <w:szCs w:val="21"/>
                <w:highlight w:val="none"/>
              </w:rPr>
              <w:t>排列次序并全部推荐为中标候选人</w:t>
            </w:r>
          </w:p>
        </w:tc>
      </w:tr>
      <w:tr w14:paraId="1BAAA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4A55EEE4">
            <w:pPr>
              <w:jc w:val="center"/>
              <w:rPr>
                <w:rFonts w:hAnsi="宋体"/>
                <w:color w:val="auto"/>
                <w:szCs w:val="21"/>
                <w:highlight w:val="none"/>
              </w:rPr>
            </w:pPr>
            <w:r>
              <w:rPr>
                <w:rFonts w:hint="eastAsia" w:hAnsi="宋体"/>
                <w:color w:val="auto"/>
                <w:szCs w:val="21"/>
                <w:highlight w:val="none"/>
              </w:rPr>
              <w:t>30</w:t>
            </w:r>
            <w:r>
              <w:rPr>
                <w:rFonts w:hAnsi="宋体"/>
                <w:color w:val="auto"/>
                <w:szCs w:val="21"/>
                <w:highlight w:val="none"/>
              </w:rPr>
              <w:t>.1</w:t>
            </w:r>
          </w:p>
        </w:tc>
        <w:tc>
          <w:tcPr>
            <w:tcW w:w="7761" w:type="dxa"/>
            <w:tcBorders>
              <w:top w:val="single" w:color="auto" w:sz="4" w:space="0"/>
              <w:left w:val="single" w:color="auto" w:sz="4" w:space="0"/>
              <w:bottom w:val="single" w:color="auto" w:sz="4" w:space="0"/>
              <w:right w:val="single" w:color="auto" w:sz="4" w:space="0"/>
            </w:tcBorders>
            <w:vAlign w:val="center"/>
          </w:tcPr>
          <w:p w14:paraId="5DBA751F">
            <w:pPr>
              <w:rPr>
                <w:rFonts w:hAnsi="宋体"/>
                <w:color w:val="auto"/>
                <w:szCs w:val="21"/>
                <w:highlight w:val="none"/>
              </w:rPr>
            </w:pPr>
            <w:r>
              <w:rPr>
                <w:rFonts w:hint="eastAsia" w:hAnsi="宋体"/>
                <w:color w:val="auto"/>
                <w:szCs w:val="21"/>
                <w:highlight w:val="none"/>
              </w:rPr>
              <w:t>采用综合评分法的采购项目，采购人确定中标供应商时，出现中标候选人并列的情形，采购人按</w:t>
            </w:r>
            <w:r>
              <w:rPr>
                <w:rFonts w:hint="eastAsia" w:hAnsi="宋体"/>
                <w:color w:val="auto"/>
                <w:szCs w:val="21"/>
                <w:highlight w:val="none"/>
                <w:lang w:eastAsia="zh-CN"/>
              </w:rPr>
              <w:t>以下</w:t>
            </w:r>
            <w:r>
              <w:rPr>
                <w:rFonts w:hint="eastAsia" w:hAnsi="宋体"/>
                <w:color w:val="auto"/>
                <w:szCs w:val="21"/>
                <w:highlight w:val="none"/>
              </w:rPr>
              <w:t>方式确定中标供应商：</w:t>
            </w:r>
          </w:p>
          <w:p w14:paraId="552C0D5D">
            <w:pPr>
              <w:ind w:firstLine="422"/>
              <w:rPr>
                <w:rFonts w:hAnsi="宋体"/>
                <w:color w:val="auto"/>
                <w:szCs w:val="21"/>
                <w:highlight w:val="none"/>
              </w:rPr>
            </w:pP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Ansi="宋体"/>
                <w:b/>
                <w:bCs/>
                <w:color w:val="auto"/>
                <w:highlight w:val="none"/>
              </w:rPr>
              <w:fldChar w:fldCharType="end"/>
            </w:r>
            <w:r>
              <w:rPr>
                <w:rFonts w:hint="eastAsia" w:hAnsi="宋体"/>
                <w:b/>
                <w:bCs/>
                <w:color w:val="auto"/>
                <w:szCs w:val="21"/>
                <w:highlight w:val="none"/>
              </w:rPr>
              <w:t>依次按投标报价低的优先、政策分得分高的优先、技术评分高的优先、商务评分高的优先、质保期长优先、交货期短优先、故障响应时间短优先的顺序确定；</w:t>
            </w:r>
          </w:p>
          <w:p w14:paraId="1609803B">
            <w:pPr>
              <w:ind w:firstLine="420"/>
              <w:rPr>
                <w:rFonts w:hAnsi="宋体"/>
                <w:color w:val="auto"/>
                <w:szCs w:val="21"/>
                <w:highlight w:val="none"/>
              </w:rPr>
            </w:pPr>
            <w:r>
              <w:rPr>
                <w:rFonts w:hint="eastAsia" w:hAnsi="宋体"/>
                <w:color w:val="auto"/>
                <w:szCs w:val="21"/>
                <w:highlight w:val="none"/>
              </w:rPr>
              <w:t>□随机抽取；</w:t>
            </w:r>
          </w:p>
          <w:p w14:paraId="058909F0">
            <w:pPr>
              <w:ind w:firstLine="420"/>
              <w:rPr>
                <w:rFonts w:hAnsi="宋体"/>
                <w:color w:val="auto"/>
                <w:szCs w:val="21"/>
                <w:highlight w:val="none"/>
              </w:rPr>
            </w:pPr>
            <w:r>
              <w:rPr>
                <w:rFonts w:hint="eastAsia" w:hAnsi="宋体"/>
                <w:color w:val="auto"/>
                <w:szCs w:val="21"/>
                <w:highlight w:val="none"/>
              </w:rPr>
              <w:t>□……</w:t>
            </w:r>
          </w:p>
          <w:p w14:paraId="754EFFFF">
            <w:pPr>
              <w:rPr>
                <w:rFonts w:hAnsi="宋体"/>
                <w:color w:val="auto"/>
                <w:szCs w:val="21"/>
                <w:highlight w:val="none"/>
              </w:rPr>
            </w:pPr>
            <w:r>
              <w:rPr>
                <w:rFonts w:hint="eastAsia" w:hAnsi="宋体"/>
                <w:color w:val="auto"/>
                <w:szCs w:val="21"/>
                <w:highlight w:val="none"/>
              </w:rPr>
              <w:t>采用最低评标价法的采购项目，采购人确定中标供应商时，出现中标候选人并列的情形，采购人按以下的方式确定中标供应商：</w:t>
            </w:r>
          </w:p>
          <w:p w14:paraId="418B6784">
            <w:pPr>
              <w:ind w:firstLine="420"/>
              <w:rPr>
                <w:rFonts w:hAnsi="宋体"/>
                <w:color w:val="auto"/>
                <w:szCs w:val="21"/>
                <w:highlight w:val="none"/>
              </w:rPr>
            </w:pPr>
            <w:r>
              <w:rPr>
                <w:rFonts w:hint="eastAsia" w:hAnsi="宋体"/>
                <w:color w:val="auto"/>
                <w:szCs w:val="21"/>
                <w:highlight w:val="none"/>
              </w:rPr>
              <w:t>□依次按投标报价低的优先、节能及环保产品累计金额高的优先、带“</w:t>
            </w:r>
            <w:r>
              <w:rPr>
                <w:rFonts w:hint="eastAsia" w:hAnsi="宋体" w:cs="宋体"/>
                <w:color w:val="auto"/>
                <w:szCs w:val="21"/>
                <w:highlight w:val="none"/>
              </w:rPr>
              <w:t>△</w:t>
            </w:r>
            <w:r>
              <w:rPr>
                <w:rFonts w:hint="eastAsia" w:hAnsi="宋体"/>
                <w:color w:val="auto"/>
                <w:szCs w:val="21"/>
                <w:highlight w:val="none"/>
              </w:rPr>
              <w:t>”的要求正偏离项数多的优先、均无正偏离或者正偏离项数一致时负偏离项数少的优先、故障响应时间短优先的顺序确定。</w:t>
            </w:r>
          </w:p>
          <w:p w14:paraId="1C0F0633">
            <w:pPr>
              <w:ind w:firstLine="420"/>
              <w:rPr>
                <w:rFonts w:hAnsi="宋体"/>
                <w:color w:val="auto"/>
                <w:szCs w:val="21"/>
                <w:highlight w:val="none"/>
              </w:rPr>
            </w:pPr>
            <w:r>
              <w:rPr>
                <w:rFonts w:hint="eastAsia" w:hAnsi="宋体"/>
                <w:color w:val="auto"/>
                <w:szCs w:val="21"/>
                <w:highlight w:val="none"/>
              </w:rPr>
              <w:t>□随机抽取；</w:t>
            </w:r>
          </w:p>
          <w:p w14:paraId="076DA4CD">
            <w:pPr>
              <w:ind w:firstLine="420"/>
              <w:rPr>
                <w:rFonts w:hAnsi="宋体"/>
                <w:b/>
                <w:color w:val="auto"/>
                <w:szCs w:val="21"/>
                <w:highlight w:val="none"/>
              </w:rPr>
            </w:pPr>
            <w:r>
              <w:rPr>
                <w:rFonts w:hint="eastAsia" w:hAnsi="宋体"/>
                <w:color w:val="auto"/>
                <w:szCs w:val="21"/>
                <w:highlight w:val="none"/>
              </w:rPr>
              <w:t>□……</w:t>
            </w:r>
          </w:p>
        </w:tc>
      </w:tr>
      <w:tr w14:paraId="7CC87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18C81BA">
            <w:pPr>
              <w:jc w:val="center"/>
              <w:rPr>
                <w:rFonts w:hAnsi="宋体"/>
                <w:color w:val="auto"/>
                <w:szCs w:val="21"/>
                <w:highlight w:val="none"/>
              </w:rPr>
            </w:pPr>
            <w:bookmarkStart w:id="73" w:name="_39.1"/>
            <w:bookmarkEnd w:id="73"/>
            <w:r>
              <w:rPr>
                <w:rFonts w:hint="eastAsia" w:hAnsi="宋体"/>
                <w:color w:val="auto"/>
                <w:szCs w:val="21"/>
                <w:highlight w:val="none"/>
              </w:rPr>
              <w:t>35</w:t>
            </w:r>
            <w:r>
              <w:rPr>
                <w:rFonts w:hAnsi="宋体"/>
                <w:color w:val="auto"/>
                <w:szCs w:val="21"/>
                <w:highlight w:val="none"/>
              </w:rPr>
              <w:t>.1</w:t>
            </w:r>
          </w:p>
        </w:tc>
        <w:tc>
          <w:tcPr>
            <w:tcW w:w="7761" w:type="dxa"/>
            <w:tcBorders>
              <w:top w:val="single" w:color="auto" w:sz="4" w:space="0"/>
              <w:left w:val="single" w:color="auto" w:sz="4" w:space="0"/>
              <w:bottom w:val="single" w:color="auto" w:sz="4" w:space="0"/>
              <w:right w:val="single" w:color="auto" w:sz="4" w:space="0"/>
            </w:tcBorders>
            <w:vAlign w:val="center"/>
          </w:tcPr>
          <w:p w14:paraId="565964F5">
            <w:pPr>
              <w:rPr>
                <w:rFonts w:hAnsi="宋体"/>
                <w:b/>
                <w:bCs/>
                <w:color w:val="auto"/>
                <w:szCs w:val="21"/>
                <w:highlight w:val="none"/>
              </w:rPr>
            </w:pPr>
            <w:r>
              <w:rPr>
                <w:rFonts w:hint="eastAsia" w:hAnsi="宋体"/>
                <w:b/>
                <w:bCs/>
                <w:color w:val="auto"/>
                <w:szCs w:val="21"/>
                <w:highlight w:val="none"/>
              </w:rPr>
              <w:t>☑本项目不收取履约保证金。</w:t>
            </w:r>
          </w:p>
          <w:p w14:paraId="3E052A7A">
            <w:pPr>
              <w:rPr>
                <w:rFonts w:hAnsi="宋体"/>
                <w:color w:val="auto"/>
                <w:szCs w:val="21"/>
                <w:highlight w:val="none"/>
              </w:rPr>
            </w:pP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eq \o\ac(□)</w:instrText>
            </w:r>
            <w:r>
              <w:rPr>
                <w:rFonts w:hAnsi="宋体"/>
                <w:color w:val="auto"/>
                <w:highlight w:val="none"/>
              </w:rPr>
              <w:fldChar w:fldCharType="end"/>
            </w:r>
            <w:r>
              <w:rPr>
                <w:rFonts w:hint="eastAsia" w:hAnsi="宋体"/>
                <w:color w:val="auto"/>
                <w:szCs w:val="21"/>
                <w:highlight w:val="none"/>
              </w:rPr>
              <w:t>本项目收取履约保证金，具体规定如下：</w:t>
            </w:r>
          </w:p>
          <w:p w14:paraId="673B6DD3">
            <w:pPr>
              <w:rPr>
                <w:rFonts w:hAnsi="宋体"/>
                <w:color w:val="auto"/>
                <w:szCs w:val="21"/>
                <w:highlight w:val="none"/>
              </w:rPr>
            </w:pPr>
            <w:r>
              <w:rPr>
                <w:rFonts w:hint="eastAsia" w:hAnsi="宋体"/>
                <w:color w:val="auto"/>
                <w:szCs w:val="21"/>
                <w:highlight w:val="none"/>
              </w:rPr>
              <w:t>履约保证金金额：</w:t>
            </w:r>
          </w:p>
          <w:p w14:paraId="557AD1F6">
            <w:pPr>
              <w:ind w:firstLine="411"/>
              <w:rPr>
                <w:rFonts w:hAnsi="宋体"/>
                <w:color w:val="auto"/>
                <w:szCs w:val="21"/>
                <w:highlight w:val="none"/>
              </w:rPr>
            </w:pPr>
            <w:r>
              <w:rPr>
                <w:rFonts w:hint="eastAsia" w:hAnsi="宋体"/>
                <w:color w:val="auto"/>
                <w:szCs w:val="21"/>
                <w:highlight w:val="none"/>
              </w:rPr>
              <w:t>1</w:t>
            </w:r>
            <w:r>
              <w:rPr>
                <w:rFonts w:hAnsi="宋体"/>
                <w:color w:val="auto"/>
                <w:szCs w:val="21"/>
                <w:highlight w:val="none"/>
              </w:rPr>
              <w:t>.</w:t>
            </w:r>
            <w:r>
              <w:rPr>
                <w:rFonts w:hint="eastAsia" w:hAnsi="宋体"/>
                <w:color w:val="auto"/>
                <w:szCs w:val="21"/>
                <w:highlight w:val="none"/>
              </w:rPr>
              <w:t>中型企业</w:t>
            </w:r>
            <w:r>
              <w:rPr>
                <w:rFonts w:hint="eastAsia" w:hAnsi="宋体"/>
                <w:color w:val="auto"/>
                <w:szCs w:val="21"/>
                <w:highlight w:val="none"/>
                <w:lang w:eastAsia="zh-CN"/>
              </w:rPr>
              <w:t>需</w:t>
            </w:r>
            <w:r>
              <w:rPr>
                <w:rFonts w:hint="eastAsia" w:hAnsi="宋体"/>
                <w:color w:val="auto"/>
                <w:szCs w:val="21"/>
                <w:highlight w:val="none"/>
              </w:rPr>
              <w:t>缴纳履约保证金金额：</w:t>
            </w:r>
            <w:r>
              <w:rPr>
                <w:rFonts w:hint="eastAsia" w:hAnsi="宋体"/>
                <w:bCs/>
                <w:color w:val="auto"/>
                <w:szCs w:val="21"/>
                <w:highlight w:val="none"/>
              </w:rPr>
              <w:t>合同金额的</w:t>
            </w:r>
            <w:r>
              <w:rPr>
                <w:rFonts w:hAnsi="宋体"/>
                <w:bCs/>
                <w:color w:val="auto"/>
                <w:szCs w:val="21"/>
                <w:highlight w:val="none"/>
              </w:rPr>
              <w:t>2%</w:t>
            </w:r>
          </w:p>
          <w:p w14:paraId="63D5A2B5">
            <w:pPr>
              <w:ind w:firstLine="411"/>
              <w:rPr>
                <w:rFonts w:hAnsi="宋体"/>
                <w:color w:val="auto"/>
                <w:szCs w:val="21"/>
                <w:highlight w:val="none"/>
              </w:rPr>
            </w:pPr>
            <w:r>
              <w:rPr>
                <w:rFonts w:hint="eastAsia" w:hAnsi="宋体"/>
                <w:color w:val="auto"/>
                <w:szCs w:val="21"/>
                <w:highlight w:val="none"/>
              </w:rPr>
              <w:t>2</w:t>
            </w:r>
            <w:r>
              <w:rPr>
                <w:rFonts w:hAnsi="宋体"/>
                <w:color w:val="auto"/>
                <w:szCs w:val="21"/>
                <w:highlight w:val="none"/>
              </w:rPr>
              <w:t>.</w:t>
            </w:r>
            <w:r>
              <w:rPr>
                <w:rFonts w:hint="eastAsia" w:hAnsi="宋体" w:cs="宋体"/>
                <w:color w:val="auto"/>
                <w:szCs w:val="21"/>
                <w:highlight w:val="none"/>
              </w:rPr>
              <w:t>小微企业或监狱企业或残疾人福利性单位：</w:t>
            </w:r>
            <w:r>
              <w:rPr>
                <w:rFonts w:hint="eastAsia" w:hAnsi="宋体" w:cs="宋体"/>
                <w:bCs/>
                <w:color w:val="auto"/>
                <w:szCs w:val="21"/>
                <w:highlight w:val="none"/>
              </w:rPr>
              <w:t>无须缴纳履约保证金</w:t>
            </w:r>
          </w:p>
          <w:p w14:paraId="15CFD984">
            <w:pPr>
              <w:rPr>
                <w:rFonts w:hAnsi="宋体"/>
                <w:color w:val="auto"/>
                <w:szCs w:val="21"/>
                <w:highlight w:val="none"/>
              </w:rPr>
            </w:pPr>
            <w:r>
              <w:rPr>
                <w:rFonts w:hint="eastAsia" w:hAnsi="宋体"/>
                <w:color w:val="auto"/>
                <w:szCs w:val="21"/>
                <w:highlight w:val="none"/>
              </w:rPr>
              <w:t>履约保证金提交及退付方式、时间及条件：</w:t>
            </w:r>
          </w:p>
          <w:p w14:paraId="61D855AC">
            <w:pPr>
              <w:ind w:firstLine="411"/>
              <w:rPr>
                <w:rFonts w:hAnsi="宋体"/>
                <w:bCs/>
                <w:color w:val="auto"/>
                <w:szCs w:val="21"/>
                <w:highlight w:val="none"/>
              </w:rPr>
            </w:pPr>
            <w:bookmarkStart w:id="74" w:name="_Hlk112743496"/>
            <w:r>
              <w:rPr>
                <w:rFonts w:hint="eastAsia" w:hAnsi="宋体"/>
                <w:bCs/>
                <w:color w:val="auto"/>
                <w:szCs w:val="21"/>
                <w:highlight w:val="none"/>
              </w:rPr>
              <w:t>须合同签订前5日内，中标供应商必须以银行转账、支票、汇票、本票或者银行、保险机构出具的保函、保险等非现金方式提交履约保证金。</w:t>
            </w:r>
            <w:r>
              <w:rPr>
                <w:rFonts w:hint="eastAsia" w:hAnsi="宋体"/>
                <w:b/>
                <w:color w:val="auto"/>
                <w:szCs w:val="21"/>
                <w:highlight w:val="none"/>
              </w:rPr>
              <w:t>如中标供应商不按双方签订的合同履约的，采购人不予退还其全部履约保证金，并按合同相关条款追究中标供应商责任。</w:t>
            </w:r>
            <w:bookmarkEnd w:id="74"/>
          </w:p>
          <w:p w14:paraId="2B5FDD97">
            <w:pPr>
              <w:rPr>
                <w:rFonts w:hAnsi="宋体" w:cs="宋体"/>
                <w:color w:val="auto"/>
                <w:szCs w:val="21"/>
                <w:highlight w:val="none"/>
              </w:rPr>
            </w:pPr>
            <w:r>
              <w:rPr>
                <w:rFonts w:hint="eastAsia" w:hAnsi="宋体" w:cs="宋体"/>
                <w:color w:val="auto"/>
                <w:szCs w:val="21"/>
                <w:highlight w:val="none"/>
              </w:rPr>
              <w:t>履约保证金账户：</w:t>
            </w:r>
          </w:p>
          <w:p w14:paraId="17C4ABF2">
            <w:pPr>
              <w:ind w:firstLine="411"/>
              <w:rPr>
                <w:rFonts w:hAnsi="宋体" w:cs="宋体"/>
                <w:color w:val="auto"/>
                <w:szCs w:val="21"/>
                <w:highlight w:val="none"/>
              </w:rPr>
            </w:pPr>
            <w:r>
              <w:rPr>
                <w:rFonts w:hint="eastAsia" w:hAnsi="宋体" w:cs="宋体"/>
                <w:color w:val="auto"/>
                <w:szCs w:val="21"/>
                <w:highlight w:val="none"/>
              </w:rPr>
              <w:t xml:space="preserve">名  称：柳州市妇幼保健院 </w:t>
            </w:r>
          </w:p>
          <w:p w14:paraId="6F051E54">
            <w:pPr>
              <w:ind w:firstLine="411"/>
              <w:rPr>
                <w:rFonts w:hAnsi="宋体" w:cs="宋体"/>
                <w:color w:val="auto"/>
                <w:szCs w:val="21"/>
                <w:highlight w:val="none"/>
              </w:rPr>
            </w:pPr>
            <w:r>
              <w:rPr>
                <w:rFonts w:hint="eastAsia" w:hAnsi="宋体" w:cs="宋体"/>
                <w:color w:val="auto"/>
                <w:szCs w:val="21"/>
                <w:highlight w:val="none"/>
              </w:rPr>
              <w:t>开户行：</w:t>
            </w:r>
            <w:r>
              <w:rPr>
                <w:rFonts w:hint="eastAsia"/>
                <w:color w:val="auto"/>
                <w:spacing w:val="9"/>
                <w:highlight w:val="none"/>
              </w:rPr>
              <w:t xml:space="preserve"> </w:t>
            </w:r>
          </w:p>
          <w:p w14:paraId="5C781251">
            <w:pPr>
              <w:ind w:firstLine="411"/>
              <w:rPr>
                <w:color w:val="auto"/>
                <w:spacing w:val="3"/>
                <w:highlight w:val="none"/>
              </w:rPr>
            </w:pPr>
            <w:r>
              <w:rPr>
                <w:rFonts w:hint="eastAsia" w:hAnsi="宋体" w:cs="宋体"/>
                <w:color w:val="auto"/>
                <w:szCs w:val="21"/>
                <w:highlight w:val="none"/>
              </w:rPr>
              <w:t>账  号：</w:t>
            </w:r>
            <w:r>
              <w:rPr>
                <w:rFonts w:hint="eastAsia"/>
                <w:color w:val="auto"/>
                <w:spacing w:val="3"/>
                <w:highlight w:val="none"/>
              </w:rPr>
              <w:t xml:space="preserve"> </w:t>
            </w:r>
          </w:p>
          <w:p w14:paraId="141ECDCE">
            <w:pPr>
              <w:ind w:firstLine="411"/>
              <w:rPr>
                <w:rFonts w:hAnsi="宋体" w:cs="宋体"/>
                <w:color w:val="auto"/>
                <w:szCs w:val="21"/>
                <w:highlight w:val="none"/>
              </w:rPr>
            </w:pPr>
            <w:r>
              <w:rPr>
                <w:rFonts w:hint="eastAsia" w:hAnsi="宋体" w:cs="宋体"/>
                <w:color w:val="auto"/>
                <w:szCs w:val="21"/>
                <w:highlight w:val="none"/>
              </w:rPr>
              <w:t>转账时注明：××××项目，采购编号××××履约保证金</w:t>
            </w:r>
          </w:p>
          <w:p w14:paraId="7CCA010B">
            <w:pPr>
              <w:rPr>
                <w:color w:val="auto"/>
                <w:szCs w:val="21"/>
                <w:highlight w:val="none"/>
              </w:rPr>
            </w:pPr>
            <w:r>
              <w:rPr>
                <w:color w:val="auto"/>
                <w:szCs w:val="21"/>
                <w:highlight w:val="none"/>
              </w:rPr>
              <w:t>注：</w:t>
            </w:r>
          </w:p>
          <w:p w14:paraId="6C96FF73">
            <w:pPr>
              <w:rPr>
                <w:color w:val="auto"/>
                <w:szCs w:val="21"/>
                <w:highlight w:val="none"/>
              </w:rPr>
            </w:pPr>
            <w:r>
              <w:rPr>
                <w:rFonts w:hint="eastAsia"/>
                <w:color w:val="auto"/>
                <w:szCs w:val="21"/>
                <w:highlight w:val="none"/>
              </w:rPr>
              <w:t>1</w:t>
            </w:r>
            <w:r>
              <w:rPr>
                <w:color w:val="auto"/>
                <w:szCs w:val="21"/>
                <w:highlight w:val="none"/>
              </w:rPr>
              <w:t>.履约保证金不足额缴纳的，或银行、保险机构出具的保函额度不足的或者保函有效期低于合同履行期限（即签订采购合同之日起至履行完合同约定的权利及义务之日止）的，不予签订合同。</w:t>
            </w:r>
          </w:p>
          <w:p w14:paraId="77D2D3BD">
            <w:pPr>
              <w:rPr>
                <w:color w:val="auto"/>
                <w:szCs w:val="21"/>
                <w:highlight w:val="none"/>
              </w:rPr>
            </w:pPr>
            <w:r>
              <w:rPr>
                <w:rFonts w:hint="eastAsia"/>
                <w:color w:val="auto"/>
                <w:szCs w:val="21"/>
                <w:highlight w:val="none"/>
              </w:rPr>
              <w:t>2</w:t>
            </w:r>
            <w:r>
              <w:rPr>
                <w:color w:val="auto"/>
                <w:szCs w:val="21"/>
                <w:highlight w:val="none"/>
              </w:rPr>
              <w:t>.采用银行、保险机构出具的保函的，必须为无条件保函，否则不予签订合同。</w:t>
            </w:r>
          </w:p>
          <w:p w14:paraId="6E11E854">
            <w:pPr>
              <w:rPr>
                <w:rFonts w:hAnsi="宋体"/>
                <w:bCs/>
                <w:color w:val="auto"/>
                <w:szCs w:val="21"/>
                <w:highlight w:val="none"/>
              </w:rPr>
            </w:pPr>
            <w:r>
              <w:rPr>
                <w:rFonts w:hint="eastAsia" w:hAnsi="宋体"/>
                <w:bCs/>
                <w:color w:val="auto"/>
                <w:szCs w:val="21"/>
                <w:highlight w:val="none"/>
              </w:rPr>
              <w:t>3.采用</w:t>
            </w:r>
            <w:r>
              <w:rPr>
                <w:rFonts w:hAnsi="宋体"/>
                <w:bCs/>
                <w:color w:val="auto"/>
                <w:szCs w:val="21"/>
                <w:highlight w:val="none"/>
              </w:rPr>
              <w:t>银行、保险机构出具的保函</w:t>
            </w:r>
            <w:r>
              <w:rPr>
                <w:rFonts w:hint="eastAsia" w:hAnsi="宋体"/>
                <w:bCs/>
                <w:color w:val="auto"/>
                <w:szCs w:val="21"/>
                <w:highlight w:val="none"/>
              </w:rPr>
              <w:t>：在合同签订前5日内，中标供应商向采购人提交保证金额的保函（若中标供应商为中型企业须缴纳履约保证金金额：合同金额的2%；若中标供应商为小微企业或监狱企业或残疾人福利性单位：免收履约保证金）。出现合同期（自合同签订之日至质保期结束）延长，导致合同期超出保函期限的，中标供应商应在保函期限届满前办理保函延期，保证合同期结束前保函持续有效。因中标供应商导致合同期延长的，继续提供履约担保所增加的费用由中标供应商承担；非因中标供应商原因导致合同期延长的，继续提供履约担保所增加的费用由采购人承担。因中标供应商未及时办理保函造成的损失由中标供应商承担。</w:t>
            </w:r>
          </w:p>
          <w:p w14:paraId="400AC34B">
            <w:pPr>
              <w:pStyle w:val="17"/>
              <w:rPr>
                <w:color w:val="auto"/>
                <w:highlight w:val="none"/>
              </w:rPr>
            </w:pPr>
            <w:r>
              <w:rPr>
                <w:rFonts w:hint="eastAsia" w:hAnsi="宋体"/>
                <w:bCs/>
                <w:color w:val="auto"/>
                <w:sz w:val="21"/>
                <w:szCs w:val="21"/>
                <w:highlight w:val="none"/>
              </w:rPr>
              <w:t>4</w:t>
            </w:r>
            <w:r>
              <w:rPr>
                <w:rFonts w:hAnsi="宋体"/>
                <w:bCs/>
                <w:color w:val="auto"/>
                <w:sz w:val="21"/>
                <w:szCs w:val="21"/>
                <w:highlight w:val="none"/>
              </w:rPr>
              <w:t>.</w:t>
            </w:r>
            <w:r>
              <w:rPr>
                <w:rFonts w:hint="eastAsia" w:hAnsi="宋体"/>
                <w:bCs/>
                <w:color w:val="auto"/>
                <w:sz w:val="21"/>
                <w:szCs w:val="21"/>
                <w:highlight w:val="none"/>
              </w:rPr>
              <w:t>采用银行转账、支票、汇票、本票等</w:t>
            </w:r>
            <w:r>
              <w:rPr>
                <w:rFonts w:hAnsi="宋体"/>
                <w:bCs/>
                <w:color w:val="auto"/>
                <w:sz w:val="21"/>
                <w:szCs w:val="21"/>
                <w:highlight w:val="none"/>
              </w:rPr>
              <w:t>非现金方式的</w:t>
            </w:r>
            <w:r>
              <w:rPr>
                <w:rFonts w:hint="eastAsia" w:hAnsi="宋体"/>
                <w:bCs/>
                <w:color w:val="auto"/>
                <w:sz w:val="21"/>
                <w:szCs w:val="21"/>
                <w:highlight w:val="none"/>
              </w:rPr>
              <w:t>：在合同签订前5日内，中标供应商向采购人提交保证金（若中标供应商为中型企业须缴纳履约保证金金额：合同金额的2%；若中标供应商为小微企业或监狱企业或残疾人福利性单位：免收履约保证金），从中标供应商的基本账户转账到采购人指定账户，履约保证金在质保期满并对质保期结束前发现的问题完成整改后，中标供应商向采购人提交履约保证金退还申请，采购人在收到申请之日起5个工作日内，扣减中标供应商的赔偿金和其他应从中标供应商扣回的款项后，将履约保证金的余额退还给中标供应商（无息）。</w:t>
            </w:r>
          </w:p>
        </w:tc>
      </w:tr>
      <w:tr w14:paraId="31EA6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3F6ABF3B">
            <w:pPr>
              <w:jc w:val="center"/>
              <w:rPr>
                <w:rFonts w:hAnsi="宋体"/>
                <w:color w:val="auto"/>
                <w:szCs w:val="21"/>
                <w:highlight w:val="none"/>
              </w:rPr>
            </w:pPr>
            <w:r>
              <w:rPr>
                <w:rFonts w:hint="eastAsia" w:hAnsi="宋体"/>
                <w:color w:val="auto"/>
                <w:szCs w:val="21"/>
                <w:highlight w:val="none"/>
              </w:rPr>
              <w:t>3</w:t>
            </w:r>
            <w:r>
              <w:rPr>
                <w:rFonts w:hAnsi="宋体"/>
                <w:color w:val="auto"/>
                <w:szCs w:val="21"/>
                <w:highlight w:val="none"/>
              </w:rPr>
              <w:t>6.1</w:t>
            </w:r>
          </w:p>
        </w:tc>
        <w:tc>
          <w:tcPr>
            <w:tcW w:w="7761" w:type="dxa"/>
            <w:tcBorders>
              <w:top w:val="single" w:color="auto" w:sz="4" w:space="0"/>
              <w:left w:val="single" w:color="auto" w:sz="4" w:space="0"/>
              <w:bottom w:val="single" w:color="auto" w:sz="4" w:space="0"/>
              <w:right w:val="single" w:color="auto" w:sz="4" w:space="0"/>
            </w:tcBorders>
            <w:vAlign w:val="center"/>
          </w:tcPr>
          <w:p w14:paraId="7D3714DE">
            <w:pPr>
              <w:rPr>
                <w:rFonts w:hAnsi="宋体"/>
                <w:color w:val="auto"/>
                <w:szCs w:val="21"/>
                <w:highlight w:val="none"/>
              </w:rPr>
            </w:pPr>
            <w:r>
              <w:rPr>
                <w:color w:val="auto"/>
                <w:highlight w:val="none"/>
              </w:rPr>
              <w:t>温馨</w:t>
            </w:r>
            <w:r>
              <w:rPr>
                <w:rFonts w:hint="eastAsia"/>
                <w:color w:val="auto"/>
                <w:highlight w:val="none"/>
              </w:rPr>
              <w:t>提示</w:t>
            </w:r>
            <w:r>
              <w:rPr>
                <w:color w:val="auto"/>
                <w:highlight w:val="none"/>
              </w:rPr>
              <w:t>（</w:t>
            </w:r>
            <w:r>
              <w:rPr>
                <w:b/>
                <w:bCs/>
                <w:color w:val="auto"/>
                <w:highlight w:val="none"/>
              </w:rPr>
              <w:t>非强制要求</w:t>
            </w:r>
            <w:r>
              <w:rPr>
                <w:color w:val="auto"/>
                <w:highlight w:val="none"/>
              </w:rPr>
              <w:t>）：</w:t>
            </w:r>
            <w:r>
              <w:rPr>
                <w:rFonts w:hint="eastAsia" w:hAnsi="宋体" w:cs="宋体"/>
                <w:bCs/>
                <w:color w:val="auto"/>
                <w:szCs w:val="21"/>
                <w:highlight w:val="none"/>
              </w:rPr>
              <w:t>投标人（供应商）可凭中标（成交）通知书、政府采购合同，通过中征应收账款融资服务平台向银行在线申请“政采贷”融资。</w:t>
            </w:r>
          </w:p>
        </w:tc>
      </w:tr>
      <w:tr w14:paraId="07A917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4078751C">
            <w:pPr>
              <w:jc w:val="center"/>
              <w:rPr>
                <w:rFonts w:hAnsi="宋体"/>
                <w:color w:val="auto"/>
                <w:szCs w:val="21"/>
                <w:highlight w:val="none"/>
              </w:rPr>
            </w:pPr>
            <w:bookmarkStart w:id="75" w:name="_40.1"/>
            <w:bookmarkEnd w:id="75"/>
            <w:r>
              <w:rPr>
                <w:rFonts w:hint="eastAsia" w:hAnsi="宋体"/>
                <w:color w:val="auto"/>
                <w:szCs w:val="21"/>
                <w:highlight w:val="none"/>
              </w:rPr>
              <w:t>3</w:t>
            </w:r>
            <w:r>
              <w:rPr>
                <w:rFonts w:hAnsi="宋体"/>
                <w:color w:val="auto"/>
                <w:szCs w:val="21"/>
                <w:highlight w:val="none"/>
              </w:rPr>
              <w:t>8.2</w:t>
            </w:r>
          </w:p>
        </w:tc>
        <w:tc>
          <w:tcPr>
            <w:tcW w:w="7761" w:type="dxa"/>
            <w:tcBorders>
              <w:top w:val="single" w:color="auto" w:sz="4" w:space="0"/>
              <w:left w:val="single" w:color="auto" w:sz="4" w:space="0"/>
              <w:bottom w:val="single" w:color="auto" w:sz="4" w:space="0"/>
              <w:right w:val="single" w:color="auto" w:sz="4" w:space="0"/>
            </w:tcBorders>
            <w:vAlign w:val="center"/>
          </w:tcPr>
          <w:p w14:paraId="68319254">
            <w:pPr>
              <w:rPr>
                <w:rFonts w:hAnsi="宋体"/>
                <w:color w:val="auto"/>
                <w:szCs w:val="21"/>
                <w:highlight w:val="none"/>
              </w:rPr>
            </w:pPr>
            <w:r>
              <w:rPr>
                <w:rFonts w:hint="eastAsia" w:hAnsi="宋体"/>
                <w:color w:val="auto"/>
                <w:szCs w:val="21"/>
                <w:highlight w:val="none"/>
              </w:rPr>
              <w:t>接收质疑函方式：以书面形式</w:t>
            </w:r>
          </w:p>
          <w:p w14:paraId="50C79494">
            <w:pPr>
              <w:ind w:firstLine="420"/>
              <w:rPr>
                <w:rFonts w:hAnsi="宋体"/>
                <w:color w:val="auto"/>
                <w:szCs w:val="21"/>
                <w:highlight w:val="none"/>
              </w:rPr>
            </w:pPr>
            <w:r>
              <w:rPr>
                <w:rFonts w:hint="eastAsia" w:hAnsi="宋体"/>
                <w:color w:val="auto"/>
                <w:highlight w:val="none"/>
              </w:rPr>
              <w:t>质疑联系部门及联系方式：云之龙咨询集团有限公司招标部，</w:t>
            </w:r>
            <w:r>
              <w:rPr>
                <w:rFonts w:hAnsi="宋体"/>
                <w:color w:val="auto"/>
                <w:highlight w:val="none"/>
              </w:rPr>
              <w:t>联系电话</w:t>
            </w:r>
            <w:r>
              <w:rPr>
                <w:rFonts w:hint="eastAsia" w:hAnsi="宋体"/>
                <w:color w:val="auto"/>
                <w:highlight w:val="none"/>
              </w:rPr>
              <w:t>：0772-3310669、3310109，</w:t>
            </w:r>
            <w:r>
              <w:rPr>
                <w:rFonts w:hAnsi="宋体"/>
                <w:color w:val="auto"/>
                <w:highlight w:val="none"/>
              </w:rPr>
              <w:t>通讯地址</w:t>
            </w:r>
            <w:r>
              <w:rPr>
                <w:rFonts w:hint="eastAsia" w:hAnsi="宋体" w:cs="Helvetica"/>
                <w:color w:val="auto"/>
                <w:highlight w:val="none"/>
              </w:rPr>
              <w:t>：</w:t>
            </w:r>
            <w:r>
              <w:rPr>
                <w:rFonts w:hint="eastAsia" w:hAnsi="宋体"/>
                <w:color w:val="auto"/>
                <w:highlight w:val="none"/>
              </w:rPr>
              <w:t>柳州市滨江东路16号三区二层211-218室。</w:t>
            </w:r>
          </w:p>
          <w:p w14:paraId="139BD978">
            <w:pPr>
              <w:ind w:firstLine="420"/>
              <w:rPr>
                <w:rFonts w:hAnsi="宋体"/>
                <w:color w:val="auto"/>
                <w:szCs w:val="21"/>
                <w:highlight w:val="none"/>
              </w:rPr>
            </w:pPr>
            <w:r>
              <w:rPr>
                <w:rFonts w:hint="eastAsia" w:hAnsi="宋体" w:cs="宋体"/>
                <w:color w:val="auto"/>
                <w:szCs w:val="21"/>
                <w:highlight w:val="none"/>
              </w:rPr>
              <w:t>业务时间：工作日每天上午</w:t>
            </w:r>
            <w:r>
              <w:rPr>
                <w:rFonts w:hAnsi="宋体" w:cs="宋体"/>
                <w:color w:val="auto"/>
                <w:szCs w:val="21"/>
                <w:highlight w:val="none"/>
              </w:rPr>
              <w:t>8</w:t>
            </w:r>
            <w:r>
              <w:rPr>
                <w:rFonts w:hint="eastAsia" w:hAnsi="宋体" w:cs="宋体"/>
                <w:color w:val="auto"/>
                <w:szCs w:val="21"/>
                <w:highlight w:val="none"/>
              </w:rPr>
              <w:t>时</w:t>
            </w:r>
            <w:r>
              <w:rPr>
                <w:rFonts w:hAnsi="宋体" w:cs="宋体"/>
                <w:color w:val="auto"/>
                <w:szCs w:val="21"/>
                <w:highlight w:val="none"/>
              </w:rPr>
              <w:t>00</w:t>
            </w:r>
            <w:r>
              <w:rPr>
                <w:rFonts w:hint="eastAsia" w:hAnsi="宋体" w:cs="宋体"/>
                <w:color w:val="auto"/>
                <w:szCs w:val="21"/>
                <w:highlight w:val="none"/>
              </w:rPr>
              <w:t>分到</w:t>
            </w:r>
            <w:r>
              <w:rPr>
                <w:rFonts w:hAnsi="宋体" w:cs="宋体"/>
                <w:color w:val="auto"/>
                <w:szCs w:val="21"/>
                <w:highlight w:val="none"/>
              </w:rPr>
              <w:t>12</w:t>
            </w:r>
            <w:r>
              <w:rPr>
                <w:rFonts w:hint="eastAsia" w:hAnsi="宋体" w:cs="宋体"/>
                <w:color w:val="auto"/>
                <w:szCs w:val="21"/>
                <w:highlight w:val="none"/>
              </w:rPr>
              <w:t>时</w:t>
            </w:r>
            <w:r>
              <w:rPr>
                <w:rFonts w:hAnsi="宋体" w:cs="宋体"/>
                <w:color w:val="auto"/>
                <w:szCs w:val="21"/>
                <w:highlight w:val="none"/>
              </w:rPr>
              <w:t>00</w:t>
            </w:r>
            <w:r>
              <w:rPr>
                <w:rFonts w:hint="eastAsia" w:hAnsi="宋体" w:cs="宋体"/>
                <w:color w:val="auto"/>
                <w:szCs w:val="21"/>
                <w:highlight w:val="none"/>
              </w:rPr>
              <w:t>分，下午</w:t>
            </w:r>
            <w:r>
              <w:rPr>
                <w:rFonts w:hAnsi="宋体" w:cs="宋体"/>
                <w:color w:val="auto"/>
                <w:szCs w:val="21"/>
                <w:highlight w:val="none"/>
              </w:rPr>
              <w:t>3</w:t>
            </w:r>
            <w:r>
              <w:rPr>
                <w:rFonts w:hint="eastAsia" w:hAnsi="宋体" w:cs="宋体"/>
                <w:color w:val="auto"/>
                <w:szCs w:val="21"/>
                <w:highlight w:val="none"/>
              </w:rPr>
              <w:t>时</w:t>
            </w:r>
            <w:r>
              <w:rPr>
                <w:rFonts w:hAnsi="宋体" w:cs="宋体"/>
                <w:color w:val="auto"/>
                <w:szCs w:val="21"/>
                <w:highlight w:val="none"/>
              </w:rPr>
              <w:t>00</w:t>
            </w:r>
            <w:r>
              <w:rPr>
                <w:rFonts w:hint="eastAsia" w:hAnsi="宋体" w:cs="宋体"/>
                <w:color w:val="auto"/>
                <w:szCs w:val="21"/>
                <w:highlight w:val="none"/>
              </w:rPr>
              <w:t>分到</w:t>
            </w:r>
            <w:r>
              <w:rPr>
                <w:rFonts w:hAnsi="宋体" w:cs="宋体"/>
                <w:color w:val="auto"/>
                <w:szCs w:val="21"/>
                <w:highlight w:val="none"/>
              </w:rPr>
              <w:t>6</w:t>
            </w:r>
            <w:r>
              <w:rPr>
                <w:rFonts w:hint="eastAsia" w:hAnsi="宋体" w:cs="宋体"/>
                <w:color w:val="auto"/>
                <w:szCs w:val="21"/>
                <w:highlight w:val="none"/>
              </w:rPr>
              <w:t>时</w:t>
            </w:r>
            <w:r>
              <w:rPr>
                <w:rFonts w:hAnsi="宋体" w:cs="宋体"/>
                <w:color w:val="auto"/>
                <w:szCs w:val="21"/>
                <w:highlight w:val="none"/>
              </w:rPr>
              <w:t>00</w:t>
            </w:r>
            <w:r>
              <w:rPr>
                <w:rFonts w:hint="eastAsia" w:hAnsi="宋体" w:cs="宋体"/>
                <w:color w:val="auto"/>
                <w:szCs w:val="21"/>
                <w:highlight w:val="none"/>
              </w:rPr>
              <w:t>分。</w:t>
            </w:r>
          </w:p>
        </w:tc>
      </w:tr>
      <w:tr w14:paraId="7CFA2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61005E58">
            <w:pPr>
              <w:jc w:val="center"/>
              <w:rPr>
                <w:rFonts w:hAnsi="宋体"/>
                <w:color w:val="auto"/>
                <w:szCs w:val="21"/>
                <w:highlight w:val="none"/>
              </w:rPr>
            </w:pPr>
            <w:bookmarkStart w:id="76" w:name="_41"/>
            <w:bookmarkEnd w:id="76"/>
            <w:bookmarkStart w:id="77" w:name="_42"/>
            <w:bookmarkEnd w:id="77"/>
            <w:bookmarkStart w:id="78" w:name="_Hlt17709148"/>
            <w:r>
              <w:rPr>
                <w:rFonts w:hint="eastAsia" w:hAnsi="宋体"/>
                <w:color w:val="auto"/>
                <w:szCs w:val="21"/>
                <w:highlight w:val="none"/>
              </w:rPr>
              <w:t>3</w:t>
            </w:r>
            <w:bookmarkEnd w:id="78"/>
            <w:r>
              <w:rPr>
                <w:rFonts w:hAnsi="宋体"/>
                <w:color w:val="auto"/>
                <w:szCs w:val="21"/>
                <w:highlight w:val="none"/>
              </w:rPr>
              <w:t>9.1</w:t>
            </w:r>
          </w:p>
        </w:tc>
        <w:tc>
          <w:tcPr>
            <w:tcW w:w="7761" w:type="dxa"/>
            <w:tcBorders>
              <w:top w:val="single" w:color="auto" w:sz="4" w:space="0"/>
              <w:left w:val="single" w:color="auto" w:sz="4" w:space="0"/>
              <w:bottom w:val="single" w:color="auto" w:sz="4" w:space="0"/>
              <w:right w:val="single" w:color="auto" w:sz="4" w:space="0"/>
            </w:tcBorders>
            <w:vAlign w:val="center"/>
          </w:tcPr>
          <w:p w14:paraId="66304323">
            <w:pPr>
              <w:pStyle w:val="23"/>
              <w:rPr>
                <w:rFonts w:hAnsi="宋体" w:cs="宋体"/>
                <w:color w:val="auto"/>
                <w:highlight w:val="none"/>
              </w:rPr>
            </w:pPr>
            <w:r>
              <w:rPr>
                <w:rFonts w:hint="eastAsia" w:hAnsi="宋体" w:cs="宋体"/>
                <w:color w:val="auto"/>
                <w:highlight w:val="none"/>
              </w:rPr>
              <w:t>1.采购代理费支付方式：</w:t>
            </w:r>
          </w:p>
          <w:p w14:paraId="648C8881">
            <w:pPr>
              <w:pStyle w:val="23"/>
              <w:ind w:firstLine="422"/>
              <w:rPr>
                <w:rFonts w:hAnsi="宋体" w:cs="宋体"/>
                <w:color w:val="auto"/>
                <w:highlight w:val="none"/>
              </w:rPr>
            </w:pPr>
            <w:r>
              <w:rPr>
                <w:rFonts w:hAnsi="宋体"/>
                <w:b/>
                <w:color w:val="auto"/>
                <w:highlight w:val="none"/>
              </w:rPr>
              <w:fldChar w:fldCharType="begin"/>
            </w:r>
            <w:r>
              <w:rPr>
                <w:rFonts w:hAnsi="宋体"/>
                <w:b/>
                <w:color w:val="auto"/>
                <w:highlight w:val="none"/>
              </w:rPr>
              <w:instrText xml:space="preserve"> </w:instrText>
            </w:r>
            <w:r>
              <w:rPr>
                <w:rFonts w:hint="eastAsia" w:hAnsi="宋体"/>
                <w:b/>
                <w:color w:val="auto"/>
                <w:highlight w:val="none"/>
              </w:rPr>
              <w:instrText xml:space="preserve">eq \o\ac(□,√)</w:instrText>
            </w:r>
            <w:r>
              <w:rPr>
                <w:rFonts w:hAnsi="宋体"/>
                <w:b/>
                <w:color w:val="auto"/>
                <w:highlight w:val="none"/>
              </w:rPr>
              <w:fldChar w:fldCharType="end"/>
            </w:r>
            <w:r>
              <w:rPr>
                <w:rFonts w:hint="eastAsia" w:hAnsi="宋体" w:cs="宋体"/>
                <w:b/>
                <w:color w:val="auto"/>
                <w:highlight w:val="none"/>
              </w:rPr>
              <w:t>本项目代理服务费由</w:t>
            </w:r>
            <w:r>
              <w:rPr>
                <w:rFonts w:hint="eastAsia" w:hAnsi="宋体" w:cs="宋体"/>
                <w:b/>
                <w:bCs/>
                <w:color w:val="auto"/>
                <w:highlight w:val="none"/>
                <w:u w:val="single"/>
              </w:rPr>
              <w:t xml:space="preserve"> 中标供应商 </w:t>
            </w:r>
            <w:r>
              <w:rPr>
                <w:rFonts w:hint="eastAsia" w:hAnsi="宋体" w:cs="宋体"/>
                <w:b/>
                <w:color w:val="auto"/>
                <w:highlight w:val="none"/>
              </w:rPr>
              <w:t>在领取中标通知书时，一次性向采购代理机构支付。</w:t>
            </w:r>
          </w:p>
          <w:p w14:paraId="7E5DA130">
            <w:pPr>
              <w:pStyle w:val="23"/>
              <w:ind w:firstLine="420"/>
              <w:rPr>
                <w:rFonts w:hAnsi="宋体" w:cs="宋体"/>
                <w:color w:val="auto"/>
                <w:highlight w:val="none"/>
              </w:rPr>
            </w:pPr>
            <w:r>
              <w:rPr>
                <w:rFonts w:hint="eastAsia" w:hAnsi="宋体" w:cs="宋体"/>
                <w:color w:val="auto"/>
                <w:highlight w:val="none"/>
              </w:rPr>
              <w:t>□采购人支付。</w:t>
            </w:r>
          </w:p>
          <w:p w14:paraId="68FDB6F4">
            <w:pPr>
              <w:pStyle w:val="23"/>
              <w:rPr>
                <w:rFonts w:hAnsi="宋体" w:cs="宋体"/>
                <w:color w:val="auto"/>
                <w:highlight w:val="none"/>
              </w:rPr>
            </w:pPr>
            <w:r>
              <w:rPr>
                <w:rFonts w:hint="eastAsia" w:hAnsi="宋体" w:cs="宋体"/>
                <w:color w:val="auto"/>
                <w:highlight w:val="none"/>
              </w:rPr>
              <w:t>2.采购代理费收取标准：</w:t>
            </w:r>
          </w:p>
          <w:p w14:paraId="6860AD0B">
            <w:pPr>
              <w:pStyle w:val="23"/>
              <w:ind w:firstLine="422"/>
              <w:rPr>
                <w:rFonts w:hAnsi="宋体" w:cs="宋体"/>
                <w:color w:val="auto"/>
                <w:highlight w:val="none"/>
              </w:rPr>
            </w:pP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int="eastAsia" w:hAnsi="宋体"/>
                <w:b/>
                <w:bCs/>
                <w:color w:val="auto"/>
                <w:position w:val="2"/>
                <w:sz w:val="14"/>
                <w:highlight w:val="none"/>
              </w:rPr>
              <w:instrText xml:space="preserve">√</w:instrText>
            </w:r>
            <w:r>
              <w:rPr>
                <w:rFonts w:hint="eastAsia" w:hAnsi="宋体"/>
                <w:b/>
                <w:bCs/>
                <w:color w:val="auto"/>
                <w:highlight w:val="none"/>
              </w:rPr>
              <w:instrText xml:space="preserve">)</w:instrText>
            </w:r>
            <w:r>
              <w:rPr>
                <w:rFonts w:hAnsi="宋体"/>
                <w:b/>
                <w:bCs/>
                <w:color w:val="auto"/>
                <w:highlight w:val="none"/>
              </w:rPr>
              <w:fldChar w:fldCharType="end"/>
            </w:r>
            <w:r>
              <w:rPr>
                <w:rFonts w:hint="eastAsia" w:hAnsi="宋体" w:cs="宋体"/>
                <w:b/>
                <w:bCs/>
                <w:color w:val="auto"/>
                <w:highlight w:val="none"/>
              </w:rPr>
              <w:t>以项目</w:t>
            </w:r>
            <w:r>
              <w:rPr>
                <w:rFonts w:hint="eastAsia" w:hAnsi="宋体" w:cs="宋体"/>
                <w:color w:val="auto"/>
                <w:highlight w:val="none"/>
              </w:rPr>
              <w:t>（</w:t>
            </w:r>
            <w:r>
              <w:rPr>
                <w:rFonts w:hAnsi="宋体"/>
                <w:color w:val="auto"/>
                <w:highlight w:val="none"/>
              </w:rPr>
              <w:fldChar w:fldCharType="begin"/>
            </w:r>
            <w:r>
              <w:rPr>
                <w:rFonts w:hAnsi="宋体"/>
                <w:color w:val="auto"/>
                <w:highlight w:val="none"/>
              </w:rPr>
              <w:instrText xml:space="preserve"> </w:instrText>
            </w:r>
            <w:r>
              <w:rPr>
                <w:rFonts w:hint="eastAsia" w:hAnsi="宋体"/>
                <w:color w:val="auto"/>
                <w:highlight w:val="none"/>
              </w:rPr>
              <w:instrText xml:space="preserve">eq \o\ac(□)</w:instrText>
            </w:r>
            <w:r>
              <w:rPr>
                <w:rFonts w:hAnsi="宋体"/>
                <w:color w:val="auto"/>
                <w:highlight w:val="none"/>
              </w:rPr>
              <w:fldChar w:fldCharType="end"/>
            </w:r>
            <w:r>
              <w:rPr>
                <w:rFonts w:hint="eastAsia" w:hAnsi="宋体" w:cs="宋体"/>
                <w:color w:val="auto"/>
                <w:highlight w:val="none"/>
              </w:rPr>
              <w:t>中标金额/</w:t>
            </w:r>
            <w:r>
              <w:rPr>
                <w:rFonts w:hint="eastAsia" w:hAnsi="宋体" w:cs="宋体"/>
                <w:b/>
                <w:bCs/>
                <w:color w:val="auto"/>
                <w:highlight w:val="none"/>
              </w:rPr>
              <w:t>☑采购预算</w:t>
            </w:r>
            <w:r>
              <w:rPr>
                <w:rFonts w:hint="eastAsia" w:hAnsi="宋体" w:cs="宋体"/>
                <w:color w:val="auto"/>
                <w:highlight w:val="none"/>
              </w:rPr>
              <w:t>/□暂定中标金额/□其他</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rPr>
              <w:t>）为计费额，按本须知正文第</w:t>
            </w:r>
            <w:r>
              <w:rPr>
                <w:rFonts w:hAnsi="宋体" w:cs="宋体"/>
                <w:color w:val="auto"/>
                <w:highlight w:val="none"/>
              </w:rPr>
              <w:t>39</w:t>
            </w:r>
            <w:r>
              <w:rPr>
                <w:rFonts w:hint="eastAsia" w:hAnsi="宋体" w:cs="宋体"/>
                <w:color w:val="auto"/>
                <w:highlight w:val="none"/>
              </w:rPr>
              <w:t>.</w:t>
            </w:r>
            <w:r>
              <w:rPr>
                <w:rFonts w:hAnsi="宋体" w:cs="宋体"/>
                <w:color w:val="auto"/>
                <w:highlight w:val="none"/>
              </w:rPr>
              <w:t>2</w:t>
            </w:r>
            <w:r>
              <w:rPr>
                <w:rFonts w:hint="eastAsia" w:hAnsi="宋体" w:cs="宋体"/>
                <w:color w:val="auto"/>
                <w:highlight w:val="none"/>
              </w:rPr>
              <w:t>条规定的收费计算标准（</w:t>
            </w: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Ansi="宋体"/>
                <w:b/>
                <w:bCs/>
                <w:color w:val="auto"/>
                <w:highlight w:val="none"/>
              </w:rPr>
              <w:fldChar w:fldCharType="end"/>
            </w:r>
            <w:r>
              <w:rPr>
                <w:rFonts w:hint="eastAsia" w:hAnsi="宋体" w:cs="宋体"/>
                <w:b/>
                <w:bCs/>
                <w:color w:val="auto"/>
                <w:highlight w:val="none"/>
              </w:rPr>
              <w:t>货物招标</w:t>
            </w:r>
            <w:r>
              <w:rPr>
                <w:rFonts w:hint="eastAsia" w:hAnsi="宋体" w:cs="宋体"/>
                <w:color w:val="auto"/>
                <w:highlight w:val="none"/>
              </w:rPr>
              <w:t>/□服务招标/□工程招标）采用差额定率累进法计算出收费基准价格，采购代理收费以（□</w:t>
            </w:r>
            <w:r>
              <w:rPr>
                <w:rFonts w:hint="eastAsia" w:hAnsi="宋体" w:cs="宋体"/>
                <w:bCs/>
                <w:color w:val="auto"/>
                <w:highlight w:val="none"/>
              </w:rPr>
              <w:t>收费基准价格</w:t>
            </w:r>
            <w:r>
              <w:rPr>
                <w:rFonts w:hint="eastAsia" w:hAnsi="宋体" w:cs="宋体"/>
                <w:color w:val="auto"/>
                <w:highlight w:val="none"/>
              </w:rPr>
              <w:t>/</w:t>
            </w: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Ansi="宋体"/>
                <w:b/>
                <w:bCs/>
                <w:color w:val="auto"/>
                <w:highlight w:val="none"/>
              </w:rPr>
              <w:fldChar w:fldCharType="end"/>
            </w:r>
            <w:r>
              <w:rPr>
                <w:rFonts w:hint="eastAsia" w:hAnsi="宋体" w:cs="宋体"/>
                <w:b/>
                <w:color w:val="auto"/>
                <w:highlight w:val="none"/>
              </w:rPr>
              <w:t>收费基准价格下浮</w:t>
            </w:r>
            <w:r>
              <w:rPr>
                <w:rFonts w:hint="eastAsia" w:hAnsi="宋体" w:cs="宋体"/>
                <w:b/>
                <w:color w:val="auto"/>
                <w:highlight w:val="none"/>
                <w:u w:val="single"/>
              </w:rPr>
              <w:t xml:space="preserve"> 2</w:t>
            </w:r>
            <w:r>
              <w:rPr>
                <w:rFonts w:hAnsi="宋体" w:cs="宋体"/>
                <w:b/>
                <w:color w:val="auto"/>
                <w:highlight w:val="none"/>
                <w:u w:val="single"/>
              </w:rPr>
              <w:t xml:space="preserve">0 </w:t>
            </w:r>
            <w:r>
              <w:rPr>
                <w:rFonts w:hint="eastAsia" w:hAnsi="宋体" w:cs="宋体"/>
                <w:b/>
                <w:color w:val="auto"/>
                <w:highlight w:val="none"/>
                <w:u w:val="single"/>
              </w:rPr>
              <w:t>%</w:t>
            </w:r>
            <w:r>
              <w:rPr>
                <w:rFonts w:hint="eastAsia" w:hAnsi="宋体" w:cs="宋体"/>
                <w:color w:val="auto"/>
                <w:highlight w:val="none"/>
              </w:rPr>
              <w:t>□收费基准价格上浮</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u w:val="single"/>
              </w:rPr>
              <w:t>%</w:t>
            </w:r>
            <w:r>
              <w:rPr>
                <w:rFonts w:hint="eastAsia" w:hAnsi="宋体" w:cs="宋体"/>
                <w:color w:val="auto"/>
                <w:highlight w:val="none"/>
              </w:rPr>
              <w:t>）</w:t>
            </w:r>
            <w:r>
              <w:rPr>
                <w:rFonts w:hint="eastAsia" w:hAnsi="宋体" w:cs="宋体"/>
                <w:b/>
                <w:color w:val="auto"/>
                <w:highlight w:val="none"/>
              </w:rPr>
              <w:t>收取</w:t>
            </w:r>
            <w:r>
              <w:rPr>
                <w:rFonts w:hint="eastAsia" w:hAnsi="宋体" w:cs="宋体"/>
                <w:color w:val="auto"/>
                <w:highlight w:val="none"/>
              </w:rPr>
              <w:t>。</w:t>
            </w:r>
          </w:p>
          <w:p w14:paraId="5FDB693E">
            <w:pPr>
              <w:pStyle w:val="23"/>
              <w:ind w:firstLine="420"/>
              <w:rPr>
                <w:rFonts w:hAnsi="宋体" w:cs="宋体"/>
                <w:color w:val="auto"/>
                <w:highlight w:val="none"/>
                <w:u w:val="single"/>
              </w:rPr>
            </w:pPr>
            <w:r>
              <w:rPr>
                <w:rFonts w:hint="eastAsia" w:hAnsi="宋体" w:cs="宋体"/>
                <w:color w:val="auto"/>
                <w:highlight w:val="none"/>
              </w:rPr>
              <w:t>□固定采购代理收费</w:t>
            </w:r>
            <w:r>
              <w:rPr>
                <w:rFonts w:hint="eastAsia" w:hAnsi="宋体" w:cs="宋体"/>
                <w:color w:val="auto"/>
                <w:highlight w:val="none"/>
                <w:u w:val="single"/>
              </w:rPr>
              <w:t xml:space="preserve">       /       </w:t>
            </w:r>
            <w:r>
              <w:rPr>
                <w:rFonts w:hint="eastAsia" w:hAnsi="宋体" w:cs="宋体"/>
                <w:color w:val="auto"/>
                <w:highlight w:val="none"/>
              </w:rPr>
              <w:t>。</w:t>
            </w:r>
          </w:p>
          <w:p w14:paraId="7F615F17">
            <w:pPr>
              <w:rPr>
                <w:rFonts w:hAnsi="宋体"/>
                <w:color w:val="auto"/>
                <w:szCs w:val="21"/>
                <w:highlight w:val="none"/>
              </w:rPr>
            </w:pPr>
            <w:r>
              <w:rPr>
                <w:rFonts w:hint="eastAsia" w:hAnsi="宋体" w:cs="宋体"/>
                <w:color w:val="auto"/>
                <w:szCs w:val="21"/>
                <w:highlight w:val="none"/>
              </w:rPr>
              <w:t>3</w:t>
            </w:r>
            <w:r>
              <w:rPr>
                <w:rFonts w:hAnsi="宋体" w:cs="宋体"/>
                <w:color w:val="auto"/>
                <w:szCs w:val="21"/>
                <w:highlight w:val="none"/>
              </w:rPr>
              <w:t>.</w:t>
            </w:r>
            <w:r>
              <w:rPr>
                <w:rFonts w:hint="eastAsia" w:hAnsi="宋体"/>
                <w:color w:val="auto"/>
                <w:szCs w:val="21"/>
                <w:highlight w:val="none"/>
              </w:rPr>
              <w:t>账户名称：云之龙咨询集团有限公司柳州分公司</w:t>
            </w:r>
          </w:p>
          <w:p w14:paraId="5589E0F4">
            <w:pPr>
              <w:widowControl/>
              <w:ind w:firstLine="210"/>
              <w:rPr>
                <w:rFonts w:hAnsi="宋体"/>
                <w:color w:val="auto"/>
                <w:szCs w:val="21"/>
                <w:highlight w:val="none"/>
              </w:rPr>
            </w:pPr>
            <w:r>
              <w:rPr>
                <w:rFonts w:hint="eastAsia" w:hAnsi="宋体"/>
                <w:color w:val="auto"/>
                <w:szCs w:val="21"/>
                <w:highlight w:val="none"/>
              </w:rPr>
              <w:t>开户银行：中信银行股份有限公司南宁园湖支行</w:t>
            </w:r>
          </w:p>
          <w:p w14:paraId="2587C430">
            <w:pPr>
              <w:widowControl/>
              <w:ind w:firstLine="210"/>
              <w:rPr>
                <w:rFonts w:hAnsi="宋体"/>
                <w:color w:val="auto"/>
                <w:szCs w:val="21"/>
                <w:highlight w:val="none"/>
              </w:rPr>
            </w:pPr>
            <w:r>
              <w:rPr>
                <w:rFonts w:hint="eastAsia" w:hAnsi="宋体"/>
                <w:color w:val="auto"/>
                <w:highlight w:val="none"/>
              </w:rPr>
              <w:t>银行账号：</w:t>
            </w:r>
            <w:r>
              <w:rPr>
                <w:rFonts w:hAnsi="宋体"/>
                <w:color w:val="auto"/>
                <w:highlight w:val="none"/>
              </w:rPr>
              <w:t>8113 0010 1370 0157 972</w:t>
            </w:r>
          </w:p>
        </w:tc>
      </w:tr>
      <w:tr w14:paraId="24E91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579997A2">
            <w:pPr>
              <w:jc w:val="center"/>
              <w:rPr>
                <w:rFonts w:hAnsi="宋体"/>
                <w:color w:val="auto"/>
                <w:szCs w:val="21"/>
                <w:highlight w:val="none"/>
              </w:rPr>
            </w:pPr>
            <w:r>
              <w:rPr>
                <w:rFonts w:hAnsi="宋体"/>
                <w:color w:val="auto"/>
                <w:szCs w:val="21"/>
                <w:highlight w:val="none"/>
              </w:rPr>
              <w:t>40.1</w:t>
            </w:r>
          </w:p>
        </w:tc>
        <w:tc>
          <w:tcPr>
            <w:tcW w:w="7761" w:type="dxa"/>
            <w:tcBorders>
              <w:top w:val="single" w:color="auto" w:sz="4" w:space="0"/>
              <w:left w:val="single" w:color="auto" w:sz="4" w:space="0"/>
              <w:bottom w:val="single" w:color="auto" w:sz="4" w:space="0"/>
              <w:right w:val="single" w:color="auto" w:sz="4" w:space="0"/>
            </w:tcBorders>
            <w:vAlign w:val="center"/>
          </w:tcPr>
          <w:p w14:paraId="3A5AF6F9">
            <w:pPr>
              <w:rPr>
                <w:rFonts w:hAnsi="宋体"/>
                <w:color w:val="auto"/>
                <w:szCs w:val="21"/>
                <w:highlight w:val="none"/>
              </w:rPr>
            </w:pPr>
            <w:r>
              <w:rPr>
                <w:rFonts w:hint="eastAsia" w:hAnsi="宋体"/>
                <w:color w:val="auto"/>
                <w:szCs w:val="21"/>
                <w:highlight w:val="none"/>
              </w:rPr>
              <w:t>解释：</w:t>
            </w:r>
            <w:r>
              <w:rPr>
                <w:rFonts w:hAnsi="宋体"/>
                <w:color w:val="auto"/>
                <w:szCs w:val="21"/>
                <w:highlight w:val="none"/>
              </w:rPr>
              <w:t>构成本招标文件的各个组成文件应互为解释，互为说明；除招标文件中有特别规定外，仅适用于招标投标阶段的规定，按</w:t>
            </w:r>
            <w:r>
              <w:rPr>
                <w:rFonts w:hint="eastAsia" w:hAnsi="宋体"/>
                <w:color w:val="auto"/>
                <w:szCs w:val="21"/>
                <w:highlight w:val="none"/>
              </w:rPr>
              <w:t>更正公告（澄清公告）</w:t>
            </w:r>
            <w:r>
              <w:rPr>
                <w:rFonts w:hAnsi="宋体"/>
                <w:color w:val="auto"/>
                <w:szCs w:val="21"/>
                <w:highlight w:val="none"/>
              </w:rPr>
              <w:t>、招标公告、</w:t>
            </w:r>
            <w:r>
              <w:rPr>
                <w:rFonts w:hint="eastAsia" w:hAnsi="宋体"/>
                <w:color w:val="auto"/>
                <w:szCs w:val="21"/>
                <w:highlight w:val="none"/>
              </w:rPr>
              <w:t>采购需求、</w:t>
            </w:r>
            <w:r>
              <w:rPr>
                <w:rFonts w:hAnsi="宋体"/>
                <w:color w:val="auto"/>
                <w:szCs w:val="21"/>
                <w:highlight w:val="none"/>
              </w:rPr>
              <w:t>投标人须知、</w:t>
            </w:r>
            <w:r>
              <w:rPr>
                <w:rFonts w:hint="eastAsia" w:hAnsi="宋体"/>
                <w:color w:val="auto"/>
                <w:szCs w:val="21"/>
                <w:highlight w:val="none"/>
              </w:rPr>
              <w:t>评标方法及评标标准</w:t>
            </w:r>
            <w:r>
              <w:rPr>
                <w:rFonts w:hAnsi="宋体"/>
                <w:color w:val="auto"/>
                <w:szCs w:val="21"/>
                <w:highlight w:val="none"/>
              </w:rPr>
              <w:t>、</w:t>
            </w:r>
            <w:r>
              <w:rPr>
                <w:rFonts w:hint="eastAsia" w:hAnsi="宋体"/>
                <w:color w:val="auto"/>
                <w:szCs w:val="21"/>
                <w:highlight w:val="none"/>
              </w:rPr>
              <w:t>拟签订的合同文本、</w:t>
            </w:r>
            <w:r>
              <w:rPr>
                <w:rFonts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hAnsi="宋体"/>
                <w:color w:val="auto"/>
                <w:szCs w:val="21"/>
                <w:highlight w:val="none"/>
              </w:rPr>
              <w:t>更正公告（澄清公告）</w:t>
            </w:r>
            <w:r>
              <w:rPr>
                <w:rFonts w:hAnsi="宋体"/>
                <w:color w:val="auto"/>
                <w:szCs w:val="21"/>
                <w:highlight w:val="none"/>
              </w:rPr>
              <w:t>与同步更新的招标文件不一致时以</w:t>
            </w:r>
            <w:r>
              <w:rPr>
                <w:rFonts w:hint="eastAsia" w:hAnsi="宋体"/>
                <w:color w:val="auto"/>
                <w:szCs w:val="21"/>
                <w:highlight w:val="none"/>
              </w:rPr>
              <w:t>更正公告（澄清公告）</w:t>
            </w:r>
            <w:r>
              <w:rPr>
                <w:rFonts w:hAnsi="宋体"/>
                <w:color w:val="auto"/>
                <w:szCs w:val="21"/>
                <w:highlight w:val="none"/>
              </w:rPr>
              <w:t>为准。按本款前述规定仍不能形成结论的，由</w:t>
            </w:r>
            <w:r>
              <w:rPr>
                <w:rFonts w:hint="eastAsia" w:hAnsi="宋体"/>
                <w:color w:val="auto"/>
                <w:szCs w:val="21"/>
                <w:highlight w:val="none"/>
              </w:rPr>
              <w:t>采购</w:t>
            </w:r>
            <w:r>
              <w:rPr>
                <w:rFonts w:hAnsi="宋体"/>
                <w:color w:val="auto"/>
                <w:szCs w:val="21"/>
                <w:highlight w:val="none"/>
              </w:rPr>
              <w:t>人</w:t>
            </w:r>
            <w:r>
              <w:rPr>
                <w:rFonts w:hint="eastAsia" w:hAnsi="宋体"/>
                <w:color w:val="auto"/>
                <w:szCs w:val="21"/>
                <w:highlight w:val="none"/>
              </w:rPr>
              <w:t>或者采购代理机构</w:t>
            </w:r>
            <w:r>
              <w:rPr>
                <w:rFonts w:hAnsi="宋体"/>
                <w:color w:val="auto"/>
                <w:szCs w:val="21"/>
                <w:highlight w:val="none"/>
              </w:rPr>
              <w:t>负责解释。</w:t>
            </w:r>
          </w:p>
        </w:tc>
      </w:tr>
      <w:tr w14:paraId="1E5A6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14:paraId="6DD0C8BB">
            <w:pPr>
              <w:jc w:val="center"/>
              <w:rPr>
                <w:rFonts w:hAnsi="宋体"/>
                <w:color w:val="auto"/>
                <w:szCs w:val="21"/>
                <w:highlight w:val="none"/>
              </w:rPr>
            </w:pPr>
            <w:r>
              <w:rPr>
                <w:rFonts w:hAnsi="宋体"/>
                <w:color w:val="auto"/>
                <w:szCs w:val="21"/>
                <w:highlight w:val="none"/>
              </w:rPr>
              <w:t>40.2</w:t>
            </w:r>
          </w:p>
        </w:tc>
        <w:tc>
          <w:tcPr>
            <w:tcW w:w="7761" w:type="dxa"/>
            <w:tcBorders>
              <w:top w:val="single" w:color="auto" w:sz="4" w:space="0"/>
              <w:left w:val="single" w:color="auto" w:sz="4" w:space="0"/>
              <w:bottom w:val="single" w:color="auto" w:sz="4" w:space="0"/>
              <w:right w:val="single" w:color="auto" w:sz="4" w:space="0"/>
            </w:tcBorders>
            <w:vAlign w:val="center"/>
          </w:tcPr>
          <w:p w14:paraId="7DB1B148">
            <w:pPr>
              <w:pStyle w:val="23"/>
              <w:ind w:firstLine="420"/>
              <w:rPr>
                <w:rFonts w:hAnsi="宋体" w:cs="宋体"/>
                <w:bCs/>
                <w:color w:val="auto"/>
                <w:highlight w:val="none"/>
              </w:rPr>
            </w:pPr>
            <w:r>
              <w:rPr>
                <w:rFonts w:hint="eastAsia" w:hAnsi="宋体" w:cs="宋体"/>
                <w:bCs/>
                <w:color w:val="auto"/>
                <w:highlight w:val="none"/>
              </w:rPr>
              <w:t>1.本招标文件中描述投标人的“公章”是指根据我国对公章的管理规定</w:t>
            </w:r>
            <w:r>
              <w:rPr>
                <w:rFonts w:hint="eastAsia" w:hAnsi="宋体" w:cs="宋体"/>
                <w:bCs/>
                <w:color w:val="auto"/>
                <w:highlight w:val="none"/>
                <w:lang w:eastAsia="zh-CN"/>
              </w:rPr>
              <w:t>，使</w:t>
            </w:r>
            <w:r>
              <w:rPr>
                <w:rFonts w:hint="eastAsia" w:hAnsi="宋体" w:cs="宋体"/>
                <w:bCs/>
                <w:color w:val="auto"/>
                <w:highlight w:val="none"/>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4EB0108">
            <w:pPr>
              <w:pStyle w:val="23"/>
              <w:ind w:firstLine="420"/>
              <w:rPr>
                <w:rFonts w:hAnsi="宋体" w:cs="宋体"/>
                <w:bCs/>
                <w:color w:val="auto"/>
                <w:highlight w:val="none"/>
              </w:rPr>
            </w:pPr>
            <w:r>
              <w:rPr>
                <w:rFonts w:hint="eastAsia" w:hAnsi="宋体" w:cs="宋体"/>
                <w:bCs/>
                <w:color w:val="auto"/>
                <w:highlight w:val="none"/>
              </w:rPr>
              <w:t>2.本招标文件所称的“</w:t>
            </w:r>
            <w:r>
              <w:rPr>
                <w:rFonts w:hint="eastAsia" w:hAnsi="宋体"/>
                <w:color w:val="auto"/>
                <w:highlight w:val="none"/>
              </w:rPr>
              <w:t>电子签章</w:t>
            </w:r>
            <w:r>
              <w:rPr>
                <w:rFonts w:hint="eastAsia" w:hAnsi="宋体"/>
                <w:color w:val="auto"/>
                <w:highlight w:val="none"/>
                <w:lang w:eastAsia="zh-CN"/>
              </w:rPr>
              <w:t>”“</w:t>
            </w:r>
            <w:r>
              <w:rPr>
                <w:rFonts w:hint="eastAsia" w:hAnsi="宋体" w:cs="宋体"/>
                <w:bCs/>
                <w:color w:val="auto"/>
                <w:highlight w:val="none"/>
              </w:rPr>
              <w:t>电子签名”</w:t>
            </w:r>
            <w:r>
              <w:rPr>
                <w:rFonts w:hint="eastAsia" w:hAnsi="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66935CB5">
            <w:pPr>
              <w:pStyle w:val="23"/>
              <w:ind w:firstLine="420"/>
              <w:rPr>
                <w:rFonts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E586C90">
            <w:pPr>
              <w:pStyle w:val="23"/>
              <w:ind w:firstLine="420"/>
              <w:rPr>
                <w:rFonts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61499DDD">
            <w:pPr>
              <w:ind w:firstLine="420"/>
              <w:rPr>
                <w:rFonts w:hAnsi="宋体"/>
                <w:color w:val="auto"/>
                <w:szCs w:val="21"/>
                <w:highlight w:val="none"/>
              </w:rPr>
            </w:pPr>
            <w:r>
              <w:rPr>
                <w:rFonts w:hint="eastAsia" w:hAnsi="宋体" w:cs="宋体"/>
                <w:bCs/>
                <w:color w:val="auto"/>
                <w:szCs w:val="21"/>
                <w:highlight w:val="none"/>
              </w:rPr>
              <w:t>5.本招标文件所称的“以上”“以下”“以内”“届满”，包括本数；所称的“不满”“超过”“以外”，不包括本数。</w:t>
            </w:r>
          </w:p>
        </w:tc>
      </w:tr>
    </w:tbl>
    <w:p w14:paraId="2C471A6D">
      <w:pPr>
        <w:rPr>
          <w:rFonts w:hAnsi="宋体"/>
          <w:color w:val="auto"/>
          <w:sz w:val="24"/>
          <w:szCs w:val="20"/>
          <w:highlight w:val="none"/>
        </w:rPr>
      </w:pPr>
    </w:p>
    <w:p w14:paraId="3ECDA51C">
      <w:pPr>
        <w:pStyle w:val="3"/>
        <w:rPr>
          <w:color w:val="auto"/>
          <w:highlight w:val="none"/>
        </w:rPr>
      </w:pPr>
      <w:r>
        <w:rPr>
          <w:color w:val="auto"/>
          <w:highlight w:val="none"/>
        </w:rPr>
        <w:br w:type="page" w:clear="all"/>
      </w:r>
      <w:r>
        <w:rPr>
          <w:rFonts w:hint="eastAsia"/>
          <w:color w:val="auto"/>
          <w:highlight w:val="none"/>
        </w:rPr>
        <w:t>投标人须知正文</w:t>
      </w:r>
    </w:p>
    <w:p w14:paraId="7243F105">
      <w:pPr>
        <w:pStyle w:val="271"/>
        <w:rPr>
          <w:color w:val="auto"/>
          <w:highlight w:val="none"/>
        </w:rPr>
      </w:pPr>
      <w:r>
        <w:rPr>
          <w:rFonts w:hint="eastAsia"/>
          <w:color w:val="auto"/>
          <w:highlight w:val="none"/>
        </w:rPr>
        <w:t>一、总  则</w:t>
      </w:r>
    </w:p>
    <w:p w14:paraId="33824274">
      <w:pPr>
        <w:pStyle w:val="261"/>
        <w:ind w:firstLine="482"/>
        <w:rPr>
          <w:color w:val="auto"/>
          <w:highlight w:val="none"/>
        </w:rPr>
      </w:pPr>
      <w:bookmarkStart w:id="79" w:name="_Toc254970668"/>
      <w:bookmarkStart w:id="80" w:name="_Toc254970527"/>
      <w:r>
        <w:rPr>
          <w:rFonts w:hint="eastAsia"/>
          <w:color w:val="auto"/>
          <w:highlight w:val="none"/>
        </w:rPr>
        <w:t>1.适用范围</w:t>
      </w:r>
      <w:bookmarkEnd w:id="79"/>
      <w:bookmarkEnd w:id="80"/>
    </w:p>
    <w:p w14:paraId="273C3CE0">
      <w:pPr>
        <w:ind w:firstLine="420"/>
        <w:rPr>
          <w:rFonts w:hAnsi="宋体"/>
          <w:color w:val="auto"/>
          <w:highlight w:val="none"/>
        </w:rPr>
      </w:pPr>
      <w:r>
        <w:rPr>
          <w:rFonts w:hint="eastAsia" w:hAnsi="宋体"/>
          <w:color w:val="auto"/>
          <w:highlight w:val="none"/>
        </w:rPr>
        <w:t>1.1适用法律：本项目采购人、采购代理机构、投标人、评标委员会的相关行为均受《中华人民共和国政府采购法</w:t>
      </w:r>
      <w:r>
        <w:rPr>
          <w:rFonts w:hint="eastAsia" w:hAnsi="宋体"/>
          <w:color w:val="auto"/>
          <w:highlight w:val="none"/>
          <w:lang w:eastAsia="zh-CN"/>
        </w:rPr>
        <w:t>》《</w:t>
      </w:r>
      <w:r>
        <w:rPr>
          <w:rFonts w:hint="eastAsia" w:hAnsi="宋体"/>
          <w:color w:val="auto"/>
          <w:highlight w:val="none"/>
        </w:rPr>
        <w:t>中华人民共和国政府采购法实施条例</w:t>
      </w:r>
      <w:r>
        <w:rPr>
          <w:rFonts w:hint="eastAsia" w:hAnsi="宋体"/>
          <w:color w:val="auto"/>
          <w:highlight w:val="none"/>
          <w:lang w:eastAsia="zh-CN"/>
        </w:rPr>
        <w:t>》《</w:t>
      </w:r>
      <w:r>
        <w:rPr>
          <w:rFonts w:hint="eastAsia" w:hAnsi="宋体"/>
          <w:color w:val="auto"/>
          <w:highlight w:val="none"/>
        </w:rPr>
        <w:t>政府采购货物和服务招标投标管理办法》及本项目本级和上级财政部门政府采购有关规定的约束和保护。</w:t>
      </w:r>
    </w:p>
    <w:p w14:paraId="15D43429">
      <w:pPr>
        <w:ind w:firstLine="420"/>
        <w:rPr>
          <w:rFonts w:hAnsi="宋体"/>
          <w:color w:val="auto"/>
          <w:highlight w:val="none"/>
        </w:rPr>
      </w:pPr>
      <w:r>
        <w:rPr>
          <w:rFonts w:hint="eastAsia" w:hAnsi="宋体"/>
          <w:color w:val="auto"/>
          <w:highlight w:val="none"/>
        </w:rPr>
        <w:t>1.2本招标文件</w:t>
      </w:r>
      <w:r>
        <w:rPr>
          <w:rFonts w:hint="eastAsia" w:hAnsi="宋体" w:cs="宋体"/>
          <w:color w:val="auto"/>
          <w:spacing w:val="-6"/>
          <w:highlight w:val="none"/>
        </w:rPr>
        <w:t>适用于本项目的所有采购程序和环节（</w:t>
      </w:r>
      <w:r>
        <w:rPr>
          <w:rFonts w:hint="eastAsia" w:hAnsi="宋体" w:cs="宋体"/>
          <w:color w:val="auto"/>
          <w:spacing w:val="-6"/>
          <w:highlight w:val="none"/>
          <w:lang w:eastAsia="zh-CN"/>
        </w:rPr>
        <w:t>法律法规</w:t>
      </w:r>
      <w:r>
        <w:rPr>
          <w:rFonts w:hint="eastAsia" w:hAnsi="宋体" w:cs="宋体"/>
          <w:color w:val="auto"/>
          <w:spacing w:val="-6"/>
          <w:highlight w:val="none"/>
        </w:rPr>
        <w:t>另有规定的，从其规定）。</w:t>
      </w:r>
    </w:p>
    <w:p w14:paraId="08E1C391">
      <w:pPr>
        <w:pStyle w:val="261"/>
        <w:ind w:firstLine="482"/>
        <w:rPr>
          <w:color w:val="auto"/>
          <w:highlight w:val="none"/>
        </w:rPr>
      </w:pPr>
      <w:bookmarkStart w:id="81" w:name="_Toc254970528"/>
      <w:bookmarkStart w:id="82" w:name="_Toc254970669"/>
      <w:r>
        <w:rPr>
          <w:rFonts w:hint="eastAsia"/>
          <w:color w:val="auto"/>
          <w:highlight w:val="none"/>
        </w:rPr>
        <w:t>2.定义</w:t>
      </w:r>
      <w:bookmarkEnd w:id="81"/>
      <w:bookmarkEnd w:id="82"/>
    </w:p>
    <w:p w14:paraId="58184DC4">
      <w:pPr>
        <w:ind w:firstLine="420"/>
        <w:rPr>
          <w:bCs/>
          <w:color w:val="auto"/>
          <w:highlight w:val="none"/>
        </w:rPr>
      </w:pPr>
      <w:bookmarkStart w:id="83" w:name="_Toc254970529"/>
      <w:bookmarkStart w:id="84" w:name="_Toc254970670"/>
      <w:r>
        <w:rPr>
          <w:rFonts w:hint="eastAsia"/>
          <w:bCs/>
          <w:color w:val="auto"/>
          <w:highlight w:val="none"/>
        </w:rPr>
        <w:t>2.1“采购人”是指依法进行政府采购的国家机关、事业单位、团体组织。</w:t>
      </w:r>
    </w:p>
    <w:p w14:paraId="376C4BF8">
      <w:pPr>
        <w:ind w:firstLine="420"/>
        <w:rPr>
          <w:bCs/>
          <w:color w:val="auto"/>
          <w:highlight w:val="none"/>
        </w:rPr>
      </w:pPr>
      <w:r>
        <w:rPr>
          <w:rFonts w:hint="eastAsia"/>
          <w:bCs/>
          <w:color w:val="auto"/>
          <w:highlight w:val="none"/>
        </w:rPr>
        <w:t>2.2“采购代理机构”是指政府采购集中采购机构和集中采购机构以外的采购代理机构。</w:t>
      </w:r>
    </w:p>
    <w:p w14:paraId="50AB34EC">
      <w:pPr>
        <w:ind w:firstLine="420"/>
        <w:rPr>
          <w:bCs/>
          <w:color w:val="auto"/>
          <w:highlight w:val="none"/>
        </w:rPr>
      </w:pPr>
      <w:r>
        <w:rPr>
          <w:rFonts w:hint="eastAsia"/>
          <w:bCs/>
          <w:color w:val="auto"/>
          <w:highlight w:val="none"/>
        </w:rPr>
        <w:t>2.3“供应商”是指向采购人提供货物、工程或者服务的法人、其他组织或者自然人。</w:t>
      </w:r>
    </w:p>
    <w:p w14:paraId="531A14AE">
      <w:pPr>
        <w:ind w:firstLine="420"/>
        <w:rPr>
          <w:bCs/>
          <w:color w:val="auto"/>
          <w:highlight w:val="none"/>
        </w:rPr>
      </w:pPr>
      <w:r>
        <w:rPr>
          <w:rFonts w:hint="eastAsia"/>
          <w:bCs/>
          <w:color w:val="auto"/>
          <w:highlight w:val="none"/>
        </w:rPr>
        <w:t>2.4“投标人”是指响应招标、参加投标竞争的法人、其他组织或者自然人。</w:t>
      </w:r>
    </w:p>
    <w:p w14:paraId="2A9833F9">
      <w:pPr>
        <w:ind w:firstLine="420"/>
        <w:rPr>
          <w:bCs/>
          <w:color w:val="auto"/>
          <w:highlight w:val="none"/>
        </w:rPr>
      </w:pPr>
      <w:r>
        <w:rPr>
          <w:rFonts w:hint="eastAsia"/>
          <w:bCs/>
          <w:color w:val="auto"/>
          <w:highlight w:val="none"/>
        </w:rPr>
        <w:t>2.5“货物”是指各种形态和种类的物品，包括原材料、燃料、设备、产品等。</w:t>
      </w:r>
    </w:p>
    <w:p w14:paraId="2C0EAC5A">
      <w:pPr>
        <w:ind w:firstLine="420"/>
        <w:rPr>
          <w:bCs/>
          <w:color w:val="auto"/>
          <w:highlight w:val="none"/>
        </w:rPr>
      </w:pPr>
      <w:r>
        <w:rPr>
          <w:rFonts w:hint="eastAsia"/>
          <w:bCs/>
          <w:color w:val="auto"/>
          <w:highlight w:val="none"/>
        </w:rPr>
        <w:t>2.6“售后服务” 是指商品出售以后所提供的各种服务，包含但不限于投标人须承担的备品备件、包装、运输、装卸、保险、货到就位以及安装、调试、培训、质保以及其他各种服务。</w:t>
      </w:r>
    </w:p>
    <w:p w14:paraId="49F6CAD1">
      <w:pPr>
        <w:ind w:firstLine="420"/>
        <w:rPr>
          <w:bCs/>
          <w:color w:val="auto"/>
          <w:highlight w:val="none"/>
        </w:rPr>
      </w:pPr>
      <w:r>
        <w:rPr>
          <w:rFonts w:hint="eastAsia"/>
          <w:bCs/>
          <w:color w:val="auto"/>
          <w:highlight w:val="none"/>
        </w:rPr>
        <w:t>2.7“书面形式”是指合同书、信件和数据电文（包括电报、电传、传真、电子数据交换和电子邮件）等可以有形地表现所载内容的形式。</w:t>
      </w:r>
    </w:p>
    <w:p w14:paraId="1BCF90C4">
      <w:pPr>
        <w:ind w:firstLine="420"/>
        <w:rPr>
          <w:bCs/>
          <w:color w:val="auto"/>
          <w:highlight w:val="none"/>
        </w:rPr>
      </w:pPr>
      <w:r>
        <w:rPr>
          <w:rFonts w:hint="eastAsia"/>
          <w:bCs/>
          <w:color w:val="auto"/>
          <w:highlight w:val="none"/>
        </w:rPr>
        <w:t>2.8“实质性要求”是指招标文件中已经指明不满足则</w:t>
      </w:r>
      <w:r>
        <w:rPr>
          <w:rFonts w:hint="eastAsia"/>
          <w:b/>
          <w:color w:val="auto"/>
          <w:highlight w:val="none"/>
        </w:rPr>
        <w:t>投标无效的条款</w:t>
      </w:r>
      <w:r>
        <w:rPr>
          <w:rFonts w:hint="eastAsia"/>
          <w:bCs/>
          <w:color w:val="auto"/>
          <w:highlight w:val="none"/>
        </w:rPr>
        <w:t>，或者不能负偏离的条款或者采购需求中带“▲”的条款。</w:t>
      </w:r>
    </w:p>
    <w:p w14:paraId="04F164B5">
      <w:pPr>
        <w:ind w:firstLine="420"/>
        <w:rPr>
          <w:bCs/>
          <w:color w:val="auto"/>
          <w:highlight w:val="none"/>
        </w:rPr>
      </w:pPr>
      <w:r>
        <w:rPr>
          <w:rFonts w:hint="eastAsia"/>
          <w:bCs/>
          <w:color w:val="auto"/>
          <w:highlight w:val="none"/>
        </w:rPr>
        <w:t>2.9 “正偏离”，是指投标文件对招标文件“采购需求”中有关条款作出的响应优于条款要求并有利于采购人的情形。</w:t>
      </w:r>
    </w:p>
    <w:p w14:paraId="3BB11B64">
      <w:pPr>
        <w:ind w:firstLine="420"/>
        <w:rPr>
          <w:bCs/>
          <w:color w:val="auto"/>
          <w:highlight w:val="none"/>
        </w:rPr>
      </w:pPr>
      <w:r>
        <w:rPr>
          <w:rFonts w:hint="eastAsia"/>
          <w:bCs/>
          <w:color w:val="auto"/>
          <w:highlight w:val="none"/>
        </w:rPr>
        <w:t>2.10“负偏离”，是指投标文件对招标文件“采购需求”中有关条款作出的响应不满足条款要求，导致采购人要求不能得到满足的情形。</w:t>
      </w:r>
    </w:p>
    <w:p w14:paraId="1474A88B">
      <w:pPr>
        <w:ind w:firstLine="420"/>
        <w:rPr>
          <w:bCs/>
          <w:color w:val="auto"/>
          <w:highlight w:val="none"/>
        </w:rPr>
      </w:pPr>
      <w:r>
        <w:rPr>
          <w:rFonts w:hint="eastAsia"/>
          <w:bCs/>
          <w:color w:val="auto"/>
          <w:highlight w:val="none"/>
        </w:rPr>
        <w:t>2.11“允许负偏离的条款”是指采购需求中的不属于“实质性要求”的条款。</w:t>
      </w:r>
    </w:p>
    <w:p w14:paraId="5A728E79">
      <w:pPr>
        <w:pStyle w:val="261"/>
        <w:ind w:firstLine="482"/>
        <w:rPr>
          <w:color w:val="auto"/>
          <w:highlight w:val="none"/>
        </w:rPr>
      </w:pPr>
      <w:r>
        <w:rPr>
          <w:rFonts w:hint="eastAsia"/>
          <w:color w:val="auto"/>
          <w:highlight w:val="none"/>
        </w:rPr>
        <w:t>3.</w:t>
      </w:r>
      <w:bookmarkEnd w:id="83"/>
      <w:bookmarkEnd w:id="84"/>
      <w:r>
        <w:rPr>
          <w:rFonts w:hint="eastAsia"/>
          <w:color w:val="auto"/>
          <w:highlight w:val="none"/>
        </w:rPr>
        <w:t>投标人的资格要求</w:t>
      </w:r>
    </w:p>
    <w:p w14:paraId="77D097B6">
      <w:pPr>
        <w:ind w:firstLine="420"/>
        <w:rPr>
          <w:bCs/>
          <w:color w:val="auto"/>
          <w:highlight w:val="none"/>
        </w:rPr>
      </w:pPr>
      <w:r>
        <w:rPr>
          <w:rFonts w:hint="eastAsia"/>
          <w:bCs/>
          <w:color w:val="auto"/>
          <w:highlight w:val="none"/>
        </w:rPr>
        <w:t>投标人的资格要求详见“投标人须知前附表”。</w:t>
      </w:r>
    </w:p>
    <w:p w14:paraId="18592691">
      <w:pPr>
        <w:pStyle w:val="261"/>
        <w:ind w:firstLine="482"/>
        <w:rPr>
          <w:color w:val="auto"/>
          <w:highlight w:val="none"/>
        </w:rPr>
      </w:pPr>
      <w:bookmarkStart w:id="85" w:name="_Toc254970530"/>
      <w:bookmarkStart w:id="86" w:name="_Toc254970671"/>
      <w:r>
        <w:rPr>
          <w:rFonts w:hint="eastAsia"/>
          <w:color w:val="auto"/>
          <w:highlight w:val="none"/>
        </w:rPr>
        <w:t>4.投标委托</w:t>
      </w:r>
      <w:bookmarkEnd w:id="85"/>
      <w:bookmarkEnd w:id="86"/>
    </w:p>
    <w:p w14:paraId="2F294F7C">
      <w:pPr>
        <w:ind w:firstLine="420"/>
        <w:rPr>
          <w:rFonts w:hAnsi="宋体"/>
          <w:color w:val="auto"/>
          <w:szCs w:val="21"/>
          <w:highlight w:val="none"/>
        </w:rPr>
      </w:pPr>
      <w:r>
        <w:rPr>
          <w:rFonts w:hint="eastAsia" w:hAnsi="宋体"/>
          <w:color w:val="auto"/>
          <w:szCs w:val="21"/>
          <w:highlight w:val="none"/>
        </w:rPr>
        <w:t>投标人代表参加投标活动过程中必须携带个人有效身份证件。如投标人代表不是法定代表人，须持有授权委托书（按第六章要求格式填写）。</w:t>
      </w:r>
    </w:p>
    <w:p w14:paraId="5EDB1479">
      <w:pPr>
        <w:pStyle w:val="261"/>
        <w:ind w:firstLine="482"/>
        <w:rPr>
          <w:color w:val="auto"/>
          <w:highlight w:val="none"/>
        </w:rPr>
      </w:pPr>
      <w:bookmarkStart w:id="87" w:name="_5.投标费用"/>
      <w:bookmarkEnd w:id="87"/>
      <w:bookmarkStart w:id="88" w:name="_Toc254970531"/>
      <w:bookmarkStart w:id="89" w:name="_Toc254970672"/>
      <w:r>
        <w:rPr>
          <w:rFonts w:hint="eastAsia"/>
          <w:color w:val="auto"/>
          <w:highlight w:val="none"/>
        </w:rPr>
        <w:t>5.投标费用</w:t>
      </w:r>
      <w:bookmarkEnd w:id="88"/>
      <w:bookmarkEnd w:id="89"/>
    </w:p>
    <w:p w14:paraId="15AD4A4A">
      <w:pPr>
        <w:ind w:firstLine="420"/>
        <w:rPr>
          <w:rFonts w:hAnsi="宋体"/>
          <w:color w:val="auto"/>
          <w:szCs w:val="21"/>
          <w:highlight w:val="none"/>
        </w:rPr>
      </w:pPr>
      <w:r>
        <w:rPr>
          <w:rFonts w:hint="eastAsia"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407B4AD">
      <w:pPr>
        <w:pStyle w:val="261"/>
        <w:ind w:firstLine="482"/>
        <w:rPr>
          <w:color w:val="auto"/>
          <w:highlight w:val="none"/>
        </w:rPr>
      </w:pPr>
      <w:r>
        <w:rPr>
          <w:rFonts w:hint="eastAsia"/>
          <w:color w:val="auto"/>
          <w:highlight w:val="none"/>
        </w:rPr>
        <w:t>6.联合体投标</w:t>
      </w:r>
    </w:p>
    <w:p w14:paraId="26AB28BE">
      <w:pPr>
        <w:ind w:firstLine="420"/>
        <w:rPr>
          <w:rFonts w:hAnsi="宋体"/>
          <w:color w:val="auto"/>
          <w:szCs w:val="21"/>
          <w:highlight w:val="none"/>
        </w:rPr>
      </w:pPr>
      <w:r>
        <w:rPr>
          <w:rFonts w:hint="eastAsia" w:hAnsi="宋体"/>
          <w:color w:val="auto"/>
          <w:szCs w:val="21"/>
          <w:highlight w:val="none"/>
        </w:rPr>
        <w:t>6.1本项目是否接受联合体投标，详见“投标人须知前附表”。</w:t>
      </w:r>
    </w:p>
    <w:p w14:paraId="0F46B6FA">
      <w:pPr>
        <w:ind w:firstLine="420"/>
        <w:rPr>
          <w:rFonts w:hAnsi="宋体"/>
          <w:bCs/>
          <w:color w:val="auto"/>
          <w:szCs w:val="21"/>
          <w:highlight w:val="none"/>
        </w:rPr>
      </w:pPr>
      <w:r>
        <w:rPr>
          <w:rFonts w:hint="eastAsia" w:hAnsi="宋体"/>
          <w:bCs/>
          <w:color w:val="auto"/>
          <w:szCs w:val="21"/>
          <w:highlight w:val="none"/>
        </w:rPr>
        <w:t>6.2如接受联合体投标，联合体投标要求详见“投标人须知前附表”。</w:t>
      </w:r>
    </w:p>
    <w:p w14:paraId="26E63FE8">
      <w:pPr>
        <w:ind w:firstLine="420"/>
        <w:rPr>
          <w:rFonts w:hAnsi="宋体"/>
          <w:color w:val="auto"/>
          <w:szCs w:val="21"/>
          <w:highlight w:val="none"/>
        </w:rPr>
      </w:pPr>
      <w:r>
        <w:rPr>
          <w:rFonts w:hint="eastAsia" w:hAnsi="宋体"/>
          <w:bCs/>
          <w:color w:val="auto"/>
          <w:szCs w:val="21"/>
          <w:highlight w:val="none"/>
        </w:rPr>
        <w:t>6.3</w:t>
      </w:r>
      <w:r>
        <w:rPr>
          <w:rFonts w:hint="eastAsia" w:hAnsi="宋体"/>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hAnsi="宋体"/>
          <w:color w:val="auto"/>
          <w:szCs w:val="21"/>
          <w:highlight w:val="none"/>
          <w:lang w:eastAsia="zh-CN"/>
        </w:rPr>
        <w:t>4%—6%</w:t>
      </w:r>
      <w:r>
        <w:rPr>
          <w:rFonts w:hint="eastAsia" w:hAnsi="宋体"/>
          <w:color w:val="auto"/>
          <w:szCs w:val="21"/>
          <w:highlight w:val="none"/>
        </w:rPr>
        <w:t>的扣除，用扣除后的价格参加评审。</w:t>
      </w:r>
    </w:p>
    <w:p w14:paraId="6A2E6BC3">
      <w:pPr>
        <w:pStyle w:val="261"/>
        <w:ind w:firstLine="482"/>
        <w:rPr>
          <w:color w:val="auto"/>
          <w:highlight w:val="none"/>
        </w:rPr>
      </w:pPr>
      <w:r>
        <w:rPr>
          <w:rFonts w:hint="eastAsia"/>
          <w:color w:val="auto"/>
          <w:highlight w:val="none"/>
        </w:rPr>
        <w:t>7.转包与分包</w:t>
      </w:r>
    </w:p>
    <w:p w14:paraId="11E918CB">
      <w:pPr>
        <w:ind w:firstLine="422"/>
        <w:rPr>
          <w:rFonts w:hAnsi="宋体"/>
          <w:b/>
          <w:color w:val="auto"/>
          <w:szCs w:val="21"/>
          <w:highlight w:val="none"/>
        </w:rPr>
      </w:pPr>
      <w:bookmarkStart w:id="90" w:name="_Toc254970673"/>
      <w:bookmarkStart w:id="91" w:name="_Toc254970532"/>
      <w:r>
        <w:rPr>
          <w:rFonts w:hint="eastAsia" w:hAnsi="宋体"/>
          <w:b/>
          <w:color w:val="auto"/>
          <w:szCs w:val="21"/>
          <w:highlight w:val="none"/>
        </w:rPr>
        <w:t>7.1本项目不允许转包。</w:t>
      </w:r>
    </w:p>
    <w:p w14:paraId="3668EE60">
      <w:pPr>
        <w:ind w:firstLine="422"/>
        <w:rPr>
          <w:rFonts w:hAnsi="宋体"/>
          <w:b/>
          <w:color w:val="auto"/>
          <w:szCs w:val="21"/>
          <w:highlight w:val="none"/>
        </w:rPr>
      </w:pPr>
      <w:r>
        <w:rPr>
          <w:rFonts w:hint="eastAsia" w:hAnsi="宋体"/>
          <w:b/>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28DAF6A">
      <w:pPr>
        <w:ind w:firstLine="422"/>
        <w:rPr>
          <w:rFonts w:hAnsi="宋体"/>
          <w:b/>
          <w:color w:val="auto"/>
          <w:szCs w:val="21"/>
          <w:highlight w:val="none"/>
        </w:rPr>
      </w:pPr>
      <w:r>
        <w:rPr>
          <w:rFonts w:hint="eastAsia" w:hAnsi="宋体"/>
          <w:b/>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08F6DD8">
      <w:pPr>
        <w:pStyle w:val="261"/>
        <w:ind w:firstLine="482"/>
        <w:rPr>
          <w:color w:val="auto"/>
          <w:highlight w:val="none"/>
        </w:rPr>
      </w:pPr>
      <w:r>
        <w:rPr>
          <w:rFonts w:hint="eastAsia"/>
          <w:color w:val="auto"/>
          <w:highlight w:val="none"/>
        </w:rPr>
        <w:t>8.特别说明</w:t>
      </w:r>
      <w:bookmarkEnd w:id="90"/>
      <w:bookmarkEnd w:id="91"/>
    </w:p>
    <w:p w14:paraId="5975C684">
      <w:pPr>
        <w:ind w:firstLine="420"/>
        <w:rPr>
          <w:rFonts w:hAnsi="宋体"/>
          <w:color w:val="auto"/>
          <w:szCs w:val="21"/>
          <w:highlight w:val="none"/>
        </w:rPr>
      </w:pPr>
      <w:r>
        <w:rPr>
          <w:rFonts w:hint="eastAsia" w:hAnsi="宋体"/>
          <w:color w:val="auto"/>
          <w:szCs w:val="21"/>
          <w:highlight w:val="none"/>
        </w:rPr>
        <w:t>8.1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hAnsi="宋体"/>
          <w:b/>
          <w:bCs/>
          <w:color w:val="auto"/>
          <w:szCs w:val="21"/>
          <w:highlight w:val="none"/>
        </w:rPr>
        <w:t>其他投标无效</w:t>
      </w:r>
      <w:r>
        <w:rPr>
          <w:rFonts w:hint="eastAsia" w:hAnsi="宋体"/>
          <w:color w:val="auto"/>
          <w:szCs w:val="21"/>
          <w:highlight w:val="none"/>
        </w:rPr>
        <w:t>。</w:t>
      </w:r>
    </w:p>
    <w:p w14:paraId="164DA7FF">
      <w:pPr>
        <w:ind w:firstLine="420"/>
        <w:rPr>
          <w:rFonts w:hAnsi="宋体"/>
          <w:color w:val="auto"/>
          <w:szCs w:val="21"/>
          <w:highlight w:val="none"/>
        </w:rPr>
      </w:pPr>
      <w:r>
        <w:rPr>
          <w:rFonts w:hint="eastAsia" w:hAnsi="宋体"/>
          <w:color w:val="auto"/>
          <w:szCs w:val="21"/>
          <w:highlight w:val="none"/>
        </w:rPr>
        <w:t>采用综合评分法的采购项目，提供相同品牌产品且通过资格审查、符合性审查的不同投标人参加同一合同项下投标的，按一家投标人计算，评审后得分最高的同品牌投标人获得中标供应商推荐资格；评审得分相同的，由采购人或者采购人委托评标委员会按照“投标人须知前附表”规定的方式确定一个投标人获得中标供应商推荐资格，其他同品牌投标人不作为中标候选人。</w:t>
      </w:r>
    </w:p>
    <w:p w14:paraId="3C32A6A5">
      <w:pPr>
        <w:ind w:firstLine="420"/>
        <w:rPr>
          <w:rFonts w:hAnsi="宋体"/>
          <w:color w:val="auto"/>
          <w:szCs w:val="21"/>
          <w:highlight w:val="none"/>
        </w:rPr>
      </w:pPr>
      <w:r>
        <w:rPr>
          <w:rFonts w:hint="eastAsia" w:hAnsi="宋体"/>
          <w:color w:val="auto"/>
          <w:szCs w:val="21"/>
          <w:highlight w:val="none"/>
        </w:rPr>
        <w:t>非单一产品采购项目，多家投标人提供的核心产品品牌相同的，按前两款规定处理。</w:t>
      </w:r>
    </w:p>
    <w:p w14:paraId="7E2FECF1">
      <w:pPr>
        <w:ind w:firstLine="420"/>
        <w:rPr>
          <w:rFonts w:hAnsi="宋体"/>
          <w:color w:val="auto"/>
          <w:szCs w:val="21"/>
          <w:highlight w:val="none"/>
        </w:rPr>
      </w:pPr>
      <w:r>
        <w:rPr>
          <w:rFonts w:hint="eastAsia" w:hAnsi="宋体"/>
          <w:color w:val="auto"/>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0FA1D410">
      <w:pPr>
        <w:ind w:firstLine="420"/>
        <w:rPr>
          <w:rFonts w:hAnsi="宋体"/>
          <w:color w:val="auto"/>
          <w:szCs w:val="21"/>
          <w:highlight w:val="none"/>
        </w:rPr>
      </w:pPr>
      <w:r>
        <w:rPr>
          <w:rFonts w:hint="eastAsia" w:hAnsi="宋体"/>
          <w:color w:val="auto"/>
          <w:szCs w:val="21"/>
          <w:highlight w:val="none"/>
        </w:rPr>
        <w:t xml:space="preserve"> 8.3投标人应仔细阅读招标文件的所有内容，按照招标文件的要求提交投标文件，并对所提供的全部资料的真实性承担法律责任。</w:t>
      </w:r>
    </w:p>
    <w:p w14:paraId="4E511CB0">
      <w:pPr>
        <w:ind w:firstLine="420"/>
        <w:rPr>
          <w:rFonts w:hAnsi="宋体"/>
          <w:color w:val="auto"/>
          <w:szCs w:val="21"/>
          <w:highlight w:val="none"/>
        </w:rPr>
      </w:pPr>
      <w:r>
        <w:rPr>
          <w:rFonts w:hint="eastAsia" w:hAnsi="宋体"/>
          <w:color w:val="auto"/>
          <w:szCs w:val="21"/>
          <w:highlight w:val="none"/>
        </w:rPr>
        <w:t xml:space="preserve"> 8.4投标人在投标活动中提供任何虚假材料，将报监管部门查处；中标后发现的，中标供应商须依照《中华人民共和国消费者权益保护法》规定赔偿采购人，且民事赔偿并不免除违法投标人的行政与刑事责任。</w:t>
      </w:r>
    </w:p>
    <w:p w14:paraId="18C67298">
      <w:pPr>
        <w:pStyle w:val="7"/>
        <w:rPr>
          <w:color w:val="auto"/>
          <w:highlight w:val="none"/>
        </w:rPr>
      </w:pPr>
      <w:r>
        <w:rPr>
          <w:color w:val="auto"/>
          <w:highlight w:val="none"/>
        </w:rPr>
        <w:t>8.5</w:t>
      </w:r>
      <w:r>
        <w:rPr>
          <w:rFonts w:hint="eastAsia"/>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E401C6C">
      <w:pPr>
        <w:pStyle w:val="7"/>
        <w:rPr>
          <w:color w:val="auto"/>
          <w:highlight w:val="none"/>
        </w:rPr>
      </w:pPr>
      <w:r>
        <w:rPr>
          <w:rFonts w:hint="eastAsia"/>
          <w:color w:val="auto"/>
          <w:highlight w:val="none"/>
        </w:rPr>
        <w:t>产品在中国境内生产的组件成本占比应当达到规定比例，计算公式为：</w:t>
      </w:r>
    </w:p>
    <w:p w14:paraId="3C8F4329">
      <w:pPr>
        <w:widowControl/>
        <w:shd w:val="clear" w:color="auto" w:fill="FFFFFF"/>
        <w:spacing w:before="30" w:after="30"/>
        <w:jc w:val="center"/>
        <w:rPr>
          <w:rFonts w:hAnsi="宋体" w:cs="宋体"/>
          <w:color w:val="auto"/>
          <w:sz w:val="24"/>
          <w:highlight w:val="none"/>
        </w:rPr>
      </w:pPr>
      <w:r>
        <w:rPr>
          <w:rFonts w:hAnsi="宋体" w:cs="宋体"/>
          <w:color w:val="auto"/>
          <w:sz w:val="24"/>
          <w:highlight w:val="none"/>
        </w:rPr>
        <w:drawing>
          <wp:inline distT="0" distB="0" distL="0" distR="0">
            <wp:extent cx="4831080" cy="758825"/>
            <wp:effectExtent l="0" t="0" r="7620" b="3175"/>
            <wp:docPr id="6" name="图片 1"/>
            <wp:cNvGraphicFramePr/>
            <a:graphic xmlns:a="http://schemas.openxmlformats.org/drawingml/2006/main">
              <a:graphicData uri="http://schemas.openxmlformats.org/drawingml/2006/picture">
                <pic:pic xmlns:pic="http://schemas.openxmlformats.org/drawingml/2006/picture">
                  <pic:nvPicPr>
                    <pic:cNvPr id="6" name="图片 1"/>
                    <pic:cNvPicPr/>
                  </pic:nvPicPr>
                  <pic:blipFill>
                    <a:blip r:embed="rId21"/>
                    <a:stretch>
                      <a:fillRect/>
                    </a:stretch>
                  </pic:blipFill>
                  <pic:spPr>
                    <a:xfrm>
                      <a:off x="0" y="0"/>
                      <a:ext cx="4831080" cy="758825"/>
                    </a:xfrm>
                    <a:prstGeom prst="rect">
                      <a:avLst/>
                    </a:prstGeom>
                    <a:ln>
                      <a:noFill/>
                    </a:ln>
                  </pic:spPr>
                </pic:pic>
              </a:graphicData>
            </a:graphic>
          </wp:inline>
        </w:drawing>
      </w:r>
    </w:p>
    <w:p w14:paraId="5F105342">
      <w:pPr>
        <w:pStyle w:val="7"/>
        <w:rPr>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057033D">
      <w:pPr>
        <w:pStyle w:val="7"/>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75240317">
      <w:pPr>
        <w:pStyle w:val="7"/>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1977196">
      <w:pPr>
        <w:pStyle w:val="261"/>
        <w:ind w:firstLine="482"/>
        <w:rPr>
          <w:color w:val="auto"/>
          <w:highlight w:val="none"/>
        </w:rPr>
      </w:pPr>
      <w:r>
        <w:rPr>
          <w:color w:val="auto"/>
          <w:highlight w:val="none"/>
        </w:rPr>
        <w:t>9.</w:t>
      </w:r>
      <w:r>
        <w:rPr>
          <w:rFonts w:hint="eastAsia"/>
          <w:color w:val="auto"/>
          <w:highlight w:val="none"/>
        </w:rPr>
        <w:t>回避与串通投标</w:t>
      </w:r>
    </w:p>
    <w:p w14:paraId="29ED2E15">
      <w:pPr>
        <w:ind w:firstLine="420"/>
        <w:rPr>
          <w:rFonts w:hAnsi="宋体"/>
          <w:bCs/>
          <w:color w:val="auto"/>
          <w:szCs w:val="21"/>
          <w:highlight w:val="none"/>
        </w:rPr>
      </w:pPr>
      <w:r>
        <w:rPr>
          <w:rFonts w:hint="eastAsia" w:hAnsi="宋体"/>
          <w:bCs/>
          <w:color w:val="auto"/>
          <w:szCs w:val="21"/>
          <w:highlight w:val="none"/>
        </w:rPr>
        <w:t>9</w:t>
      </w:r>
      <w:r>
        <w:rPr>
          <w:rFonts w:hAnsi="宋体"/>
          <w:bCs/>
          <w:color w:val="auto"/>
          <w:szCs w:val="21"/>
          <w:highlight w:val="none"/>
        </w:rPr>
        <w:t>.1在政府采购活动中，采购人员及相关人员与</w:t>
      </w:r>
      <w:r>
        <w:rPr>
          <w:rFonts w:hint="eastAsia" w:hAnsi="宋体"/>
          <w:bCs/>
          <w:color w:val="auto"/>
          <w:szCs w:val="21"/>
          <w:highlight w:val="none"/>
        </w:rPr>
        <w:t>供应商</w:t>
      </w:r>
      <w:r>
        <w:rPr>
          <w:rFonts w:hAnsi="宋体"/>
          <w:bCs/>
          <w:color w:val="auto"/>
          <w:szCs w:val="21"/>
          <w:highlight w:val="none"/>
        </w:rPr>
        <w:t>有下列利害关系之一的，应当回避：</w:t>
      </w:r>
    </w:p>
    <w:p w14:paraId="0B0DA404">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1</w:t>
      </w:r>
      <w:r>
        <w:rPr>
          <w:rFonts w:hAnsi="宋体"/>
          <w:color w:val="auto"/>
          <w:szCs w:val="21"/>
          <w:highlight w:val="none"/>
        </w:rPr>
        <w:t>）参加采购活动前3年内与</w:t>
      </w:r>
      <w:r>
        <w:rPr>
          <w:rFonts w:hint="eastAsia" w:hAnsi="宋体"/>
          <w:color w:val="auto"/>
          <w:szCs w:val="21"/>
          <w:highlight w:val="none"/>
        </w:rPr>
        <w:t>供应商</w:t>
      </w:r>
      <w:r>
        <w:rPr>
          <w:rFonts w:hAnsi="宋体"/>
          <w:color w:val="auto"/>
          <w:szCs w:val="21"/>
          <w:highlight w:val="none"/>
        </w:rPr>
        <w:t>存在劳动关系；</w:t>
      </w:r>
    </w:p>
    <w:p w14:paraId="2559D7E7">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2</w:t>
      </w:r>
      <w:r>
        <w:rPr>
          <w:rFonts w:hAnsi="宋体"/>
          <w:color w:val="auto"/>
          <w:szCs w:val="21"/>
          <w:highlight w:val="none"/>
        </w:rPr>
        <w:t>）参加采购活动前3年内担任</w:t>
      </w:r>
      <w:r>
        <w:rPr>
          <w:rFonts w:hint="eastAsia" w:hAnsi="宋体"/>
          <w:color w:val="auto"/>
          <w:szCs w:val="21"/>
          <w:highlight w:val="none"/>
        </w:rPr>
        <w:t>供应商</w:t>
      </w:r>
      <w:r>
        <w:rPr>
          <w:rFonts w:hAnsi="宋体"/>
          <w:color w:val="auto"/>
          <w:szCs w:val="21"/>
          <w:highlight w:val="none"/>
        </w:rPr>
        <w:t>的董事、监事；</w:t>
      </w:r>
    </w:p>
    <w:p w14:paraId="02BC7BB8">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3</w:t>
      </w:r>
      <w:r>
        <w:rPr>
          <w:rFonts w:hAnsi="宋体"/>
          <w:color w:val="auto"/>
          <w:szCs w:val="21"/>
          <w:highlight w:val="none"/>
        </w:rPr>
        <w:t>）参加采购活动前3年内是</w:t>
      </w:r>
      <w:r>
        <w:rPr>
          <w:rFonts w:hint="eastAsia" w:hAnsi="宋体"/>
          <w:color w:val="auto"/>
          <w:szCs w:val="21"/>
          <w:highlight w:val="none"/>
        </w:rPr>
        <w:t>供应商</w:t>
      </w:r>
      <w:r>
        <w:rPr>
          <w:rFonts w:hAnsi="宋体"/>
          <w:color w:val="auto"/>
          <w:szCs w:val="21"/>
          <w:highlight w:val="none"/>
        </w:rPr>
        <w:t>的控股股东或者实际控制人；</w:t>
      </w:r>
    </w:p>
    <w:p w14:paraId="13E305EB">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4</w:t>
      </w:r>
      <w:r>
        <w:rPr>
          <w:rFonts w:hAnsi="宋体"/>
          <w:color w:val="auto"/>
          <w:szCs w:val="21"/>
          <w:highlight w:val="none"/>
        </w:rPr>
        <w:t>）与</w:t>
      </w:r>
      <w:r>
        <w:rPr>
          <w:rFonts w:hint="eastAsia" w:hAnsi="宋体"/>
          <w:color w:val="auto"/>
          <w:szCs w:val="21"/>
          <w:highlight w:val="none"/>
        </w:rPr>
        <w:t>供应商</w:t>
      </w:r>
      <w:r>
        <w:rPr>
          <w:rFonts w:hAnsi="宋体"/>
          <w:color w:val="auto"/>
          <w:szCs w:val="21"/>
          <w:highlight w:val="none"/>
        </w:rPr>
        <w:t>的法定代表人或者负责人有夫妻、直系血亲、三代以内旁系血亲或者近姻亲关系；</w:t>
      </w:r>
    </w:p>
    <w:p w14:paraId="0766CFD2">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5</w:t>
      </w:r>
      <w:r>
        <w:rPr>
          <w:rFonts w:hAnsi="宋体"/>
          <w:color w:val="auto"/>
          <w:szCs w:val="21"/>
          <w:highlight w:val="none"/>
        </w:rPr>
        <w:t>）与</w:t>
      </w:r>
      <w:r>
        <w:rPr>
          <w:rFonts w:hint="eastAsia" w:hAnsi="宋体"/>
          <w:color w:val="auto"/>
          <w:szCs w:val="21"/>
          <w:highlight w:val="none"/>
        </w:rPr>
        <w:t>供应商</w:t>
      </w:r>
      <w:r>
        <w:rPr>
          <w:rFonts w:hAnsi="宋体"/>
          <w:color w:val="auto"/>
          <w:szCs w:val="21"/>
          <w:highlight w:val="none"/>
        </w:rPr>
        <w:t>有其他可能影响政府采购活动公平、公正进行的关系。</w:t>
      </w:r>
    </w:p>
    <w:p w14:paraId="0E3F6A0B">
      <w:pPr>
        <w:ind w:firstLine="420"/>
        <w:rPr>
          <w:rFonts w:hAnsi="宋体"/>
          <w:color w:val="auto"/>
          <w:szCs w:val="21"/>
          <w:highlight w:val="none"/>
        </w:rPr>
      </w:pPr>
      <w:r>
        <w:rPr>
          <w:rFonts w:hint="eastAsia" w:hAnsi="宋体"/>
          <w:color w:val="auto"/>
          <w:szCs w:val="21"/>
          <w:highlight w:val="none"/>
        </w:rPr>
        <w:t>供应商</w:t>
      </w:r>
      <w:r>
        <w:rPr>
          <w:rFonts w:hAnsi="宋体"/>
          <w:color w:val="auto"/>
          <w:szCs w:val="21"/>
          <w:highlight w:val="none"/>
        </w:rPr>
        <w:t>认为采购人员及相关人员与其他</w:t>
      </w:r>
      <w:r>
        <w:rPr>
          <w:rFonts w:hint="eastAsia" w:hAnsi="宋体"/>
          <w:color w:val="auto"/>
          <w:szCs w:val="21"/>
          <w:highlight w:val="none"/>
        </w:rPr>
        <w:t>供应商</w:t>
      </w:r>
      <w:r>
        <w:rPr>
          <w:rFonts w:hAnsi="宋体"/>
          <w:color w:val="auto"/>
          <w:szCs w:val="21"/>
          <w:highlight w:val="none"/>
        </w:rPr>
        <w:t>有利害关系的，可以向采购人或者采购代理机构书面提出回避申请，并说明理由。采购人或者采购代理机构应当及时询问被申请回避人员，有利害关系的被申请回避人员应当回避。</w:t>
      </w:r>
    </w:p>
    <w:p w14:paraId="31D3F36A">
      <w:pPr>
        <w:ind w:firstLine="422"/>
        <w:rPr>
          <w:rFonts w:hAnsi="宋体"/>
          <w:b/>
          <w:bCs/>
          <w:color w:val="auto"/>
          <w:szCs w:val="21"/>
          <w:highlight w:val="none"/>
        </w:rPr>
      </w:pPr>
      <w:r>
        <w:rPr>
          <w:rFonts w:hAnsi="宋体"/>
          <w:b/>
          <w:bCs/>
          <w:color w:val="auto"/>
          <w:szCs w:val="21"/>
          <w:highlight w:val="none"/>
        </w:rPr>
        <w:t>9.2</w:t>
      </w:r>
      <w:r>
        <w:rPr>
          <w:rFonts w:hint="eastAsia" w:hAnsi="宋体"/>
          <w:b/>
          <w:bCs/>
          <w:color w:val="auto"/>
          <w:szCs w:val="21"/>
          <w:highlight w:val="none"/>
        </w:rPr>
        <w:t>有下列情形之一的视为投标人相互串通投标，投标文件将被视为无效：</w:t>
      </w:r>
    </w:p>
    <w:p w14:paraId="2B2DE950">
      <w:pPr>
        <w:ind w:firstLine="422"/>
        <w:rPr>
          <w:rFonts w:hAnsi="宋体"/>
          <w:b/>
          <w:color w:val="auto"/>
          <w:szCs w:val="21"/>
          <w:highlight w:val="none"/>
        </w:rPr>
      </w:pPr>
      <w:r>
        <w:rPr>
          <w:rFonts w:hint="eastAsia" w:hAnsi="宋体"/>
          <w:b/>
          <w:color w:val="auto"/>
          <w:szCs w:val="21"/>
          <w:highlight w:val="none"/>
        </w:rPr>
        <w:t>（1）不同投标人的投标文件由同一单位或者个人编制；</w:t>
      </w:r>
    </w:p>
    <w:p w14:paraId="1B5C5BF2">
      <w:pPr>
        <w:ind w:firstLine="422"/>
        <w:rPr>
          <w:rFonts w:hAnsi="宋体"/>
          <w:b/>
          <w:color w:val="auto"/>
          <w:szCs w:val="21"/>
          <w:highlight w:val="none"/>
        </w:rPr>
      </w:pPr>
      <w:r>
        <w:rPr>
          <w:rFonts w:hint="eastAsia" w:hAnsi="宋体"/>
          <w:b/>
          <w:color w:val="auto"/>
          <w:szCs w:val="21"/>
          <w:highlight w:val="none"/>
        </w:rPr>
        <w:t>（2）不同投标人委托同一单位或者个人办理投标事宜；</w:t>
      </w:r>
    </w:p>
    <w:p w14:paraId="414025BF">
      <w:pPr>
        <w:ind w:firstLine="422"/>
        <w:rPr>
          <w:rFonts w:hAnsi="宋体"/>
          <w:b/>
          <w:color w:val="auto"/>
          <w:szCs w:val="21"/>
          <w:highlight w:val="none"/>
        </w:rPr>
      </w:pPr>
      <w:r>
        <w:rPr>
          <w:rFonts w:hint="eastAsia" w:hAnsi="宋体"/>
          <w:b/>
          <w:color w:val="auto"/>
          <w:szCs w:val="21"/>
          <w:highlight w:val="none"/>
        </w:rPr>
        <w:t>（3）不同的投标人的投标文件载明的项目管理员为同一个人；</w:t>
      </w:r>
    </w:p>
    <w:p w14:paraId="54F4F5E0">
      <w:pPr>
        <w:ind w:firstLine="422"/>
        <w:rPr>
          <w:rFonts w:hAnsi="宋体"/>
          <w:b/>
          <w:color w:val="auto"/>
          <w:szCs w:val="21"/>
          <w:highlight w:val="none"/>
        </w:rPr>
      </w:pPr>
      <w:r>
        <w:rPr>
          <w:rFonts w:hint="eastAsia" w:hAnsi="宋体"/>
          <w:b/>
          <w:color w:val="auto"/>
          <w:szCs w:val="21"/>
          <w:highlight w:val="none"/>
        </w:rPr>
        <w:t>（4）不同投标人的投标文件异常一致或者投标报价呈规律性差异；</w:t>
      </w:r>
    </w:p>
    <w:p w14:paraId="548980AB">
      <w:pPr>
        <w:ind w:firstLine="422"/>
        <w:rPr>
          <w:rFonts w:hAnsi="宋体"/>
          <w:b/>
          <w:color w:val="auto"/>
          <w:szCs w:val="21"/>
          <w:highlight w:val="none"/>
        </w:rPr>
      </w:pPr>
      <w:r>
        <w:rPr>
          <w:rFonts w:hint="eastAsia" w:hAnsi="宋体"/>
          <w:b/>
          <w:color w:val="auto"/>
          <w:szCs w:val="21"/>
          <w:highlight w:val="none"/>
        </w:rPr>
        <w:t>（5）不同投标人的投标文件相互混装；</w:t>
      </w:r>
    </w:p>
    <w:p w14:paraId="3A1A0859">
      <w:pPr>
        <w:ind w:firstLine="422"/>
        <w:rPr>
          <w:rFonts w:hAnsi="宋体"/>
          <w:b/>
          <w:color w:val="auto"/>
          <w:szCs w:val="21"/>
          <w:highlight w:val="none"/>
        </w:rPr>
      </w:pPr>
      <w:r>
        <w:rPr>
          <w:rFonts w:hint="eastAsia" w:hAnsi="宋体"/>
          <w:b/>
          <w:color w:val="auto"/>
          <w:szCs w:val="21"/>
          <w:highlight w:val="none"/>
        </w:rPr>
        <w:t>（6）不同投标人的投标保证金从同一单位或者个人账户转出。</w:t>
      </w:r>
    </w:p>
    <w:p w14:paraId="13BF0B36">
      <w:pPr>
        <w:ind w:firstLine="420"/>
        <w:rPr>
          <w:rFonts w:hAnsi="宋体"/>
          <w:bCs/>
          <w:color w:val="auto"/>
          <w:szCs w:val="21"/>
          <w:highlight w:val="none"/>
        </w:rPr>
      </w:pPr>
      <w:r>
        <w:rPr>
          <w:rFonts w:hAnsi="宋体"/>
          <w:bCs/>
          <w:color w:val="auto"/>
          <w:szCs w:val="21"/>
          <w:highlight w:val="none"/>
        </w:rPr>
        <w:t>9.3</w:t>
      </w:r>
      <w:r>
        <w:rPr>
          <w:rFonts w:hint="eastAsia" w:hAnsi="宋体"/>
          <w:bCs/>
          <w:color w:val="auto"/>
          <w:szCs w:val="21"/>
          <w:highlight w:val="none"/>
        </w:rPr>
        <w:t>供应商有下列情形之一的，属于恶意串通行为，将报同级监督管理部门：</w:t>
      </w:r>
    </w:p>
    <w:p w14:paraId="231DD808">
      <w:pPr>
        <w:ind w:firstLine="420"/>
        <w:rPr>
          <w:rFonts w:hAnsi="宋体"/>
          <w:color w:val="auto"/>
          <w:szCs w:val="21"/>
          <w:highlight w:val="none"/>
        </w:rPr>
      </w:pPr>
      <w:r>
        <w:rPr>
          <w:rFonts w:hint="eastAsia" w:hAnsi="宋体"/>
          <w:color w:val="auto"/>
          <w:szCs w:val="21"/>
          <w:highlight w:val="none"/>
        </w:rPr>
        <w:t>（1）供应商直接或者间接从采购人或者采购代理机构处获得其他供应商的相关信息并修改其投标文件或者响应文件；</w:t>
      </w:r>
    </w:p>
    <w:p w14:paraId="4AF57456">
      <w:pPr>
        <w:ind w:firstLine="420"/>
        <w:rPr>
          <w:rFonts w:hAnsi="宋体"/>
          <w:color w:val="auto"/>
          <w:szCs w:val="21"/>
          <w:highlight w:val="none"/>
        </w:rPr>
      </w:pPr>
      <w:r>
        <w:rPr>
          <w:rFonts w:hint="eastAsia" w:hAnsi="宋体"/>
          <w:color w:val="auto"/>
          <w:szCs w:val="21"/>
          <w:highlight w:val="none"/>
        </w:rPr>
        <w:t>（2）供应商按照采购人或者采购代理机构的授意撤换、修改投标文件或者响应文件；</w:t>
      </w:r>
    </w:p>
    <w:p w14:paraId="457CE162">
      <w:pPr>
        <w:ind w:firstLine="420"/>
        <w:rPr>
          <w:rFonts w:hAnsi="宋体"/>
          <w:color w:val="auto"/>
          <w:szCs w:val="21"/>
          <w:highlight w:val="none"/>
        </w:rPr>
      </w:pPr>
      <w:r>
        <w:rPr>
          <w:rFonts w:hint="eastAsia" w:hAnsi="宋体"/>
          <w:color w:val="auto"/>
          <w:szCs w:val="21"/>
          <w:highlight w:val="none"/>
        </w:rPr>
        <w:t>（3）供应商之间协商报价、技术方案等投标文件或者响应文件的实质性内容；</w:t>
      </w:r>
    </w:p>
    <w:p w14:paraId="62DF33C8">
      <w:pPr>
        <w:ind w:firstLine="420"/>
        <w:rPr>
          <w:rFonts w:hAnsi="宋体"/>
          <w:color w:val="auto"/>
          <w:szCs w:val="21"/>
          <w:highlight w:val="none"/>
        </w:rPr>
      </w:pPr>
      <w:r>
        <w:rPr>
          <w:rFonts w:hint="eastAsia" w:hAnsi="宋体"/>
          <w:color w:val="auto"/>
          <w:szCs w:val="21"/>
          <w:highlight w:val="none"/>
        </w:rPr>
        <w:t>（4）属于同一集团、协会、商会等组织成员的供应商按照该组织要求协同参加政府采购活动；</w:t>
      </w:r>
    </w:p>
    <w:p w14:paraId="27D26EED">
      <w:pPr>
        <w:ind w:firstLine="420"/>
        <w:rPr>
          <w:rFonts w:hAnsi="宋体"/>
          <w:color w:val="auto"/>
          <w:szCs w:val="21"/>
          <w:highlight w:val="none"/>
        </w:rPr>
      </w:pPr>
      <w:r>
        <w:rPr>
          <w:rFonts w:hint="eastAsia"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EF649D2">
      <w:pPr>
        <w:ind w:firstLine="420"/>
        <w:rPr>
          <w:rFonts w:hAnsi="宋体"/>
          <w:color w:val="auto"/>
          <w:szCs w:val="21"/>
          <w:highlight w:val="none"/>
        </w:rPr>
      </w:pPr>
      <w:r>
        <w:rPr>
          <w:rFonts w:hint="eastAsia" w:hAnsi="宋体"/>
          <w:color w:val="auto"/>
          <w:szCs w:val="21"/>
          <w:highlight w:val="none"/>
        </w:rPr>
        <w:t>（6）供应商之间商定部分供应商放弃参加政府采购活动或者放弃中标；</w:t>
      </w:r>
    </w:p>
    <w:p w14:paraId="597AE151">
      <w:pPr>
        <w:ind w:firstLine="420"/>
        <w:rPr>
          <w:rFonts w:hAnsi="宋体"/>
          <w:color w:val="auto"/>
          <w:szCs w:val="21"/>
          <w:highlight w:val="none"/>
        </w:rPr>
      </w:pPr>
      <w:r>
        <w:rPr>
          <w:rFonts w:hint="eastAsia" w:hAnsi="宋体"/>
          <w:color w:val="auto"/>
          <w:szCs w:val="21"/>
          <w:highlight w:val="none"/>
        </w:rPr>
        <w:t>（7）供应商与采购人或者采购代理机构之间、供应商相互之间，为谋求特定供应商中标或者排斥其他供应商的其他串通行为。</w:t>
      </w:r>
    </w:p>
    <w:p w14:paraId="5A22CD12">
      <w:pPr>
        <w:pStyle w:val="271"/>
        <w:rPr>
          <w:color w:val="auto"/>
          <w:highlight w:val="none"/>
        </w:rPr>
      </w:pPr>
      <w:bookmarkStart w:id="92" w:name="_Toc254970675"/>
      <w:bookmarkStart w:id="93" w:name="_Toc254970534"/>
      <w:r>
        <w:rPr>
          <w:rFonts w:hint="eastAsia"/>
          <w:color w:val="auto"/>
          <w:highlight w:val="none"/>
        </w:rPr>
        <w:t>二、招标文件</w:t>
      </w:r>
      <w:bookmarkEnd w:id="92"/>
      <w:bookmarkEnd w:id="93"/>
    </w:p>
    <w:p w14:paraId="042213EB">
      <w:pPr>
        <w:pStyle w:val="261"/>
        <w:ind w:firstLine="482"/>
        <w:rPr>
          <w:color w:val="auto"/>
          <w:highlight w:val="none"/>
        </w:rPr>
      </w:pPr>
      <w:r>
        <w:rPr>
          <w:rFonts w:hint="eastAsia"/>
          <w:color w:val="auto"/>
          <w:highlight w:val="none"/>
        </w:rPr>
        <w:t>10.招标文件的组成</w:t>
      </w:r>
    </w:p>
    <w:p w14:paraId="2A62D2D3">
      <w:pPr>
        <w:ind w:firstLine="420"/>
        <w:rPr>
          <w:rFonts w:hAnsi="宋体"/>
          <w:color w:val="auto"/>
          <w:szCs w:val="21"/>
          <w:highlight w:val="none"/>
        </w:rPr>
      </w:pPr>
      <w:r>
        <w:rPr>
          <w:rFonts w:hint="eastAsia" w:hAnsi="宋体"/>
          <w:color w:val="auto"/>
          <w:szCs w:val="21"/>
          <w:highlight w:val="none"/>
        </w:rPr>
        <w:t>（1）招标公告；</w:t>
      </w:r>
    </w:p>
    <w:p w14:paraId="2C3EA1D3">
      <w:pPr>
        <w:ind w:firstLine="420"/>
        <w:rPr>
          <w:rFonts w:hAnsi="宋体"/>
          <w:color w:val="auto"/>
          <w:szCs w:val="21"/>
          <w:highlight w:val="none"/>
        </w:rPr>
      </w:pPr>
      <w:r>
        <w:rPr>
          <w:rFonts w:hint="eastAsia" w:hAnsi="宋体"/>
          <w:color w:val="auto"/>
          <w:szCs w:val="21"/>
          <w:highlight w:val="none"/>
        </w:rPr>
        <w:t>（2）采购需求；</w:t>
      </w:r>
    </w:p>
    <w:p w14:paraId="79D2E5D4">
      <w:pPr>
        <w:ind w:firstLine="420"/>
        <w:rPr>
          <w:rFonts w:hAnsi="宋体"/>
          <w:color w:val="auto"/>
          <w:szCs w:val="21"/>
          <w:highlight w:val="none"/>
        </w:rPr>
      </w:pPr>
      <w:r>
        <w:rPr>
          <w:rFonts w:hint="eastAsia" w:hAnsi="宋体"/>
          <w:color w:val="auto"/>
          <w:szCs w:val="21"/>
          <w:highlight w:val="none"/>
        </w:rPr>
        <w:t>（3）投标人须知；</w:t>
      </w:r>
    </w:p>
    <w:p w14:paraId="2AC7EF7A">
      <w:pPr>
        <w:ind w:firstLine="420"/>
        <w:rPr>
          <w:rFonts w:hAnsi="宋体"/>
          <w:color w:val="auto"/>
          <w:szCs w:val="21"/>
          <w:highlight w:val="none"/>
        </w:rPr>
      </w:pPr>
      <w:r>
        <w:rPr>
          <w:rFonts w:hint="eastAsia" w:hAnsi="宋体"/>
          <w:color w:val="auto"/>
          <w:szCs w:val="21"/>
          <w:highlight w:val="none"/>
        </w:rPr>
        <w:t>（4）评标方法及评标标准；</w:t>
      </w:r>
    </w:p>
    <w:p w14:paraId="533ADFBB">
      <w:pPr>
        <w:ind w:firstLine="420"/>
        <w:rPr>
          <w:rFonts w:hAnsi="宋体"/>
          <w:color w:val="auto"/>
          <w:szCs w:val="21"/>
          <w:highlight w:val="none"/>
        </w:rPr>
      </w:pPr>
      <w:r>
        <w:rPr>
          <w:rFonts w:hint="eastAsia" w:hAnsi="宋体"/>
          <w:color w:val="auto"/>
          <w:szCs w:val="21"/>
          <w:highlight w:val="none"/>
        </w:rPr>
        <w:t>（5）拟签订的合同文本；</w:t>
      </w:r>
    </w:p>
    <w:p w14:paraId="14A5DC8E">
      <w:pPr>
        <w:ind w:firstLine="420"/>
        <w:rPr>
          <w:rFonts w:hAnsi="宋体"/>
          <w:color w:val="auto"/>
          <w:szCs w:val="21"/>
          <w:highlight w:val="none"/>
        </w:rPr>
      </w:pPr>
      <w:r>
        <w:rPr>
          <w:rFonts w:hint="eastAsia" w:hAnsi="宋体"/>
          <w:color w:val="auto"/>
          <w:szCs w:val="21"/>
          <w:highlight w:val="none"/>
        </w:rPr>
        <w:t>（6）投标文件格式。</w:t>
      </w:r>
    </w:p>
    <w:p w14:paraId="3A0B0256">
      <w:pPr>
        <w:pStyle w:val="261"/>
        <w:ind w:firstLine="482"/>
        <w:rPr>
          <w:color w:val="auto"/>
          <w:highlight w:val="none"/>
        </w:rPr>
      </w:pPr>
      <w:r>
        <w:rPr>
          <w:rFonts w:hint="eastAsia"/>
          <w:color w:val="auto"/>
          <w:highlight w:val="none"/>
        </w:rPr>
        <w:t>11.招标文件的澄清、修改 、现场考察和答疑会</w:t>
      </w:r>
    </w:p>
    <w:p w14:paraId="53657369">
      <w:pPr>
        <w:ind w:firstLine="422"/>
        <w:rPr>
          <w:rFonts w:hAnsi="宋体"/>
          <w:b/>
          <w:color w:val="auto"/>
          <w:szCs w:val="21"/>
          <w:highlight w:val="none"/>
        </w:rPr>
      </w:pPr>
      <w:r>
        <w:rPr>
          <w:rFonts w:hint="eastAsia" w:hAnsi="宋体"/>
          <w:b/>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60958A2">
      <w:pPr>
        <w:ind w:firstLine="420"/>
        <w:rPr>
          <w:rFonts w:hAnsi="宋体"/>
          <w:color w:val="auto"/>
          <w:szCs w:val="21"/>
          <w:highlight w:val="none"/>
        </w:rPr>
      </w:pPr>
      <w:r>
        <w:rPr>
          <w:rFonts w:hint="eastAsia" w:hAnsi="宋体"/>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F9A48B8">
      <w:pPr>
        <w:ind w:firstLine="420"/>
        <w:rPr>
          <w:rFonts w:hAnsi="宋体"/>
          <w:color w:val="auto"/>
          <w:szCs w:val="21"/>
          <w:highlight w:val="none"/>
        </w:rPr>
      </w:pPr>
      <w:r>
        <w:rPr>
          <w:rFonts w:hint="eastAsia" w:hAnsi="宋体"/>
          <w:color w:val="auto"/>
          <w:szCs w:val="21"/>
          <w:highlight w:val="none"/>
        </w:rPr>
        <w:t>1</w:t>
      </w:r>
      <w:r>
        <w:rPr>
          <w:rFonts w:hAnsi="宋体"/>
          <w:color w:val="auto"/>
          <w:szCs w:val="21"/>
          <w:highlight w:val="none"/>
        </w:rPr>
        <w:t>1.2</w:t>
      </w:r>
      <w:bookmarkStart w:id="94" w:name="_Hlk53134511"/>
      <w:r>
        <w:rPr>
          <w:rFonts w:hint="eastAsia" w:hAnsi="宋体"/>
          <w:color w:val="auto"/>
          <w:szCs w:val="21"/>
          <w:highlight w:val="none"/>
        </w:rPr>
        <w:t>采购人或者采购代理机构可以在招标文件提供期限截止后，组织已获取招标文件的潜在投标人现场考察或者召开开标前答疑会，具体详见“投标人须知前附表”。</w:t>
      </w:r>
      <w:bookmarkEnd w:id="94"/>
    </w:p>
    <w:p w14:paraId="3CE49D13">
      <w:pPr>
        <w:pStyle w:val="271"/>
        <w:rPr>
          <w:color w:val="auto"/>
          <w:highlight w:val="none"/>
        </w:rPr>
      </w:pPr>
      <w:bookmarkStart w:id="95" w:name="_Toc254970676"/>
      <w:bookmarkStart w:id="96" w:name="_Toc254970535"/>
      <w:r>
        <w:rPr>
          <w:rFonts w:hint="eastAsia"/>
          <w:color w:val="auto"/>
          <w:highlight w:val="none"/>
        </w:rPr>
        <w:t>三、投标文件的编制</w:t>
      </w:r>
      <w:bookmarkEnd w:id="95"/>
      <w:bookmarkEnd w:id="96"/>
    </w:p>
    <w:p w14:paraId="296AC0C3">
      <w:pPr>
        <w:pStyle w:val="261"/>
        <w:ind w:firstLine="482"/>
        <w:rPr>
          <w:color w:val="auto"/>
          <w:highlight w:val="none"/>
        </w:rPr>
      </w:pPr>
      <w:bookmarkStart w:id="97" w:name="_Toc254970536"/>
      <w:bookmarkStart w:id="98" w:name="_Toc254970677"/>
      <w:r>
        <w:rPr>
          <w:rFonts w:hint="eastAsia"/>
          <w:color w:val="auto"/>
          <w:highlight w:val="none"/>
        </w:rPr>
        <w:t>12.投标文件的编制原则</w:t>
      </w:r>
    </w:p>
    <w:p w14:paraId="7F71D107">
      <w:pPr>
        <w:ind w:firstLine="420"/>
        <w:rPr>
          <w:rFonts w:hAnsi="宋体" w:cs="Courier New"/>
          <w:color w:val="auto"/>
          <w:szCs w:val="21"/>
          <w:highlight w:val="none"/>
        </w:rPr>
      </w:pPr>
      <w:r>
        <w:rPr>
          <w:rFonts w:hAnsi="宋体"/>
          <w:color w:val="auto"/>
          <w:szCs w:val="21"/>
          <w:highlight w:val="none"/>
        </w:rPr>
        <w:t>投标人必须按照招标文件的要求编制投标文件。投标文件必须对招标文件提出的要求和条件作出明确响应。</w:t>
      </w:r>
    </w:p>
    <w:p w14:paraId="4C6CF1BA">
      <w:pPr>
        <w:pStyle w:val="261"/>
        <w:ind w:firstLine="482"/>
        <w:rPr>
          <w:color w:val="auto"/>
          <w:highlight w:val="none"/>
        </w:rPr>
      </w:pPr>
      <w:r>
        <w:rPr>
          <w:rFonts w:hint="eastAsia"/>
          <w:color w:val="auto"/>
          <w:highlight w:val="none"/>
        </w:rPr>
        <w:t>13.投标文件的组成</w:t>
      </w:r>
      <w:bookmarkEnd w:id="97"/>
      <w:bookmarkEnd w:id="98"/>
    </w:p>
    <w:p w14:paraId="0A8253E6">
      <w:pPr>
        <w:ind w:firstLine="420"/>
        <w:rPr>
          <w:rFonts w:hAnsi="宋体"/>
          <w:color w:val="auto"/>
          <w:szCs w:val="21"/>
          <w:highlight w:val="none"/>
        </w:rPr>
      </w:pPr>
      <w:r>
        <w:rPr>
          <w:rFonts w:hint="eastAsia" w:hAnsi="宋体"/>
          <w:color w:val="auto"/>
          <w:szCs w:val="21"/>
          <w:highlight w:val="none"/>
        </w:rPr>
        <w:t>投标文件由报价文件、资格证明文件、商务及技术文件三部分组成。</w:t>
      </w:r>
    </w:p>
    <w:p w14:paraId="44D9648A">
      <w:pPr>
        <w:ind w:firstLine="422"/>
        <w:rPr>
          <w:rFonts w:hAnsi="宋体"/>
          <w:b/>
          <w:color w:val="auto"/>
          <w:szCs w:val="21"/>
          <w:highlight w:val="none"/>
        </w:rPr>
      </w:pPr>
      <w:bookmarkStart w:id="99" w:name="_13.1报价文件:_具体材料见“投标人须知前附表”。"/>
      <w:bookmarkEnd w:id="99"/>
      <w:r>
        <w:rPr>
          <w:rFonts w:hint="eastAsia" w:hAnsi="宋体"/>
          <w:b/>
          <w:color w:val="auto"/>
          <w:szCs w:val="21"/>
          <w:highlight w:val="none"/>
        </w:rPr>
        <w:t>（1）报价文件：</w:t>
      </w:r>
      <w:r>
        <w:rPr>
          <w:rFonts w:hAnsi="宋体"/>
          <w:b/>
          <w:color w:val="auto"/>
          <w:szCs w:val="21"/>
          <w:highlight w:val="none"/>
        </w:rPr>
        <w:t xml:space="preserve"> 具体材料见“投标人须知前附表”</w:t>
      </w:r>
      <w:r>
        <w:rPr>
          <w:rFonts w:hint="eastAsia" w:hAnsi="宋体"/>
          <w:b/>
          <w:color w:val="auto"/>
          <w:szCs w:val="21"/>
          <w:highlight w:val="none"/>
        </w:rPr>
        <w:t>。</w:t>
      </w:r>
    </w:p>
    <w:p w14:paraId="62F2CEA2">
      <w:pPr>
        <w:ind w:firstLine="422"/>
        <w:rPr>
          <w:rFonts w:hAnsi="宋体"/>
          <w:b/>
          <w:color w:val="auto"/>
          <w:szCs w:val="21"/>
          <w:highlight w:val="none"/>
        </w:rPr>
      </w:pPr>
      <w:bookmarkStart w:id="100" w:name="_13.2资格证明文件：具体材料见“投标人须知前附表”。"/>
      <w:bookmarkEnd w:id="100"/>
      <w:r>
        <w:rPr>
          <w:rFonts w:hint="eastAsia" w:hAnsi="宋体"/>
          <w:b/>
          <w:color w:val="auto"/>
          <w:szCs w:val="21"/>
          <w:highlight w:val="none"/>
        </w:rPr>
        <w:t>（</w:t>
      </w:r>
      <w:r>
        <w:rPr>
          <w:rFonts w:hAnsi="宋体"/>
          <w:b/>
          <w:color w:val="auto"/>
          <w:szCs w:val="21"/>
          <w:highlight w:val="none"/>
        </w:rPr>
        <w:t>2</w:t>
      </w:r>
      <w:r>
        <w:rPr>
          <w:rFonts w:hint="eastAsia" w:hAnsi="宋体"/>
          <w:b/>
          <w:color w:val="auto"/>
          <w:szCs w:val="21"/>
          <w:highlight w:val="none"/>
        </w:rPr>
        <w:t>）资格证明文件：</w:t>
      </w:r>
      <w:r>
        <w:rPr>
          <w:rFonts w:hAnsi="宋体"/>
          <w:b/>
          <w:color w:val="auto"/>
          <w:szCs w:val="21"/>
          <w:highlight w:val="none"/>
        </w:rPr>
        <w:t>具体材料见“投标人须知前附表”</w:t>
      </w:r>
      <w:r>
        <w:rPr>
          <w:rFonts w:hint="eastAsia" w:hAnsi="宋体"/>
          <w:b/>
          <w:color w:val="auto"/>
          <w:szCs w:val="21"/>
          <w:highlight w:val="none"/>
        </w:rPr>
        <w:t>。</w:t>
      </w:r>
    </w:p>
    <w:p w14:paraId="17EE0827">
      <w:pPr>
        <w:ind w:firstLine="422"/>
        <w:rPr>
          <w:rFonts w:hAnsi="宋体"/>
          <w:b/>
          <w:color w:val="auto"/>
          <w:szCs w:val="21"/>
          <w:highlight w:val="none"/>
        </w:rPr>
      </w:pPr>
      <w:bookmarkStart w:id="101" w:name="_13.3商务文件:_具体材料见“投标人须知前附表”。"/>
      <w:bookmarkEnd w:id="101"/>
      <w:r>
        <w:rPr>
          <w:rFonts w:hint="eastAsia" w:hAnsi="宋体"/>
          <w:b/>
          <w:color w:val="auto"/>
          <w:szCs w:val="21"/>
          <w:highlight w:val="none"/>
        </w:rPr>
        <w:t>（</w:t>
      </w:r>
      <w:r>
        <w:rPr>
          <w:rFonts w:hAnsi="宋体"/>
          <w:b/>
          <w:color w:val="auto"/>
          <w:szCs w:val="21"/>
          <w:highlight w:val="none"/>
        </w:rPr>
        <w:t>3</w:t>
      </w:r>
      <w:r>
        <w:rPr>
          <w:rFonts w:hint="eastAsia" w:hAnsi="宋体"/>
          <w:b/>
          <w:color w:val="auto"/>
          <w:szCs w:val="21"/>
          <w:highlight w:val="none"/>
        </w:rPr>
        <w:t>）商务及技术文件：</w:t>
      </w:r>
      <w:r>
        <w:rPr>
          <w:rFonts w:hAnsi="宋体"/>
          <w:b/>
          <w:color w:val="auto"/>
          <w:szCs w:val="21"/>
          <w:highlight w:val="none"/>
        </w:rPr>
        <w:t>具体材料见“投标人须知前附表”</w:t>
      </w:r>
      <w:r>
        <w:rPr>
          <w:rFonts w:hint="eastAsia" w:hAnsi="宋体"/>
          <w:b/>
          <w:color w:val="auto"/>
          <w:szCs w:val="21"/>
          <w:highlight w:val="none"/>
        </w:rPr>
        <w:t>。</w:t>
      </w:r>
    </w:p>
    <w:p w14:paraId="21BB77D8">
      <w:pPr>
        <w:pStyle w:val="261"/>
        <w:ind w:firstLine="482"/>
        <w:rPr>
          <w:color w:val="auto"/>
          <w:highlight w:val="none"/>
        </w:rPr>
      </w:pPr>
      <w:bookmarkStart w:id="102" w:name="_13.4技术文件：具体材料见“投标人须知前附表”。"/>
      <w:bookmarkEnd w:id="102"/>
      <w:bookmarkStart w:id="103" w:name="_13.5投标文件电子版：具体材料见“投标人须知前附表”。"/>
      <w:bookmarkEnd w:id="103"/>
      <w:bookmarkStart w:id="104" w:name="_Toc254970678"/>
      <w:bookmarkStart w:id="105" w:name="_Toc254970537"/>
      <w:r>
        <w:rPr>
          <w:rFonts w:hint="eastAsia"/>
          <w:color w:val="auto"/>
          <w:highlight w:val="none"/>
        </w:rPr>
        <w:t>14.投标文件的语言及计量</w:t>
      </w:r>
      <w:bookmarkEnd w:id="104"/>
      <w:bookmarkEnd w:id="105"/>
    </w:p>
    <w:p w14:paraId="2FF14B5F">
      <w:pPr>
        <w:ind w:firstLine="422"/>
        <w:rPr>
          <w:rFonts w:hAnsi="宋体"/>
          <w:b/>
          <w:color w:val="auto"/>
          <w:szCs w:val="21"/>
          <w:highlight w:val="none"/>
        </w:rPr>
      </w:pPr>
      <w:r>
        <w:rPr>
          <w:rFonts w:hint="eastAsia" w:hAnsi="宋体"/>
          <w:b/>
          <w:color w:val="auto"/>
          <w:szCs w:val="21"/>
          <w:highlight w:val="none"/>
        </w:rPr>
        <w:t>14.1语言文字</w:t>
      </w:r>
    </w:p>
    <w:p w14:paraId="56E5544D">
      <w:pPr>
        <w:ind w:firstLine="422"/>
        <w:rPr>
          <w:rFonts w:hAnsi="宋体"/>
          <w:b/>
          <w:color w:val="auto"/>
          <w:szCs w:val="21"/>
          <w:highlight w:val="none"/>
        </w:rPr>
      </w:pPr>
      <w:r>
        <w:rPr>
          <w:rFonts w:hint="eastAsia" w:hAnsi="宋体"/>
          <w:b/>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准。对不同文字文本投标文件的解释发生异议的，以中文文本为准。</w:t>
      </w:r>
    </w:p>
    <w:p w14:paraId="48343812">
      <w:pPr>
        <w:ind w:firstLine="422"/>
        <w:rPr>
          <w:rFonts w:hAnsi="宋体"/>
          <w:b/>
          <w:color w:val="auto"/>
          <w:szCs w:val="21"/>
          <w:highlight w:val="none"/>
        </w:rPr>
      </w:pPr>
      <w:r>
        <w:rPr>
          <w:rFonts w:hint="eastAsia" w:hAnsi="宋体"/>
          <w:b/>
          <w:color w:val="auto"/>
          <w:szCs w:val="21"/>
          <w:highlight w:val="none"/>
        </w:rPr>
        <w:t>14.2投标计量单位</w:t>
      </w:r>
    </w:p>
    <w:p w14:paraId="1657D386">
      <w:pPr>
        <w:ind w:firstLine="422"/>
        <w:rPr>
          <w:rFonts w:hAnsi="宋体"/>
          <w:b/>
          <w:color w:val="auto"/>
          <w:szCs w:val="21"/>
          <w:highlight w:val="none"/>
        </w:rPr>
      </w:pPr>
      <w:r>
        <w:rPr>
          <w:rFonts w:hint="eastAsia" w:hAnsi="宋体"/>
          <w:b/>
          <w:color w:val="auto"/>
          <w:szCs w:val="21"/>
          <w:highlight w:val="none"/>
        </w:rPr>
        <w:t>招标文件已有明确规定的，使用招标文件规定的计量单位；招标文件没有规定的，应采用中华人民共和国法定计量单位，货币种类为人民币</w:t>
      </w:r>
      <w:r>
        <w:rPr>
          <w:rFonts w:hint="eastAsia" w:hAnsi="宋体"/>
          <w:bCs/>
          <w:color w:val="auto"/>
          <w:szCs w:val="21"/>
          <w:highlight w:val="none"/>
        </w:rPr>
        <w:t>，否则视同未响应。</w:t>
      </w:r>
    </w:p>
    <w:p w14:paraId="425A6C02">
      <w:pPr>
        <w:pStyle w:val="261"/>
        <w:ind w:firstLine="482"/>
        <w:rPr>
          <w:color w:val="auto"/>
          <w:highlight w:val="none"/>
        </w:rPr>
      </w:pPr>
      <w:r>
        <w:rPr>
          <w:rFonts w:hint="eastAsia"/>
          <w:color w:val="auto"/>
          <w:highlight w:val="none"/>
        </w:rPr>
        <w:t>15.投标的风险</w:t>
      </w:r>
    </w:p>
    <w:p w14:paraId="21EE68A3">
      <w:pPr>
        <w:ind w:firstLine="420"/>
        <w:rPr>
          <w:rFonts w:hAnsi="宋体"/>
          <w:color w:val="auto"/>
          <w:szCs w:val="21"/>
          <w:highlight w:val="none"/>
        </w:rPr>
      </w:pPr>
      <w:r>
        <w:rPr>
          <w:rFonts w:hint="eastAsia" w:hAnsi="宋体"/>
          <w:color w:val="auto"/>
          <w:szCs w:val="21"/>
          <w:highlight w:val="none"/>
        </w:rPr>
        <w:t>投标人没有按照招标文件要求提供全部资料，或者投标人没有对招标文件作出实质性响应是投标人的风险，并可能导致其投标被拒绝。</w:t>
      </w:r>
    </w:p>
    <w:p w14:paraId="5230FBDF">
      <w:pPr>
        <w:pStyle w:val="261"/>
        <w:ind w:firstLine="482"/>
        <w:rPr>
          <w:color w:val="auto"/>
          <w:highlight w:val="none"/>
        </w:rPr>
      </w:pPr>
      <w:bookmarkStart w:id="106" w:name="_Toc254970538"/>
      <w:bookmarkStart w:id="107" w:name="_Toc254970679"/>
      <w:r>
        <w:rPr>
          <w:rFonts w:hint="eastAsia"/>
          <w:color w:val="auto"/>
          <w:highlight w:val="none"/>
        </w:rPr>
        <w:t>16.投标报价</w:t>
      </w:r>
      <w:bookmarkEnd w:id="106"/>
      <w:bookmarkEnd w:id="107"/>
    </w:p>
    <w:p w14:paraId="3C3B7EDE">
      <w:pPr>
        <w:ind w:firstLine="422"/>
        <w:rPr>
          <w:rFonts w:hAnsi="宋体"/>
          <w:b/>
          <w:color w:val="auto"/>
          <w:szCs w:val="21"/>
          <w:highlight w:val="none"/>
        </w:rPr>
      </w:pPr>
      <w:r>
        <w:rPr>
          <w:rFonts w:hint="eastAsia" w:hAnsi="宋体"/>
          <w:b/>
          <w:color w:val="auto"/>
          <w:szCs w:val="21"/>
          <w:highlight w:val="none"/>
        </w:rPr>
        <w:t>16.1投标报价应按“第六章　投标文件格式”中“开标一览表”格式填写。</w:t>
      </w:r>
    </w:p>
    <w:p w14:paraId="517ED0DB">
      <w:pPr>
        <w:ind w:firstLine="422"/>
        <w:rPr>
          <w:rFonts w:hAnsi="宋体"/>
          <w:b/>
          <w:color w:val="auto"/>
          <w:szCs w:val="21"/>
          <w:highlight w:val="none"/>
        </w:rPr>
      </w:pPr>
      <w:bookmarkStart w:id="108" w:name="_16.2投标报价具体定义见投标人须知前附表。"/>
      <w:bookmarkEnd w:id="108"/>
      <w:r>
        <w:rPr>
          <w:rFonts w:hint="eastAsia" w:hAnsi="宋体"/>
          <w:b/>
          <w:color w:val="auto"/>
          <w:szCs w:val="21"/>
          <w:highlight w:val="none"/>
        </w:rPr>
        <w:t>16.2投标报价具体包括内容详见“投标人须知前附表”。</w:t>
      </w:r>
    </w:p>
    <w:p w14:paraId="091F42F8">
      <w:pPr>
        <w:ind w:firstLine="422"/>
        <w:rPr>
          <w:rFonts w:hAnsi="宋体"/>
          <w:b/>
          <w:color w:val="auto"/>
          <w:szCs w:val="21"/>
          <w:highlight w:val="none"/>
        </w:rPr>
      </w:pPr>
      <w:r>
        <w:rPr>
          <w:rFonts w:hint="eastAsia" w:hAnsi="宋体"/>
          <w:b/>
          <w:color w:val="auto"/>
          <w:szCs w:val="21"/>
          <w:highlight w:val="none"/>
        </w:rPr>
        <w:t>16.3投标人必须就所投的全部内容分别作完整唯一总价报价，不得存在漏项报价；投标人必须就所投的单项内容作唯一报价。</w:t>
      </w:r>
    </w:p>
    <w:p w14:paraId="0F58DCAB">
      <w:pPr>
        <w:pStyle w:val="261"/>
        <w:ind w:firstLine="482"/>
        <w:rPr>
          <w:color w:val="auto"/>
          <w:highlight w:val="none"/>
        </w:rPr>
      </w:pPr>
      <w:r>
        <w:rPr>
          <w:rFonts w:hint="eastAsia"/>
          <w:color w:val="auto"/>
          <w:highlight w:val="none"/>
        </w:rPr>
        <w:t>17.投标有效期</w:t>
      </w:r>
    </w:p>
    <w:p w14:paraId="5F1644EA">
      <w:pPr>
        <w:ind w:firstLine="422"/>
        <w:rPr>
          <w:rFonts w:hAnsi="宋体"/>
          <w:b/>
          <w:color w:val="auto"/>
          <w:szCs w:val="21"/>
          <w:highlight w:val="none"/>
        </w:rPr>
      </w:pPr>
      <w:bookmarkStart w:id="109" w:name="_17.1投标有效期应按“投标人须知中的前附表”规定的期限。"/>
      <w:bookmarkEnd w:id="109"/>
      <w:r>
        <w:rPr>
          <w:rFonts w:hint="eastAsia" w:hAnsi="宋体"/>
          <w:b/>
          <w:color w:val="auto"/>
          <w:szCs w:val="21"/>
          <w:highlight w:val="none"/>
        </w:rPr>
        <w:t>17.1投标有效期是指为保证采购人有足够的时间在开标后完成评标、定标、合同签订等工作而要求投标人提交的投标文件在一定时间内保持有效的期限。</w:t>
      </w:r>
    </w:p>
    <w:p w14:paraId="745EB912">
      <w:pPr>
        <w:ind w:firstLine="422"/>
        <w:rPr>
          <w:rFonts w:hAnsi="宋体"/>
          <w:b/>
          <w:color w:val="auto"/>
          <w:szCs w:val="21"/>
          <w:highlight w:val="none"/>
        </w:rPr>
      </w:pPr>
      <w:r>
        <w:rPr>
          <w:rFonts w:hint="eastAsia" w:hAnsi="宋体"/>
          <w:b/>
          <w:color w:val="auto"/>
          <w:szCs w:val="21"/>
          <w:highlight w:val="none"/>
        </w:rPr>
        <w:t>17.2</w:t>
      </w:r>
      <w:bookmarkStart w:id="110" w:name="_Toc254970540"/>
      <w:bookmarkStart w:id="111" w:name="_Toc254970681"/>
      <w:r>
        <w:rPr>
          <w:rFonts w:hint="eastAsia" w:hAnsi="宋体"/>
          <w:b/>
          <w:color w:val="auto"/>
          <w:szCs w:val="21"/>
          <w:highlight w:val="none"/>
        </w:rPr>
        <w:t xml:space="preserve"> 投标有效期应按采购文件规定的期限作出承诺，具体详见“投标人须知前附表”。承诺的投标有效期低于采购文件规定期限的，按无效投标处理。</w:t>
      </w:r>
    </w:p>
    <w:p w14:paraId="70EECF3D">
      <w:pPr>
        <w:ind w:firstLine="422"/>
        <w:rPr>
          <w:rFonts w:hAnsi="宋体"/>
          <w:b/>
          <w:color w:val="auto"/>
          <w:szCs w:val="21"/>
          <w:highlight w:val="none"/>
        </w:rPr>
      </w:pPr>
      <w:r>
        <w:rPr>
          <w:rFonts w:hint="eastAsia" w:hAnsi="宋体"/>
          <w:b/>
          <w:color w:val="auto"/>
          <w:szCs w:val="21"/>
          <w:highlight w:val="none"/>
        </w:rPr>
        <w:t>17.3投标人的投标文件在投标有效期内均保持有效。</w:t>
      </w:r>
      <w:bookmarkEnd w:id="110"/>
      <w:bookmarkEnd w:id="111"/>
    </w:p>
    <w:p w14:paraId="14913FFD">
      <w:pPr>
        <w:pStyle w:val="261"/>
        <w:ind w:firstLine="482"/>
        <w:rPr>
          <w:color w:val="auto"/>
          <w:highlight w:val="none"/>
        </w:rPr>
      </w:pPr>
      <w:bookmarkStart w:id="112" w:name="_18.投标保证金"/>
      <w:bookmarkEnd w:id="112"/>
      <w:bookmarkStart w:id="113" w:name="_Toc254970682"/>
      <w:bookmarkStart w:id="114" w:name="_Toc254970541"/>
      <w:r>
        <w:rPr>
          <w:rFonts w:hint="eastAsia"/>
          <w:color w:val="auto"/>
          <w:highlight w:val="none"/>
        </w:rPr>
        <w:t>18.投标保证金</w:t>
      </w:r>
      <w:bookmarkEnd w:id="113"/>
      <w:bookmarkEnd w:id="114"/>
    </w:p>
    <w:p w14:paraId="235084E2">
      <w:pPr>
        <w:ind w:firstLine="422"/>
        <w:rPr>
          <w:rFonts w:hAnsi="宋体"/>
          <w:b/>
          <w:color w:val="auto"/>
          <w:szCs w:val="21"/>
          <w:highlight w:val="none"/>
        </w:rPr>
      </w:pPr>
      <w:r>
        <w:rPr>
          <w:rFonts w:hint="eastAsia" w:hAnsi="宋体"/>
          <w:b/>
          <w:color w:val="auto"/>
          <w:szCs w:val="21"/>
          <w:highlight w:val="none"/>
        </w:rPr>
        <w:t>18.1投标人须按“投标人须知前附表” 的规定提交投标保证金。</w:t>
      </w:r>
    </w:p>
    <w:p w14:paraId="63069FE0">
      <w:pPr>
        <w:ind w:firstLine="422"/>
        <w:rPr>
          <w:rFonts w:hAnsi="宋体"/>
          <w:b/>
          <w:color w:val="auto"/>
          <w:szCs w:val="21"/>
          <w:highlight w:val="none"/>
        </w:rPr>
      </w:pPr>
      <w:r>
        <w:rPr>
          <w:rFonts w:hint="eastAsia" w:hAnsi="宋体"/>
          <w:b/>
          <w:color w:val="auto"/>
          <w:szCs w:val="21"/>
          <w:highlight w:val="none"/>
        </w:rPr>
        <w:t>18.2投标保证金的退还</w:t>
      </w:r>
    </w:p>
    <w:p w14:paraId="1030430C">
      <w:pPr>
        <w:ind w:firstLine="422"/>
        <w:rPr>
          <w:rFonts w:hAnsi="宋体"/>
          <w:b/>
          <w:color w:val="auto"/>
          <w:szCs w:val="21"/>
          <w:highlight w:val="none"/>
        </w:rPr>
      </w:pPr>
      <w:r>
        <w:rPr>
          <w:rFonts w:hint="eastAsia" w:hAnsi="宋体"/>
          <w:b/>
          <w:color w:val="auto"/>
          <w:szCs w:val="21"/>
          <w:highlight w:val="none"/>
        </w:rPr>
        <w:t>未中标供应商的投标保证金自中标通知书发出之日起</w:t>
      </w:r>
      <w:r>
        <w:rPr>
          <w:rFonts w:hAnsi="宋体"/>
          <w:b/>
          <w:color w:val="auto"/>
          <w:szCs w:val="21"/>
          <w:highlight w:val="none"/>
        </w:rPr>
        <w:t>5</w:t>
      </w:r>
      <w:r>
        <w:rPr>
          <w:rFonts w:hint="eastAsia" w:hAnsi="宋体"/>
          <w:b/>
          <w:color w:val="auto"/>
          <w:szCs w:val="21"/>
          <w:highlight w:val="none"/>
        </w:rPr>
        <w:t>个工作日内退还；中标供应商的投标保证金自政府采购合同签订之日起</w:t>
      </w:r>
      <w:r>
        <w:rPr>
          <w:rFonts w:hAnsi="宋体"/>
          <w:b/>
          <w:color w:val="auto"/>
          <w:szCs w:val="21"/>
          <w:highlight w:val="none"/>
        </w:rPr>
        <w:t>5</w:t>
      </w:r>
      <w:r>
        <w:rPr>
          <w:rFonts w:hint="eastAsia" w:hAnsi="宋体"/>
          <w:b/>
          <w:color w:val="auto"/>
          <w:szCs w:val="21"/>
          <w:highlight w:val="none"/>
        </w:rPr>
        <w:t>个工作日内退还。</w:t>
      </w:r>
    </w:p>
    <w:p w14:paraId="2688E1B4">
      <w:pPr>
        <w:ind w:firstLine="422"/>
        <w:rPr>
          <w:rFonts w:hAnsi="宋体"/>
          <w:b/>
          <w:color w:val="auto"/>
          <w:szCs w:val="21"/>
          <w:highlight w:val="none"/>
        </w:rPr>
      </w:pPr>
      <w:r>
        <w:rPr>
          <w:rFonts w:hint="eastAsia" w:hAnsi="宋体"/>
          <w:b/>
          <w:color w:val="auto"/>
          <w:szCs w:val="21"/>
          <w:highlight w:val="none"/>
        </w:rPr>
        <w:t>18.3除逾期退还投标保证金和终止招标的情形以外，投标保证金不计息。</w:t>
      </w:r>
    </w:p>
    <w:p w14:paraId="6C476EA9">
      <w:pPr>
        <w:ind w:firstLine="422"/>
        <w:rPr>
          <w:rFonts w:hAnsi="宋体"/>
          <w:b/>
          <w:color w:val="auto"/>
          <w:szCs w:val="21"/>
          <w:highlight w:val="none"/>
        </w:rPr>
      </w:pPr>
      <w:r>
        <w:rPr>
          <w:rFonts w:hint="eastAsia" w:hAnsi="宋体"/>
          <w:b/>
          <w:color w:val="auto"/>
          <w:szCs w:val="21"/>
          <w:highlight w:val="none"/>
        </w:rPr>
        <w:t>18.4投标人有下列情形之一的，投标保证金将不予退还：</w:t>
      </w:r>
    </w:p>
    <w:p w14:paraId="0B6D330C">
      <w:pPr>
        <w:ind w:firstLine="420"/>
        <w:rPr>
          <w:rFonts w:hAnsi="宋体"/>
          <w:color w:val="auto"/>
          <w:szCs w:val="21"/>
          <w:highlight w:val="none"/>
        </w:rPr>
      </w:pPr>
      <w:r>
        <w:rPr>
          <w:rFonts w:hint="eastAsia" w:hAnsi="宋体"/>
          <w:color w:val="auto"/>
          <w:szCs w:val="21"/>
          <w:highlight w:val="none"/>
        </w:rPr>
        <w:t>（1）投标人在投标有效期内撤销投标文件的；</w:t>
      </w:r>
    </w:p>
    <w:p w14:paraId="774C0B54">
      <w:pPr>
        <w:ind w:firstLine="420"/>
        <w:rPr>
          <w:rFonts w:hAnsi="宋体"/>
          <w:color w:val="auto"/>
          <w:szCs w:val="21"/>
          <w:highlight w:val="none"/>
        </w:rPr>
      </w:pPr>
      <w:r>
        <w:rPr>
          <w:rFonts w:hint="eastAsia" w:hAnsi="宋体"/>
          <w:color w:val="auto"/>
          <w:szCs w:val="21"/>
          <w:highlight w:val="none"/>
        </w:rPr>
        <w:t>（2）未按规定提交履约保证金的；</w:t>
      </w:r>
    </w:p>
    <w:p w14:paraId="41BCBA7D">
      <w:pPr>
        <w:ind w:firstLine="420"/>
        <w:rPr>
          <w:rFonts w:hAnsi="宋体"/>
          <w:color w:val="auto"/>
          <w:szCs w:val="21"/>
          <w:highlight w:val="none"/>
        </w:rPr>
      </w:pPr>
      <w:r>
        <w:rPr>
          <w:rFonts w:hint="eastAsia" w:hAnsi="宋体"/>
          <w:color w:val="auto"/>
          <w:szCs w:val="21"/>
          <w:highlight w:val="none"/>
        </w:rPr>
        <w:t>（3）投标人在投标过程中弄虚作假，提供虚假材料的；</w:t>
      </w:r>
    </w:p>
    <w:p w14:paraId="004B19B1">
      <w:pPr>
        <w:ind w:firstLine="420"/>
        <w:rPr>
          <w:rFonts w:hAnsi="宋体"/>
          <w:color w:val="auto"/>
          <w:szCs w:val="21"/>
          <w:highlight w:val="none"/>
        </w:rPr>
      </w:pPr>
      <w:r>
        <w:rPr>
          <w:rFonts w:hint="eastAsia" w:hAnsi="宋体"/>
          <w:color w:val="auto"/>
          <w:szCs w:val="21"/>
          <w:highlight w:val="none"/>
        </w:rPr>
        <w:t>（4）中标供应商无正当理由不与采购人签订合同的；</w:t>
      </w:r>
    </w:p>
    <w:p w14:paraId="5C254B54">
      <w:pPr>
        <w:ind w:firstLine="420"/>
        <w:rPr>
          <w:rFonts w:hAnsi="宋体"/>
          <w:color w:val="auto"/>
          <w:szCs w:val="21"/>
          <w:highlight w:val="none"/>
        </w:rPr>
      </w:pPr>
      <w:bookmarkStart w:id="115" w:name="_Toc254970542"/>
      <w:bookmarkStart w:id="116" w:name="_Toc254970683"/>
      <w:r>
        <w:rPr>
          <w:rFonts w:hint="eastAsia" w:hAnsi="宋体"/>
          <w:color w:val="auto"/>
          <w:szCs w:val="21"/>
          <w:highlight w:val="none"/>
        </w:rPr>
        <w:t>（5）投标人出现本章第9.2、9.3条情形的；</w:t>
      </w:r>
    </w:p>
    <w:p w14:paraId="1DC7BFEB">
      <w:pPr>
        <w:ind w:firstLine="420"/>
        <w:rPr>
          <w:rFonts w:hAnsi="宋体"/>
          <w:color w:val="auto"/>
          <w:szCs w:val="21"/>
          <w:highlight w:val="none"/>
        </w:rPr>
      </w:pPr>
      <w:r>
        <w:rPr>
          <w:rFonts w:hint="eastAsia" w:hAnsi="宋体"/>
          <w:color w:val="auto"/>
          <w:szCs w:val="21"/>
          <w:highlight w:val="none"/>
        </w:rPr>
        <w:t>（6）</w:t>
      </w:r>
      <w:r>
        <w:rPr>
          <w:rFonts w:hint="eastAsia" w:hAnsi="宋体" w:cs="宋体"/>
          <w:color w:val="auto"/>
          <w:szCs w:val="21"/>
          <w:highlight w:val="none"/>
        </w:rPr>
        <w:t>法律法规规定的其他情形</w:t>
      </w:r>
      <w:r>
        <w:rPr>
          <w:rFonts w:hint="eastAsia" w:hAnsi="宋体"/>
          <w:color w:val="auto"/>
          <w:szCs w:val="21"/>
          <w:highlight w:val="none"/>
        </w:rPr>
        <w:t>。</w:t>
      </w:r>
      <w:bookmarkEnd w:id="115"/>
      <w:bookmarkEnd w:id="116"/>
    </w:p>
    <w:p w14:paraId="131A598A">
      <w:pPr>
        <w:pStyle w:val="261"/>
        <w:ind w:firstLine="482"/>
        <w:rPr>
          <w:color w:val="auto"/>
          <w:highlight w:val="none"/>
        </w:rPr>
      </w:pPr>
      <w:r>
        <w:rPr>
          <w:rFonts w:hint="eastAsia"/>
          <w:color w:val="auto"/>
          <w:highlight w:val="none"/>
        </w:rPr>
        <w:t>19.投标文件的编制</w:t>
      </w:r>
    </w:p>
    <w:p w14:paraId="74E9BB53">
      <w:pPr>
        <w:ind w:firstLine="422"/>
        <w:rPr>
          <w:rFonts w:hAnsi="宋体"/>
          <w:b/>
          <w:color w:val="auto"/>
          <w:szCs w:val="21"/>
          <w:highlight w:val="none"/>
        </w:rPr>
      </w:pPr>
      <w:r>
        <w:rPr>
          <w:rFonts w:hint="eastAsia" w:hAnsi="宋体"/>
          <w:b/>
          <w:color w:val="auto"/>
          <w:szCs w:val="21"/>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45C46832">
      <w:pPr>
        <w:ind w:firstLine="422"/>
        <w:rPr>
          <w:rFonts w:hAnsi="宋体"/>
          <w:b/>
          <w:color w:val="auto"/>
          <w:szCs w:val="21"/>
          <w:highlight w:val="none"/>
        </w:rPr>
      </w:pPr>
      <w:bookmarkStart w:id="117" w:name="_19.2投标文件应按报价文件、资格证明文件、商务文件、技术文件分别编制"/>
      <w:bookmarkEnd w:id="117"/>
      <w:r>
        <w:rPr>
          <w:rFonts w:hint="eastAsia" w:hAnsi="宋体"/>
          <w:b/>
          <w:color w:val="auto"/>
          <w:szCs w:val="21"/>
          <w:highlight w:val="none"/>
        </w:rPr>
        <w:t>19.2为确保网上</w:t>
      </w:r>
      <w:r>
        <w:rPr>
          <w:rFonts w:hint="eastAsia" w:hAnsi="宋体"/>
          <w:b/>
          <w:color w:val="auto"/>
          <w:szCs w:val="21"/>
          <w:highlight w:val="none"/>
          <w:lang w:eastAsia="zh-CN"/>
        </w:rPr>
        <w:t>操作台</w:t>
      </w:r>
      <w:r>
        <w:rPr>
          <w:rFonts w:hint="eastAsia" w:hAnsi="宋体"/>
          <w:b/>
          <w:color w:val="auto"/>
          <w:szCs w:val="21"/>
          <w:highlight w:val="none"/>
        </w:rPr>
        <w:t>法、有效和安全，投标人应当在投标截止时间前完成在“广西政府采购云”平台的身份认证，确保在电子投标过程中能够对相关数据电文进行加密和使用电子签章。</w:t>
      </w:r>
    </w:p>
    <w:p w14:paraId="1ADE288C">
      <w:pPr>
        <w:ind w:firstLine="422"/>
        <w:rPr>
          <w:rFonts w:hAnsi="宋体"/>
          <w:b/>
          <w:color w:val="auto"/>
          <w:szCs w:val="21"/>
          <w:highlight w:val="none"/>
        </w:rPr>
      </w:pPr>
      <w:r>
        <w:rPr>
          <w:rFonts w:hint="eastAsia" w:hAnsi="宋体"/>
          <w:b/>
          <w:color w:val="auto"/>
          <w:szCs w:val="21"/>
          <w:highlight w:val="none"/>
        </w:rPr>
        <w:t>19.3投标文件须由投标人在规定位置签字（或者电子签名）、盖章（具体以投标人须知前附表或投标文件格式规定为准），否则按无效投标处理。</w:t>
      </w:r>
    </w:p>
    <w:p w14:paraId="57C6494A">
      <w:pPr>
        <w:ind w:firstLine="422"/>
        <w:rPr>
          <w:rFonts w:hAnsi="宋体"/>
          <w:b/>
          <w:color w:val="auto"/>
          <w:szCs w:val="21"/>
          <w:highlight w:val="none"/>
        </w:rPr>
      </w:pPr>
      <w:r>
        <w:rPr>
          <w:rFonts w:hint="eastAsia" w:hAnsi="宋体"/>
          <w:b/>
          <w:color w:val="auto"/>
          <w:szCs w:val="21"/>
          <w:highlight w:val="none"/>
        </w:rPr>
        <w:t>19.4投标文件中标注的投标人名称应与主体资格证明（如营业执照或者事业单位法人证书或者执业许可证或者登记证书等）及公章一致，并与“广西政府采购云”中获取招标文件的投标人名称一致，投标人为自然人的，标注的投标人名称应与身份证姓名及签名一致，否则按无效投标处理。</w:t>
      </w:r>
    </w:p>
    <w:p w14:paraId="6CF69231">
      <w:pPr>
        <w:ind w:firstLine="422"/>
        <w:rPr>
          <w:rFonts w:hAnsi="宋体"/>
          <w:b/>
          <w:color w:val="auto"/>
          <w:szCs w:val="21"/>
          <w:highlight w:val="none"/>
        </w:rPr>
      </w:pPr>
      <w:r>
        <w:rPr>
          <w:rFonts w:hint="eastAsia" w:hAnsi="宋体"/>
          <w:b/>
          <w:color w:val="auto"/>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4A535ABC">
      <w:pPr>
        <w:pStyle w:val="261"/>
        <w:ind w:firstLine="482"/>
        <w:rPr>
          <w:color w:val="auto"/>
          <w:highlight w:val="none"/>
        </w:rPr>
      </w:pPr>
      <w:r>
        <w:rPr>
          <w:rFonts w:hint="eastAsia"/>
          <w:color w:val="auto"/>
          <w:highlight w:val="none"/>
        </w:rPr>
        <w:t>20.电子备份投标文件</w:t>
      </w:r>
    </w:p>
    <w:p w14:paraId="7ACCBEBA">
      <w:pPr>
        <w:ind w:firstLine="420"/>
        <w:rPr>
          <w:rFonts w:hAnsi="宋体"/>
          <w:color w:val="auto"/>
          <w:szCs w:val="21"/>
          <w:highlight w:val="none"/>
        </w:rPr>
      </w:pPr>
      <w:r>
        <w:rPr>
          <w:rFonts w:hint="eastAsia" w:hAnsi="宋体"/>
          <w:color w:val="auto"/>
          <w:szCs w:val="21"/>
          <w:highlight w:val="none"/>
        </w:rPr>
        <w:t>电子备份投标文件是指通过“广西政府采购云电子投标客户端”在线编制生成且后缀名为“</w:t>
      </w:r>
      <w:r>
        <w:rPr>
          <w:rFonts w:hAnsi="宋体"/>
          <w:color w:val="auto"/>
          <w:szCs w:val="21"/>
          <w:highlight w:val="none"/>
        </w:rPr>
        <w:t>bs</w:t>
      </w:r>
      <w:r>
        <w:rPr>
          <w:rFonts w:hint="eastAsia" w:hAnsi="宋体"/>
          <w:color w:val="auto"/>
          <w:szCs w:val="21"/>
          <w:highlight w:val="none"/>
        </w:rPr>
        <w:t>”的文件，是否接受电子备份投标文件</w:t>
      </w:r>
      <w:r>
        <w:rPr>
          <w:rFonts w:hint="eastAsia" w:hAnsi="宋体"/>
          <w:bCs/>
          <w:color w:val="auto"/>
          <w:szCs w:val="21"/>
          <w:highlight w:val="none"/>
        </w:rPr>
        <w:t>详见“投标人须知前附表”。</w:t>
      </w:r>
    </w:p>
    <w:p w14:paraId="1BBDDD02">
      <w:pPr>
        <w:pStyle w:val="261"/>
        <w:ind w:firstLine="482"/>
        <w:rPr>
          <w:color w:val="auto"/>
          <w:highlight w:val="none"/>
        </w:rPr>
      </w:pPr>
      <w:r>
        <w:rPr>
          <w:rFonts w:hint="eastAsia"/>
          <w:color w:val="auto"/>
          <w:highlight w:val="none"/>
        </w:rPr>
        <w:t>21.投标文件的提交</w:t>
      </w:r>
    </w:p>
    <w:p w14:paraId="5DD45DE2">
      <w:pPr>
        <w:ind w:firstLine="420"/>
        <w:rPr>
          <w:rFonts w:hAnsi="宋体"/>
          <w:b/>
          <w:color w:val="auto"/>
          <w:szCs w:val="21"/>
          <w:highlight w:val="none"/>
        </w:rPr>
      </w:pPr>
      <w:bookmarkStart w:id="118" w:name="_21.1投标人必须在“投标人须知中的前附表”规定的投标文件接收时间和投"/>
      <w:bookmarkEnd w:id="118"/>
      <w:r>
        <w:rPr>
          <w:rFonts w:hint="eastAsia" w:hAnsi="宋体"/>
          <w:bCs/>
          <w:color w:val="auto"/>
          <w:szCs w:val="21"/>
          <w:highlight w:val="none"/>
        </w:rPr>
        <w:t>21.1投标人必须在“投标人须知前附表”规定的</w:t>
      </w:r>
      <w:r>
        <w:rPr>
          <w:rFonts w:hint="eastAsia" w:hAnsi="宋体"/>
          <w:color w:val="auto"/>
          <w:szCs w:val="21"/>
          <w:highlight w:val="none"/>
        </w:rPr>
        <w:t>投标文件提交截止时间前将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hAnsi="宋体"/>
          <w:b/>
          <w:color w:val="auto"/>
          <w:szCs w:val="21"/>
          <w:highlight w:val="none"/>
        </w:rPr>
        <w:t>“广西政府采购云”平台</w:t>
      </w:r>
      <w:r>
        <w:rPr>
          <w:rFonts w:hint="eastAsia" w:hAnsi="宋体"/>
          <w:bCs/>
          <w:color w:val="auto"/>
          <w:szCs w:val="21"/>
          <w:highlight w:val="none"/>
        </w:rPr>
        <w:t>。</w:t>
      </w:r>
    </w:p>
    <w:p w14:paraId="37227DDF">
      <w:pPr>
        <w:ind w:firstLine="422"/>
        <w:rPr>
          <w:rFonts w:hAnsi="宋体"/>
          <w:b/>
          <w:color w:val="auto"/>
          <w:szCs w:val="21"/>
          <w:highlight w:val="none"/>
        </w:rPr>
      </w:pPr>
      <w:r>
        <w:rPr>
          <w:rFonts w:hint="eastAsia" w:hAnsi="宋体"/>
          <w:b/>
          <w:color w:val="auto"/>
          <w:szCs w:val="21"/>
          <w:highlight w:val="none"/>
        </w:rPr>
        <w:t>21.</w:t>
      </w:r>
      <w:r>
        <w:rPr>
          <w:rFonts w:hAnsi="宋体"/>
          <w:b/>
          <w:color w:val="auto"/>
          <w:szCs w:val="21"/>
          <w:highlight w:val="none"/>
        </w:rPr>
        <w:t>2</w:t>
      </w:r>
      <w:r>
        <w:rPr>
          <w:rFonts w:hint="eastAsia" w:hAnsi="宋体"/>
          <w:b/>
          <w:color w:val="auto"/>
          <w:szCs w:val="21"/>
          <w:highlight w:val="none"/>
        </w:rPr>
        <w:t>未在规定时间内提交或者未按照招标文件要求加密的电子投标文件，“广西政府采购云”平台将拒收。</w:t>
      </w:r>
    </w:p>
    <w:p w14:paraId="41439486">
      <w:pPr>
        <w:pStyle w:val="261"/>
        <w:ind w:firstLine="482"/>
        <w:rPr>
          <w:color w:val="auto"/>
          <w:highlight w:val="none"/>
        </w:rPr>
      </w:pPr>
      <w:r>
        <w:rPr>
          <w:rFonts w:hint="eastAsia"/>
          <w:color w:val="auto"/>
          <w:highlight w:val="none"/>
        </w:rPr>
        <w:t>22.投标文件的补充、修改、撤回与退回</w:t>
      </w:r>
    </w:p>
    <w:p w14:paraId="58A5C194">
      <w:pPr>
        <w:ind w:firstLine="420"/>
        <w:rPr>
          <w:rFonts w:hAnsi="宋体"/>
          <w:color w:val="auto"/>
          <w:szCs w:val="21"/>
          <w:highlight w:val="none"/>
        </w:rPr>
      </w:pPr>
      <w:bookmarkStart w:id="119" w:name="_Toc254970543"/>
      <w:bookmarkStart w:id="120" w:name="_Toc254970684"/>
      <w:r>
        <w:rPr>
          <w:rFonts w:hAnsi="宋体" w:cs="宋体"/>
          <w:color w:val="auto"/>
          <w:szCs w:val="21"/>
          <w:highlight w:val="none"/>
        </w:rPr>
        <w:t>22</w:t>
      </w:r>
      <w:r>
        <w:rPr>
          <w:rFonts w:hint="eastAsia" w:hAnsi="宋体" w:cs="宋体"/>
          <w:color w:val="auto"/>
          <w:szCs w:val="21"/>
          <w:highlight w:val="none"/>
        </w:rPr>
        <w:t>.1</w:t>
      </w:r>
      <w:r>
        <w:rPr>
          <w:rFonts w:hint="eastAsia"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hAnsi="宋体" w:cs="宋体"/>
          <w:color w:val="auto"/>
          <w:szCs w:val="21"/>
          <w:highlight w:val="none"/>
        </w:rPr>
        <w:t>（补充、修改或者撤回方式可</w:t>
      </w:r>
      <w:r>
        <w:rPr>
          <w:rFonts w:hint="eastAsia" w:hAnsi="宋体"/>
          <w:color w:val="auto"/>
          <w:szCs w:val="21"/>
          <w:highlight w:val="none"/>
        </w:rPr>
        <w:t>登录</w:t>
      </w:r>
      <w:r>
        <w:rPr>
          <w:rFonts w:hint="eastAsia" w:hAnsi="宋体" w:cs="宋体"/>
          <w:color w:val="auto"/>
          <w:szCs w:val="21"/>
          <w:highlight w:val="none"/>
        </w:rPr>
        <w:t>“广西政府采购云”平台，</w:t>
      </w:r>
      <w:r>
        <w:rPr>
          <w:rFonts w:hint="eastAsia" w:hAnsi="宋体"/>
          <w:color w:val="auto"/>
          <w:szCs w:val="21"/>
          <w:highlight w:val="none"/>
        </w:rPr>
        <w:t>依次进入“服务中心</w:t>
      </w:r>
      <w:r>
        <w:rPr>
          <w:rFonts w:hint="eastAsia" w:hAnsi="宋体"/>
          <w:color w:val="auto"/>
          <w:szCs w:val="21"/>
          <w:highlight w:val="none"/>
          <w:lang w:eastAsia="zh-CN"/>
        </w:rPr>
        <w:t>”</w:t>
      </w:r>
      <w:r>
        <w:rPr>
          <w:rFonts w:hint="eastAsia" w:hAnsi="宋体"/>
          <w:color w:val="auto"/>
          <w:szCs w:val="21"/>
          <w:highlight w:val="none"/>
        </w:rPr>
        <w:t>查看</w:t>
      </w:r>
      <w:r>
        <w:rPr>
          <w:rFonts w:hint="eastAsia" w:hAnsi="宋体" w:cs="宋体"/>
          <w:color w:val="auto"/>
          <w:szCs w:val="21"/>
          <w:highlight w:val="none"/>
        </w:rPr>
        <w:t xml:space="preserve"> “电子投标文件制作与投送教程”）</w:t>
      </w:r>
      <w:bookmarkEnd w:id="119"/>
      <w:bookmarkEnd w:id="120"/>
    </w:p>
    <w:p w14:paraId="6A002FFE">
      <w:pPr>
        <w:ind w:firstLine="420"/>
        <w:rPr>
          <w:rFonts w:hAnsi="宋体" w:cs="宋体"/>
          <w:color w:val="auto"/>
          <w:szCs w:val="21"/>
          <w:highlight w:val="none"/>
        </w:rPr>
      </w:pPr>
      <w:r>
        <w:rPr>
          <w:rFonts w:hAnsi="宋体" w:cs="宋体"/>
          <w:color w:val="auto"/>
          <w:szCs w:val="21"/>
          <w:highlight w:val="none"/>
        </w:rPr>
        <w:t>22.</w:t>
      </w:r>
      <w:r>
        <w:rPr>
          <w:rFonts w:hint="eastAsia" w:hAnsi="宋体" w:cs="宋体"/>
          <w:color w:val="auto"/>
          <w:szCs w:val="21"/>
          <w:highlight w:val="none"/>
        </w:rPr>
        <w:t>2“广西政府采购云”平台收到投标文件后向供应商发出确认回执通知。在投标截止时</w:t>
      </w:r>
      <w:r>
        <w:rPr>
          <w:rFonts w:hint="eastAsia" w:hAnsi="宋体" w:cs="宋体"/>
          <w:color w:val="auto"/>
          <w:szCs w:val="21"/>
          <w:highlight w:val="none"/>
          <w:lang w:eastAsia="zh-CN"/>
        </w:rPr>
        <w:t>间之</w:t>
      </w:r>
      <w:r>
        <w:rPr>
          <w:rFonts w:hint="eastAsia" w:hAnsi="宋体" w:cs="宋体"/>
          <w:color w:val="auto"/>
          <w:szCs w:val="21"/>
          <w:highlight w:val="none"/>
        </w:rPr>
        <w:t>前，除供应商补充、修改或者撤回投标文件外，任何单位和个人不得解密或提取投标文件。</w:t>
      </w:r>
    </w:p>
    <w:p w14:paraId="243E0C53">
      <w:pPr>
        <w:ind w:firstLine="420"/>
        <w:rPr>
          <w:rFonts w:hAnsi="宋体" w:cs="宋体"/>
          <w:color w:val="auto"/>
          <w:szCs w:val="21"/>
          <w:highlight w:val="none"/>
        </w:rPr>
      </w:pPr>
      <w:r>
        <w:rPr>
          <w:rFonts w:hint="eastAsia" w:hAnsi="宋体" w:cs="宋体"/>
          <w:color w:val="auto"/>
          <w:szCs w:val="21"/>
          <w:highlight w:val="none"/>
        </w:rPr>
        <w:t>22.</w:t>
      </w:r>
      <w:r>
        <w:rPr>
          <w:rFonts w:hAnsi="宋体" w:cs="宋体"/>
          <w:color w:val="auto"/>
          <w:szCs w:val="21"/>
          <w:highlight w:val="none"/>
        </w:rPr>
        <w:t>3</w:t>
      </w:r>
      <w:r>
        <w:rPr>
          <w:rFonts w:hint="eastAsia" w:hAnsi="宋体" w:cs="宋体"/>
          <w:color w:val="auto"/>
          <w:szCs w:val="21"/>
          <w:highlight w:val="none"/>
        </w:rPr>
        <w:t>在投标截止时间后，采购人和采购代理机构对已提交的投标文件概不退回。</w:t>
      </w:r>
    </w:p>
    <w:p w14:paraId="7B6B98F3">
      <w:pPr>
        <w:pStyle w:val="271"/>
        <w:rPr>
          <w:color w:val="auto"/>
          <w:highlight w:val="none"/>
        </w:rPr>
      </w:pPr>
      <w:bookmarkStart w:id="121" w:name="_Toc254970544"/>
      <w:bookmarkStart w:id="122" w:name="_Toc254970685"/>
      <w:r>
        <w:rPr>
          <w:rFonts w:hint="eastAsia"/>
          <w:color w:val="auto"/>
          <w:highlight w:val="none"/>
        </w:rPr>
        <w:t>四、开</w:t>
      </w:r>
      <w:r>
        <w:rPr>
          <w:color w:val="auto"/>
          <w:highlight w:val="none"/>
        </w:rPr>
        <w:t xml:space="preserve">  </w:t>
      </w:r>
      <w:r>
        <w:rPr>
          <w:rFonts w:hint="eastAsia"/>
          <w:color w:val="auto"/>
          <w:highlight w:val="none"/>
        </w:rPr>
        <w:t>标</w:t>
      </w:r>
      <w:bookmarkEnd w:id="121"/>
      <w:bookmarkEnd w:id="122"/>
    </w:p>
    <w:p w14:paraId="69D7A972">
      <w:pPr>
        <w:pStyle w:val="261"/>
        <w:ind w:firstLine="482"/>
        <w:rPr>
          <w:color w:val="auto"/>
          <w:highlight w:val="none"/>
        </w:rPr>
      </w:pPr>
      <w:bookmarkStart w:id="123" w:name="_23.开标时间和地点"/>
      <w:bookmarkEnd w:id="123"/>
      <w:r>
        <w:rPr>
          <w:rFonts w:hint="eastAsia"/>
          <w:color w:val="auto"/>
          <w:highlight w:val="none"/>
        </w:rPr>
        <w:t>23.开标时间和地点</w:t>
      </w:r>
    </w:p>
    <w:p w14:paraId="118C6E55">
      <w:pPr>
        <w:ind w:firstLine="420"/>
        <w:rPr>
          <w:rFonts w:hAnsi="宋体"/>
          <w:bCs/>
          <w:color w:val="auto"/>
          <w:szCs w:val="21"/>
          <w:highlight w:val="none"/>
        </w:rPr>
      </w:pPr>
      <w:r>
        <w:rPr>
          <w:rFonts w:hint="eastAsia" w:hAnsi="宋体"/>
          <w:bCs/>
          <w:color w:val="auto"/>
          <w:szCs w:val="21"/>
          <w:highlight w:val="none"/>
        </w:rPr>
        <w:t>开标时间及地点详见“投标人须知前附表”</w:t>
      </w:r>
    </w:p>
    <w:p w14:paraId="53716647">
      <w:pPr>
        <w:pStyle w:val="261"/>
        <w:ind w:firstLine="482"/>
        <w:rPr>
          <w:color w:val="auto"/>
          <w:highlight w:val="none"/>
        </w:rPr>
      </w:pPr>
      <w:r>
        <w:rPr>
          <w:rFonts w:hint="eastAsia"/>
          <w:color w:val="auto"/>
          <w:highlight w:val="none"/>
        </w:rPr>
        <w:t>24.开标程序</w:t>
      </w:r>
    </w:p>
    <w:p w14:paraId="406DA2DC">
      <w:pPr>
        <w:ind w:firstLine="420"/>
        <w:rPr>
          <w:rFonts w:hAnsi="宋体"/>
          <w:color w:val="auto"/>
          <w:szCs w:val="21"/>
          <w:highlight w:val="none"/>
        </w:rPr>
      </w:pPr>
      <w:r>
        <w:rPr>
          <w:rFonts w:hint="eastAsia" w:hAnsi="宋体"/>
          <w:color w:val="auto"/>
          <w:szCs w:val="21"/>
          <w:highlight w:val="none"/>
        </w:rPr>
        <w:t>2</w:t>
      </w:r>
      <w:r>
        <w:rPr>
          <w:rFonts w:hAnsi="宋体"/>
          <w:color w:val="auto"/>
          <w:szCs w:val="21"/>
          <w:highlight w:val="none"/>
        </w:rPr>
        <w:t>4.1</w:t>
      </w:r>
      <w:r>
        <w:rPr>
          <w:rFonts w:hint="eastAsia" w:hAnsi="宋体"/>
          <w:color w:val="auto"/>
          <w:szCs w:val="21"/>
          <w:highlight w:val="none"/>
        </w:rPr>
        <w:t>提交投标文件截止时间止，投标人不足3家的，不得开标。</w:t>
      </w:r>
    </w:p>
    <w:p w14:paraId="490DAF6F">
      <w:pPr>
        <w:ind w:firstLine="420"/>
        <w:rPr>
          <w:rFonts w:hAnsi="宋体"/>
          <w:color w:val="auto"/>
          <w:szCs w:val="21"/>
          <w:highlight w:val="none"/>
        </w:rPr>
      </w:pPr>
      <w:r>
        <w:rPr>
          <w:rFonts w:hint="eastAsia" w:hAnsi="宋体"/>
          <w:color w:val="auto"/>
          <w:szCs w:val="21"/>
          <w:highlight w:val="none"/>
        </w:rPr>
        <w:t>24.</w:t>
      </w:r>
      <w:r>
        <w:rPr>
          <w:rFonts w:hAnsi="宋体"/>
          <w:color w:val="auto"/>
          <w:szCs w:val="21"/>
          <w:highlight w:val="none"/>
        </w:rPr>
        <w:t>2</w:t>
      </w:r>
      <w:r>
        <w:rPr>
          <w:rFonts w:hint="eastAsia" w:hAnsi="宋体"/>
          <w:color w:val="auto"/>
          <w:szCs w:val="21"/>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2D10032D">
      <w:pPr>
        <w:ind w:firstLine="420"/>
        <w:rPr>
          <w:rFonts w:hAnsi="宋体"/>
          <w:color w:val="auto"/>
          <w:szCs w:val="21"/>
          <w:highlight w:val="none"/>
        </w:rPr>
      </w:pPr>
      <w:r>
        <w:rPr>
          <w:rFonts w:hint="eastAsia" w:hAnsi="宋体"/>
          <w:color w:val="auto"/>
          <w:szCs w:val="21"/>
          <w:highlight w:val="none"/>
        </w:rPr>
        <w:t>24.</w:t>
      </w:r>
      <w:r>
        <w:rPr>
          <w:rFonts w:hAnsi="宋体"/>
          <w:color w:val="auto"/>
          <w:szCs w:val="21"/>
          <w:highlight w:val="none"/>
        </w:rPr>
        <w:t>3</w:t>
      </w:r>
      <w:r>
        <w:rPr>
          <w:rFonts w:hint="eastAsia" w:hAnsi="宋体"/>
          <w:color w:val="auto"/>
          <w:szCs w:val="21"/>
          <w:highlight w:val="none"/>
        </w:rPr>
        <w:t>开标程序</w:t>
      </w:r>
    </w:p>
    <w:p w14:paraId="5A56A49F">
      <w:pPr>
        <w:ind w:firstLine="420"/>
        <w:rPr>
          <w:rFonts w:hAnsi="宋体"/>
          <w:color w:val="auto"/>
          <w:szCs w:val="21"/>
          <w:highlight w:val="none"/>
        </w:rPr>
      </w:pPr>
      <w:r>
        <w:rPr>
          <w:rFonts w:hint="eastAsia" w:hAnsi="宋体"/>
          <w:color w:val="auto"/>
          <w:szCs w:val="21"/>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hAnsi="宋体"/>
          <w:color w:val="auto"/>
          <w:szCs w:val="21"/>
          <w:highlight w:val="none"/>
        </w:rPr>
        <w:t>规定的时间内自行进行投标文件解密。投标人的法定代表人或其委托代理人须凭加密时所用的CA锁准时登录到“广西政府采购云”平台电子开标大厅签到并对电子投标文件解密。</w:t>
      </w:r>
      <w:r>
        <w:rPr>
          <w:rFonts w:hAnsi="宋体"/>
          <w:b/>
          <w:color w:val="auto"/>
          <w:szCs w:val="21"/>
          <w:highlight w:val="none"/>
        </w:rPr>
        <w:t>投标人</w:t>
      </w:r>
      <w:r>
        <w:rPr>
          <w:rFonts w:hint="eastAsia" w:hAnsi="宋体"/>
          <w:b/>
          <w:color w:val="auto"/>
          <w:szCs w:val="21"/>
          <w:highlight w:val="none"/>
        </w:rPr>
        <w:t>未在</w:t>
      </w:r>
      <w:r>
        <w:rPr>
          <w:rFonts w:hAnsi="宋体"/>
          <w:b/>
          <w:color w:val="auto"/>
          <w:szCs w:val="21"/>
          <w:highlight w:val="none"/>
        </w:rPr>
        <w:t>规定的时间内解密</w:t>
      </w:r>
      <w:r>
        <w:rPr>
          <w:rFonts w:hint="eastAsia" w:hAnsi="宋体"/>
          <w:b/>
          <w:color w:val="auto"/>
          <w:szCs w:val="21"/>
          <w:highlight w:val="none"/>
        </w:rPr>
        <w:t>投标文件</w:t>
      </w:r>
      <w:r>
        <w:rPr>
          <w:rFonts w:hAnsi="宋体"/>
          <w:b/>
          <w:color w:val="auto"/>
          <w:szCs w:val="21"/>
          <w:highlight w:val="none"/>
        </w:rPr>
        <w:t>或</w:t>
      </w:r>
      <w:r>
        <w:rPr>
          <w:rFonts w:hint="eastAsia" w:hAnsi="宋体"/>
          <w:b/>
          <w:color w:val="auto"/>
          <w:szCs w:val="21"/>
          <w:highlight w:val="none"/>
        </w:rPr>
        <w:t>者</w:t>
      </w:r>
      <w:r>
        <w:rPr>
          <w:rFonts w:hAnsi="宋体"/>
          <w:b/>
          <w:color w:val="auto"/>
          <w:szCs w:val="21"/>
          <w:highlight w:val="none"/>
        </w:rPr>
        <w:t>解密失败的</w:t>
      </w:r>
      <w:r>
        <w:rPr>
          <w:rFonts w:hint="eastAsia" w:hAnsi="宋体"/>
          <w:b/>
          <w:color w:val="auto"/>
          <w:szCs w:val="21"/>
          <w:highlight w:val="none"/>
        </w:rPr>
        <w:t>，投标人的投标文件作无效处理</w:t>
      </w:r>
      <w:r>
        <w:rPr>
          <w:rFonts w:hAnsi="宋体"/>
          <w:b/>
          <w:color w:val="auto"/>
          <w:szCs w:val="21"/>
          <w:highlight w:val="none"/>
        </w:rPr>
        <w:t>。</w:t>
      </w:r>
    </w:p>
    <w:p w14:paraId="48F64858">
      <w:pPr>
        <w:ind w:firstLine="420"/>
        <w:rPr>
          <w:rFonts w:hAnsi="宋体"/>
          <w:color w:val="auto"/>
          <w:szCs w:val="21"/>
          <w:highlight w:val="none"/>
        </w:rPr>
      </w:pPr>
      <w:r>
        <w:rPr>
          <w:rFonts w:hint="eastAsia" w:hAnsi="宋体"/>
          <w:color w:val="auto"/>
          <w:szCs w:val="21"/>
          <w:highlight w:val="none"/>
        </w:rPr>
        <w:t>（2）电子唱标。投标文件解密结束，宣布的内容均在“广西政府采购云”平台远程开标大厅展示；</w:t>
      </w:r>
    </w:p>
    <w:p w14:paraId="2B4236FB">
      <w:pPr>
        <w:ind w:firstLine="420"/>
        <w:rPr>
          <w:rFonts w:hAnsi="宋体"/>
          <w:color w:val="auto"/>
          <w:szCs w:val="21"/>
          <w:highlight w:val="none"/>
        </w:rPr>
      </w:pPr>
      <w:r>
        <w:rPr>
          <w:rFonts w:hint="eastAsia" w:hAnsi="宋体"/>
          <w:color w:val="auto"/>
          <w:szCs w:val="21"/>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2643FAF3">
      <w:pPr>
        <w:ind w:firstLine="420"/>
        <w:rPr>
          <w:rFonts w:hAnsi="宋体"/>
          <w:color w:val="auto"/>
          <w:szCs w:val="21"/>
          <w:highlight w:val="none"/>
        </w:rPr>
      </w:pPr>
      <w:r>
        <w:rPr>
          <w:rFonts w:hint="eastAsia" w:hAnsi="宋体"/>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8FF05DC">
      <w:pPr>
        <w:ind w:firstLine="420"/>
        <w:rPr>
          <w:rFonts w:hAnsi="宋体"/>
          <w:color w:val="auto"/>
          <w:szCs w:val="21"/>
          <w:highlight w:val="none"/>
        </w:rPr>
      </w:pPr>
      <w:r>
        <w:rPr>
          <w:rFonts w:hint="eastAsia" w:hAnsi="宋体"/>
          <w:color w:val="auto"/>
          <w:szCs w:val="21"/>
          <w:highlight w:val="none"/>
        </w:rPr>
        <w:t>（5）开标结束。</w:t>
      </w:r>
    </w:p>
    <w:p w14:paraId="0A908AA3">
      <w:pPr>
        <w:ind w:firstLine="420"/>
        <w:rPr>
          <w:rFonts w:hAnsi="宋体"/>
          <w:color w:val="auto"/>
          <w:szCs w:val="21"/>
          <w:highlight w:val="none"/>
        </w:rPr>
      </w:pPr>
      <w:r>
        <w:rPr>
          <w:rFonts w:hint="eastAsia" w:hAnsi="宋体"/>
          <w:color w:val="auto"/>
          <w:szCs w:val="21"/>
          <w:highlight w:val="none"/>
        </w:rPr>
        <w:t>特别说明：如遇“广西政府采购云”平台电子化开标或评审程序调整的，按调整后执行。</w:t>
      </w:r>
    </w:p>
    <w:p w14:paraId="66234E27">
      <w:pPr>
        <w:pStyle w:val="271"/>
        <w:rPr>
          <w:color w:val="auto"/>
          <w:highlight w:val="none"/>
        </w:rPr>
      </w:pPr>
      <w:r>
        <w:rPr>
          <w:rFonts w:hint="eastAsia"/>
          <w:color w:val="auto"/>
          <w:highlight w:val="none"/>
        </w:rPr>
        <w:t>五、资格审查</w:t>
      </w:r>
    </w:p>
    <w:p w14:paraId="737A1E2F">
      <w:pPr>
        <w:pStyle w:val="261"/>
        <w:ind w:firstLine="482"/>
        <w:rPr>
          <w:color w:val="auto"/>
          <w:highlight w:val="none"/>
        </w:rPr>
      </w:pPr>
      <w:r>
        <w:rPr>
          <w:rFonts w:hint="eastAsia"/>
          <w:color w:val="auto"/>
          <w:highlight w:val="none"/>
        </w:rPr>
        <w:t>25.资格审查</w:t>
      </w:r>
    </w:p>
    <w:p w14:paraId="2EE4E01F">
      <w:pPr>
        <w:ind w:firstLine="422"/>
        <w:rPr>
          <w:rFonts w:hAnsi="宋体"/>
          <w:b/>
          <w:color w:val="auto"/>
          <w:szCs w:val="21"/>
          <w:highlight w:val="none"/>
        </w:rPr>
      </w:pPr>
      <w:r>
        <w:rPr>
          <w:rFonts w:hint="eastAsia" w:hAnsi="宋体"/>
          <w:b/>
          <w:color w:val="auto"/>
          <w:szCs w:val="21"/>
          <w:highlight w:val="none"/>
        </w:rPr>
        <w:t>25.1</w:t>
      </w:r>
      <w:r>
        <w:rPr>
          <w:rFonts w:hAnsi="宋体"/>
          <w:b/>
          <w:color w:val="auto"/>
          <w:szCs w:val="21"/>
          <w:highlight w:val="none"/>
        </w:rPr>
        <w:t>开标结束后，</w:t>
      </w:r>
      <w:r>
        <w:rPr>
          <w:rFonts w:hint="eastAsia" w:hAnsi="宋体"/>
          <w:b/>
          <w:color w:val="auto"/>
          <w:szCs w:val="21"/>
          <w:highlight w:val="none"/>
        </w:rPr>
        <w:t>采购人或者采购代理机构通过电子开评标系统依据招标文件对电子投标文件进行线上资格审查</w:t>
      </w:r>
      <w:r>
        <w:rPr>
          <w:rFonts w:hAnsi="宋体"/>
          <w:b/>
          <w:color w:val="auto"/>
          <w:szCs w:val="21"/>
          <w:highlight w:val="none"/>
        </w:rPr>
        <w:t>。</w:t>
      </w:r>
    </w:p>
    <w:p w14:paraId="1D76C03C">
      <w:pPr>
        <w:ind w:firstLine="422"/>
        <w:rPr>
          <w:rFonts w:hAnsi="宋体"/>
          <w:b/>
          <w:color w:val="auto"/>
          <w:szCs w:val="21"/>
          <w:highlight w:val="none"/>
        </w:rPr>
      </w:pPr>
      <w:r>
        <w:rPr>
          <w:rFonts w:hint="eastAsia" w:hAnsi="宋体"/>
          <w:b/>
          <w:color w:val="auto"/>
          <w:szCs w:val="21"/>
          <w:highlight w:val="none"/>
        </w:rPr>
        <w:t>25.2资格审查标准为本招标文件中载明对投标人资格要求的条件。本项目资格审查采用合格制，凡符合招标文件规定的投标人资格要求的投标人均通过资格审查。</w:t>
      </w:r>
    </w:p>
    <w:p w14:paraId="6FB96F66">
      <w:pPr>
        <w:ind w:firstLine="420"/>
        <w:rPr>
          <w:rFonts w:hAnsi="宋体"/>
          <w:color w:val="auto"/>
          <w:szCs w:val="21"/>
          <w:highlight w:val="none"/>
        </w:rPr>
      </w:pPr>
      <w:bookmarkStart w:id="124" w:name="_25.3_投标人有下列情形之一的，资格审查不通过而导致其投标无效："/>
      <w:bookmarkEnd w:id="124"/>
      <w:r>
        <w:rPr>
          <w:rFonts w:hint="eastAsia" w:hAnsi="宋体"/>
          <w:color w:val="auto"/>
          <w:szCs w:val="21"/>
          <w:highlight w:val="none"/>
        </w:rPr>
        <w:t>25.3 投标人有下列情形之一的，资格审查不通过，</w:t>
      </w:r>
      <w:r>
        <w:rPr>
          <w:rFonts w:hint="eastAsia" w:hAnsi="宋体"/>
          <w:b/>
          <w:color w:val="auto"/>
          <w:szCs w:val="21"/>
          <w:highlight w:val="none"/>
        </w:rPr>
        <w:t>作无效投标处理</w:t>
      </w:r>
      <w:r>
        <w:rPr>
          <w:rFonts w:hint="eastAsia" w:hAnsi="宋体"/>
          <w:color w:val="auto"/>
          <w:szCs w:val="21"/>
          <w:highlight w:val="none"/>
        </w:rPr>
        <w:t>：</w:t>
      </w:r>
    </w:p>
    <w:p w14:paraId="37F37F56">
      <w:pPr>
        <w:ind w:firstLine="422"/>
        <w:rPr>
          <w:rFonts w:hAnsi="宋体"/>
          <w:b/>
          <w:color w:val="auto"/>
          <w:szCs w:val="21"/>
          <w:highlight w:val="none"/>
        </w:rPr>
      </w:pPr>
      <w:r>
        <w:rPr>
          <w:rFonts w:hint="eastAsia" w:hAnsi="宋体"/>
          <w:b/>
          <w:color w:val="auto"/>
          <w:szCs w:val="21"/>
          <w:highlight w:val="none"/>
        </w:rPr>
        <w:t>（1）不具备招标文件中规定的资格要求的；</w:t>
      </w:r>
    </w:p>
    <w:p w14:paraId="1368D3A5">
      <w:pPr>
        <w:ind w:firstLine="422"/>
        <w:rPr>
          <w:rFonts w:hAnsi="宋体"/>
          <w:b/>
          <w:color w:val="auto"/>
          <w:szCs w:val="21"/>
          <w:highlight w:val="none"/>
        </w:rPr>
      </w:pPr>
      <w:r>
        <w:rPr>
          <w:rFonts w:hint="eastAsia" w:hAnsi="宋体"/>
          <w:b/>
          <w:color w:val="auto"/>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378C2CC5">
      <w:pPr>
        <w:ind w:firstLine="422"/>
        <w:rPr>
          <w:rFonts w:hAnsi="宋体"/>
          <w:b/>
          <w:color w:val="auto"/>
          <w:szCs w:val="21"/>
          <w:highlight w:val="none"/>
        </w:rPr>
      </w:pPr>
      <w:r>
        <w:rPr>
          <w:rFonts w:hint="eastAsia" w:hAnsi="宋体"/>
          <w:b/>
          <w:color w:val="auto"/>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179E5484">
      <w:pPr>
        <w:ind w:firstLine="422"/>
        <w:rPr>
          <w:rFonts w:hAnsi="宋体"/>
          <w:b/>
          <w:color w:val="auto"/>
          <w:szCs w:val="21"/>
          <w:highlight w:val="none"/>
        </w:rPr>
      </w:pPr>
      <w:r>
        <w:rPr>
          <w:rFonts w:hint="eastAsia" w:hAnsi="宋体"/>
          <w:b/>
          <w:color w:val="auto"/>
          <w:szCs w:val="21"/>
          <w:highlight w:val="none"/>
        </w:rPr>
        <w:t>（4）投标文件中的资格证明文件缺少任一项“投标人须知前附表”资格证明文件规定“必须提供”的文件资料的；</w:t>
      </w:r>
    </w:p>
    <w:p w14:paraId="301D025A">
      <w:pPr>
        <w:ind w:firstLine="422"/>
        <w:rPr>
          <w:rFonts w:hAnsi="宋体"/>
          <w:b/>
          <w:color w:val="auto"/>
          <w:szCs w:val="21"/>
          <w:highlight w:val="none"/>
        </w:rPr>
      </w:pPr>
      <w:r>
        <w:rPr>
          <w:rFonts w:hint="eastAsia" w:hAnsi="宋体"/>
          <w:b/>
          <w:color w:val="auto"/>
          <w:szCs w:val="21"/>
          <w:highlight w:val="none"/>
        </w:rPr>
        <w:t>（5）投标文件中的资格证明文件出现任一项不符合“投标人须知前附表”资格证明文件规定“必须提供”的文件资料要求或者无效的。</w:t>
      </w:r>
    </w:p>
    <w:p w14:paraId="63F00B96">
      <w:pPr>
        <w:ind w:firstLine="420"/>
        <w:rPr>
          <w:rFonts w:hAnsi="宋体"/>
          <w:b/>
          <w:color w:val="auto"/>
          <w:szCs w:val="21"/>
          <w:highlight w:val="none"/>
        </w:rPr>
      </w:pPr>
      <w:r>
        <w:rPr>
          <w:rFonts w:hint="eastAsia" w:hAnsi="宋体"/>
          <w:color w:val="auto"/>
          <w:szCs w:val="21"/>
          <w:highlight w:val="none"/>
        </w:rPr>
        <w:t>25.4</w:t>
      </w:r>
      <w:r>
        <w:rPr>
          <w:rFonts w:hAnsi="宋体"/>
          <w:color w:val="auto"/>
          <w:szCs w:val="21"/>
          <w:highlight w:val="none"/>
        </w:rPr>
        <w:t>合格投标人不足3家的，不得评标。</w:t>
      </w:r>
    </w:p>
    <w:p w14:paraId="0AF971FB">
      <w:pPr>
        <w:pStyle w:val="271"/>
        <w:rPr>
          <w:color w:val="auto"/>
          <w:highlight w:val="none"/>
        </w:rPr>
      </w:pPr>
      <w:r>
        <w:rPr>
          <w:rFonts w:hint="eastAsia"/>
          <w:color w:val="auto"/>
          <w:highlight w:val="none"/>
        </w:rPr>
        <w:t>六、评  标</w:t>
      </w:r>
    </w:p>
    <w:p w14:paraId="1E9660A9">
      <w:pPr>
        <w:pStyle w:val="261"/>
        <w:ind w:firstLine="482"/>
        <w:rPr>
          <w:color w:val="auto"/>
          <w:highlight w:val="none"/>
        </w:rPr>
      </w:pPr>
      <w:bookmarkStart w:id="125" w:name="_26.组建评标委员会"/>
      <w:bookmarkEnd w:id="125"/>
      <w:r>
        <w:rPr>
          <w:rFonts w:hint="eastAsia"/>
          <w:color w:val="auto"/>
          <w:highlight w:val="none"/>
        </w:rPr>
        <w:t>26.组建评标委员会</w:t>
      </w:r>
    </w:p>
    <w:p w14:paraId="0A06E8E6">
      <w:pPr>
        <w:ind w:firstLine="420"/>
        <w:rPr>
          <w:rFonts w:hAnsi="宋体"/>
          <w:color w:val="auto"/>
          <w:szCs w:val="21"/>
          <w:highlight w:val="none"/>
        </w:rPr>
      </w:pPr>
      <w:r>
        <w:rPr>
          <w:rFonts w:hint="eastAsia" w:hAnsi="宋体"/>
          <w:color w:val="auto"/>
          <w:szCs w:val="21"/>
          <w:highlight w:val="none"/>
        </w:rPr>
        <w:t>26.1评标委员会由采购人代表和评审专家组成，具体人数详见“投标人须知前附表”，其中评审专家不得少于成员总数的三分之二。</w:t>
      </w:r>
    </w:p>
    <w:p w14:paraId="46216731">
      <w:pPr>
        <w:ind w:firstLine="420"/>
        <w:rPr>
          <w:rFonts w:hAnsi="宋体"/>
          <w:color w:val="auto"/>
          <w:szCs w:val="21"/>
          <w:highlight w:val="none"/>
        </w:rPr>
      </w:pPr>
      <w:r>
        <w:rPr>
          <w:rFonts w:hint="eastAsia" w:hAnsi="宋体"/>
          <w:color w:val="auto"/>
          <w:szCs w:val="21"/>
          <w:highlight w:val="none"/>
        </w:rPr>
        <w:t>26.2参加过采购项目前期咨询论证的专家，不得参加该采购项目的评审活动。</w:t>
      </w:r>
    </w:p>
    <w:p w14:paraId="0A80A004">
      <w:pPr>
        <w:ind w:firstLine="420"/>
        <w:rPr>
          <w:rFonts w:hAnsi="宋体"/>
          <w:color w:val="auto"/>
          <w:szCs w:val="21"/>
          <w:highlight w:val="none"/>
        </w:rPr>
      </w:pPr>
      <w:r>
        <w:rPr>
          <w:rFonts w:hint="eastAsia" w:hAnsi="宋体"/>
          <w:color w:val="auto"/>
          <w:szCs w:val="21"/>
          <w:highlight w:val="none"/>
        </w:rPr>
        <w:t>26.3</w:t>
      </w:r>
      <w:r>
        <w:rPr>
          <w:rFonts w:hint="eastAsia" w:hAnsi="宋体"/>
          <w:bCs/>
          <w:color w:val="auto"/>
          <w:szCs w:val="21"/>
          <w:highlight w:val="none"/>
        </w:rPr>
        <w:t>采购代理机构应当基于“广西政府采购云”平台抽（选）取评审专家。</w:t>
      </w:r>
    </w:p>
    <w:p w14:paraId="03876B6F">
      <w:pPr>
        <w:pStyle w:val="261"/>
        <w:ind w:firstLine="482"/>
        <w:rPr>
          <w:color w:val="auto"/>
          <w:highlight w:val="none"/>
        </w:rPr>
      </w:pPr>
      <w:r>
        <w:rPr>
          <w:rFonts w:hint="eastAsia"/>
          <w:color w:val="auto"/>
          <w:highlight w:val="none"/>
        </w:rPr>
        <w:t>27.评标的依据</w:t>
      </w:r>
    </w:p>
    <w:p w14:paraId="7D313AB7">
      <w:pPr>
        <w:ind w:firstLine="420"/>
        <w:rPr>
          <w:rFonts w:hAnsi="宋体"/>
          <w:color w:val="auto"/>
          <w:szCs w:val="21"/>
          <w:highlight w:val="none"/>
        </w:rPr>
      </w:pPr>
      <w:r>
        <w:rPr>
          <w:rFonts w:hint="eastAsia" w:hAnsi="宋体"/>
          <w:color w:val="auto"/>
          <w:szCs w:val="21"/>
          <w:highlight w:val="none"/>
        </w:rPr>
        <w:t>评标委员会以</w:t>
      </w:r>
      <w:r>
        <w:rPr>
          <w:rFonts w:hint="eastAsia" w:hAnsi="宋体" w:cs="宋体"/>
          <w:color w:val="auto"/>
          <w:szCs w:val="21"/>
          <w:highlight w:val="none"/>
        </w:rPr>
        <w:t>“第四章 评标方法和评标标准”</w:t>
      </w:r>
      <w:r>
        <w:rPr>
          <w:rFonts w:hint="eastAsia" w:hAnsi="宋体"/>
          <w:color w:val="auto"/>
          <w:szCs w:val="21"/>
          <w:highlight w:val="none"/>
        </w:rPr>
        <w:t>为依据对投标文件进行评审，</w:t>
      </w:r>
      <w:r>
        <w:rPr>
          <w:rFonts w:hAnsi="宋体"/>
          <w:color w:val="auto"/>
          <w:szCs w:val="21"/>
          <w:highlight w:val="none"/>
        </w:rPr>
        <w:t>没有规定的方法、评审因素和标准，不作为评标依据。</w:t>
      </w:r>
    </w:p>
    <w:p w14:paraId="64A683ED">
      <w:pPr>
        <w:pStyle w:val="261"/>
        <w:ind w:firstLine="482"/>
        <w:rPr>
          <w:color w:val="auto"/>
          <w:highlight w:val="none"/>
        </w:rPr>
      </w:pPr>
      <w:r>
        <w:rPr>
          <w:rFonts w:hint="eastAsia"/>
          <w:color w:val="auto"/>
          <w:highlight w:val="none"/>
        </w:rPr>
        <w:t>28.评标原则</w:t>
      </w:r>
    </w:p>
    <w:p w14:paraId="63200844">
      <w:pPr>
        <w:ind w:firstLine="420"/>
        <w:rPr>
          <w:rFonts w:hAnsi="宋体"/>
          <w:color w:val="auto"/>
          <w:szCs w:val="21"/>
          <w:highlight w:val="none"/>
        </w:rPr>
      </w:pPr>
      <w:r>
        <w:rPr>
          <w:rFonts w:hint="eastAsia" w:hAnsi="宋体"/>
          <w:color w:val="auto"/>
          <w:szCs w:val="21"/>
          <w:highlight w:val="none"/>
        </w:rPr>
        <w:t>28.1评标原则。评标委员</w:t>
      </w:r>
      <w:r>
        <w:rPr>
          <w:rFonts w:hint="eastAsia" w:hAnsi="宋体"/>
          <w:color w:val="auto"/>
          <w:szCs w:val="21"/>
          <w:highlight w:val="none"/>
          <w:lang w:eastAsia="zh-CN"/>
        </w:rPr>
        <w:t>会在</w:t>
      </w:r>
      <w:r>
        <w:rPr>
          <w:rFonts w:hint="eastAsia" w:hAnsi="宋体"/>
          <w:color w:val="auto"/>
          <w:szCs w:val="21"/>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EEA0B7E">
      <w:pPr>
        <w:ind w:firstLine="420"/>
        <w:rPr>
          <w:rFonts w:hAnsi="宋体"/>
          <w:color w:val="auto"/>
          <w:szCs w:val="21"/>
          <w:highlight w:val="none"/>
        </w:rPr>
      </w:pPr>
      <w:r>
        <w:rPr>
          <w:rFonts w:hint="eastAsia" w:hAnsi="宋体"/>
          <w:color w:val="auto"/>
          <w:szCs w:val="21"/>
          <w:highlight w:val="none"/>
        </w:rPr>
        <w:t>28.2</w:t>
      </w:r>
      <w:bookmarkStart w:id="126" w:name="_28.3评标方法。本项目将按须知前附表规定的评标办法进行评标，具体评标"/>
      <w:bookmarkEnd w:id="126"/>
      <w:r>
        <w:rPr>
          <w:rFonts w:hint="eastAsia" w:hAnsi="宋体"/>
          <w:color w:val="auto"/>
          <w:szCs w:val="21"/>
          <w:highlight w:val="none"/>
        </w:rPr>
        <w:t>评委表决。评标委员会成员对需要共同认定的事项存在争议的，应当按照少数服从多数的原则作出结论。</w:t>
      </w:r>
    </w:p>
    <w:p w14:paraId="53C7C51A">
      <w:pPr>
        <w:ind w:firstLine="420"/>
        <w:rPr>
          <w:rFonts w:hAnsi="宋体"/>
          <w:color w:val="auto"/>
          <w:szCs w:val="21"/>
          <w:highlight w:val="none"/>
        </w:rPr>
      </w:pPr>
      <w:r>
        <w:rPr>
          <w:rFonts w:hint="eastAsia" w:hAnsi="宋体"/>
          <w:color w:val="auto"/>
          <w:szCs w:val="21"/>
          <w:highlight w:val="none"/>
        </w:rPr>
        <w:t>28.</w:t>
      </w:r>
      <w:r>
        <w:rPr>
          <w:rFonts w:hAnsi="宋体"/>
          <w:color w:val="auto"/>
          <w:szCs w:val="21"/>
          <w:highlight w:val="none"/>
        </w:rPr>
        <w:t>3</w:t>
      </w:r>
      <w:r>
        <w:rPr>
          <w:rFonts w:hint="eastAsia" w:hAnsi="宋体"/>
          <w:color w:val="auto"/>
          <w:szCs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1E1589A">
      <w:pPr>
        <w:ind w:firstLine="420"/>
        <w:rPr>
          <w:rFonts w:hAnsi="宋体"/>
          <w:color w:val="auto"/>
          <w:szCs w:val="21"/>
          <w:highlight w:val="none"/>
        </w:rPr>
      </w:pPr>
      <w:r>
        <w:rPr>
          <w:rFonts w:hint="eastAsia" w:hAnsi="宋体"/>
          <w:color w:val="auto"/>
          <w:szCs w:val="21"/>
          <w:highlight w:val="none"/>
        </w:rPr>
        <w:t>2</w:t>
      </w:r>
      <w:r>
        <w:rPr>
          <w:rFonts w:hAnsi="宋体"/>
          <w:color w:val="auto"/>
          <w:szCs w:val="21"/>
          <w:highlight w:val="none"/>
        </w:rPr>
        <w:t>8.4</w:t>
      </w:r>
      <w:r>
        <w:rPr>
          <w:rFonts w:hint="eastAsia" w:hAnsi="宋体"/>
          <w:color w:val="auto"/>
          <w:szCs w:val="21"/>
          <w:highlight w:val="none"/>
        </w:rPr>
        <w:t>评标过程的监控。本项目电子评标过程实行网上留痕、全程录音、录像监控，</w:t>
      </w:r>
      <w:r>
        <w:rPr>
          <w:rFonts w:hint="eastAsia" w:hAnsi="宋体"/>
          <w:b/>
          <w:color w:val="auto"/>
          <w:szCs w:val="21"/>
          <w:highlight w:val="none"/>
        </w:rPr>
        <w:t>投标人在评标过程中所进行的试图影响评标结果的不公正活动，可能导致其投标按无效处理。</w:t>
      </w:r>
    </w:p>
    <w:p w14:paraId="2D10E3D6">
      <w:pPr>
        <w:pStyle w:val="261"/>
        <w:ind w:firstLine="482"/>
        <w:rPr>
          <w:color w:val="auto"/>
          <w:highlight w:val="none"/>
        </w:rPr>
      </w:pPr>
      <w:r>
        <w:rPr>
          <w:rFonts w:hint="eastAsia"/>
          <w:color w:val="auto"/>
          <w:highlight w:val="none"/>
        </w:rPr>
        <w:t>29.评标方法及中标候选人推荐</w:t>
      </w:r>
    </w:p>
    <w:p w14:paraId="7C01650D">
      <w:pPr>
        <w:ind w:firstLine="420"/>
        <w:rPr>
          <w:rFonts w:hAnsi="宋体"/>
          <w:color w:val="auto"/>
          <w:szCs w:val="21"/>
          <w:highlight w:val="none"/>
        </w:rPr>
      </w:pPr>
      <w:r>
        <w:rPr>
          <w:rFonts w:hint="eastAsia" w:hAnsi="宋体"/>
          <w:color w:val="auto"/>
          <w:szCs w:val="21"/>
          <w:highlight w:val="none"/>
        </w:rPr>
        <w:t>2</w:t>
      </w:r>
      <w:r>
        <w:rPr>
          <w:rFonts w:hAnsi="宋体"/>
          <w:color w:val="auto"/>
          <w:szCs w:val="21"/>
          <w:highlight w:val="none"/>
        </w:rPr>
        <w:t>9.1</w:t>
      </w:r>
      <w:r>
        <w:rPr>
          <w:rFonts w:hint="eastAsia" w:hAnsi="宋体"/>
          <w:color w:val="auto"/>
          <w:szCs w:val="21"/>
          <w:highlight w:val="none"/>
        </w:rPr>
        <w:t>本项目的评标方法详见“投标人须知前附表”。</w:t>
      </w:r>
    </w:p>
    <w:p w14:paraId="5C8E9B88">
      <w:pPr>
        <w:ind w:firstLine="420"/>
        <w:rPr>
          <w:rFonts w:hAnsi="宋体"/>
          <w:color w:val="auto"/>
          <w:szCs w:val="21"/>
          <w:highlight w:val="none"/>
        </w:rPr>
      </w:pPr>
      <w:r>
        <w:rPr>
          <w:rFonts w:hint="eastAsia" w:hAnsi="宋体"/>
          <w:color w:val="auto"/>
          <w:szCs w:val="21"/>
          <w:highlight w:val="none"/>
        </w:rPr>
        <w:t>2</w:t>
      </w:r>
      <w:r>
        <w:rPr>
          <w:rFonts w:hAnsi="宋体"/>
          <w:color w:val="auto"/>
          <w:szCs w:val="21"/>
          <w:highlight w:val="none"/>
        </w:rPr>
        <w:t>9.2</w:t>
      </w:r>
      <w:r>
        <w:rPr>
          <w:rFonts w:hAnsi="宋体" w:cs="宋体"/>
          <w:color w:val="auto"/>
          <w:szCs w:val="21"/>
          <w:highlight w:val="none"/>
        </w:rPr>
        <w:t xml:space="preserve"> </w:t>
      </w:r>
      <w:r>
        <w:rPr>
          <w:rFonts w:hint="eastAsia" w:hAnsi="宋体" w:cs="宋体"/>
          <w:color w:val="auto"/>
          <w:szCs w:val="21"/>
          <w:highlight w:val="none"/>
        </w:rPr>
        <w:t>商务/技术要求</w:t>
      </w:r>
      <w:r>
        <w:rPr>
          <w:rFonts w:hint="eastAsia" w:hAnsi="宋体"/>
          <w:color w:val="auto"/>
          <w:szCs w:val="21"/>
          <w:highlight w:val="none"/>
        </w:rPr>
        <w:t>允许负偏离的条款数</w:t>
      </w:r>
      <w:r>
        <w:rPr>
          <w:rFonts w:hAnsi="宋体"/>
          <w:color w:val="auto"/>
          <w:szCs w:val="21"/>
          <w:highlight w:val="none"/>
        </w:rPr>
        <w:t>详见</w:t>
      </w:r>
      <w:r>
        <w:rPr>
          <w:rFonts w:hint="eastAsia" w:hAnsi="宋体"/>
          <w:color w:val="auto"/>
          <w:szCs w:val="21"/>
          <w:highlight w:val="none"/>
        </w:rPr>
        <w:t>“投标人须知前附表”。</w:t>
      </w:r>
    </w:p>
    <w:p w14:paraId="65F19B54">
      <w:pPr>
        <w:ind w:firstLine="420"/>
        <w:rPr>
          <w:rFonts w:hAnsi="宋体" w:cs="宋体"/>
          <w:color w:val="auto"/>
          <w:szCs w:val="21"/>
          <w:highlight w:val="none"/>
        </w:rPr>
      </w:pPr>
      <w:r>
        <w:rPr>
          <w:rFonts w:hint="eastAsia" w:hAnsi="宋体"/>
          <w:color w:val="auto"/>
          <w:szCs w:val="21"/>
          <w:highlight w:val="none"/>
        </w:rPr>
        <w:t>2</w:t>
      </w:r>
      <w:r>
        <w:rPr>
          <w:rFonts w:hAnsi="宋体"/>
          <w:color w:val="auto"/>
          <w:szCs w:val="21"/>
          <w:highlight w:val="none"/>
        </w:rPr>
        <w:t>9.3</w:t>
      </w:r>
      <w:r>
        <w:rPr>
          <w:rFonts w:hAnsi="宋体" w:cs="宋体"/>
          <w:color w:val="auto"/>
          <w:szCs w:val="21"/>
          <w:highlight w:val="none"/>
        </w:rPr>
        <w:t xml:space="preserve"> </w:t>
      </w:r>
      <w:r>
        <w:rPr>
          <w:rFonts w:hAnsi="宋体"/>
          <w:color w:val="auto"/>
          <w:szCs w:val="21"/>
          <w:highlight w:val="none"/>
        </w:rPr>
        <w:t>中标候选人推荐数量详见</w:t>
      </w:r>
      <w:r>
        <w:rPr>
          <w:rFonts w:hint="eastAsia" w:hAnsi="宋体"/>
          <w:color w:val="auto"/>
          <w:szCs w:val="21"/>
          <w:highlight w:val="none"/>
        </w:rPr>
        <w:t>“投标人须知前附表”。</w:t>
      </w:r>
    </w:p>
    <w:p w14:paraId="00E0C714">
      <w:pPr>
        <w:ind w:firstLine="420"/>
        <w:rPr>
          <w:rFonts w:hAnsi="宋体"/>
          <w:color w:val="auto"/>
          <w:szCs w:val="21"/>
          <w:highlight w:val="none"/>
        </w:rPr>
      </w:pPr>
      <w:r>
        <w:rPr>
          <w:rFonts w:hint="eastAsia" w:hAnsi="宋体"/>
          <w:color w:val="auto"/>
          <w:szCs w:val="21"/>
          <w:highlight w:val="none"/>
        </w:rPr>
        <w:t>29.</w:t>
      </w:r>
      <w:r>
        <w:rPr>
          <w:rFonts w:hAnsi="宋体"/>
          <w:color w:val="auto"/>
          <w:szCs w:val="21"/>
          <w:highlight w:val="none"/>
        </w:rPr>
        <w:t>4</w:t>
      </w:r>
      <w:r>
        <w:rPr>
          <w:rFonts w:hint="eastAsia" w:hAnsi="宋体"/>
          <w:color w:val="auto"/>
          <w:szCs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4A41EA69">
      <w:pPr>
        <w:ind w:firstLine="420"/>
        <w:rPr>
          <w:rFonts w:hAnsi="宋体"/>
          <w:color w:val="auto"/>
          <w:szCs w:val="21"/>
          <w:highlight w:val="none"/>
        </w:rPr>
      </w:pPr>
      <w:r>
        <w:rPr>
          <w:rFonts w:hint="eastAsia" w:hAnsi="宋体"/>
          <w:color w:val="auto"/>
          <w:szCs w:val="21"/>
          <w:highlight w:val="none"/>
        </w:rPr>
        <w:t>（1）电子交易平台发生故障而无法登录访问的；</w:t>
      </w:r>
    </w:p>
    <w:p w14:paraId="5DCA9510">
      <w:pPr>
        <w:ind w:firstLine="420"/>
        <w:rPr>
          <w:rFonts w:hAnsi="宋体"/>
          <w:color w:val="auto"/>
          <w:szCs w:val="21"/>
          <w:highlight w:val="none"/>
        </w:rPr>
      </w:pPr>
      <w:r>
        <w:rPr>
          <w:rFonts w:hint="eastAsia" w:hAnsi="宋体"/>
          <w:color w:val="auto"/>
          <w:szCs w:val="21"/>
          <w:highlight w:val="none"/>
        </w:rPr>
        <w:t>（2）电子交易平台应用或数据库出现错误，不能进行正常操作的；</w:t>
      </w:r>
    </w:p>
    <w:p w14:paraId="3FC560BA">
      <w:pPr>
        <w:ind w:firstLine="420"/>
        <w:rPr>
          <w:rFonts w:hAnsi="宋体"/>
          <w:color w:val="auto"/>
          <w:szCs w:val="21"/>
          <w:highlight w:val="none"/>
        </w:rPr>
      </w:pPr>
      <w:r>
        <w:rPr>
          <w:rFonts w:hint="eastAsia" w:hAnsi="宋体"/>
          <w:color w:val="auto"/>
          <w:szCs w:val="21"/>
          <w:highlight w:val="none"/>
        </w:rPr>
        <w:t>（3）电子交易平台发现严重安全漏洞，有潜在泄密危险的；</w:t>
      </w:r>
    </w:p>
    <w:p w14:paraId="121C9837">
      <w:pPr>
        <w:ind w:firstLine="420"/>
        <w:rPr>
          <w:rFonts w:hAnsi="宋体"/>
          <w:color w:val="auto"/>
          <w:szCs w:val="21"/>
          <w:highlight w:val="none"/>
        </w:rPr>
      </w:pPr>
      <w:r>
        <w:rPr>
          <w:rFonts w:hint="eastAsia" w:hAnsi="宋体"/>
          <w:color w:val="auto"/>
          <w:szCs w:val="21"/>
          <w:highlight w:val="none"/>
        </w:rPr>
        <w:t>（4）病毒发作导致不能进行正常操作的；</w:t>
      </w:r>
    </w:p>
    <w:p w14:paraId="6E0824E2">
      <w:pPr>
        <w:ind w:firstLine="420"/>
        <w:rPr>
          <w:rFonts w:hAnsi="宋体"/>
          <w:color w:val="auto"/>
          <w:szCs w:val="21"/>
          <w:highlight w:val="none"/>
        </w:rPr>
      </w:pPr>
      <w:r>
        <w:rPr>
          <w:rFonts w:hint="eastAsia" w:hAnsi="宋体"/>
          <w:color w:val="auto"/>
          <w:szCs w:val="21"/>
          <w:highlight w:val="none"/>
        </w:rPr>
        <w:t>（5）其他无法保证电子交易的公平、公正和安全的情况。</w:t>
      </w:r>
    </w:p>
    <w:p w14:paraId="497BE710">
      <w:pPr>
        <w:ind w:firstLine="420"/>
        <w:rPr>
          <w:rFonts w:hAnsi="宋体"/>
          <w:color w:val="auto"/>
          <w:szCs w:val="21"/>
          <w:highlight w:val="none"/>
        </w:rPr>
      </w:pPr>
      <w:r>
        <w:rPr>
          <w:rFonts w:hint="eastAsia" w:hAnsi="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15C3F7C">
      <w:pPr>
        <w:ind w:firstLine="420"/>
        <w:jc w:val="both"/>
        <w:rPr>
          <w:rFonts w:hAnsi="宋体"/>
          <w:color w:val="auto"/>
          <w:szCs w:val="21"/>
          <w:highlight w:val="none"/>
        </w:rPr>
      </w:pPr>
      <w:r>
        <w:rPr>
          <w:rFonts w:hint="eastAsia" w:hAnsi="宋体"/>
          <w:color w:val="auto"/>
          <w:szCs w:val="21"/>
          <w:highlight w:val="none"/>
        </w:rPr>
        <w:t>29.5出现下列情形之一的，应予废标：</w:t>
      </w:r>
    </w:p>
    <w:p w14:paraId="3AFC3663">
      <w:pPr>
        <w:ind w:firstLine="420"/>
        <w:jc w:val="both"/>
        <w:rPr>
          <w:rFonts w:hAnsi="宋体"/>
          <w:color w:val="auto"/>
          <w:szCs w:val="21"/>
          <w:highlight w:val="none"/>
        </w:rPr>
      </w:pPr>
      <w:r>
        <w:rPr>
          <w:rFonts w:hint="eastAsia" w:hAnsi="宋体"/>
          <w:color w:val="auto"/>
          <w:szCs w:val="21"/>
          <w:highlight w:val="none"/>
        </w:rPr>
        <w:t>（1）符合专业条件的供应商或者对招标文件作实质响应的供应商不足三家的；</w:t>
      </w:r>
    </w:p>
    <w:p w14:paraId="78BF5299">
      <w:pPr>
        <w:ind w:firstLine="420"/>
        <w:jc w:val="both"/>
        <w:rPr>
          <w:rFonts w:hAnsi="宋体"/>
          <w:color w:val="auto"/>
          <w:szCs w:val="21"/>
          <w:highlight w:val="none"/>
        </w:rPr>
      </w:pPr>
      <w:r>
        <w:rPr>
          <w:rFonts w:hint="eastAsia" w:hAnsi="宋体"/>
          <w:color w:val="auto"/>
          <w:szCs w:val="21"/>
          <w:highlight w:val="none"/>
        </w:rPr>
        <w:t>（2）出现影响采购公正的违法、违规行为的；</w:t>
      </w:r>
    </w:p>
    <w:p w14:paraId="5ED0A13B">
      <w:pPr>
        <w:ind w:firstLine="420"/>
        <w:jc w:val="both"/>
        <w:rPr>
          <w:rFonts w:hAnsi="宋体"/>
          <w:color w:val="auto"/>
          <w:szCs w:val="21"/>
          <w:highlight w:val="none"/>
        </w:rPr>
      </w:pPr>
      <w:r>
        <w:rPr>
          <w:rFonts w:hint="eastAsia" w:hAnsi="宋体"/>
          <w:color w:val="auto"/>
          <w:szCs w:val="21"/>
          <w:highlight w:val="none"/>
        </w:rPr>
        <w:t>（3）投标人的报价均超过了采购预算，采购人不能支付的；</w:t>
      </w:r>
    </w:p>
    <w:p w14:paraId="04C632C6">
      <w:pPr>
        <w:ind w:firstLine="420"/>
        <w:jc w:val="both"/>
        <w:rPr>
          <w:rFonts w:hAnsi="宋体"/>
          <w:color w:val="auto"/>
          <w:szCs w:val="21"/>
          <w:highlight w:val="none"/>
        </w:rPr>
      </w:pPr>
      <w:r>
        <w:rPr>
          <w:rFonts w:hint="eastAsia" w:hAnsi="宋体"/>
          <w:color w:val="auto"/>
          <w:szCs w:val="21"/>
          <w:highlight w:val="none"/>
        </w:rPr>
        <w:t>（4）因重大变故，采购任务取消的。</w:t>
      </w:r>
    </w:p>
    <w:p w14:paraId="42967D58">
      <w:pPr>
        <w:ind w:firstLine="420"/>
        <w:rPr>
          <w:rFonts w:hAnsi="宋体"/>
          <w:color w:val="auto"/>
          <w:szCs w:val="21"/>
          <w:highlight w:val="none"/>
        </w:rPr>
      </w:pPr>
      <w:r>
        <w:rPr>
          <w:rFonts w:hint="eastAsia" w:hAnsi="宋体"/>
          <w:color w:val="auto"/>
          <w:szCs w:val="21"/>
          <w:highlight w:val="none"/>
        </w:rPr>
        <w:t>废标后，采购人应当将废标理由通知所有投标人。</w:t>
      </w:r>
    </w:p>
    <w:p w14:paraId="22536147">
      <w:pPr>
        <w:pStyle w:val="271"/>
        <w:rPr>
          <w:color w:val="auto"/>
          <w:highlight w:val="none"/>
        </w:rPr>
      </w:pPr>
      <w:r>
        <w:rPr>
          <w:rFonts w:hint="eastAsia"/>
          <w:color w:val="auto"/>
          <w:highlight w:val="none"/>
        </w:rPr>
        <w:t>七、中标和合同</w:t>
      </w:r>
    </w:p>
    <w:p w14:paraId="73C79F21">
      <w:pPr>
        <w:pStyle w:val="261"/>
        <w:ind w:firstLine="482"/>
        <w:rPr>
          <w:color w:val="auto"/>
          <w:highlight w:val="none"/>
        </w:rPr>
      </w:pPr>
      <w:r>
        <w:rPr>
          <w:rFonts w:hint="eastAsia"/>
          <w:color w:val="auto"/>
          <w:highlight w:val="none"/>
        </w:rPr>
        <w:t>30</w:t>
      </w:r>
      <w:r>
        <w:rPr>
          <w:color w:val="auto"/>
          <w:highlight w:val="none"/>
        </w:rPr>
        <w:t>.</w:t>
      </w:r>
      <w:r>
        <w:rPr>
          <w:rFonts w:hint="eastAsia"/>
          <w:color w:val="auto"/>
          <w:highlight w:val="none"/>
        </w:rPr>
        <w:t>确定中标供应商</w:t>
      </w:r>
    </w:p>
    <w:p w14:paraId="4C30B9FC">
      <w:pPr>
        <w:ind w:firstLine="422"/>
        <w:rPr>
          <w:rFonts w:hAnsi="宋体"/>
          <w:b/>
          <w:color w:val="auto"/>
          <w:szCs w:val="21"/>
          <w:highlight w:val="none"/>
        </w:rPr>
      </w:pPr>
      <w:r>
        <w:rPr>
          <w:rFonts w:hAnsi="宋体"/>
          <w:b/>
          <w:color w:val="auto"/>
          <w:szCs w:val="21"/>
          <w:highlight w:val="none"/>
        </w:rPr>
        <w:t>30.1</w:t>
      </w:r>
      <w:r>
        <w:rPr>
          <w:rFonts w:hint="eastAsia" w:hAnsi="宋体"/>
          <w:b/>
          <w:color w:val="auto"/>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045BE246">
      <w:pPr>
        <w:ind w:firstLine="420"/>
        <w:rPr>
          <w:rFonts w:hAnsi="宋体" w:cs="Courier New"/>
          <w:color w:val="auto"/>
          <w:szCs w:val="21"/>
          <w:highlight w:val="none"/>
        </w:rPr>
      </w:pPr>
      <w:r>
        <w:rPr>
          <w:rFonts w:hAnsi="宋体" w:cs="Courier New"/>
          <w:color w:val="auto"/>
          <w:szCs w:val="21"/>
          <w:highlight w:val="none"/>
        </w:rPr>
        <w:t>30.2</w:t>
      </w:r>
      <w:r>
        <w:rPr>
          <w:rFonts w:hint="eastAsia"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54045638">
      <w:pPr>
        <w:ind w:firstLine="420"/>
        <w:rPr>
          <w:rFonts w:hAnsi="宋体"/>
          <w:color w:val="auto"/>
          <w:szCs w:val="21"/>
          <w:highlight w:val="none"/>
        </w:rPr>
      </w:pPr>
      <w:r>
        <w:rPr>
          <w:rFonts w:hint="eastAsia" w:hAnsi="宋体"/>
          <w:color w:val="auto"/>
          <w:szCs w:val="21"/>
          <w:highlight w:val="none"/>
        </w:rPr>
        <w:t>30.3出现下列情形之一的，应予废标：</w:t>
      </w:r>
    </w:p>
    <w:p w14:paraId="456C846D">
      <w:pPr>
        <w:ind w:firstLine="420"/>
        <w:rPr>
          <w:rFonts w:hAnsi="宋体"/>
          <w:color w:val="auto"/>
          <w:szCs w:val="21"/>
          <w:highlight w:val="none"/>
        </w:rPr>
      </w:pPr>
      <w:r>
        <w:rPr>
          <w:rFonts w:hint="eastAsia" w:hAnsi="宋体"/>
          <w:color w:val="auto"/>
          <w:szCs w:val="21"/>
          <w:highlight w:val="none"/>
        </w:rPr>
        <w:t>（1）符合专业条件的供应商或者对招标文件作实质响应的供应商不足三家的；</w:t>
      </w:r>
    </w:p>
    <w:p w14:paraId="6F211A85">
      <w:pPr>
        <w:ind w:firstLine="420"/>
        <w:rPr>
          <w:rFonts w:hAnsi="宋体"/>
          <w:color w:val="auto"/>
          <w:szCs w:val="21"/>
          <w:highlight w:val="none"/>
        </w:rPr>
      </w:pPr>
      <w:r>
        <w:rPr>
          <w:rFonts w:hint="eastAsia" w:hAnsi="宋体"/>
          <w:color w:val="auto"/>
          <w:szCs w:val="21"/>
          <w:highlight w:val="none"/>
        </w:rPr>
        <w:t>（2）出现影响采购公正的违法、违规行为的；</w:t>
      </w:r>
    </w:p>
    <w:p w14:paraId="640340BF">
      <w:pPr>
        <w:ind w:firstLine="420"/>
        <w:rPr>
          <w:rFonts w:hAnsi="宋体"/>
          <w:color w:val="auto"/>
          <w:szCs w:val="21"/>
          <w:highlight w:val="none"/>
        </w:rPr>
      </w:pPr>
      <w:r>
        <w:rPr>
          <w:rFonts w:hint="eastAsia" w:hAnsi="宋体"/>
          <w:color w:val="auto"/>
          <w:szCs w:val="21"/>
          <w:highlight w:val="none"/>
        </w:rPr>
        <w:t>（3）投标人的报价均超过了采购预算，采购人不能支付的；</w:t>
      </w:r>
    </w:p>
    <w:p w14:paraId="6BD7D6E5">
      <w:pPr>
        <w:ind w:firstLine="420"/>
        <w:rPr>
          <w:rFonts w:hAnsi="宋体"/>
          <w:color w:val="auto"/>
          <w:szCs w:val="21"/>
          <w:highlight w:val="none"/>
        </w:rPr>
      </w:pPr>
      <w:r>
        <w:rPr>
          <w:rFonts w:hint="eastAsia" w:hAnsi="宋体"/>
          <w:color w:val="auto"/>
          <w:szCs w:val="21"/>
          <w:highlight w:val="none"/>
        </w:rPr>
        <w:t>（4）因重大变故，采购任务取消的。</w:t>
      </w:r>
    </w:p>
    <w:p w14:paraId="525C0487">
      <w:pPr>
        <w:ind w:firstLine="420"/>
        <w:rPr>
          <w:rFonts w:hAnsi="宋体"/>
          <w:color w:val="auto"/>
          <w:szCs w:val="21"/>
          <w:highlight w:val="none"/>
        </w:rPr>
      </w:pPr>
      <w:r>
        <w:rPr>
          <w:rFonts w:hint="eastAsia" w:hAnsi="宋体"/>
          <w:color w:val="auto"/>
          <w:szCs w:val="21"/>
          <w:highlight w:val="none"/>
        </w:rPr>
        <w:t>废标后，采购人应当将废标理由通知所有投标人。</w:t>
      </w:r>
    </w:p>
    <w:p w14:paraId="2F269A44">
      <w:pPr>
        <w:pStyle w:val="261"/>
        <w:ind w:firstLine="482"/>
        <w:rPr>
          <w:color w:val="auto"/>
          <w:highlight w:val="none"/>
        </w:rPr>
      </w:pPr>
      <w:r>
        <w:rPr>
          <w:rFonts w:hint="eastAsia"/>
          <w:color w:val="auto"/>
          <w:highlight w:val="none"/>
        </w:rPr>
        <w:t>31.结果公告</w:t>
      </w:r>
    </w:p>
    <w:p w14:paraId="76F8F9C4">
      <w:pPr>
        <w:ind w:firstLine="422"/>
        <w:rPr>
          <w:rFonts w:hAnsi="宋体"/>
          <w:b/>
          <w:color w:val="auto"/>
          <w:szCs w:val="21"/>
          <w:highlight w:val="none"/>
        </w:rPr>
      </w:pPr>
      <w:r>
        <w:rPr>
          <w:rFonts w:hint="eastAsia" w:hAnsi="宋体"/>
          <w:b/>
          <w:color w:val="auto"/>
          <w:szCs w:val="21"/>
          <w:highlight w:val="none"/>
        </w:rPr>
        <w:t>3</w:t>
      </w:r>
      <w:r>
        <w:rPr>
          <w:rFonts w:hAnsi="宋体"/>
          <w:b/>
          <w:color w:val="auto"/>
          <w:szCs w:val="21"/>
          <w:highlight w:val="none"/>
        </w:rPr>
        <w:t>1.1</w:t>
      </w:r>
      <w:r>
        <w:rPr>
          <w:rFonts w:hint="eastAsia" w:hAnsi="宋体"/>
          <w:b/>
          <w:color w:val="auto"/>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4892D6F4">
      <w:pPr>
        <w:ind w:firstLine="420"/>
        <w:rPr>
          <w:rFonts w:hAnsi="宋体"/>
          <w:color w:val="auto"/>
          <w:szCs w:val="21"/>
          <w:highlight w:val="none"/>
        </w:rPr>
      </w:pPr>
      <w:r>
        <w:rPr>
          <w:rFonts w:hint="eastAsia" w:hAnsi="宋体"/>
          <w:color w:val="auto"/>
          <w:szCs w:val="21"/>
          <w:highlight w:val="none"/>
        </w:rPr>
        <w:t>以上信息查询记录及相关证据与采购文件一并保存。</w:t>
      </w:r>
    </w:p>
    <w:p w14:paraId="444D2722">
      <w:pPr>
        <w:ind w:firstLine="422"/>
        <w:rPr>
          <w:rFonts w:hAnsi="宋体"/>
          <w:b/>
          <w:color w:val="auto"/>
          <w:szCs w:val="21"/>
          <w:highlight w:val="none"/>
        </w:rPr>
      </w:pPr>
      <w:r>
        <w:rPr>
          <w:rFonts w:hint="eastAsia" w:hAnsi="宋体"/>
          <w:b/>
          <w:color w:val="auto"/>
          <w:szCs w:val="21"/>
          <w:highlight w:val="none"/>
        </w:rPr>
        <w:t>31.2中标供应商享受《政府采购促进中小企业发展管理办法》（财库〔2020〕46号）规定的中小企业扶持政策的，采购人、采购代理机构应当随中标结果公开中标供应商的《中小企业声明函》。</w:t>
      </w:r>
    </w:p>
    <w:p w14:paraId="5EE30AAF">
      <w:pPr>
        <w:pStyle w:val="6"/>
        <w:keepNext w:val="0"/>
        <w:keepLines w:val="0"/>
        <w:spacing w:before="0" w:after="0" w:line="360" w:lineRule="auto"/>
        <w:ind w:firstLine="420"/>
        <w:rPr>
          <w:color w:val="auto"/>
          <w:highlight w:val="none"/>
        </w:rPr>
      </w:pPr>
      <w:r>
        <w:rPr>
          <w:rFonts w:hint="eastAsia" w:hAnsi="宋体"/>
          <w:b w:val="0"/>
          <w:color w:val="auto"/>
          <w:sz w:val="21"/>
          <w:szCs w:val="21"/>
          <w:highlight w:val="none"/>
        </w:rPr>
        <w:t>3</w:t>
      </w:r>
      <w:r>
        <w:rPr>
          <w:rFonts w:hAnsi="宋体"/>
          <w:b w:val="0"/>
          <w:color w:val="auto"/>
          <w:sz w:val="21"/>
          <w:szCs w:val="21"/>
          <w:highlight w:val="none"/>
        </w:rPr>
        <w:t>1.3</w:t>
      </w:r>
      <w:r>
        <w:rPr>
          <w:rFonts w:hint="eastAsia" w:hAnsi="宋体"/>
          <w:b w:val="0"/>
          <w:color w:val="auto"/>
          <w:sz w:val="21"/>
          <w:szCs w:val="21"/>
          <w:highlight w:val="none"/>
        </w:rPr>
        <w:t>采购人、采购代理机构应当</w:t>
      </w:r>
      <w:r>
        <w:rPr>
          <w:rFonts w:hint="eastAsia" w:hAnsi="宋体"/>
          <w:b w:val="0"/>
          <w:color w:val="auto"/>
          <w:sz w:val="21"/>
          <w:szCs w:val="21"/>
          <w:highlight w:val="none"/>
          <w:lang w:eastAsia="zh-CN"/>
        </w:rPr>
        <w:t>对</w:t>
      </w:r>
      <w:r>
        <w:rPr>
          <w:rFonts w:hint="eastAsia" w:hAnsi="宋体"/>
          <w:b w:val="0"/>
          <w:color w:val="auto"/>
          <w:sz w:val="21"/>
          <w:szCs w:val="21"/>
          <w:highlight w:val="none"/>
        </w:rPr>
        <w:t>中标结果公开中标供应商的《关于符合本国产品标准的声明函》或有关证明文件。</w:t>
      </w:r>
    </w:p>
    <w:p w14:paraId="471DB26A">
      <w:pPr>
        <w:pStyle w:val="261"/>
        <w:ind w:firstLine="482"/>
        <w:rPr>
          <w:color w:val="auto"/>
          <w:highlight w:val="none"/>
        </w:rPr>
      </w:pPr>
      <w:r>
        <w:rPr>
          <w:rFonts w:hint="eastAsia"/>
          <w:color w:val="auto"/>
          <w:highlight w:val="none"/>
        </w:rPr>
        <w:t>32.发出中标通知书</w:t>
      </w:r>
    </w:p>
    <w:p w14:paraId="59527A5A">
      <w:pPr>
        <w:ind w:firstLine="422"/>
        <w:rPr>
          <w:rFonts w:hAnsi="宋体"/>
          <w:b/>
          <w:color w:val="auto"/>
          <w:szCs w:val="21"/>
          <w:highlight w:val="none"/>
        </w:rPr>
      </w:pPr>
      <w:r>
        <w:rPr>
          <w:rFonts w:hint="eastAsia" w:hAnsi="宋体"/>
          <w:b/>
          <w:color w:val="auto"/>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4C2CB379">
      <w:pPr>
        <w:pStyle w:val="261"/>
        <w:ind w:firstLine="482"/>
        <w:rPr>
          <w:color w:val="auto"/>
          <w:highlight w:val="none"/>
        </w:rPr>
      </w:pPr>
      <w:r>
        <w:rPr>
          <w:rFonts w:hint="eastAsia"/>
          <w:color w:val="auto"/>
          <w:highlight w:val="none"/>
        </w:rPr>
        <w:t>33.无义务解释未中标原因</w:t>
      </w:r>
    </w:p>
    <w:p w14:paraId="69EE0E8F">
      <w:pPr>
        <w:ind w:firstLine="422"/>
        <w:rPr>
          <w:rFonts w:hAnsi="宋体"/>
          <w:b/>
          <w:color w:val="auto"/>
          <w:szCs w:val="21"/>
          <w:highlight w:val="none"/>
        </w:rPr>
      </w:pPr>
      <w:r>
        <w:rPr>
          <w:rFonts w:hint="eastAsia" w:hAnsi="宋体"/>
          <w:b/>
          <w:color w:val="auto"/>
          <w:szCs w:val="21"/>
          <w:highlight w:val="none"/>
        </w:rPr>
        <w:t>采购代理机构无义务向未中标的投标人解释未中标原因。</w:t>
      </w:r>
    </w:p>
    <w:p w14:paraId="6CB1697A">
      <w:pPr>
        <w:pStyle w:val="261"/>
        <w:ind w:firstLine="482"/>
        <w:rPr>
          <w:color w:val="auto"/>
          <w:highlight w:val="none"/>
        </w:rPr>
      </w:pPr>
      <w:r>
        <w:rPr>
          <w:rFonts w:hint="eastAsia"/>
          <w:color w:val="auto"/>
          <w:highlight w:val="none"/>
        </w:rPr>
        <w:t>34.合同授予标准</w:t>
      </w:r>
    </w:p>
    <w:p w14:paraId="6D284BE1">
      <w:pPr>
        <w:ind w:firstLine="420"/>
        <w:rPr>
          <w:rFonts w:hAnsi="宋体"/>
          <w:color w:val="auto"/>
          <w:szCs w:val="21"/>
          <w:highlight w:val="none"/>
        </w:rPr>
      </w:pPr>
      <w:r>
        <w:rPr>
          <w:rFonts w:hint="eastAsia" w:hAnsi="宋体" w:cs="Courier New"/>
          <w:color w:val="auto"/>
          <w:szCs w:val="21"/>
          <w:highlight w:val="none"/>
        </w:rPr>
        <w:t>合同将授予被确定实质上响应招标文件要求，具备履行合同能力的中标供应商。</w:t>
      </w:r>
    </w:p>
    <w:p w14:paraId="3DF3D992">
      <w:pPr>
        <w:pStyle w:val="261"/>
        <w:ind w:firstLine="482"/>
        <w:rPr>
          <w:color w:val="auto"/>
          <w:highlight w:val="none"/>
        </w:rPr>
      </w:pPr>
      <w:r>
        <w:rPr>
          <w:rFonts w:hint="eastAsia"/>
          <w:color w:val="auto"/>
          <w:highlight w:val="none"/>
        </w:rPr>
        <w:t>35.履约保证金</w:t>
      </w:r>
    </w:p>
    <w:p w14:paraId="4EEE7FFE">
      <w:pPr>
        <w:ind w:firstLine="422"/>
        <w:rPr>
          <w:rFonts w:hAnsi="宋体"/>
          <w:b/>
          <w:color w:val="auto"/>
          <w:szCs w:val="21"/>
          <w:highlight w:val="none"/>
        </w:rPr>
      </w:pPr>
      <w:r>
        <w:rPr>
          <w:rFonts w:hint="eastAsia" w:hAnsi="宋体"/>
          <w:b/>
          <w:color w:val="auto"/>
          <w:szCs w:val="21"/>
          <w:highlight w:val="none"/>
        </w:rPr>
        <w:t>3</w:t>
      </w:r>
      <w:r>
        <w:rPr>
          <w:rFonts w:hAnsi="宋体"/>
          <w:b/>
          <w:color w:val="auto"/>
          <w:szCs w:val="21"/>
          <w:highlight w:val="none"/>
        </w:rPr>
        <w:t>5</w:t>
      </w:r>
      <w:r>
        <w:rPr>
          <w:rFonts w:hint="eastAsia" w:hAnsi="宋体"/>
          <w:b/>
          <w:color w:val="auto"/>
          <w:szCs w:val="21"/>
          <w:highlight w:val="none"/>
        </w:rPr>
        <w:t>.1 履约保证金的金额、提交方式、退付的时间和条件详见 “投标人须知前附表”。中标供应商未按规定提交履约保证金的，视为拒绝与采购人签订合同。</w:t>
      </w:r>
    </w:p>
    <w:p w14:paraId="2EB117D4">
      <w:pPr>
        <w:ind w:firstLine="422"/>
        <w:rPr>
          <w:rFonts w:hAnsi="宋体"/>
          <w:color w:val="auto"/>
          <w:szCs w:val="21"/>
          <w:highlight w:val="none"/>
        </w:rPr>
      </w:pPr>
      <w:r>
        <w:rPr>
          <w:rFonts w:hint="eastAsia" w:hAnsi="宋体"/>
          <w:b/>
          <w:bCs/>
          <w:color w:val="auto"/>
          <w:szCs w:val="21"/>
          <w:highlight w:val="none"/>
        </w:rPr>
        <w:t>35.2在履约保证金退还日期前，若中标供应商的开户名称、开户银行、账号有变动的，请以书面形式通知履约保证金收取单位，否则由此产生的后果由中标供应商自行承担。</w:t>
      </w:r>
    </w:p>
    <w:p w14:paraId="5AEBF0B6">
      <w:pPr>
        <w:pStyle w:val="261"/>
        <w:ind w:firstLine="482"/>
        <w:rPr>
          <w:color w:val="auto"/>
          <w:highlight w:val="none"/>
        </w:rPr>
      </w:pPr>
      <w:r>
        <w:rPr>
          <w:rFonts w:hint="eastAsia"/>
          <w:color w:val="auto"/>
          <w:highlight w:val="none"/>
        </w:rPr>
        <w:t>36.签订合同</w:t>
      </w:r>
    </w:p>
    <w:p w14:paraId="287E6803">
      <w:pPr>
        <w:ind w:firstLine="420"/>
        <w:rPr>
          <w:rFonts w:hAnsi="宋体"/>
          <w:b/>
          <w:color w:val="auto"/>
          <w:szCs w:val="21"/>
          <w:highlight w:val="none"/>
        </w:rPr>
      </w:pPr>
      <w:r>
        <w:rPr>
          <w:rFonts w:hint="eastAsia" w:hAnsi="宋体"/>
          <w:color w:val="auto"/>
          <w:szCs w:val="21"/>
          <w:highlight w:val="none"/>
        </w:rPr>
        <w:t>36.1签订电子采购合同：中标供应商领取电子中标通知书后，在</w:t>
      </w:r>
      <w:r>
        <w:rPr>
          <w:rFonts w:hint="eastAsia" w:hAnsi="宋体"/>
          <w:color w:val="auto"/>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1468F22A">
      <w:pPr>
        <w:ind w:firstLine="422"/>
        <w:rPr>
          <w:rFonts w:hAnsi="宋体"/>
          <w:b/>
          <w:color w:val="auto"/>
          <w:szCs w:val="21"/>
          <w:highlight w:val="none"/>
        </w:rPr>
      </w:pPr>
      <w:r>
        <w:rPr>
          <w:rFonts w:hint="eastAsia" w:hAnsi="宋体"/>
          <w:b/>
          <w:color w:val="auto"/>
          <w:szCs w:val="21"/>
          <w:highlight w:val="none"/>
        </w:rPr>
        <w:t>36.2签订合同时间：按中标通知书规定的时间与采购人签订合同。</w:t>
      </w:r>
    </w:p>
    <w:p w14:paraId="191EFC25">
      <w:pPr>
        <w:ind w:firstLine="422"/>
        <w:rPr>
          <w:rFonts w:hAnsi="宋体"/>
          <w:b/>
          <w:color w:val="auto"/>
          <w:szCs w:val="21"/>
          <w:highlight w:val="none"/>
        </w:rPr>
      </w:pPr>
      <w:r>
        <w:rPr>
          <w:rFonts w:hint="eastAsia" w:hAnsi="宋体"/>
          <w:b/>
          <w:color w:val="auto"/>
          <w:szCs w:val="21"/>
          <w:highlight w:val="none"/>
        </w:rPr>
        <w:t>36.</w:t>
      </w:r>
      <w:r>
        <w:rPr>
          <w:rFonts w:hAnsi="宋体"/>
          <w:b/>
          <w:color w:val="auto"/>
          <w:szCs w:val="21"/>
          <w:highlight w:val="none"/>
        </w:rPr>
        <w:t>3</w:t>
      </w:r>
      <w:r>
        <w:rPr>
          <w:rFonts w:hint="eastAsia" w:hAnsi="宋体"/>
          <w:b/>
          <w:color w:val="auto"/>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54BBC479">
      <w:pPr>
        <w:ind w:firstLine="420"/>
        <w:rPr>
          <w:rFonts w:hAnsi="宋体"/>
          <w:color w:val="auto"/>
          <w:szCs w:val="21"/>
          <w:highlight w:val="none"/>
        </w:rPr>
      </w:pPr>
      <w:r>
        <w:rPr>
          <w:rFonts w:hint="eastAsia"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26D362A">
      <w:pPr>
        <w:ind w:firstLine="420"/>
        <w:rPr>
          <w:rFonts w:hAnsi="宋体"/>
          <w:color w:val="auto"/>
          <w:szCs w:val="21"/>
          <w:highlight w:val="none"/>
        </w:rPr>
      </w:pPr>
      <w:r>
        <w:rPr>
          <w:rFonts w:hint="eastAsia"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72C3CBC9">
      <w:pPr>
        <w:ind w:firstLine="420"/>
        <w:rPr>
          <w:rFonts w:hAnsi="宋体"/>
          <w:color w:val="auto"/>
          <w:szCs w:val="21"/>
          <w:highlight w:val="none"/>
        </w:rPr>
      </w:pPr>
      <w:r>
        <w:rPr>
          <w:rFonts w:hint="eastAsia" w:hAnsi="宋体"/>
          <w:color w:val="auto"/>
          <w:szCs w:val="21"/>
          <w:highlight w:val="none"/>
        </w:rPr>
        <w:t>36.6</w:t>
      </w:r>
      <w:r>
        <w:rPr>
          <w:rFonts w:hint="eastAsia" w:hAnsi="宋体" w:cs="方正仿宋_GB2312"/>
          <w:color w:val="auto"/>
          <w:szCs w:val="21"/>
          <w:highlight w:val="none"/>
        </w:rPr>
        <w:t>如签订合同并生效后，供应商无故拒绝或延期，除按照合同条款处理外，将承担相应的法律责任。</w:t>
      </w:r>
    </w:p>
    <w:p w14:paraId="5C6DD8C0">
      <w:pPr>
        <w:ind w:firstLine="420"/>
        <w:rPr>
          <w:rFonts w:hAnsi="宋体"/>
          <w:color w:val="auto"/>
          <w:szCs w:val="21"/>
          <w:highlight w:val="none"/>
        </w:rPr>
      </w:pPr>
      <w:r>
        <w:rPr>
          <w:rFonts w:hint="eastAsia" w:hAnsi="宋体"/>
          <w:color w:val="auto"/>
          <w:szCs w:val="21"/>
          <w:highlight w:val="none"/>
        </w:rPr>
        <w:t>36.7</w:t>
      </w:r>
      <w:r>
        <w:rPr>
          <w:rFonts w:hint="eastAsia"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7D212BF7">
      <w:pPr>
        <w:pStyle w:val="261"/>
        <w:ind w:firstLine="482"/>
        <w:rPr>
          <w:color w:val="auto"/>
          <w:highlight w:val="none"/>
        </w:rPr>
      </w:pPr>
      <w:r>
        <w:rPr>
          <w:rFonts w:hint="eastAsia"/>
          <w:color w:val="auto"/>
          <w:highlight w:val="none"/>
        </w:rPr>
        <w:t>37.政府采购合同公告</w:t>
      </w:r>
    </w:p>
    <w:p w14:paraId="7CA0AA59">
      <w:pPr>
        <w:ind w:firstLine="420"/>
        <w:rPr>
          <w:rFonts w:hAnsi="宋体"/>
          <w:color w:val="auto"/>
          <w:szCs w:val="21"/>
          <w:highlight w:val="none"/>
        </w:rPr>
      </w:pPr>
      <w:r>
        <w:rPr>
          <w:rFonts w:hint="eastAsia" w:hAnsi="宋体"/>
          <w:color w:val="auto"/>
          <w:szCs w:val="21"/>
          <w:highlight w:val="none"/>
        </w:rPr>
        <w:t>采购人或者受托采购代理机构应当自政府采购合同签订之日起2个工作日内，将政府采购合同在省级以上人民政府财政部门指定的媒体上公告，</w:t>
      </w:r>
      <w:r>
        <w:rPr>
          <w:rFonts w:hAnsi="宋体"/>
          <w:color w:val="auto"/>
          <w:szCs w:val="21"/>
          <w:highlight w:val="none"/>
        </w:rPr>
        <w:t>但政府采购合同中涉及国家秘密、商业秘密的内容除外。</w:t>
      </w:r>
    </w:p>
    <w:p w14:paraId="3AB40FD8">
      <w:pPr>
        <w:pStyle w:val="261"/>
        <w:ind w:firstLine="482"/>
        <w:rPr>
          <w:color w:val="auto"/>
          <w:highlight w:val="none"/>
        </w:rPr>
      </w:pPr>
      <w:r>
        <w:rPr>
          <w:rFonts w:hint="eastAsia"/>
          <w:color w:val="auto"/>
          <w:highlight w:val="none"/>
        </w:rPr>
        <w:t>3</w:t>
      </w:r>
      <w:r>
        <w:rPr>
          <w:color w:val="auto"/>
          <w:highlight w:val="none"/>
        </w:rPr>
        <w:t>8.</w:t>
      </w:r>
      <w:r>
        <w:rPr>
          <w:rFonts w:hint="eastAsia"/>
          <w:color w:val="auto"/>
          <w:highlight w:val="none"/>
        </w:rPr>
        <w:t>询问、质疑和投诉</w:t>
      </w:r>
    </w:p>
    <w:p w14:paraId="28D0A085">
      <w:pPr>
        <w:ind w:firstLine="420"/>
        <w:rPr>
          <w:rFonts w:hAnsi="宋体"/>
          <w:color w:val="auto"/>
          <w:szCs w:val="21"/>
          <w:highlight w:val="none"/>
        </w:rPr>
      </w:pPr>
      <w:r>
        <w:rPr>
          <w:rFonts w:hAnsi="宋体"/>
          <w:color w:val="auto"/>
          <w:szCs w:val="21"/>
          <w:highlight w:val="none"/>
        </w:rPr>
        <w:t>38.1</w:t>
      </w:r>
      <w:r>
        <w:rPr>
          <w:rFonts w:hint="eastAsia"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66AAD9FE">
      <w:pPr>
        <w:ind w:firstLine="422"/>
        <w:rPr>
          <w:rFonts w:hAnsi="宋体"/>
          <w:b/>
          <w:color w:val="auto"/>
          <w:szCs w:val="21"/>
          <w:highlight w:val="none"/>
        </w:rPr>
      </w:pPr>
      <w:r>
        <w:rPr>
          <w:rFonts w:hAnsi="宋体"/>
          <w:b/>
          <w:color w:val="auto"/>
          <w:szCs w:val="21"/>
          <w:highlight w:val="none"/>
        </w:rPr>
        <w:t>38</w:t>
      </w:r>
      <w:r>
        <w:rPr>
          <w:rFonts w:hint="eastAsia" w:hAnsi="宋体"/>
          <w:b/>
          <w:color w:val="auto"/>
          <w:szCs w:val="21"/>
          <w:highlight w:val="none"/>
        </w:rPr>
        <w:t>.</w:t>
      </w:r>
      <w:r>
        <w:rPr>
          <w:rFonts w:hAnsi="宋体"/>
          <w:b/>
          <w:color w:val="auto"/>
          <w:szCs w:val="21"/>
          <w:highlight w:val="none"/>
        </w:rPr>
        <w:t>2</w:t>
      </w:r>
      <w:r>
        <w:rPr>
          <w:rFonts w:hint="eastAsia" w:hAnsi="宋体"/>
          <w:b/>
          <w:color w:val="auto"/>
          <w:szCs w:val="21"/>
          <w:highlight w:val="none"/>
        </w:rPr>
        <w:t>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4379D0A5">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1</w:t>
      </w:r>
      <w:r>
        <w:rPr>
          <w:rFonts w:hAnsi="宋体"/>
          <w:color w:val="auto"/>
          <w:szCs w:val="21"/>
          <w:highlight w:val="none"/>
        </w:rPr>
        <w:t>）对可以质疑的</w:t>
      </w:r>
      <w:r>
        <w:rPr>
          <w:rFonts w:hint="eastAsia" w:hAnsi="宋体"/>
          <w:color w:val="auto"/>
          <w:szCs w:val="21"/>
          <w:highlight w:val="none"/>
        </w:rPr>
        <w:t>招标</w:t>
      </w:r>
      <w:r>
        <w:rPr>
          <w:rFonts w:hAnsi="宋体"/>
          <w:color w:val="auto"/>
          <w:szCs w:val="21"/>
          <w:highlight w:val="none"/>
        </w:rPr>
        <w:t>文件提出质疑的，为收到</w:t>
      </w:r>
      <w:r>
        <w:rPr>
          <w:rFonts w:hint="eastAsia" w:hAnsi="宋体"/>
          <w:color w:val="auto"/>
          <w:szCs w:val="21"/>
          <w:highlight w:val="none"/>
        </w:rPr>
        <w:t>招标</w:t>
      </w:r>
      <w:r>
        <w:rPr>
          <w:rFonts w:hAnsi="宋体"/>
          <w:color w:val="auto"/>
          <w:szCs w:val="21"/>
          <w:highlight w:val="none"/>
        </w:rPr>
        <w:t>文件之日</w:t>
      </w:r>
      <w:r>
        <w:rPr>
          <w:rFonts w:hint="eastAsia" w:hAnsi="宋体"/>
          <w:color w:val="auto"/>
          <w:szCs w:val="21"/>
          <w:highlight w:val="none"/>
        </w:rPr>
        <w:t>或者招标文件公告期限届满之日</w:t>
      </w:r>
      <w:r>
        <w:rPr>
          <w:rFonts w:hAnsi="宋体"/>
          <w:color w:val="auto"/>
          <w:szCs w:val="21"/>
          <w:highlight w:val="none"/>
        </w:rPr>
        <w:t>；</w:t>
      </w:r>
    </w:p>
    <w:p w14:paraId="33462EF2">
      <w:pPr>
        <w:ind w:firstLine="420"/>
        <w:rPr>
          <w:rFonts w:hAnsi="宋体"/>
          <w:color w:val="auto"/>
          <w:szCs w:val="21"/>
          <w:highlight w:val="none"/>
        </w:rPr>
      </w:pPr>
      <w:r>
        <w:rPr>
          <w:rFonts w:hAnsi="宋体"/>
          <w:color w:val="auto"/>
          <w:szCs w:val="21"/>
          <w:highlight w:val="none"/>
        </w:rPr>
        <w:t>（</w:t>
      </w:r>
      <w:r>
        <w:rPr>
          <w:rFonts w:hint="eastAsia" w:hAnsi="宋体"/>
          <w:color w:val="auto"/>
          <w:szCs w:val="21"/>
          <w:highlight w:val="none"/>
        </w:rPr>
        <w:t>2</w:t>
      </w:r>
      <w:r>
        <w:rPr>
          <w:rFonts w:hAnsi="宋体"/>
          <w:color w:val="auto"/>
          <w:szCs w:val="21"/>
          <w:highlight w:val="none"/>
        </w:rPr>
        <w:t>）对</w:t>
      </w:r>
      <w:r>
        <w:rPr>
          <w:rFonts w:hint="eastAsia" w:hAnsi="宋体"/>
          <w:color w:val="auto"/>
          <w:szCs w:val="21"/>
          <w:highlight w:val="none"/>
        </w:rPr>
        <w:t>采购</w:t>
      </w:r>
      <w:r>
        <w:rPr>
          <w:rFonts w:hAnsi="宋体"/>
          <w:color w:val="auto"/>
          <w:szCs w:val="21"/>
          <w:highlight w:val="none"/>
        </w:rPr>
        <w:t>过程提出质疑的，为各采购程序环节结束之日；</w:t>
      </w:r>
    </w:p>
    <w:p w14:paraId="2683CE0F">
      <w:pPr>
        <w:ind w:firstLine="420"/>
        <w:rPr>
          <w:rFonts w:hAnsi="宋体"/>
          <w:bCs/>
          <w:color w:val="auto"/>
          <w:szCs w:val="21"/>
          <w:highlight w:val="none"/>
        </w:rPr>
      </w:pPr>
      <w:r>
        <w:rPr>
          <w:rFonts w:hAnsi="宋体"/>
          <w:color w:val="auto"/>
          <w:szCs w:val="21"/>
          <w:highlight w:val="none"/>
        </w:rPr>
        <w:t>（</w:t>
      </w:r>
      <w:r>
        <w:rPr>
          <w:rFonts w:hint="eastAsia" w:hAnsi="宋体"/>
          <w:color w:val="auto"/>
          <w:szCs w:val="21"/>
          <w:highlight w:val="none"/>
        </w:rPr>
        <w:t>3</w:t>
      </w:r>
      <w:r>
        <w:rPr>
          <w:rFonts w:hAnsi="宋体"/>
          <w:color w:val="auto"/>
          <w:szCs w:val="21"/>
          <w:highlight w:val="none"/>
        </w:rPr>
        <w:t>）对中标结果提出质疑的，为中标结果公告期限届满之日。</w:t>
      </w:r>
    </w:p>
    <w:p w14:paraId="2984EE9E">
      <w:pPr>
        <w:ind w:firstLine="422"/>
        <w:rPr>
          <w:rFonts w:hAnsi="宋体"/>
          <w:b/>
          <w:color w:val="auto"/>
          <w:szCs w:val="21"/>
          <w:highlight w:val="none"/>
        </w:rPr>
      </w:pPr>
      <w:r>
        <w:rPr>
          <w:rFonts w:hAnsi="宋体"/>
          <w:b/>
          <w:color w:val="auto"/>
          <w:szCs w:val="21"/>
          <w:highlight w:val="none"/>
        </w:rPr>
        <w:t>38</w:t>
      </w:r>
      <w:r>
        <w:rPr>
          <w:rFonts w:hint="eastAsia" w:hAnsi="宋体"/>
          <w:b/>
          <w:color w:val="auto"/>
          <w:szCs w:val="21"/>
          <w:highlight w:val="none"/>
        </w:rPr>
        <w:t>.</w:t>
      </w:r>
      <w:r>
        <w:rPr>
          <w:rFonts w:hAnsi="宋体"/>
          <w:b/>
          <w:color w:val="auto"/>
          <w:szCs w:val="21"/>
          <w:highlight w:val="none"/>
        </w:rPr>
        <w:t>3</w:t>
      </w:r>
      <w:r>
        <w:rPr>
          <w:rFonts w:hint="eastAsia" w:hAnsi="宋体"/>
          <w:b/>
          <w:color w:val="auto"/>
          <w:szCs w:val="21"/>
          <w:highlight w:val="none"/>
        </w:rPr>
        <w:t xml:space="preserve"> </w:t>
      </w:r>
      <w:r>
        <w:rPr>
          <w:rFonts w:hAnsi="宋体"/>
          <w:b/>
          <w:bCs/>
          <w:color w:val="auto"/>
          <w:szCs w:val="21"/>
          <w:highlight w:val="none"/>
        </w:rPr>
        <w:t>供应商提出质疑应当提交质疑函和必要的证明材料</w:t>
      </w:r>
      <w:r>
        <w:rPr>
          <w:rFonts w:hint="eastAsia" w:hAnsi="宋体"/>
          <w:b/>
          <w:bCs/>
          <w:color w:val="auto"/>
          <w:szCs w:val="21"/>
          <w:highlight w:val="none"/>
        </w:rPr>
        <w:t>，</w:t>
      </w:r>
      <w:r>
        <w:rPr>
          <w:rFonts w:hAnsi="宋体"/>
          <w:b/>
          <w:bCs/>
          <w:color w:val="auto"/>
          <w:szCs w:val="21"/>
          <w:highlight w:val="none"/>
        </w:rPr>
        <w:t>针对同一采购程序环节的质疑</w:t>
      </w:r>
      <w:r>
        <w:rPr>
          <w:rFonts w:hint="eastAsia" w:hAnsi="宋体"/>
          <w:b/>
          <w:bCs/>
          <w:color w:val="auto"/>
          <w:szCs w:val="21"/>
          <w:highlight w:val="none"/>
        </w:rPr>
        <w:t>必须</w:t>
      </w:r>
      <w:r>
        <w:rPr>
          <w:rFonts w:hAnsi="宋体"/>
          <w:b/>
          <w:bCs/>
          <w:color w:val="auto"/>
          <w:szCs w:val="21"/>
          <w:highlight w:val="none"/>
        </w:rPr>
        <w:t>在法定质疑期内一次性提出。质疑函应当包括下列内容</w:t>
      </w:r>
      <w:r>
        <w:rPr>
          <w:rFonts w:hint="eastAsia" w:hAnsi="宋体"/>
          <w:b/>
          <w:bCs/>
          <w:color w:val="auto"/>
          <w:szCs w:val="21"/>
          <w:highlight w:val="none"/>
        </w:rPr>
        <w:t>（质疑函格式后附）</w:t>
      </w:r>
      <w:r>
        <w:rPr>
          <w:rFonts w:hAnsi="宋体"/>
          <w:b/>
          <w:bCs/>
          <w:color w:val="auto"/>
          <w:szCs w:val="21"/>
          <w:highlight w:val="none"/>
        </w:rPr>
        <w:t>：</w:t>
      </w:r>
    </w:p>
    <w:p w14:paraId="6BC2DCB7">
      <w:pPr>
        <w:ind w:firstLine="420"/>
        <w:rPr>
          <w:rFonts w:hAnsi="宋体"/>
          <w:bCs/>
          <w:color w:val="auto"/>
          <w:szCs w:val="21"/>
          <w:highlight w:val="none"/>
        </w:rPr>
      </w:pPr>
      <w:r>
        <w:rPr>
          <w:rFonts w:hAnsi="宋体"/>
          <w:bCs/>
          <w:color w:val="auto"/>
          <w:szCs w:val="21"/>
          <w:highlight w:val="none"/>
        </w:rPr>
        <w:t>（</w:t>
      </w:r>
      <w:r>
        <w:rPr>
          <w:rFonts w:hint="eastAsia" w:hAnsi="宋体"/>
          <w:bCs/>
          <w:color w:val="auto"/>
          <w:szCs w:val="21"/>
          <w:highlight w:val="none"/>
        </w:rPr>
        <w:t>1</w:t>
      </w:r>
      <w:r>
        <w:rPr>
          <w:rFonts w:hAnsi="宋体"/>
          <w:bCs/>
          <w:color w:val="auto"/>
          <w:szCs w:val="21"/>
          <w:highlight w:val="none"/>
        </w:rPr>
        <w:t>）供应商的姓名或者名称、地址、邮编、联系人及联系电话；</w:t>
      </w:r>
    </w:p>
    <w:p w14:paraId="2D9A56F6">
      <w:pPr>
        <w:ind w:firstLine="420"/>
        <w:rPr>
          <w:rFonts w:hAnsi="宋体"/>
          <w:bCs/>
          <w:color w:val="auto"/>
          <w:szCs w:val="21"/>
          <w:highlight w:val="none"/>
        </w:rPr>
      </w:pPr>
      <w:r>
        <w:rPr>
          <w:rFonts w:hAnsi="宋体"/>
          <w:bCs/>
          <w:color w:val="auto"/>
          <w:szCs w:val="21"/>
          <w:highlight w:val="none"/>
        </w:rPr>
        <w:t>（</w:t>
      </w:r>
      <w:r>
        <w:rPr>
          <w:rFonts w:hint="eastAsia" w:hAnsi="宋体"/>
          <w:bCs/>
          <w:color w:val="auto"/>
          <w:szCs w:val="21"/>
          <w:highlight w:val="none"/>
        </w:rPr>
        <w:t>2</w:t>
      </w:r>
      <w:r>
        <w:rPr>
          <w:rFonts w:hAnsi="宋体"/>
          <w:bCs/>
          <w:color w:val="auto"/>
          <w:szCs w:val="21"/>
          <w:highlight w:val="none"/>
        </w:rPr>
        <w:t>）质疑项目的名称、编号；</w:t>
      </w:r>
    </w:p>
    <w:p w14:paraId="1506E639">
      <w:pPr>
        <w:ind w:firstLine="420"/>
        <w:rPr>
          <w:rFonts w:hAnsi="宋体"/>
          <w:bCs/>
          <w:color w:val="auto"/>
          <w:szCs w:val="21"/>
          <w:highlight w:val="none"/>
        </w:rPr>
      </w:pPr>
      <w:r>
        <w:rPr>
          <w:rFonts w:hAnsi="宋体"/>
          <w:bCs/>
          <w:color w:val="auto"/>
          <w:szCs w:val="21"/>
          <w:highlight w:val="none"/>
        </w:rPr>
        <w:t>（</w:t>
      </w:r>
      <w:r>
        <w:rPr>
          <w:rFonts w:hint="eastAsia" w:hAnsi="宋体"/>
          <w:bCs/>
          <w:color w:val="auto"/>
          <w:szCs w:val="21"/>
          <w:highlight w:val="none"/>
        </w:rPr>
        <w:t>3</w:t>
      </w:r>
      <w:r>
        <w:rPr>
          <w:rFonts w:hAnsi="宋体"/>
          <w:bCs/>
          <w:color w:val="auto"/>
          <w:szCs w:val="21"/>
          <w:highlight w:val="none"/>
        </w:rPr>
        <w:t>）具体、明确的质疑事项和与质疑事项相关的请求；</w:t>
      </w:r>
    </w:p>
    <w:p w14:paraId="44BADDCA">
      <w:pPr>
        <w:ind w:firstLine="420"/>
        <w:rPr>
          <w:rFonts w:hAnsi="宋体"/>
          <w:bCs/>
          <w:color w:val="auto"/>
          <w:szCs w:val="21"/>
          <w:highlight w:val="none"/>
        </w:rPr>
      </w:pPr>
      <w:r>
        <w:rPr>
          <w:rFonts w:hAnsi="宋体"/>
          <w:bCs/>
          <w:color w:val="auto"/>
          <w:szCs w:val="21"/>
          <w:highlight w:val="none"/>
        </w:rPr>
        <w:t>（</w:t>
      </w:r>
      <w:r>
        <w:rPr>
          <w:rFonts w:hint="eastAsia" w:hAnsi="宋体"/>
          <w:bCs/>
          <w:color w:val="auto"/>
          <w:szCs w:val="21"/>
          <w:highlight w:val="none"/>
        </w:rPr>
        <w:t>4</w:t>
      </w:r>
      <w:r>
        <w:rPr>
          <w:rFonts w:hAnsi="宋体"/>
          <w:bCs/>
          <w:color w:val="auto"/>
          <w:szCs w:val="21"/>
          <w:highlight w:val="none"/>
        </w:rPr>
        <w:t>）事实依据；</w:t>
      </w:r>
    </w:p>
    <w:p w14:paraId="4FDB7A5B">
      <w:pPr>
        <w:ind w:firstLine="420"/>
        <w:rPr>
          <w:rFonts w:hAnsi="宋体"/>
          <w:bCs/>
          <w:color w:val="auto"/>
          <w:szCs w:val="21"/>
          <w:highlight w:val="none"/>
        </w:rPr>
      </w:pPr>
      <w:r>
        <w:rPr>
          <w:rFonts w:hAnsi="宋体"/>
          <w:bCs/>
          <w:color w:val="auto"/>
          <w:szCs w:val="21"/>
          <w:highlight w:val="none"/>
        </w:rPr>
        <w:t>（</w:t>
      </w:r>
      <w:r>
        <w:rPr>
          <w:rFonts w:hint="eastAsia" w:hAnsi="宋体"/>
          <w:bCs/>
          <w:color w:val="auto"/>
          <w:szCs w:val="21"/>
          <w:highlight w:val="none"/>
        </w:rPr>
        <w:t>5</w:t>
      </w:r>
      <w:r>
        <w:rPr>
          <w:rFonts w:hAnsi="宋体"/>
          <w:bCs/>
          <w:color w:val="auto"/>
          <w:szCs w:val="21"/>
          <w:highlight w:val="none"/>
        </w:rPr>
        <w:t>）必要的法律依据；</w:t>
      </w:r>
    </w:p>
    <w:p w14:paraId="31F1C515">
      <w:pPr>
        <w:ind w:firstLine="420"/>
        <w:rPr>
          <w:rFonts w:hAnsi="宋体"/>
          <w:bCs/>
          <w:color w:val="auto"/>
          <w:szCs w:val="21"/>
          <w:highlight w:val="none"/>
        </w:rPr>
      </w:pPr>
      <w:r>
        <w:rPr>
          <w:rFonts w:hAnsi="宋体"/>
          <w:bCs/>
          <w:color w:val="auto"/>
          <w:szCs w:val="21"/>
          <w:highlight w:val="none"/>
        </w:rPr>
        <w:t>（</w:t>
      </w:r>
      <w:r>
        <w:rPr>
          <w:rFonts w:hint="eastAsia" w:hAnsi="宋体"/>
          <w:bCs/>
          <w:color w:val="auto"/>
          <w:szCs w:val="21"/>
          <w:highlight w:val="none"/>
        </w:rPr>
        <w:t>6</w:t>
      </w:r>
      <w:r>
        <w:rPr>
          <w:rFonts w:hAnsi="宋体"/>
          <w:bCs/>
          <w:color w:val="auto"/>
          <w:szCs w:val="21"/>
          <w:highlight w:val="none"/>
        </w:rPr>
        <w:t>）提出质疑的日期。</w:t>
      </w:r>
    </w:p>
    <w:p w14:paraId="2322902C">
      <w:pPr>
        <w:ind w:firstLine="420"/>
        <w:rPr>
          <w:rFonts w:hAnsi="宋体"/>
          <w:bCs/>
          <w:color w:val="auto"/>
          <w:szCs w:val="21"/>
          <w:highlight w:val="none"/>
        </w:rPr>
      </w:pPr>
      <w:r>
        <w:rPr>
          <w:rFonts w:hAnsi="宋体"/>
          <w:bCs/>
          <w:color w:val="auto"/>
          <w:szCs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Cs w:val="21"/>
          <w:highlight w:val="none"/>
        </w:rPr>
        <w:t>。</w:t>
      </w:r>
    </w:p>
    <w:p w14:paraId="00019DCA">
      <w:pPr>
        <w:ind w:firstLine="422"/>
        <w:rPr>
          <w:rFonts w:hAnsi="宋体"/>
          <w:b/>
          <w:bCs/>
          <w:color w:val="auto"/>
          <w:szCs w:val="21"/>
          <w:highlight w:val="none"/>
        </w:rPr>
      </w:pPr>
      <w:r>
        <w:rPr>
          <w:rFonts w:hAnsi="宋体"/>
          <w:b/>
          <w:color w:val="auto"/>
          <w:szCs w:val="21"/>
          <w:highlight w:val="none"/>
        </w:rPr>
        <w:t>3</w:t>
      </w:r>
      <w:r>
        <w:rPr>
          <w:rFonts w:hAnsi="宋体"/>
          <w:b/>
          <w:bCs/>
          <w:color w:val="auto"/>
          <w:szCs w:val="21"/>
          <w:highlight w:val="none"/>
        </w:rPr>
        <w:t>8.4</w:t>
      </w:r>
      <w:r>
        <w:rPr>
          <w:rFonts w:hint="eastAsia" w:hAnsi="宋体"/>
          <w:b/>
          <w:bCs/>
          <w:color w:val="auto"/>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590EEB87">
      <w:pPr>
        <w:ind w:firstLine="420"/>
        <w:rPr>
          <w:rFonts w:hAnsi="宋体"/>
          <w:bCs/>
          <w:color w:val="auto"/>
          <w:szCs w:val="21"/>
          <w:highlight w:val="none"/>
        </w:rPr>
      </w:pPr>
      <w:r>
        <w:rPr>
          <w:rFonts w:hint="eastAsia" w:hAnsi="宋体"/>
          <w:bCs/>
          <w:color w:val="auto"/>
          <w:szCs w:val="21"/>
          <w:highlight w:val="none"/>
        </w:rPr>
        <w:t>（一）对招标文件提出的质疑，依法通过澄清或者修改可以继续开展采购活动的，澄清或者修改招标文件后继续开展采购活动；否则应当修改招标文件后重新开展采购活动。</w:t>
      </w:r>
    </w:p>
    <w:p w14:paraId="2C6E8D23">
      <w:pPr>
        <w:ind w:firstLine="420"/>
        <w:rPr>
          <w:rFonts w:hAnsi="宋体"/>
          <w:bCs/>
          <w:color w:val="auto"/>
          <w:szCs w:val="21"/>
          <w:highlight w:val="none"/>
        </w:rPr>
      </w:pPr>
      <w:r>
        <w:rPr>
          <w:rFonts w:hint="eastAsia" w:hAnsi="宋体"/>
          <w:bCs/>
          <w:color w:val="auto"/>
          <w:szCs w:val="21"/>
          <w:highlight w:val="none"/>
        </w:rPr>
        <w:t>（二）对采购过程、中标结果提出的质疑，合格供应商符合法定数量时，可以从合格的中标候选人中另行确定中标供应商的，应当依法另行确定中标供应商；否则应当重新开展采购活动。</w:t>
      </w:r>
    </w:p>
    <w:p w14:paraId="2829390E">
      <w:pPr>
        <w:ind w:firstLine="420"/>
        <w:rPr>
          <w:rFonts w:hAnsi="宋体"/>
          <w:bCs/>
          <w:color w:val="auto"/>
          <w:szCs w:val="21"/>
          <w:highlight w:val="none"/>
        </w:rPr>
      </w:pPr>
      <w:r>
        <w:rPr>
          <w:rFonts w:hint="eastAsia" w:hAnsi="宋体"/>
          <w:bCs/>
          <w:color w:val="auto"/>
          <w:szCs w:val="21"/>
          <w:highlight w:val="none"/>
        </w:rPr>
        <w:t>质疑答复导致中标结果改变的，采购人或者采购代理机构应当将有关情况书面报告本级财政部门。</w:t>
      </w:r>
    </w:p>
    <w:p w14:paraId="507E908C">
      <w:pPr>
        <w:ind w:firstLine="420"/>
        <w:rPr>
          <w:rFonts w:hAnsi="宋体"/>
          <w:color w:val="auto"/>
          <w:szCs w:val="21"/>
          <w:highlight w:val="none"/>
        </w:rPr>
      </w:pPr>
      <w:r>
        <w:rPr>
          <w:rFonts w:hAnsi="宋体"/>
          <w:color w:val="auto"/>
          <w:szCs w:val="21"/>
          <w:highlight w:val="none"/>
        </w:rPr>
        <w:t>38</w:t>
      </w: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27C291F">
      <w:pPr>
        <w:pStyle w:val="271"/>
        <w:rPr>
          <w:color w:val="auto"/>
          <w:highlight w:val="none"/>
        </w:rPr>
      </w:pPr>
      <w:r>
        <w:rPr>
          <w:rFonts w:hint="eastAsia"/>
          <w:color w:val="auto"/>
          <w:highlight w:val="none"/>
        </w:rPr>
        <w:t>八、其他事项</w:t>
      </w:r>
    </w:p>
    <w:p w14:paraId="10425112">
      <w:pPr>
        <w:pStyle w:val="261"/>
        <w:ind w:firstLine="482"/>
        <w:rPr>
          <w:color w:val="auto"/>
          <w:highlight w:val="none"/>
        </w:rPr>
      </w:pPr>
      <w:r>
        <w:rPr>
          <w:rFonts w:hint="eastAsia"/>
          <w:color w:val="auto"/>
          <w:highlight w:val="none"/>
        </w:rPr>
        <w:t>3</w:t>
      </w:r>
      <w:r>
        <w:rPr>
          <w:color w:val="auto"/>
          <w:highlight w:val="none"/>
        </w:rPr>
        <w:t>9</w:t>
      </w:r>
      <w:r>
        <w:rPr>
          <w:rFonts w:hint="eastAsia"/>
          <w:color w:val="auto"/>
          <w:highlight w:val="none"/>
        </w:rPr>
        <w:t>.代理服务费</w:t>
      </w:r>
    </w:p>
    <w:p w14:paraId="5B2CEBF7">
      <w:pPr>
        <w:ind w:firstLine="422"/>
        <w:rPr>
          <w:rFonts w:hAnsi="宋体"/>
          <w:b/>
          <w:color w:val="auto"/>
          <w:szCs w:val="21"/>
          <w:highlight w:val="none"/>
        </w:rPr>
      </w:pPr>
      <w:r>
        <w:rPr>
          <w:rFonts w:hint="eastAsia" w:hAnsi="宋体"/>
          <w:b/>
          <w:color w:val="auto"/>
          <w:szCs w:val="21"/>
          <w:highlight w:val="none"/>
        </w:rPr>
        <w:t>3</w:t>
      </w:r>
      <w:r>
        <w:rPr>
          <w:rFonts w:hAnsi="宋体"/>
          <w:b/>
          <w:color w:val="auto"/>
          <w:szCs w:val="21"/>
          <w:highlight w:val="none"/>
        </w:rPr>
        <w:t>9</w:t>
      </w:r>
      <w:r>
        <w:rPr>
          <w:rFonts w:hint="eastAsia" w:hAnsi="宋体"/>
          <w:b/>
          <w:color w:val="auto"/>
          <w:szCs w:val="21"/>
          <w:highlight w:val="none"/>
        </w:rPr>
        <w:t>.1代理服务费收取标准及缴费账户详见“投标人须知前附表”，投标人为联合体的，可以由联合体中的一方或者多方共同交纳代理服务费。</w:t>
      </w:r>
    </w:p>
    <w:p w14:paraId="6565470F">
      <w:pPr>
        <w:ind w:firstLine="422"/>
        <w:rPr>
          <w:rFonts w:hAnsi="宋体"/>
          <w:b/>
          <w:color w:val="auto"/>
          <w:szCs w:val="21"/>
          <w:highlight w:val="none"/>
        </w:rPr>
      </w:pPr>
      <w:r>
        <w:rPr>
          <w:rFonts w:hint="eastAsia" w:hAnsi="宋体"/>
          <w:b/>
          <w:color w:val="auto"/>
          <w:szCs w:val="21"/>
          <w:highlight w:val="none"/>
        </w:rPr>
        <w:t>3</w:t>
      </w:r>
      <w:r>
        <w:rPr>
          <w:rFonts w:hAnsi="宋体"/>
          <w:b/>
          <w:color w:val="auto"/>
          <w:szCs w:val="21"/>
          <w:highlight w:val="none"/>
        </w:rPr>
        <w:t>9</w:t>
      </w:r>
      <w:r>
        <w:rPr>
          <w:rFonts w:hint="eastAsia" w:hAnsi="宋体"/>
          <w:b/>
          <w:color w:val="auto"/>
          <w:szCs w:val="21"/>
          <w:highlight w:val="none"/>
        </w:rPr>
        <w:t>.2代理服务收费标准：</w:t>
      </w:r>
    </w:p>
    <w:tbl>
      <w:tblPr>
        <w:tblStyle w:val="47"/>
        <w:tblW w:w="0" w:type="auto"/>
        <w:tblInd w:w="3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D7A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963EC9A">
            <w:pPr>
              <w:ind w:firstLine="2520"/>
              <w:rPr>
                <w:rFonts w:hAnsi="宋体"/>
                <w:color w:val="auto"/>
                <w:szCs w:val="21"/>
                <w:highlight w:val="none"/>
              </w:rPr>
            </w:pPr>
            <w:r>
              <w:rPr>
                <w:rFonts w:hint="eastAsia" w:hAnsi="宋体"/>
                <w:color w:val="auto"/>
                <w:szCs w:val="21"/>
                <w:highlight w:val="none"/>
              </w:rPr>
              <w:t>费率</w:t>
            </w:r>
          </w:p>
          <w:p w14:paraId="0978CE34">
            <w:pPr>
              <w:ind w:firstLine="420"/>
              <w:rPr>
                <w:rFonts w:hAnsi="宋体"/>
                <w:color w:val="auto"/>
                <w:szCs w:val="21"/>
                <w:highlight w:val="none"/>
              </w:rPr>
            </w:pPr>
            <w:r>
              <w:rPr>
                <w:rFonts w:hint="eastAsia" w:hAnsi="宋体"/>
                <w:color w:val="auto"/>
                <w:szCs w:val="21"/>
                <w:highlight w:val="none"/>
              </w:rPr>
              <w:t>中标金额</w:t>
            </w:r>
          </w:p>
        </w:tc>
        <w:tc>
          <w:tcPr>
            <w:tcW w:w="1659" w:type="dxa"/>
            <w:tcBorders>
              <w:top w:val="single" w:color="auto" w:sz="4" w:space="0"/>
              <w:left w:val="single" w:color="auto" w:sz="4" w:space="0"/>
              <w:bottom w:val="single" w:color="auto" w:sz="4" w:space="0"/>
              <w:right w:val="single" w:color="auto" w:sz="4" w:space="0"/>
            </w:tcBorders>
            <w:vAlign w:val="center"/>
          </w:tcPr>
          <w:p w14:paraId="7A8B56E9">
            <w:pPr>
              <w:ind w:firstLine="420"/>
              <w:rPr>
                <w:rFonts w:hAnsi="宋体"/>
                <w:color w:val="auto"/>
                <w:szCs w:val="21"/>
                <w:highlight w:val="none"/>
              </w:rPr>
            </w:pPr>
            <w:r>
              <w:rPr>
                <w:rFonts w:hint="eastAsia" w:hAnsi="宋体"/>
                <w:color w:val="auto"/>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4E92276C">
            <w:pPr>
              <w:ind w:firstLine="420"/>
              <w:rPr>
                <w:rFonts w:hAnsi="宋体"/>
                <w:color w:val="auto"/>
                <w:szCs w:val="21"/>
                <w:highlight w:val="none"/>
              </w:rPr>
            </w:pPr>
            <w:r>
              <w:rPr>
                <w:rFonts w:hint="eastAsia" w:hAnsi="宋体"/>
                <w:color w:val="auto"/>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57FF40F6">
            <w:pPr>
              <w:ind w:firstLine="420"/>
              <w:rPr>
                <w:rFonts w:hAnsi="宋体"/>
                <w:color w:val="auto"/>
                <w:szCs w:val="21"/>
                <w:highlight w:val="none"/>
              </w:rPr>
            </w:pPr>
            <w:r>
              <w:rPr>
                <w:rFonts w:hint="eastAsia" w:hAnsi="宋体"/>
                <w:color w:val="auto"/>
                <w:szCs w:val="21"/>
                <w:highlight w:val="none"/>
              </w:rPr>
              <w:t>工程招标</w:t>
            </w:r>
          </w:p>
        </w:tc>
      </w:tr>
      <w:tr w14:paraId="26AD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7229BFD">
            <w:pPr>
              <w:ind w:firstLine="420"/>
              <w:rPr>
                <w:rFonts w:hAnsi="宋体"/>
                <w:color w:val="auto"/>
                <w:szCs w:val="21"/>
                <w:highlight w:val="none"/>
              </w:rPr>
            </w:pPr>
            <w:r>
              <w:rPr>
                <w:rFonts w:hint="eastAsia" w:hAnsi="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tcPr>
          <w:p w14:paraId="75C6FAEB">
            <w:pPr>
              <w:ind w:firstLine="420"/>
              <w:rPr>
                <w:rFonts w:hAnsi="宋体"/>
                <w:color w:val="auto"/>
                <w:szCs w:val="21"/>
                <w:highlight w:val="none"/>
              </w:rPr>
            </w:pPr>
            <w:r>
              <w:rPr>
                <w:rFonts w:hAnsi="宋体" w:cs="宋体"/>
                <w:color w:val="auto"/>
                <w:szCs w:val="21"/>
                <w:highlight w:val="none"/>
              </w:rPr>
              <w:t>1.5%</w:t>
            </w:r>
          </w:p>
        </w:tc>
        <w:tc>
          <w:tcPr>
            <w:tcW w:w="1687" w:type="dxa"/>
            <w:tcBorders>
              <w:top w:val="single" w:color="auto" w:sz="4" w:space="0"/>
              <w:left w:val="single" w:color="auto" w:sz="4" w:space="0"/>
              <w:bottom w:val="single" w:color="auto" w:sz="4" w:space="0"/>
              <w:right w:val="single" w:color="auto" w:sz="4" w:space="0"/>
            </w:tcBorders>
          </w:tcPr>
          <w:p w14:paraId="6D950A8C">
            <w:pPr>
              <w:ind w:firstLine="420"/>
              <w:rPr>
                <w:rFonts w:hAnsi="宋体"/>
                <w:color w:val="auto"/>
                <w:szCs w:val="21"/>
                <w:highlight w:val="none"/>
              </w:rPr>
            </w:pPr>
            <w:r>
              <w:rPr>
                <w:rFonts w:hAnsi="宋体" w:cs="宋体"/>
                <w:color w:val="auto"/>
                <w:szCs w:val="21"/>
                <w:highlight w:val="none"/>
              </w:rPr>
              <w:t>1.5%</w:t>
            </w:r>
          </w:p>
        </w:tc>
        <w:tc>
          <w:tcPr>
            <w:tcW w:w="1659" w:type="dxa"/>
            <w:tcBorders>
              <w:top w:val="single" w:color="auto" w:sz="4" w:space="0"/>
              <w:left w:val="single" w:color="auto" w:sz="4" w:space="0"/>
              <w:bottom w:val="single" w:color="auto" w:sz="4" w:space="0"/>
              <w:right w:val="single" w:color="auto" w:sz="4" w:space="0"/>
            </w:tcBorders>
          </w:tcPr>
          <w:p w14:paraId="09C27C66">
            <w:pPr>
              <w:ind w:firstLine="420"/>
              <w:rPr>
                <w:rFonts w:hAnsi="宋体"/>
                <w:color w:val="auto"/>
                <w:szCs w:val="21"/>
                <w:highlight w:val="none"/>
              </w:rPr>
            </w:pPr>
            <w:r>
              <w:rPr>
                <w:rFonts w:hAnsi="宋体" w:cs="宋体"/>
                <w:color w:val="auto"/>
                <w:szCs w:val="21"/>
                <w:highlight w:val="none"/>
              </w:rPr>
              <w:t>1.0%</w:t>
            </w:r>
          </w:p>
        </w:tc>
      </w:tr>
      <w:tr w14:paraId="79FF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C9D35FA">
            <w:pPr>
              <w:ind w:firstLine="420"/>
              <w:rPr>
                <w:rFonts w:hAnsi="宋体"/>
                <w:color w:val="auto"/>
                <w:szCs w:val="21"/>
                <w:highlight w:val="none"/>
              </w:rPr>
            </w:pPr>
            <w:r>
              <w:rPr>
                <w:rFonts w:hint="eastAsia" w:hAnsi="宋体"/>
                <w:color w:val="auto"/>
                <w:szCs w:val="21"/>
                <w:highlight w:val="none"/>
              </w:rPr>
              <w:t>100万～500万元</w:t>
            </w:r>
          </w:p>
        </w:tc>
        <w:tc>
          <w:tcPr>
            <w:tcW w:w="1659" w:type="dxa"/>
            <w:tcBorders>
              <w:top w:val="single" w:color="auto" w:sz="4" w:space="0"/>
              <w:left w:val="single" w:color="auto" w:sz="4" w:space="0"/>
              <w:bottom w:val="single" w:color="auto" w:sz="4" w:space="0"/>
              <w:right w:val="single" w:color="auto" w:sz="4" w:space="0"/>
            </w:tcBorders>
          </w:tcPr>
          <w:p w14:paraId="162C9E66">
            <w:pPr>
              <w:ind w:firstLine="420"/>
              <w:rPr>
                <w:rFonts w:hAnsi="宋体"/>
                <w:color w:val="auto"/>
                <w:szCs w:val="21"/>
                <w:highlight w:val="none"/>
              </w:rPr>
            </w:pPr>
            <w:r>
              <w:rPr>
                <w:rFonts w:hAnsi="宋体" w:cs="宋体"/>
                <w:color w:val="auto"/>
                <w:szCs w:val="21"/>
                <w:highlight w:val="none"/>
              </w:rPr>
              <w:t>1.1%</w:t>
            </w:r>
          </w:p>
        </w:tc>
        <w:tc>
          <w:tcPr>
            <w:tcW w:w="1687" w:type="dxa"/>
            <w:tcBorders>
              <w:top w:val="single" w:color="auto" w:sz="4" w:space="0"/>
              <w:left w:val="single" w:color="auto" w:sz="4" w:space="0"/>
              <w:bottom w:val="single" w:color="auto" w:sz="4" w:space="0"/>
              <w:right w:val="single" w:color="auto" w:sz="4" w:space="0"/>
            </w:tcBorders>
          </w:tcPr>
          <w:p w14:paraId="48C57C15">
            <w:pPr>
              <w:ind w:firstLine="420"/>
              <w:rPr>
                <w:rFonts w:hAnsi="宋体"/>
                <w:color w:val="auto"/>
                <w:szCs w:val="21"/>
                <w:highlight w:val="none"/>
              </w:rPr>
            </w:pPr>
            <w:r>
              <w:rPr>
                <w:rFonts w:hAnsi="宋体" w:cs="宋体"/>
                <w:color w:val="auto"/>
                <w:szCs w:val="21"/>
                <w:highlight w:val="none"/>
              </w:rPr>
              <w:t>0.8%</w:t>
            </w:r>
          </w:p>
        </w:tc>
        <w:tc>
          <w:tcPr>
            <w:tcW w:w="1659" w:type="dxa"/>
            <w:tcBorders>
              <w:top w:val="single" w:color="auto" w:sz="4" w:space="0"/>
              <w:left w:val="single" w:color="auto" w:sz="4" w:space="0"/>
              <w:bottom w:val="single" w:color="auto" w:sz="4" w:space="0"/>
              <w:right w:val="single" w:color="auto" w:sz="4" w:space="0"/>
            </w:tcBorders>
          </w:tcPr>
          <w:p w14:paraId="5B3600FA">
            <w:pPr>
              <w:ind w:firstLine="420"/>
              <w:rPr>
                <w:rFonts w:hAnsi="宋体"/>
                <w:color w:val="auto"/>
                <w:szCs w:val="21"/>
                <w:highlight w:val="none"/>
              </w:rPr>
            </w:pPr>
            <w:r>
              <w:rPr>
                <w:rFonts w:hAnsi="宋体" w:cs="宋体"/>
                <w:color w:val="auto"/>
                <w:szCs w:val="21"/>
                <w:highlight w:val="none"/>
              </w:rPr>
              <w:t>0.7%</w:t>
            </w:r>
          </w:p>
        </w:tc>
      </w:tr>
      <w:tr w14:paraId="52B3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1C13D66">
            <w:pPr>
              <w:ind w:firstLine="420"/>
              <w:rPr>
                <w:rFonts w:hAnsi="宋体"/>
                <w:color w:val="auto"/>
                <w:szCs w:val="21"/>
                <w:highlight w:val="none"/>
              </w:rPr>
            </w:pPr>
            <w:r>
              <w:rPr>
                <w:rFonts w:hint="eastAsia" w:hAnsi="宋体"/>
                <w:color w:val="auto"/>
                <w:szCs w:val="21"/>
                <w:highlight w:val="none"/>
              </w:rPr>
              <w:t>500万～1000万元</w:t>
            </w:r>
          </w:p>
        </w:tc>
        <w:tc>
          <w:tcPr>
            <w:tcW w:w="1659" w:type="dxa"/>
            <w:tcBorders>
              <w:top w:val="single" w:color="auto" w:sz="4" w:space="0"/>
              <w:left w:val="single" w:color="auto" w:sz="4" w:space="0"/>
              <w:bottom w:val="single" w:color="auto" w:sz="4" w:space="0"/>
              <w:right w:val="single" w:color="auto" w:sz="4" w:space="0"/>
            </w:tcBorders>
          </w:tcPr>
          <w:p w14:paraId="1D5D588F">
            <w:pPr>
              <w:ind w:firstLine="420"/>
              <w:rPr>
                <w:rFonts w:hAnsi="宋体"/>
                <w:color w:val="auto"/>
                <w:szCs w:val="21"/>
                <w:highlight w:val="none"/>
              </w:rPr>
            </w:pPr>
            <w:r>
              <w:rPr>
                <w:rFonts w:hAnsi="宋体" w:cs="宋体"/>
                <w:color w:val="auto"/>
                <w:szCs w:val="21"/>
                <w:highlight w:val="none"/>
              </w:rPr>
              <w:t>0.8%</w:t>
            </w:r>
          </w:p>
        </w:tc>
        <w:tc>
          <w:tcPr>
            <w:tcW w:w="1687" w:type="dxa"/>
            <w:tcBorders>
              <w:top w:val="single" w:color="auto" w:sz="4" w:space="0"/>
              <w:left w:val="single" w:color="auto" w:sz="4" w:space="0"/>
              <w:bottom w:val="single" w:color="auto" w:sz="4" w:space="0"/>
              <w:right w:val="single" w:color="auto" w:sz="4" w:space="0"/>
            </w:tcBorders>
          </w:tcPr>
          <w:p w14:paraId="211B2C02">
            <w:pPr>
              <w:ind w:firstLine="420"/>
              <w:rPr>
                <w:rFonts w:hAnsi="宋体"/>
                <w:color w:val="auto"/>
                <w:szCs w:val="21"/>
                <w:highlight w:val="none"/>
              </w:rPr>
            </w:pPr>
            <w:r>
              <w:rPr>
                <w:rFonts w:hAnsi="宋体" w:cs="宋体"/>
                <w:color w:val="auto"/>
                <w:szCs w:val="21"/>
                <w:highlight w:val="none"/>
              </w:rPr>
              <w:t>0.45%</w:t>
            </w:r>
          </w:p>
        </w:tc>
        <w:tc>
          <w:tcPr>
            <w:tcW w:w="1659" w:type="dxa"/>
            <w:tcBorders>
              <w:top w:val="single" w:color="auto" w:sz="4" w:space="0"/>
              <w:left w:val="single" w:color="auto" w:sz="4" w:space="0"/>
              <w:bottom w:val="single" w:color="auto" w:sz="4" w:space="0"/>
              <w:right w:val="single" w:color="auto" w:sz="4" w:space="0"/>
            </w:tcBorders>
          </w:tcPr>
          <w:p w14:paraId="2A741C33">
            <w:pPr>
              <w:ind w:firstLine="420"/>
              <w:rPr>
                <w:rFonts w:hAnsi="宋体"/>
                <w:color w:val="auto"/>
                <w:szCs w:val="21"/>
                <w:highlight w:val="none"/>
              </w:rPr>
            </w:pPr>
            <w:r>
              <w:rPr>
                <w:rFonts w:hAnsi="宋体" w:cs="宋体"/>
                <w:color w:val="auto"/>
                <w:szCs w:val="21"/>
                <w:highlight w:val="none"/>
              </w:rPr>
              <w:t>0.55%</w:t>
            </w:r>
          </w:p>
        </w:tc>
      </w:tr>
      <w:tr w14:paraId="429D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A569503">
            <w:pPr>
              <w:ind w:firstLine="420"/>
              <w:rPr>
                <w:rFonts w:hAnsi="宋体"/>
                <w:color w:val="auto"/>
                <w:szCs w:val="21"/>
                <w:highlight w:val="none"/>
              </w:rPr>
            </w:pPr>
            <w:r>
              <w:rPr>
                <w:rFonts w:hint="eastAsia" w:hAnsi="宋体"/>
                <w:color w:val="auto"/>
                <w:szCs w:val="21"/>
                <w:highlight w:val="none"/>
              </w:rPr>
              <w:t>1000万～5000万元</w:t>
            </w:r>
          </w:p>
        </w:tc>
        <w:tc>
          <w:tcPr>
            <w:tcW w:w="1659" w:type="dxa"/>
            <w:tcBorders>
              <w:top w:val="single" w:color="auto" w:sz="4" w:space="0"/>
              <w:left w:val="single" w:color="auto" w:sz="4" w:space="0"/>
              <w:bottom w:val="single" w:color="auto" w:sz="4" w:space="0"/>
              <w:right w:val="single" w:color="auto" w:sz="4" w:space="0"/>
            </w:tcBorders>
          </w:tcPr>
          <w:p w14:paraId="169F8F33">
            <w:pPr>
              <w:ind w:firstLine="420"/>
              <w:rPr>
                <w:rFonts w:hAnsi="宋体"/>
                <w:color w:val="auto"/>
                <w:szCs w:val="21"/>
                <w:highlight w:val="none"/>
              </w:rPr>
            </w:pPr>
            <w:r>
              <w:rPr>
                <w:rFonts w:hAnsi="宋体" w:cs="宋体"/>
                <w:color w:val="auto"/>
                <w:szCs w:val="21"/>
                <w:highlight w:val="none"/>
              </w:rPr>
              <w:t>0.5%</w:t>
            </w:r>
          </w:p>
        </w:tc>
        <w:tc>
          <w:tcPr>
            <w:tcW w:w="1687" w:type="dxa"/>
            <w:tcBorders>
              <w:top w:val="single" w:color="auto" w:sz="4" w:space="0"/>
              <w:left w:val="single" w:color="auto" w:sz="4" w:space="0"/>
              <w:bottom w:val="single" w:color="auto" w:sz="4" w:space="0"/>
              <w:right w:val="single" w:color="auto" w:sz="4" w:space="0"/>
            </w:tcBorders>
          </w:tcPr>
          <w:p w14:paraId="02455BB7">
            <w:pPr>
              <w:ind w:firstLine="420"/>
              <w:rPr>
                <w:rFonts w:hAnsi="宋体"/>
                <w:color w:val="auto"/>
                <w:szCs w:val="21"/>
                <w:highlight w:val="none"/>
              </w:rPr>
            </w:pPr>
            <w:r>
              <w:rPr>
                <w:rFonts w:hAnsi="宋体" w:cs="宋体"/>
                <w:color w:val="auto"/>
                <w:szCs w:val="21"/>
                <w:highlight w:val="none"/>
              </w:rPr>
              <w:t>0.25%</w:t>
            </w:r>
          </w:p>
        </w:tc>
        <w:tc>
          <w:tcPr>
            <w:tcW w:w="1659" w:type="dxa"/>
            <w:tcBorders>
              <w:top w:val="single" w:color="auto" w:sz="4" w:space="0"/>
              <w:left w:val="single" w:color="auto" w:sz="4" w:space="0"/>
              <w:bottom w:val="single" w:color="auto" w:sz="4" w:space="0"/>
              <w:right w:val="single" w:color="auto" w:sz="4" w:space="0"/>
            </w:tcBorders>
          </w:tcPr>
          <w:p w14:paraId="39DC3A32">
            <w:pPr>
              <w:ind w:firstLine="420"/>
              <w:rPr>
                <w:rFonts w:hAnsi="宋体"/>
                <w:color w:val="auto"/>
                <w:szCs w:val="21"/>
                <w:highlight w:val="none"/>
              </w:rPr>
            </w:pPr>
            <w:r>
              <w:rPr>
                <w:rFonts w:hAnsi="宋体" w:cs="宋体"/>
                <w:color w:val="auto"/>
                <w:szCs w:val="21"/>
                <w:highlight w:val="none"/>
              </w:rPr>
              <w:t>0.35%</w:t>
            </w:r>
          </w:p>
        </w:tc>
      </w:tr>
      <w:tr w14:paraId="40A9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16D6ED7">
            <w:pPr>
              <w:ind w:firstLine="420"/>
              <w:rPr>
                <w:rFonts w:hAnsi="宋体"/>
                <w:color w:val="auto"/>
                <w:szCs w:val="21"/>
                <w:highlight w:val="none"/>
              </w:rPr>
            </w:pPr>
            <w:r>
              <w:rPr>
                <w:rFonts w:hint="eastAsia" w:hAnsi="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tcPr>
          <w:p w14:paraId="1E420519">
            <w:pPr>
              <w:ind w:firstLine="420"/>
              <w:rPr>
                <w:rFonts w:hAnsi="宋体"/>
                <w:color w:val="auto"/>
                <w:szCs w:val="21"/>
                <w:highlight w:val="none"/>
              </w:rPr>
            </w:pPr>
            <w:r>
              <w:rPr>
                <w:rFonts w:hAnsi="宋体" w:cs="宋体"/>
                <w:color w:val="auto"/>
                <w:szCs w:val="21"/>
                <w:highlight w:val="none"/>
              </w:rPr>
              <w:t>0.25%</w:t>
            </w:r>
          </w:p>
        </w:tc>
        <w:tc>
          <w:tcPr>
            <w:tcW w:w="1687" w:type="dxa"/>
            <w:tcBorders>
              <w:top w:val="single" w:color="auto" w:sz="4" w:space="0"/>
              <w:left w:val="single" w:color="auto" w:sz="4" w:space="0"/>
              <w:bottom w:val="single" w:color="auto" w:sz="4" w:space="0"/>
              <w:right w:val="single" w:color="auto" w:sz="4" w:space="0"/>
            </w:tcBorders>
          </w:tcPr>
          <w:p w14:paraId="65CA6580">
            <w:pPr>
              <w:ind w:firstLine="420"/>
              <w:rPr>
                <w:rFonts w:hAnsi="宋体"/>
                <w:color w:val="auto"/>
                <w:szCs w:val="21"/>
                <w:highlight w:val="none"/>
              </w:rPr>
            </w:pPr>
            <w:r>
              <w:rPr>
                <w:rFonts w:hAnsi="宋体" w:cs="宋体"/>
                <w:color w:val="auto"/>
                <w:szCs w:val="21"/>
                <w:highlight w:val="none"/>
              </w:rPr>
              <w:t>0.1%</w:t>
            </w:r>
          </w:p>
        </w:tc>
        <w:tc>
          <w:tcPr>
            <w:tcW w:w="1659" w:type="dxa"/>
            <w:tcBorders>
              <w:top w:val="single" w:color="auto" w:sz="4" w:space="0"/>
              <w:left w:val="single" w:color="auto" w:sz="4" w:space="0"/>
              <w:bottom w:val="single" w:color="auto" w:sz="4" w:space="0"/>
              <w:right w:val="single" w:color="auto" w:sz="4" w:space="0"/>
            </w:tcBorders>
          </w:tcPr>
          <w:p w14:paraId="20A4BC0A">
            <w:pPr>
              <w:ind w:firstLine="420"/>
              <w:rPr>
                <w:rFonts w:hAnsi="宋体"/>
                <w:color w:val="auto"/>
                <w:szCs w:val="21"/>
                <w:highlight w:val="none"/>
              </w:rPr>
            </w:pPr>
            <w:r>
              <w:rPr>
                <w:rFonts w:hAnsi="宋体" w:cs="宋体"/>
                <w:color w:val="auto"/>
                <w:szCs w:val="21"/>
                <w:highlight w:val="none"/>
              </w:rPr>
              <w:t>0.2%</w:t>
            </w:r>
          </w:p>
        </w:tc>
      </w:tr>
      <w:tr w14:paraId="499A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10CF3140">
            <w:pPr>
              <w:ind w:firstLine="420"/>
              <w:rPr>
                <w:rFonts w:hAnsi="宋体"/>
                <w:color w:val="auto"/>
                <w:szCs w:val="21"/>
                <w:highlight w:val="none"/>
              </w:rPr>
            </w:pPr>
            <w:r>
              <w:rPr>
                <w:rFonts w:hint="eastAsia" w:hAnsi="宋体"/>
                <w:color w:val="auto"/>
                <w:szCs w:val="21"/>
                <w:highlight w:val="none"/>
              </w:rPr>
              <w:t>1亿～5亿元</w:t>
            </w:r>
          </w:p>
        </w:tc>
        <w:tc>
          <w:tcPr>
            <w:tcW w:w="1659" w:type="dxa"/>
            <w:tcBorders>
              <w:top w:val="single" w:color="auto" w:sz="4" w:space="0"/>
              <w:left w:val="single" w:color="auto" w:sz="4" w:space="0"/>
              <w:bottom w:val="single" w:color="auto" w:sz="4" w:space="0"/>
              <w:right w:val="single" w:color="auto" w:sz="4" w:space="0"/>
            </w:tcBorders>
          </w:tcPr>
          <w:p w14:paraId="77A119AC">
            <w:pPr>
              <w:ind w:firstLine="420"/>
              <w:rPr>
                <w:rFonts w:hAnsi="宋体"/>
                <w:color w:val="auto"/>
                <w:szCs w:val="21"/>
                <w:highlight w:val="none"/>
              </w:rPr>
            </w:pPr>
            <w:r>
              <w:rPr>
                <w:rFonts w:hint="eastAsia" w:hAnsi="宋体"/>
                <w:color w:val="auto"/>
                <w:szCs w:val="21"/>
                <w:highlight w:val="none"/>
              </w:rPr>
              <w:t>0.05%</w:t>
            </w:r>
          </w:p>
        </w:tc>
        <w:tc>
          <w:tcPr>
            <w:tcW w:w="1687" w:type="dxa"/>
            <w:tcBorders>
              <w:top w:val="single" w:color="auto" w:sz="4" w:space="0"/>
              <w:left w:val="single" w:color="auto" w:sz="4" w:space="0"/>
              <w:bottom w:val="single" w:color="auto" w:sz="4" w:space="0"/>
              <w:right w:val="single" w:color="auto" w:sz="4" w:space="0"/>
            </w:tcBorders>
          </w:tcPr>
          <w:p w14:paraId="7A62C8E0">
            <w:pPr>
              <w:ind w:firstLine="420"/>
              <w:rPr>
                <w:rFonts w:hAnsi="宋体"/>
                <w:color w:val="auto"/>
                <w:szCs w:val="21"/>
                <w:highlight w:val="none"/>
              </w:rPr>
            </w:pPr>
            <w:r>
              <w:rPr>
                <w:rFonts w:hint="eastAsia" w:hAnsi="宋体"/>
                <w:color w:val="auto"/>
                <w:szCs w:val="21"/>
                <w:highlight w:val="none"/>
              </w:rPr>
              <w:t>0.05%</w:t>
            </w:r>
          </w:p>
        </w:tc>
        <w:tc>
          <w:tcPr>
            <w:tcW w:w="1659" w:type="dxa"/>
            <w:tcBorders>
              <w:top w:val="single" w:color="auto" w:sz="4" w:space="0"/>
              <w:left w:val="single" w:color="auto" w:sz="4" w:space="0"/>
              <w:bottom w:val="single" w:color="auto" w:sz="4" w:space="0"/>
              <w:right w:val="single" w:color="auto" w:sz="4" w:space="0"/>
            </w:tcBorders>
          </w:tcPr>
          <w:p w14:paraId="3AC14112">
            <w:pPr>
              <w:ind w:firstLine="420"/>
              <w:rPr>
                <w:rFonts w:hAnsi="宋体"/>
                <w:color w:val="auto"/>
                <w:szCs w:val="21"/>
                <w:highlight w:val="none"/>
              </w:rPr>
            </w:pPr>
            <w:r>
              <w:rPr>
                <w:rFonts w:hint="eastAsia" w:hAnsi="宋体"/>
                <w:color w:val="auto"/>
                <w:szCs w:val="21"/>
                <w:highlight w:val="none"/>
              </w:rPr>
              <w:t>0.05%</w:t>
            </w:r>
          </w:p>
        </w:tc>
      </w:tr>
      <w:tr w14:paraId="3E6D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BFD4304">
            <w:pPr>
              <w:ind w:firstLine="420"/>
              <w:rPr>
                <w:rFonts w:hAnsi="宋体"/>
                <w:color w:val="auto"/>
                <w:szCs w:val="21"/>
                <w:highlight w:val="none"/>
              </w:rPr>
            </w:pPr>
            <w:r>
              <w:rPr>
                <w:rFonts w:hint="eastAsia" w:hAnsi="宋体"/>
                <w:color w:val="auto"/>
                <w:szCs w:val="21"/>
                <w:highlight w:val="none"/>
              </w:rPr>
              <w:t>5亿～10亿元</w:t>
            </w:r>
          </w:p>
        </w:tc>
        <w:tc>
          <w:tcPr>
            <w:tcW w:w="1659" w:type="dxa"/>
            <w:tcBorders>
              <w:top w:val="single" w:color="auto" w:sz="4" w:space="0"/>
              <w:left w:val="single" w:color="auto" w:sz="4" w:space="0"/>
              <w:bottom w:val="single" w:color="auto" w:sz="4" w:space="0"/>
              <w:right w:val="single" w:color="auto" w:sz="4" w:space="0"/>
            </w:tcBorders>
          </w:tcPr>
          <w:p w14:paraId="0E00B9A9">
            <w:pPr>
              <w:ind w:firstLine="420"/>
              <w:rPr>
                <w:rFonts w:hAnsi="宋体"/>
                <w:color w:val="auto"/>
                <w:szCs w:val="21"/>
                <w:highlight w:val="none"/>
              </w:rPr>
            </w:pPr>
            <w:r>
              <w:rPr>
                <w:rFonts w:hint="eastAsia" w:hAnsi="宋体"/>
                <w:color w:val="auto"/>
                <w:szCs w:val="21"/>
                <w:highlight w:val="none"/>
              </w:rPr>
              <w:t>0.035%</w:t>
            </w:r>
          </w:p>
        </w:tc>
        <w:tc>
          <w:tcPr>
            <w:tcW w:w="1687" w:type="dxa"/>
            <w:tcBorders>
              <w:top w:val="single" w:color="auto" w:sz="4" w:space="0"/>
              <w:left w:val="single" w:color="auto" w:sz="4" w:space="0"/>
              <w:bottom w:val="single" w:color="auto" w:sz="4" w:space="0"/>
              <w:right w:val="single" w:color="auto" w:sz="4" w:space="0"/>
            </w:tcBorders>
          </w:tcPr>
          <w:p w14:paraId="4CDF4DA1">
            <w:pPr>
              <w:ind w:firstLine="420"/>
              <w:rPr>
                <w:rFonts w:hAnsi="宋体"/>
                <w:color w:val="auto"/>
                <w:szCs w:val="21"/>
                <w:highlight w:val="none"/>
              </w:rPr>
            </w:pPr>
            <w:r>
              <w:rPr>
                <w:rFonts w:hint="eastAsia" w:hAnsi="宋体"/>
                <w:color w:val="auto"/>
                <w:szCs w:val="21"/>
                <w:highlight w:val="none"/>
              </w:rPr>
              <w:t>0.035%</w:t>
            </w:r>
          </w:p>
        </w:tc>
        <w:tc>
          <w:tcPr>
            <w:tcW w:w="1659" w:type="dxa"/>
            <w:tcBorders>
              <w:top w:val="single" w:color="auto" w:sz="4" w:space="0"/>
              <w:left w:val="single" w:color="auto" w:sz="4" w:space="0"/>
              <w:bottom w:val="single" w:color="auto" w:sz="4" w:space="0"/>
              <w:right w:val="single" w:color="auto" w:sz="4" w:space="0"/>
            </w:tcBorders>
          </w:tcPr>
          <w:p w14:paraId="2DB1ED09">
            <w:pPr>
              <w:ind w:firstLine="420"/>
              <w:rPr>
                <w:rFonts w:hAnsi="宋体"/>
                <w:color w:val="auto"/>
                <w:szCs w:val="21"/>
                <w:highlight w:val="none"/>
              </w:rPr>
            </w:pPr>
            <w:r>
              <w:rPr>
                <w:rFonts w:hint="eastAsia" w:hAnsi="宋体"/>
                <w:color w:val="auto"/>
                <w:szCs w:val="21"/>
                <w:highlight w:val="none"/>
              </w:rPr>
              <w:t>0.035%</w:t>
            </w:r>
          </w:p>
        </w:tc>
      </w:tr>
      <w:tr w14:paraId="0AC1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17C2DF04">
            <w:pPr>
              <w:ind w:firstLine="420"/>
              <w:rPr>
                <w:rFonts w:hAnsi="宋体"/>
                <w:color w:val="auto"/>
                <w:szCs w:val="21"/>
                <w:highlight w:val="none"/>
              </w:rPr>
            </w:pPr>
            <w:r>
              <w:rPr>
                <w:rFonts w:hint="eastAsia" w:hAnsi="宋体"/>
                <w:color w:val="auto"/>
                <w:szCs w:val="21"/>
                <w:highlight w:val="none"/>
              </w:rPr>
              <w:t>10亿～50亿元</w:t>
            </w:r>
          </w:p>
        </w:tc>
        <w:tc>
          <w:tcPr>
            <w:tcW w:w="1659" w:type="dxa"/>
            <w:tcBorders>
              <w:top w:val="single" w:color="auto" w:sz="4" w:space="0"/>
              <w:left w:val="single" w:color="auto" w:sz="4" w:space="0"/>
              <w:bottom w:val="single" w:color="auto" w:sz="4" w:space="0"/>
              <w:right w:val="single" w:color="auto" w:sz="4" w:space="0"/>
            </w:tcBorders>
          </w:tcPr>
          <w:p w14:paraId="29F24B36">
            <w:pPr>
              <w:ind w:firstLine="420"/>
              <w:rPr>
                <w:rFonts w:hAnsi="宋体"/>
                <w:color w:val="auto"/>
                <w:szCs w:val="21"/>
                <w:highlight w:val="none"/>
              </w:rPr>
            </w:pPr>
            <w:r>
              <w:rPr>
                <w:rFonts w:hint="eastAsia" w:hAnsi="宋体"/>
                <w:color w:val="auto"/>
                <w:szCs w:val="21"/>
                <w:highlight w:val="none"/>
              </w:rPr>
              <w:t>0.008%</w:t>
            </w:r>
          </w:p>
        </w:tc>
        <w:tc>
          <w:tcPr>
            <w:tcW w:w="1687" w:type="dxa"/>
            <w:tcBorders>
              <w:top w:val="single" w:color="auto" w:sz="4" w:space="0"/>
              <w:left w:val="single" w:color="auto" w:sz="4" w:space="0"/>
              <w:bottom w:val="single" w:color="auto" w:sz="4" w:space="0"/>
              <w:right w:val="single" w:color="auto" w:sz="4" w:space="0"/>
            </w:tcBorders>
          </w:tcPr>
          <w:p w14:paraId="4F3C1748">
            <w:pPr>
              <w:ind w:firstLine="420"/>
              <w:rPr>
                <w:rFonts w:hAnsi="宋体"/>
                <w:color w:val="auto"/>
                <w:szCs w:val="21"/>
                <w:highlight w:val="none"/>
              </w:rPr>
            </w:pPr>
            <w:r>
              <w:rPr>
                <w:rFonts w:hint="eastAsia" w:hAnsi="宋体"/>
                <w:color w:val="auto"/>
                <w:szCs w:val="21"/>
                <w:highlight w:val="none"/>
              </w:rPr>
              <w:t>0.008%</w:t>
            </w:r>
          </w:p>
        </w:tc>
        <w:tc>
          <w:tcPr>
            <w:tcW w:w="1659" w:type="dxa"/>
            <w:tcBorders>
              <w:top w:val="single" w:color="auto" w:sz="4" w:space="0"/>
              <w:left w:val="single" w:color="auto" w:sz="4" w:space="0"/>
              <w:bottom w:val="single" w:color="auto" w:sz="4" w:space="0"/>
              <w:right w:val="single" w:color="auto" w:sz="4" w:space="0"/>
            </w:tcBorders>
          </w:tcPr>
          <w:p w14:paraId="4F55F5A1">
            <w:pPr>
              <w:ind w:firstLine="420"/>
              <w:rPr>
                <w:rFonts w:hAnsi="宋体"/>
                <w:color w:val="auto"/>
                <w:szCs w:val="21"/>
                <w:highlight w:val="none"/>
              </w:rPr>
            </w:pPr>
            <w:r>
              <w:rPr>
                <w:rFonts w:hint="eastAsia" w:hAnsi="宋体"/>
                <w:color w:val="auto"/>
                <w:szCs w:val="21"/>
                <w:highlight w:val="none"/>
              </w:rPr>
              <w:t>0.008%</w:t>
            </w:r>
          </w:p>
        </w:tc>
      </w:tr>
      <w:tr w14:paraId="397F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07B51C3">
            <w:pPr>
              <w:ind w:firstLine="420"/>
              <w:rPr>
                <w:rFonts w:hAnsi="宋体"/>
                <w:color w:val="auto"/>
                <w:szCs w:val="21"/>
                <w:highlight w:val="none"/>
              </w:rPr>
            </w:pPr>
            <w:r>
              <w:rPr>
                <w:rFonts w:hint="eastAsia" w:hAnsi="宋体"/>
                <w:color w:val="auto"/>
                <w:szCs w:val="21"/>
                <w:highlight w:val="none"/>
              </w:rPr>
              <w:t>50亿～100亿元</w:t>
            </w:r>
          </w:p>
        </w:tc>
        <w:tc>
          <w:tcPr>
            <w:tcW w:w="1659" w:type="dxa"/>
            <w:tcBorders>
              <w:top w:val="single" w:color="auto" w:sz="4" w:space="0"/>
              <w:left w:val="single" w:color="auto" w:sz="4" w:space="0"/>
              <w:bottom w:val="single" w:color="auto" w:sz="4" w:space="0"/>
              <w:right w:val="single" w:color="auto" w:sz="4" w:space="0"/>
            </w:tcBorders>
          </w:tcPr>
          <w:p w14:paraId="15FC453D">
            <w:pPr>
              <w:ind w:firstLine="420"/>
              <w:rPr>
                <w:rFonts w:hAnsi="宋体"/>
                <w:color w:val="auto"/>
                <w:szCs w:val="21"/>
                <w:highlight w:val="none"/>
              </w:rPr>
            </w:pPr>
            <w:r>
              <w:rPr>
                <w:rFonts w:hint="eastAsia" w:hAnsi="宋体"/>
                <w:color w:val="auto"/>
                <w:szCs w:val="21"/>
                <w:highlight w:val="none"/>
              </w:rPr>
              <w:t>0.006%</w:t>
            </w:r>
          </w:p>
        </w:tc>
        <w:tc>
          <w:tcPr>
            <w:tcW w:w="1687" w:type="dxa"/>
            <w:tcBorders>
              <w:top w:val="single" w:color="auto" w:sz="4" w:space="0"/>
              <w:left w:val="single" w:color="auto" w:sz="4" w:space="0"/>
              <w:bottom w:val="single" w:color="auto" w:sz="4" w:space="0"/>
              <w:right w:val="single" w:color="auto" w:sz="4" w:space="0"/>
            </w:tcBorders>
          </w:tcPr>
          <w:p w14:paraId="09F8ECC3">
            <w:pPr>
              <w:ind w:firstLine="420"/>
              <w:rPr>
                <w:rFonts w:hAnsi="宋体"/>
                <w:color w:val="auto"/>
                <w:szCs w:val="21"/>
                <w:highlight w:val="none"/>
              </w:rPr>
            </w:pPr>
            <w:r>
              <w:rPr>
                <w:rFonts w:hint="eastAsia" w:hAnsi="宋体"/>
                <w:color w:val="auto"/>
                <w:szCs w:val="21"/>
                <w:highlight w:val="none"/>
              </w:rPr>
              <w:t>0.006%</w:t>
            </w:r>
          </w:p>
        </w:tc>
        <w:tc>
          <w:tcPr>
            <w:tcW w:w="1659" w:type="dxa"/>
            <w:tcBorders>
              <w:top w:val="single" w:color="auto" w:sz="4" w:space="0"/>
              <w:left w:val="single" w:color="auto" w:sz="4" w:space="0"/>
              <w:bottom w:val="single" w:color="auto" w:sz="4" w:space="0"/>
              <w:right w:val="single" w:color="auto" w:sz="4" w:space="0"/>
            </w:tcBorders>
          </w:tcPr>
          <w:p w14:paraId="2D9FAB47">
            <w:pPr>
              <w:ind w:firstLine="420"/>
              <w:rPr>
                <w:rFonts w:hAnsi="宋体"/>
                <w:color w:val="auto"/>
                <w:szCs w:val="21"/>
                <w:highlight w:val="none"/>
              </w:rPr>
            </w:pPr>
            <w:r>
              <w:rPr>
                <w:rFonts w:hint="eastAsia" w:hAnsi="宋体"/>
                <w:color w:val="auto"/>
                <w:szCs w:val="21"/>
                <w:highlight w:val="none"/>
              </w:rPr>
              <w:t>0.006%</w:t>
            </w:r>
          </w:p>
        </w:tc>
      </w:tr>
      <w:tr w14:paraId="68B0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4BFD827">
            <w:pPr>
              <w:ind w:firstLine="420"/>
              <w:rPr>
                <w:rFonts w:hAnsi="宋体"/>
                <w:color w:val="auto"/>
                <w:szCs w:val="21"/>
                <w:highlight w:val="none"/>
              </w:rPr>
            </w:pPr>
            <w:r>
              <w:rPr>
                <w:rFonts w:hint="eastAsia" w:hAnsi="宋体"/>
                <w:color w:val="auto"/>
                <w:szCs w:val="21"/>
                <w:highlight w:val="none"/>
              </w:rPr>
              <w:t>100亿元以上</w:t>
            </w:r>
          </w:p>
        </w:tc>
        <w:tc>
          <w:tcPr>
            <w:tcW w:w="1659" w:type="dxa"/>
            <w:tcBorders>
              <w:top w:val="single" w:color="auto" w:sz="4" w:space="0"/>
              <w:left w:val="single" w:color="auto" w:sz="4" w:space="0"/>
              <w:bottom w:val="single" w:color="auto" w:sz="4" w:space="0"/>
              <w:right w:val="single" w:color="auto" w:sz="4" w:space="0"/>
            </w:tcBorders>
          </w:tcPr>
          <w:p w14:paraId="3ED42D3B">
            <w:pPr>
              <w:ind w:firstLine="420"/>
              <w:rPr>
                <w:rFonts w:hAnsi="宋体"/>
                <w:color w:val="auto"/>
                <w:szCs w:val="21"/>
                <w:highlight w:val="none"/>
              </w:rPr>
            </w:pPr>
            <w:r>
              <w:rPr>
                <w:rFonts w:hint="eastAsia" w:hAnsi="宋体"/>
                <w:color w:val="auto"/>
                <w:szCs w:val="21"/>
                <w:highlight w:val="none"/>
              </w:rPr>
              <w:t>0.004%</w:t>
            </w:r>
          </w:p>
        </w:tc>
        <w:tc>
          <w:tcPr>
            <w:tcW w:w="1687" w:type="dxa"/>
            <w:tcBorders>
              <w:top w:val="single" w:color="auto" w:sz="4" w:space="0"/>
              <w:left w:val="single" w:color="auto" w:sz="4" w:space="0"/>
              <w:bottom w:val="single" w:color="auto" w:sz="4" w:space="0"/>
              <w:right w:val="single" w:color="auto" w:sz="4" w:space="0"/>
            </w:tcBorders>
          </w:tcPr>
          <w:p w14:paraId="6CD7FAD6">
            <w:pPr>
              <w:ind w:firstLine="420"/>
              <w:rPr>
                <w:rFonts w:hAnsi="宋体"/>
                <w:color w:val="auto"/>
                <w:szCs w:val="21"/>
                <w:highlight w:val="none"/>
              </w:rPr>
            </w:pPr>
            <w:r>
              <w:rPr>
                <w:rFonts w:hint="eastAsia" w:hAnsi="宋体"/>
                <w:color w:val="auto"/>
                <w:szCs w:val="21"/>
                <w:highlight w:val="none"/>
              </w:rPr>
              <w:t>0.004%</w:t>
            </w:r>
          </w:p>
        </w:tc>
        <w:tc>
          <w:tcPr>
            <w:tcW w:w="1659" w:type="dxa"/>
            <w:tcBorders>
              <w:top w:val="single" w:color="auto" w:sz="4" w:space="0"/>
              <w:left w:val="single" w:color="auto" w:sz="4" w:space="0"/>
              <w:bottom w:val="single" w:color="auto" w:sz="4" w:space="0"/>
              <w:right w:val="single" w:color="auto" w:sz="4" w:space="0"/>
            </w:tcBorders>
          </w:tcPr>
          <w:p w14:paraId="34BECBBE">
            <w:pPr>
              <w:ind w:firstLine="420"/>
              <w:rPr>
                <w:rFonts w:hAnsi="宋体"/>
                <w:color w:val="auto"/>
                <w:szCs w:val="21"/>
                <w:highlight w:val="none"/>
              </w:rPr>
            </w:pPr>
            <w:r>
              <w:rPr>
                <w:rFonts w:hint="eastAsia" w:hAnsi="宋体"/>
                <w:color w:val="auto"/>
                <w:szCs w:val="21"/>
                <w:highlight w:val="none"/>
              </w:rPr>
              <w:t>0.004%</w:t>
            </w:r>
          </w:p>
        </w:tc>
      </w:tr>
    </w:tbl>
    <w:p w14:paraId="56B59532">
      <w:pPr>
        <w:ind w:firstLine="420"/>
        <w:rPr>
          <w:rFonts w:hAnsi="宋体" w:cs="宋体"/>
          <w:color w:val="auto"/>
          <w:szCs w:val="21"/>
          <w:highlight w:val="none"/>
        </w:rPr>
      </w:pPr>
      <w:r>
        <w:rPr>
          <w:rFonts w:hint="eastAsia" w:hAnsi="宋体"/>
          <w:color w:val="auto"/>
          <w:szCs w:val="21"/>
          <w:highlight w:val="none"/>
        </w:rPr>
        <w:t>注：</w:t>
      </w:r>
    </w:p>
    <w:p w14:paraId="0F298DD6">
      <w:pPr>
        <w:ind w:firstLine="420"/>
        <w:rPr>
          <w:rFonts w:hAnsi="宋体" w:cs="宋体"/>
          <w:color w:val="auto"/>
          <w:szCs w:val="21"/>
          <w:highlight w:val="none"/>
        </w:rPr>
      </w:pPr>
      <w:r>
        <w:rPr>
          <w:rFonts w:hint="eastAsia" w:hAnsi="宋体" w:cs="宋体"/>
          <w:color w:val="auto"/>
          <w:szCs w:val="21"/>
          <w:highlight w:val="none"/>
        </w:rPr>
        <w:t>（1）</w:t>
      </w:r>
      <w:r>
        <w:rPr>
          <w:rFonts w:hAnsi="宋体" w:cs="宋体"/>
          <w:color w:val="auto"/>
          <w:szCs w:val="21"/>
          <w:highlight w:val="none"/>
        </w:rPr>
        <w:t>按本表费率计算的收费为</w:t>
      </w:r>
      <w:r>
        <w:rPr>
          <w:rFonts w:hint="eastAsia" w:hAnsi="宋体" w:cs="宋体"/>
          <w:color w:val="auto"/>
          <w:szCs w:val="21"/>
          <w:highlight w:val="none"/>
        </w:rPr>
        <w:t>采购</w:t>
      </w:r>
      <w:r>
        <w:rPr>
          <w:rFonts w:hAnsi="宋体" w:cs="宋体"/>
          <w:color w:val="auto"/>
          <w:szCs w:val="21"/>
          <w:highlight w:val="none"/>
        </w:rPr>
        <w:t>代理的收费基准价格</w:t>
      </w:r>
      <w:r>
        <w:rPr>
          <w:rFonts w:hint="eastAsia" w:hAnsi="宋体" w:cs="宋体"/>
          <w:color w:val="auto"/>
          <w:szCs w:val="21"/>
          <w:highlight w:val="none"/>
        </w:rPr>
        <w:t>；</w:t>
      </w:r>
    </w:p>
    <w:p w14:paraId="48330915">
      <w:pPr>
        <w:ind w:firstLine="420"/>
        <w:rPr>
          <w:rFonts w:hAnsi="宋体" w:cs="宋体"/>
          <w:color w:val="auto"/>
          <w:szCs w:val="21"/>
          <w:highlight w:val="none"/>
        </w:rPr>
      </w:pPr>
      <w:r>
        <w:rPr>
          <w:rFonts w:hint="eastAsia" w:hAnsi="宋体" w:cs="宋体"/>
          <w:color w:val="auto"/>
          <w:szCs w:val="21"/>
          <w:highlight w:val="none"/>
        </w:rPr>
        <w:t>（2）采购</w:t>
      </w:r>
      <w:r>
        <w:rPr>
          <w:rFonts w:hAnsi="宋体" w:cs="宋体"/>
          <w:color w:val="auto"/>
          <w:szCs w:val="21"/>
          <w:highlight w:val="none"/>
        </w:rPr>
        <w:t>代理收费按差额定率累进法计算。</w:t>
      </w:r>
    </w:p>
    <w:p w14:paraId="68F04943">
      <w:pPr>
        <w:ind w:firstLine="420"/>
        <w:rPr>
          <w:rFonts w:hAnsi="宋体" w:cs="宋体"/>
          <w:color w:val="auto"/>
          <w:szCs w:val="21"/>
          <w:highlight w:val="none"/>
        </w:rPr>
      </w:pPr>
      <w:r>
        <w:rPr>
          <w:rFonts w:hint="eastAsia" w:hAnsi="宋体" w:cs="宋体"/>
          <w:color w:val="auto"/>
          <w:szCs w:val="21"/>
          <w:highlight w:val="none"/>
        </w:rPr>
        <w:t>例如：某货物采购代理业务中标金额或者暂定价为200万元，计算采购代理收费额如下：</w:t>
      </w:r>
    </w:p>
    <w:p w14:paraId="653778FD">
      <w:pPr>
        <w:ind w:firstLine="420"/>
        <w:rPr>
          <w:rFonts w:hAnsi="宋体" w:cs="宋体"/>
          <w:color w:val="auto"/>
          <w:szCs w:val="21"/>
          <w:highlight w:val="none"/>
        </w:rPr>
      </w:pPr>
      <w:r>
        <w:rPr>
          <w:rFonts w:hint="eastAsia" w:hAnsi="宋体" w:cs="宋体"/>
          <w:color w:val="auto"/>
          <w:szCs w:val="21"/>
          <w:highlight w:val="none"/>
        </w:rPr>
        <w:t>100 万元×l.5 ％＝ 1.5 万元</w:t>
      </w:r>
    </w:p>
    <w:p w14:paraId="7A585EEB">
      <w:pPr>
        <w:ind w:firstLine="420"/>
        <w:rPr>
          <w:rFonts w:hAnsi="宋体" w:cs="宋体"/>
          <w:color w:val="auto"/>
          <w:szCs w:val="21"/>
          <w:highlight w:val="none"/>
        </w:rPr>
      </w:pPr>
      <w:r>
        <w:rPr>
          <w:rFonts w:hint="eastAsia" w:hAnsi="宋体" w:cs="宋体"/>
          <w:color w:val="auto"/>
          <w:szCs w:val="21"/>
          <w:highlight w:val="none"/>
        </w:rPr>
        <w:t>（ 200 － 100 ）万元 ×1.1％＝1.1万元</w:t>
      </w:r>
    </w:p>
    <w:p w14:paraId="2B3E5449">
      <w:pPr>
        <w:ind w:firstLine="420"/>
        <w:rPr>
          <w:rFonts w:hAnsi="宋体" w:cs="宋体"/>
          <w:color w:val="auto"/>
          <w:szCs w:val="21"/>
          <w:highlight w:val="none"/>
        </w:rPr>
      </w:pPr>
      <w:r>
        <w:rPr>
          <w:rFonts w:hint="eastAsia" w:hAnsi="宋体" w:cs="宋体"/>
          <w:color w:val="auto"/>
          <w:szCs w:val="21"/>
          <w:highlight w:val="none"/>
        </w:rPr>
        <w:t>合计收费＝ 1.5+1.1＝ 2.6 （万元</w:t>
      </w:r>
      <w:r>
        <w:rPr>
          <w:rFonts w:hAnsi="宋体" w:cs="宋体"/>
          <w:color w:val="auto"/>
          <w:szCs w:val="21"/>
          <w:highlight w:val="none"/>
        </w:rPr>
        <w:t>）</w:t>
      </w:r>
    </w:p>
    <w:p w14:paraId="11343230">
      <w:pPr>
        <w:pStyle w:val="261"/>
        <w:ind w:firstLine="482"/>
        <w:rPr>
          <w:color w:val="auto"/>
          <w:highlight w:val="none"/>
        </w:rPr>
      </w:pPr>
      <w:r>
        <w:rPr>
          <w:color w:val="auto"/>
          <w:highlight w:val="none"/>
        </w:rPr>
        <w:t>40.需要补充的其他内容</w:t>
      </w:r>
    </w:p>
    <w:p w14:paraId="1A7621B9">
      <w:pPr>
        <w:ind w:firstLine="420"/>
        <w:rPr>
          <w:rFonts w:hAnsi="宋体" w:cs="宋体"/>
          <w:color w:val="auto"/>
          <w:szCs w:val="21"/>
          <w:highlight w:val="none"/>
        </w:rPr>
      </w:pPr>
      <w:r>
        <w:rPr>
          <w:rFonts w:hint="eastAsia" w:hAnsi="宋体" w:cs="宋体"/>
          <w:color w:val="auto"/>
          <w:szCs w:val="21"/>
          <w:highlight w:val="none"/>
        </w:rPr>
        <w:t>40.1本招标文件解释规则详见“投标人须知前附表”。</w:t>
      </w:r>
    </w:p>
    <w:p w14:paraId="40F87838">
      <w:pPr>
        <w:ind w:firstLine="420"/>
        <w:rPr>
          <w:rFonts w:hAnsi="宋体" w:cs="宋体"/>
          <w:color w:val="auto"/>
          <w:szCs w:val="21"/>
          <w:highlight w:val="none"/>
        </w:rPr>
      </w:pPr>
      <w:r>
        <w:rPr>
          <w:rFonts w:hint="eastAsia" w:hAnsi="宋体" w:cs="宋体"/>
          <w:color w:val="auto"/>
          <w:szCs w:val="21"/>
          <w:highlight w:val="none"/>
        </w:rPr>
        <w:t>40.2 其他事项详见“投标人须知前附表”。</w:t>
      </w:r>
    </w:p>
    <w:p w14:paraId="1728D729">
      <w:pPr>
        <w:ind w:firstLine="420"/>
        <w:rPr>
          <w:rFonts w:hAnsi="宋体" w:cs="宋体"/>
          <w:color w:val="auto"/>
          <w:szCs w:val="21"/>
          <w:highlight w:val="none"/>
        </w:rPr>
      </w:pPr>
      <w:r>
        <w:rPr>
          <w:rFonts w:hint="eastAsia" w:hAnsi="宋体" w:cs="宋体"/>
          <w:color w:val="auto"/>
          <w:szCs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4D2F911">
      <w:pPr>
        <w:ind w:firstLine="420"/>
        <w:rPr>
          <w:rFonts w:hAnsi="宋体" w:cs="宋体"/>
          <w:color w:val="auto"/>
          <w:szCs w:val="21"/>
          <w:highlight w:val="none"/>
        </w:rPr>
      </w:pPr>
      <w:r>
        <w:rPr>
          <w:rFonts w:hint="eastAsia"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7CA9CB5A">
      <w:pPr>
        <w:ind w:firstLine="420"/>
        <w:rPr>
          <w:rFonts w:hAnsi="宋体" w:cs="宋体"/>
          <w:color w:val="auto"/>
          <w:szCs w:val="21"/>
          <w:highlight w:val="none"/>
        </w:rPr>
      </w:pPr>
      <w:r>
        <w:rPr>
          <w:rFonts w:hint="eastAsia" w:hAnsi="宋体" w:cs="宋体"/>
          <w:color w:val="auto"/>
          <w:szCs w:val="21"/>
          <w:highlight w:val="none"/>
        </w:rPr>
        <w:t>（2）在工程采购项目中，工程由中小企业承建，即工程施工单位为中小企业，不对其中涉及的货物的制造商和服务的承接商作出要求；</w:t>
      </w:r>
    </w:p>
    <w:p w14:paraId="18EB3528">
      <w:pPr>
        <w:ind w:firstLine="420"/>
        <w:rPr>
          <w:rFonts w:hAnsi="宋体" w:cs="宋体"/>
          <w:color w:val="auto"/>
          <w:szCs w:val="21"/>
          <w:highlight w:val="none"/>
        </w:rPr>
      </w:pPr>
      <w:r>
        <w:rPr>
          <w:rFonts w:hint="eastAsia"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26303F2">
      <w:pPr>
        <w:ind w:firstLine="420"/>
        <w:rPr>
          <w:rFonts w:hAnsi="宋体" w:cs="宋体"/>
          <w:color w:val="auto"/>
          <w:szCs w:val="21"/>
          <w:highlight w:val="none"/>
        </w:rPr>
      </w:pPr>
      <w:r>
        <w:rPr>
          <w:rFonts w:hint="eastAsia" w:hAnsi="宋体" w:cs="宋体"/>
          <w:color w:val="auto"/>
          <w:szCs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B9B082B">
      <w:pPr>
        <w:ind w:firstLine="420"/>
        <w:rPr>
          <w:rFonts w:hAnsi="宋体"/>
          <w:color w:val="auto"/>
          <w:szCs w:val="21"/>
          <w:highlight w:val="none"/>
        </w:rPr>
      </w:pPr>
      <w:r>
        <w:rPr>
          <w:rFonts w:hint="eastAsia" w:hAnsi="宋体"/>
          <w:color w:val="auto"/>
          <w:szCs w:val="21"/>
          <w:highlight w:val="none"/>
        </w:rPr>
        <w:t>依据</w:t>
      </w:r>
      <w:r>
        <w:rPr>
          <w:rFonts w:hint="eastAsia" w:hAnsi="宋体" w:cs="宋体"/>
          <w:color w:val="auto"/>
          <w:szCs w:val="21"/>
          <w:highlight w:val="none"/>
        </w:rPr>
        <w:t>本招标文件</w:t>
      </w:r>
      <w:r>
        <w:rPr>
          <w:rFonts w:hint="eastAsia" w:hAnsi="宋体"/>
          <w:color w:val="auto"/>
          <w:szCs w:val="21"/>
          <w:highlight w:val="none"/>
        </w:rPr>
        <w:t>规定享受扶持政策获得政府采购合同的，小微企业不得将合同分包给大中型企业，中型企业不得将合同分包给大型企业。</w:t>
      </w:r>
    </w:p>
    <w:p w14:paraId="05954EBD">
      <w:pPr>
        <w:pStyle w:val="2"/>
        <w:rPr>
          <w:color w:val="auto"/>
          <w:highlight w:val="none"/>
        </w:rPr>
      </w:pPr>
    </w:p>
    <w:p w14:paraId="4BFA588A">
      <w:pPr>
        <w:pStyle w:val="2"/>
        <w:rPr>
          <w:color w:val="auto"/>
          <w:highlight w:val="none"/>
        </w:rPr>
      </w:pPr>
    </w:p>
    <w:p w14:paraId="5E238298">
      <w:pPr>
        <w:pStyle w:val="2"/>
        <w:rPr>
          <w:color w:val="auto"/>
          <w:highlight w:val="none"/>
        </w:rPr>
      </w:pPr>
    </w:p>
    <w:p w14:paraId="1355E09B">
      <w:pPr>
        <w:rPr>
          <w:color w:val="auto"/>
          <w:highlight w:val="none"/>
        </w:rPr>
      </w:pPr>
    </w:p>
    <w:p w14:paraId="6096568D">
      <w:pPr>
        <w:pStyle w:val="2"/>
        <w:rPr>
          <w:color w:val="auto"/>
          <w:highlight w:val="none"/>
        </w:rPr>
      </w:pPr>
    </w:p>
    <w:p w14:paraId="02833A90">
      <w:pPr>
        <w:rPr>
          <w:color w:val="auto"/>
          <w:highlight w:val="none"/>
        </w:rPr>
      </w:pPr>
    </w:p>
    <w:p w14:paraId="7F6A69E5">
      <w:pPr>
        <w:pStyle w:val="17"/>
        <w:rPr>
          <w:color w:val="auto"/>
          <w:highlight w:val="none"/>
        </w:rPr>
      </w:pPr>
    </w:p>
    <w:p w14:paraId="306D7041">
      <w:pPr>
        <w:pStyle w:val="17"/>
        <w:rPr>
          <w:color w:val="auto"/>
          <w:highlight w:val="none"/>
        </w:rPr>
      </w:pPr>
    </w:p>
    <w:p w14:paraId="717833F8">
      <w:pPr>
        <w:pStyle w:val="17"/>
        <w:rPr>
          <w:color w:val="auto"/>
          <w:highlight w:val="none"/>
        </w:rPr>
      </w:pPr>
    </w:p>
    <w:p w14:paraId="2B6EA070">
      <w:pPr>
        <w:pStyle w:val="17"/>
        <w:rPr>
          <w:color w:val="auto"/>
          <w:highlight w:val="none"/>
        </w:rPr>
      </w:pPr>
    </w:p>
    <w:p w14:paraId="4E0DBF87">
      <w:pPr>
        <w:pStyle w:val="17"/>
        <w:rPr>
          <w:color w:val="auto"/>
          <w:highlight w:val="none"/>
        </w:rPr>
      </w:pPr>
    </w:p>
    <w:p w14:paraId="00798BE4">
      <w:pPr>
        <w:pStyle w:val="17"/>
        <w:rPr>
          <w:color w:val="auto"/>
          <w:highlight w:val="none"/>
        </w:rPr>
      </w:pPr>
    </w:p>
    <w:p w14:paraId="51F8683E">
      <w:pPr>
        <w:pStyle w:val="17"/>
        <w:rPr>
          <w:color w:val="auto"/>
          <w:highlight w:val="none"/>
        </w:rPr>
      </w:pPr>
    </w:p>
    <w:p w14:paraId="41C3F821">
      <w:pPr>
        <w:pStyle w:val="17"/>
        <w:rPr>
          <w:color w:val="auto"/>
          <w:highlight w:val="none"/>
        </w:rPr>
      </w:pPr>
    </w:p>
    <w:p w14:paraId="1612D49F">
      <w:pPr>
        <w:pStyle w:val="17"/>
        <w:rPr>
          <w:color w:val="auto"/>
          <w:highlight w:val="none"/>
        </w:rPr>
      </w:pPr>
    </w:p>
    <w:p w14:paraId="63BC598D">
      <w:pPr>
        <w:pStyle w:val="2"/>
        <w:rPr>
          <w:color w:val="auto"/>
          <w:highlight w:val="none"/>
        </w:rPr>
        <w:sectPr>
          <w:pgSz w:w="11906" w:h="16838"/>
          <w:pgMar w:top="1701" w:right="1701" w:bottom="1701" w:left="1701" w:header="851" w:footer="992" w:gutter="0"/>
          <w:pgNumType w:fmt="decimal"/>
          <w:cols w:space="1701" w:num="1"/>
          <w:titlePg/>
        </w:sectPr>
      </w:pPr>
      <w:bookmarkStart w:id="127" w:name="_Toc8510"/>
      <w:r>
        <w:rPr>
          <w:rFonts w:hint="eastAsia"/>
          <w:color w:val="auto"/>
          <w:highlight w:val="none"/>
        </w:rPr>
        <w:t>第四章  评标方法及评标标准</w:t>
      </w:r>
      <w:bookmarkEnd w:id="127"/>
    </w:p>
    <w:p w14:paraId="4BC46950">
      <w:pPr>
        <w:pStyle w:val="271"/>
        <w:rPr>
          <w:color w:val="auto"/>
          <w:highlight w:val="none"/>
        </w:rPr>
      </w:pPr>
      <w:r>
        <w:rPr>
          <w:rFonts w:hint="eastAsia"/>
          <w:color w:val="auto"/>
          <w:highlight w:val="none"/>
        </w:rPr>
        <w:t>一、评标方法</w:t>
      </w:r>
    </w:p>
    <w:p w14:paraId="4908FBE7">
      <w:pPr>
        <w:pStyle w:val="23"/>
        <w:ind w:firstLine="420"/>
        <w:rPr>
          <w:rFonts w:hAnsi="宋体"/>
          <w:color w:val="auto"/>
          <w:highlight w:val="none"/>
        </w:rPr>
      </w:pPr>
      <w:r>
        <w:rPr>
          <w:rFonts w:hint="eastAsia" w:hAnsi="宋体"/>
          <w:color w:val="auto"/>
          <w:highlight w:val="none"/>
        </w:rPr>
        <w:t>综合评分法，是指投标文件满足招标文件全部实质性要求，且按照评审因素的量化指标评审得分最高的投标人为中标候选人的评标方法。</w:t>
      </w:r>
    </w:p>
    <w:p w14:paraId="78B49E96">
      <w:pPr>
        <w:pStyle w:val="23"/>
        <w:ind w:firstLine="420"/>
        <w:rPr>
          <w:rFonts w:hAnsi="宋体"/>
          <w:color w:val="auto"/>
          <w:highlight w:val="none"/>
        </w:rPr>
      </w:pPr>
      <w:r>
        <w:rPr>
          <w:rFonts w:hint="eastAsia" w:hAnsi="宋体"/>
          <w:color w:val="auto"/>
          <w:highlight w:val="none"/>
        </w:rPr>
        <w:t>最低评标价法，是指投标文件满足招标文件全部实质性要求，且投标报价最低的投标人为中标候选人的评标方法。</w:t>
      </w:r>
    </w:p>
    <w:p w14:paraId="4434E03F">
      <w:pPr>
        <w:pStyle w:val="271"/>
        <w:rPr>
          <w:color w:val="auto"/>
          <w:highlight w:val="none"/>
        </w:rPr>
      </w:pPr>
      <w:r>
        <w:rPr>
          <w:rFonts w:hint="eastAsia"/>
          <w:color w:val="auto"/>
          <w:highlight w:val="none"/>
        </w:rPr>
        <w:t>二、评标程序</w:t>
      </w:r>
    </w:p>
    <w:p w14:paraId="3B8B9F30">
      <w:pPr>
        <w:pStyle w:val="261"/>
        <w:ind w:firstLine="482"/>
        <w:rPr>
          <w:color w:val="auto"/>
          <w:highlight w:val="none"/>
        </w:rPr>
      </w:pPr>
      <w:r>
        <w:rPr>
          <w:rFonts w:hint="eastAsia"/>
          <w:color w:val="auto"/>
          <w:highlight w:val="none"/>
        </w:rPr>
        <w:t>1.符合性审查</w:t>
      </w:r>
    </w:p>
    <w:p w14:paraId="7666C728">
      <w:pPr>
        <w:pStyle w:val="23"/>
        <w:ind w:left="1" w:firstLine="420"/>
        <w:rPr>
          <w:rFonts w:hAnsi="宋体"/>
          <w:b/>
          <w:color w:val="auto"/>
          <w:highlight w:val="none"/>
        </w:rPr>
      </w:pPr>
      <w:r>
        <w:rPr>
          <w:rFonts w:hint="eastAsia" w:hAnsi="宋体"/>
          <w:b/>
          <w:color w:val="auto"/>
          <w:highlight w:val="none"/>
        </w:rPr>
        <w:t>评标委员会应当对符合资格的投标人的投标文件进行投标报价、商务、技术等实质性内容符合性审查，以确定其是否满足招标文件的实质性要求。</w:t>
      </w:r>
    </w:p>
    <w:p w14:paraId="5FF337C0">
      <w:pPr>
        <w:pStyle w:val="261"/>
        <w:ind w:firstLine="482"/>
        <w:rPr>
          <w:color w:val="auto"/>
          <w:highlight w:val="none"/>
        </w:rPr>
      </w:pPr>
      <w:r>
        <w:rPr>
          <w:rFonts w:hint="eastAsia"/>
          <w:color w:val="auto"/>
          <w:highlight w:val="none"/>
        </w:rPr>
        <w:t>2</w:t>
      </w:r>
      <w:r>
        <w:rPr>
          <w:color w:val="auto"/>
          <w:highlight w:val="none"/>
        </w:rPr>
        <w:t>.</w:t>
      </w:r>
      <w:r>
        <w:rPr>
          <w:rFonts w:hint="eastAsia"/>
          <w:color w:val="auto"/>
          <w:highlight w:val="none"/>
        </w:rPr>
        <w:t>符合性审查不通过而导致投标无效的情形</w:t>
      </w:r>
    </w:p>
    <w:p w14:paraId="10AEA216">
      <w:pPr>
        <w:ind w:firstLine="422"/>
        <w:rPr>
          <w:rFonts w:hAnsi="宋体"/>
          <w:b/>
          <w:color w:val="auto"/>
          <w:szCs w:val="21"/>
          <w:highlight w:val="none"/>
        </w:rPr>
      </w:pPr>
      <w:r>
        <w:rPr>
          <w:rFonts w:hint="eastAsia" w:hAnsi="宋体"/>
          <w:b/>
          <w:color w:val="auto"/>
          <w:szCs w:val="21"/>
          <w:highlight w:val="none"/>
        </w:rPr>
        <w:t>投标人的投标文件中存在对招标文件的任何实质性要求和条件的负偏离，将被视为投标无效。</w:t>
      </w:r>
    </w:p>
    <w:p w14:paraId="168CD799">
      <w:pPr>
        <w:ind w:firstLine="422"/>
        <w:rPr>
          <w:rFonts w:hAnsi="宋体"/>
          <w:b/>
          <w:color w:val="auto"/>
          <w:szCs w:val="21"/>
          <w:highlight w:val="none"/>
        </w:rPr>
      </w:pPr>
      <w:r>
        <w:rPr>
          <w:rFonts w:hint="eastAsia" w:hAnsi="宋体"/>
          <w:b/>
          <w:color w:val="auto"/>
          <w:szCs w:val="21"/>
          <w:highlight w:val="none"/>
        </w:rPr>
        <w:t>2.1在报价评审时，如发现下列情形之一的，将被视为投标无效：</w:t>
      </w:r>
    </w:p>
    <w:p w14:paraId="3437C580">
      <w:pPr>
        <w:numPr>
          <w:ilvl w:val="0"/>
          <w:numId w:val="4"/>
        </w:numPr>
        <w:ind w:left="0" w:firstLine="422"/>
        <w:rPr>
          <w:rFonts w:hAnsi="宋体"/>
          <w:b/>
          <w:color w:val="auto"/>
          <w:szCs w:val="21"/>
          <w:highlight w:val="none"/>
        </w:rPr>
      </w:pPr>
      <w:r>
        <w:rPr>
          <w:rFonts w:hint="eastAsia" w:hAnsi="宋体"/>
          <w:b/>
          <w:color w:val="auto"/>
          <w:szCs w:val="21"/>
          <w:highlight w:val="none"/>
        </w:rPr>
        <w:t>报价文件未提供“投标人须知前附表”第13条“报价文件”规定中“必须提供”的文件资料的；</w:t>
      </w:r>
    </w:p>
    <w:p w14:paraId="5AA08CD3">
      <w:pPr>
        <w:numPr>
          <w:ilvl w:val="0"/>
          <w:numId w:val="4"/>
        </w:numPr>
        <w:ind w:left="0" w:firstLine="422"/>
        <w:rPr>
          <w:rFonts w:hAnsi="宋体"/>
          <w:b/>
          <w:color w:val="auto"/>
          <w:szCs w:val="21"/>
          <w:highlight w:val="none"/>
        </w:rPr>
      </w:pPr>
      <w:r>
        <w:rPr>
          <w:rFonts w:hint="eastAsia" w:hAnsi="宋体"/>
          <w:b/>
          <w:color w:val="auto"/>
          <w:szCs w:val="21"/>
          <w:highlight w:val="none"/>
        </w:rPr>
        <w:t>未采用人民币报价或者未按照招标文件标明的币种报价的；</w:t>
      </w:r>
    </w:p>
    <w:p w14:paraId="5C4765E0">
      <w:pPr>
        <w:numPr>
          <w:ilvl w:val="0"/>
          <w:numId w:val="4"/>
        </w:numPr>
        <w:ind w:left="0" w:firstLine="422"/>
        <w:rPr>
          <w:rFonts w:hAnsi="宋体"/>
          <w:b/>
          <w:color w:val="auto"/>
          <w:szCs w:val="21"/>
          <w:highlight w:val="none"/>
        </w:rPr>
      </w:pPr>
      <w:r>
        <w:rPr>
          <w:rFonts w:hint="eastAsia" w:hAnsi="宋体"/>
          <w:b/>
          <w:color w:val="auto"/>
          <w:szCs w:val="21"/>
          <w:highlight w:val="none"/>
        </w:rPr>
        <w:t>本项目报价超出招标文件所规定最高限价，或者超出采购预算金额的；</w:t>
      </w:r>
    </w:p>
    <w:p w14:paraId="3A1C1971">
      <w:pPr>
        <w:numPr>
          <w:ilvl w:val="0"/>
          <w:numId w:val="4"/>
        </w:numPr>
        <w:ind w:left="0" w:firstLine="422"/>
        <w:rPr>
          <w:rFonts w:hAnsi="宋体"/>
          <w:b/>
          <w:color w:val="auto"/>
          <w:szCs w:val="21"/>
          <w:highlight w:val="none"/>
        </w:rPr>
      </w:pPr>
      <w:r>
        <w:rPr>
          <w:rFonts w:hint="eastAsia" w:hAnsi="宋体"/>
          <w:b/>
          <w:color w:val="auto"/>
          <w:szCs w:val="21"/>
          <w:highlight w:val="none"/>
        </w:rPr>
        <w:t>投标人未就本项目进行报价或者存在漏项报价；投标人未就本项目的单项内容作唯一报价；投标人未就本项目的全部内容作完整唯一总价报价；存在有选择、有条件报价的（招标文件允许有备选方案或者其他约定的除外）；</w:t>
      </w:r>
    </w:p>
    <w:p w14:paraId="6308E070">
      <w:pPr>
        <w:numPr>
          <w:ilvl w:val="0"/>
          <w:numId w:val="4"/>
        </w:numPr>
        <w:ind w:left="0" w:firstLine="422"/>
        <w:rPr>
          <w:rFonts w:hAnsi="宋体"/>
          <w:b/>
          <w:color w:val="auto"/>
          <w:szCs w:val="21"/>
          <w:highlight w:val="none"/>
        </w:rPr>
      </w:pPr>
      <w:r>
        <w:rPr>
          <w:rFonts w:hint="eastAsia" w:hAnsi="宋体"/>
          <w:b/>
          <w:color w:val="auto"/>
          <w:szCs w:val="21"/>
          <w:highlight w:val="none"/>
        </w:rPr>
        <w:t>修正后的报价，投标人不确认的；</w:t>
      </w:r>
    </w:p>
    <w:p w14:paraId="6697011A">
      <w:pPr>
        <w:numPr>
          <w:ilvl w:val="0"/>
          <w:numId w:val="4"/>
        </w:numPr>
        <w:ind w:left="0" w:firstLine="422"/>
        <w:rPr>
          <w:rFonts w:hAnsi="宋体"/>
          <w:b/>
          <w:color w:val="auto"/>
          <w:szCs w:val="21"/>
          <w:highlight w:val="none"/>
        </w:rPr>
      </w:pPr>
      <w:r>
        <w:rPr>
          <w:rFonts w:hint="eastAsia" w:hAnsi="宋体"/>
          <w:b/>
          <w:color w:val="auto"/>
          <w:szCs w:val="21"/>
          <w:highlight w:val="none"/>
        </w:rPr>
        <w:t>投标人属于本章第</w:t>
      </w:r>
      <w:r>
        <w:rPr>
          <w:rFonts w:hAnsi="宋体"/>
          <w:b/>
          <w:color w:val="auto"/>
          <w:szCs w:val="21"/>
          <w:highlight w:val="none"/>
        </w:rPr>
        <w:t>5.1</w:t>
      </w:r>
      <w:r>
        <w:rPr>
          <w:rFonts w:hint="eastAsia" w:hAnsi="宋体"/>
          <w:b/>
          <w:color w:val="auto"/>
          <w:szCs w:val="21"/>
          <w:highlight w:val="none"/>
        </w:rPr>
        <w:t>条（2）或者第5</w:t>
      </w:r>
      <w:r>
        <w:rPr>
          <w:rFonts w:hAnsi="宋体"/>
          <w:b/>
          <w:color w:val="auto"/>
          <w:szCs w:val="21"/>
          <w:highlight w:val="none"/>
        </w:rPr>
        <w:t>.2条</w:t>
      </w:r>
      <w:r>
        <w:rPr>
          <w:rFonts w:hint="eastAsia" w:hAnsi="宋体"/>
          <w:b/>
          <w:color w:val="auto"/>
          <w:szCs w:val="21"/>
          <w:highlight w:val="none"/>
        </w:rPr>
        <w:t>（2）项情形的。</w:t>
      </w:r>
    </w:p>
    <w:p w14:paraId="4A12292C">
      <w:pPr>
        <w:numPr>
          <w:ilvl w:val="0"/>
          <w:numId w:val="4"/>
        </w:numPr>
        <w:ind w:left="0" w:firstLine="422"/>
        <w:rPr>
          <w:rFonts w:hAnsi="宋体"/>
          <w:b/>
          <w:color w:val="auto"/>
          <w:szCs w:val="21"/>
          <w:highlight w:val="none"/>
        </w:rPr>
      </w:pPr>
      <w:r>
        <w:rPr>
          <w:rFonts w:hint="eastAsia" w:hAnsi="宋体"/>
          <w:b/>
          <w:color w:val="auto"/>
          <w:szCs w:val="21"/>
          <w:highlight w:val="none"/>
        </w:rPr>
        <w:t>报价文件响应的标的数量及单位与招标文件要求实质性不一致的。</w:t>
      </w:r>
    </w:p>
    <w:p w14:paraId="35C257F3">
      <w:pPr>
        <w:ind w:firstLine="422"/>
        <w:rPr>
          <w:rFonts w:hAnsi="宋体"/>
          <w:b/>
          <w:color w:val="auto"/>
          <w:szCs w:val="21"/>
          <w:highlight w:val="none"/>
        </w:rPr>
      </w:pPr>
      <w:r>
        <w:rPr>
          <w:rFonts w:hint="eastAsia" w:hAnsi="宋体"/>
          <w:b/>
          <w:color w:val="auto"/>
          <w:szCs w:val="21"/>
          <w:highlight w:val="none"/>
        </w:rPr>
        <w:t>2.2在商务及技术评审时，如发现下列情形之一的，将被视为投标无效：</w:t>
      </w:r>
    </w:p>
    <w:p w14:paraId="7BB4CC62">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投标文件未按招标文件要求签署、盖章的；</w:t>
      </w:r>
    </w:p>
    <w:p w14:paraId="6211B3E6">
      <w:pPr>
        <w:numPr>
          <w:ilvl w:val="0"/>
          <w:numId w:val="5"/>
        </w:numPr>
        <w:ind w:left="0" w:firstLine="422"/>
        <w:jc w:val="both"/>
        <w:rPr>
          <w:rFonts w:hAnsi="宋体"/>
          <w:b/>
          <w:color w:val="auto"/>
          <w:szCs w:val="21"/>
          <w:highlight w:val="none"/>
        </w:rPr>
      </w:pPr>
      <w:r>
        <w:rPr>
          <w:rFonts w:hint="eastAsia" w:hAnsi="宋体"/>
          <w:b/>
          <w:color w:val="auto"/>
          <w:szCs w:val="21"/>
          <w:highlight w:val="none"/>
        </w:rPr>
        <w:t>委托代理人未能出具有效身份证或者出具的身份证与授权委托书中的信息不符的；</w:t>
      </w:r>
    </w:p>
    <w:p w14:paraId="5C2F78C3">
      <w:pPr>
        <w:numPr>
          <w:ilvl w:val="0"/>
          <w:numId w:val="5"/>
        </w:numPr>
        <w:ind w:left="0" w:firstLine="422"/>
        <w:jc w:val="both"/>
        <w:rPr>
          <w:rFonts w:hAnsi="宋体"/>
          <w:b/>
          <w:color w:val="auto"/>
          <w:szCs w:val="21"/>
          <w:highlight w:val="none"/>
        </w:rPr>
      </w:pPr>
      <w:r>
        <w:rPr>
          <w:rFonts w:hint="eastAsia" w:hAnsi="宋体"/>
          <w:b/>
          <w:color w:val="auto"/>
          <w:szCs w:val="21"/>
          <w:highlight w:val="none"/>
        </w:rPr>
        <w:t>为无效投标保证金的或者未按照招标文件的规定提交投标保证金的；</w:t>
      </w:r>
    </w:p>
    <w:p w14:paraId="2438B47F">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投标文件未提供“投标人须知前附表”第13条“商务及技术文件”规定中“必须提供”或者“委托时必须提供”的文件资料的；</w:t>
      </w:r>
    </w:p>
    <w:p w14:paraId="2E7135F1">
      <w:pPr>
        <w:numPr>
          <w:ilvl w:val="0"/>
          <w:numId w:val="5"/>
        </w:numPr>
        <w:ind w:left="0" w:firstLine="422"/>
        <w:jc w:val="both"/>
        <w:rPr>
          <w:rFonts w:hAnsi="宋体"/>
          <w:b/>
          <w:color w:val="auto"/>
          <w:szCs w:val="21"/>
          <w:highlight w:val="none"/>
        </w:rPr>
      </w:pPr>
      <w:r>
        <w:rPr>
          <w:rFonts w:hint="eastAsia" w:hAnsi="宋体"/>
          <w:b/>
          <w:color w:val="auto"/>
          <w:szCs w:val="21"/>
          <w:highlight w:val="none"/>
        </w:rPr>
        <w:t>允许负偏离的条款数超过“投标人须知前附表”规定项数的；</w:t>
      </w:r>
    </w:p>
    <w:p w14:paraId="482F352B">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投标文件的实质性内容未使用中文表述、使用计量单位不符合招标文件要求的；</w:t>
      </w:r>
    </w:p>
    <w:p w14:paraId="56178B8F">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投标文件中的文件资料因填写不齐全或者内容虚假或者出现其他情形而导致被评标委员会认定无效的；</w:t>
      </w:r>
    </w:p>
    <w:p w14:paraId="6051DE17">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投标文件含有采购人不能接受的附加条件的；</w:t>
      </w:r>
    </w:p>
    <w:p w14:paraId="3FC1FCD6">
      <w:pPr>
        <w:numPr>
          <w:ilvl w:val="0"/>
          <w:numId w:val="5"/>
        </w:numPr>
        <w:ind w:left="0" w:firstLine="422"/>
        <w:jc w:val="both"/>
        <w:rPr>
          <w:rFonts w:hAnsi="宋体"/>
          <w:b/>
          <w:color w:val="auto"/>
          <w:szCs w:val="21"/>
          <w:highlight w:val="none"/>
        </w:rPr>
      </w:pPr>
      <w:r>
        <w:rPr>
          <w:rFonts w:hint="eastAsia" w:hAnsi="宋体"/>
          <w:b/>
          <w:color w:val="auto"/>
          <w:szCs w:val="21"/>
          <w:highlight w:val="none"/>
        </w:rPr>
        <w:t>属于投标人须知正文第</w:t>
      </w:r>
      <w:r>
        <w:rPr>
          <w:rFonts w:hAnsi="宋体"/>
          <w:b/>
          <w:color w:val="auto"/>
          <w:szCs w:val="21"/>
          <w:highlight w:val="none"/>
        </w:rPr>
        <w:t>9.2</w:t>
      </w:r>
      <w:r>
        <w:rPr>
          <w:rFonts w:hint="eastAsia" w:hAnsi="宋体"/>
          <w:b/>
          <w:color w:val="auto"/>
          <w:szCs w:val="21"/>
          <w:highlight w:val="none"/>
        </w:rPr>
        <w:t>条情形的；</w:t>
      </w:r>
    </w:p>
    <w:p w14:paraId="100D677A">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投标文件标注的项目名称或者项目编号与招标文件标注的项目名称或者项目编号不一致的；</w:t>
      </w:r>
    </w:p>
    <w:p w14:paraId="6D475C9A">
      <w:pPr>
        <w:numPr>
          <w:ilvl w:val="0"/>
          <w:numId w:val="5"/>
        </w:numPr>
        <w:ind w:left="0" w:firstLine="422"/>
        <w:jc w:val="both"/>
        <w:rPr>
          <w:rFonts w:hAnsi="宋体"/>
          <w:b/>
          <w:color w:val="auto"/>
          <w:szCs w:val="21"/>
          <w:highlight w:val="none"/>
        </w:rPr>
      </w:pPr>
      <w:r>
        <w:rPr>
          <w:rFonts w:hint="eastAsia" w:hAnsi="宋体"/>
          <w:b/>
          <w:color w:val="auto"/>
          <w:szCs w:val="21"/>
          <w:highlight w:val="none"/>
        </w:rPr>
        <w:t>投标文件中承诺的投标有效期低于招标文件要求的期限的；</w:t>
      </w:r>
    </w:p>
    <w:p w14:paraId="65B8835E">
      <w:pPr>
        <w:numPr>
          <w:ilvl w:val="0"/>
          <w:numId w:val="5"/>
        </w:numPr>
        <w:ind w:left="0" w:firstLine="422"/>
        <w:jc w:val="both"/>
        <w:rPr>
          <w:rFonts w:hAnsi="宋体"/>
          <w:b/>
          <w:color w:val="auto"/>
          <w:szCs w:val="21"/>
          <w:highlight w:val="none"/>
        </w:rPr>
      </w:pPr>
      <w:r>
        <w:rPr>
          <w:rFonts w:hint="eastAsia" w:hAnsi="宋体"/>
          <w:b/>
          <w:color w:val="auto"/>
          <w:szCs w:val="21"/>
          <w:highlight w:val="none"/>
        </w:rPr>
        <w:t>招标文件明确不允许分包，投标文件拟分包的；</w:t>
      </w:r>
    </w:p>
    <w:p w14:paraId="72949E10">
      <w:pPr>
        <w:pStyle w:val="18"/>
        <w:numPr>
          <w:ilvl w:val="0"/>
          <w:numId w:val="5"/>
        </w:numPr>
        <w:ind w:left="0" w:firstLine="422"/>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虚假投标，或者出现其他情形而导致被评标委员会认定无效的；</w:t>
      </w:r>
    </w:p>
    <w:p w14:paraId="4A80C1C0">
      <w:pPr>
        <w:pStyle w:val="18"/>
        <w:numPr>
          <w:ilvl w:val="0"/>
          <w:numId w:val="5"/>
        </w:numPr>
        <w:ind w:left="0" w:firstLine="422"/>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招标文件未载明允许提供备选（替代）投标方案或明确不允许提供备选（替代）投标方案时，投标人提供了备选（替代）投标方案的；</w:t>
      </w:r>
    </w:p>
    <w:p w14:paraId="4895B8FE">
      <w:pPr>
        <w:pStyle w:val="18"/>
        <w:numPr>
          <w:ilvl w:val="0"/>
          <w:numId w:val="5"/>
        </w:numPr>
        <w:ind w:left="0" w:firstLine="422"/>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未响应招标文件实质性要求的。</w:t>
      </w:r>
    </w:p>
    <w:p w14:paraId="32E6C4BC">
      <w:pPr>
        <w:numPr>
          <w:ilvl w:val="0"/>
          <w:numId w:val="5"/>
        </w:numPr>
        <w:ind w:left="0" w:firstLine="422"/>
        <w:jc w:val="both"/>
        <w:rPr>
          <w:rFonts w:hAnsi="宋体"/>
          <w:b/>
          <w:color w:val="auto"/>
          <w:szCs w:val="21"/>
          <w:highlight w:val="none"/>
        </w:rPr>
      </w:pPr>
      <w:r>
        <w:rPr>
          <w:rFonts w:hint="eastAsia" w:hAnsi="宋体"/>
          <w:b/>
          <w:color w:val="auto"/>
          <w:szCs w:val="21"/>
          <w:highlight w:val="none"/>
          <w:lang w:eastAsia="zh-CN"/>
        </w:rPr>
        <w:t>法律法规</w:t>
      </w:r>
      <w:r>
        <w:rPr>
          <w:rFonts w:hint="eastAsia" w:hAnsi="宋体"/>
          <w:b/>
          <w:color w:val="auto"/>
          <w:szCs w:val="21"/>
          <w:highlight w:val="none"/>
        </w:rPr>
        <w:t>和招标文件规定的其他无效情形。</w:t>
      </w:r>
    </w:p>
    <w:p w14:paraId="5A163FAE">
      <w:pPr>
        <w:pStyle w:val="261"/>
        <w:ind w:firstLine="482"/>
        <w:rPr>
          <w:color w:val="auto"/>
          <w:highlight w:val="none"/>
        </w:rPr>
      </w:pPr>
      <w:r>
        <w:rPr>
          <w:rFonts w:hint="eastAsia"/>
          <w:color w:val="auto"/>
          <w:highlight w:val="none"/>
        </w:rPr>
        <w:t>3</w:t>
      </w:r>
      <w:r>
        <w:rPr>
          <w:color w:val="auto"/>
          <w:highlight w:val="none"/>
        </w:rPr>
        <w:t>.</w:t>
      </w:r>
      <w:r>
        <w:rPr>
          <w:rFonts w:hint="eastAsia"/>
          <w:color w:val="auto"/>
          <w:highlight w:val="none"/>
        </w:rPr>
        <w:t>澄清补正</w:t>
      </w:r>
    </w:p>
    <w:p w14:paraId="2295D8D2">
      <w:pPr>
        <w:ind w:firstLine="420"/>
        <w:rPr>
          <w:rFonts w:hAnsi="宋体" w:cs="Courier New"/>
          <w:b/>
          <w:color w:val="auto"/>
          <w:szCs w:val="21"/>
          <w:highlight w:val="none"/>
        </w:rPr>
      </w:pPr>
      <w:r>
        <w:rPr>
          <w:rFonts w:hint="eastAsia"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9ABA543">
      <w:pPr>
        <w:ind w:firstLine="420"/>
        <w:rPr>
          <w:rFonts w:hAnsi="宋体" w:cs="Courier New"/>
          <w:color w:val="auto"/>
          <w:szCs w:val="21"/>
          <w:highlight w:val="none"/>
        </w:rPr>
      </w:pPr>
      <w:r>
        <w:rPr>
          <w:rFonts w:hint="eastAsia"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8EFE549">
      <w:pPr>
        <w:ind w:firstLine="420"/>
        <w:rPr>
          <w:rFonts w:hAnsi="宋体" w:cs="Courier New"/>
          <w:color w:val="auto"/>
          <w:szCs w:val="21"/>
          <w:highlight w:val="none"/>
        </w:rPr>
      </w:pPr>
      <w:r>
        <w:rPr>
          <w:rFonts w:hint="eastAsia" w:hAnsi="宋体" w:cs="Courier New"/>
          <w:color w:val="auto"/>
          <w:szCs w:val="21"/>
          <w:highlight w:val="none"/>
        </w:rPr>
        <w:t>未按评标委员会的要求作出明确澄清、说明或者更正的投标人的投标文件将按照有利于采购人的原则由评标委员会进行判定。</w:t>
      </w:r>
    </w:p>
    <w:p w14:paraId="263C1B94">
      <w:pPr>
        <w:pStyle w:val="261"/>
        <w:ind w:firstLine="482"/>
        <w:rPr>
          <w:color w:val="auto"/>
          <w:highlight w:val="none"/>
        </w:rPr>
      </w:pPr>
      <w:r>
        <w:rPr>
          <w:color w:val="auto"/>
          <w:highlight w:val="none"/>
        </w:rPr>
        <w:t>4.</w:t>
      </w:r>
      <w:r>
        <w:rPr>
          <w:rFonts w:hint="eastAsia"/>
          <w:color w:val="auto"/>
          <w:highlight w:val="none"/>
        </w:rPr>
        <w:t>投标文件修正</w:t>
      </w:r>
    </w:p>
    <w:p w14:paraId="6AFAD28E">
      <w:pPr>
        <w:ind w:firstLine="424"/>
        <w:rPr>
          <w:color w:val="auto"/>
          <w:highlight w:val="none"/>
        </w:rPr>
      </w:pPr>
      <w:r>
        <w:rPr>
          <w:color w:val="auto"/>
          <w:highlight w:val="none"/>
        </w:rPr>
        <w:t>4</w:t>
      </w:r>
      <w:r>
        <w:rPr>
          <w:rFonts w:hint="eastAsia"/>
          <w:color w:val="auto"/>
          <w:highlight w:val="none"/>
        </w:rPr>
        <w:t>.1投标文件报价出现前后不一致的，</w:t>
      </w:r>
      <w:r>
        <w:rPr>
          <w:rFonts w:hint="eastAsia" w:hAnsi="宋体"/>
          <w:color w:val="auto"/>
          <w:highlight w:val="none"/>
        </w:rPr>
        <w:t>除“</w:t>
      </w:r>
      <w:r>
        <w:rPr>
          <w:color w:val="auto"/>
          <w:highlight w:val="none"/>
        </w:rPr>
        <w:t>投标人须知前附表</w:t>
      </w:r>
      <w:r>
        <w:rPr>
          <w:rFonts w:hint="eastAsia" w:hAnsi="宋体"/>
          <w:color w:val="auto"/>
          <w:highlight w:val="none"/>
        </w:rPr>
        <w:t>”另有规定的情形，</w:t>
      </w:r>
      <w:r>
        <w:rPr>
          <w:rFonts w:hint="eastAsia"/>
          <w:color w:val="auto"/>
          <w:highlight w:val="none"/>
        </w:rPr>
        <w:t xml:space="preserve">按照下列规定修正： </w:t>
      </w:r>
    </w:p>
    <w:p w14:paraId="336C90F7">
      <w:pPr>
        <w:pStyle w:val="23"/>
        <w:ind w:firstLine="420"/>
        <w:rPr>
          <w:rFonts w:hAnsi="宋体"/>
          <w:color w:val="auto"/>
          <w:highlight w:val="none"/>
        </w:rPr>
      </w:pPr>
      <w:r>
        <w:rPr>
          <w:rFonts w:hint="eastAsia" w:hAnsi="宋体"/>
          <w:color w:val="auto"/>
          <w:highlight w:val="none"/>
        </w:rPr>
        <w:t>（1）投标文件中开标一览表（报价表）内容与投标文件中相应内容不一致的，以开标一览表（报价表）为准；</w:t>
      </w:r>
    </w:p>
    <w:p w14:paraId="6702257A">
      <w:pPr>
        <w:pStyle w:val="23"/>
        <w:ind w:firstLine="420"/>
        <w:rPr>
          <w:rFonts w:hAnsi="宋体"/>
          <w:color w:val="auto"/>
          <w:highlight w:val="none"/>
        </w:rPr>
      </w:pPr>
      <w:r>
        <w:rPr>
          <w:rFonts w:hint="eastAsia" w:hAnsi="宋体"/>
          <w:color w:val="auto"/>
          <w:highlight w:val="none"/>
        </w:rPr>
        <w:t>（2）大写金额和小写金额不一致的，以大写金额为准；</w:t>
      </w:r>
    </w:p>
    <w:p w14:paraId="586499AD">
      <w:pPr>
        <w:pStyle w:val="23"/>
        <w:ind w:firstLine="420"/>
        <w:rPr>
          <w:rFonts w:hAnsi="宋体"/>
          <w:color w:val="auto"/>
          <w:highlight w:val="none"/>
        </w:rPr>
      </w:pPr>
      <w:r>
        <w:rPr>
          <w:rFonts w:hint="eastAsia" w:hAnsi="宋体"/>
          <w:color w:val="auto"/>
          <w:highlight w:val="none"/>
        </w:rPr>
        <w:t>（3）单价金额小数点或者百分比有明显错位的，以开标一览表的总价为准，并修改单价；</w:t>
      </w:r>
    </w:p>
    <w:p w14:paraId="26687251">
      <w:pPr>
        <w:pStyle w:val="23"/>
        <w:ind w:firstLine="420"/>
        <w:rPr>
          <w:rFonts w:hAnsi="宋体"/>
          <w:color w:val="auto"/>
          <w:highlight w:val="none"/>
        </w:rPr>
      </w:pPr>
      <w:r>
        <w:rPr>
          <w:rFonts w:hint="eastAsia" w:hAnsi="宋体"/>
          <w:color w:val="auto"/>
          <w:highlight w:val="none"/>
        </w:rPr>
        <w:t>（4）总价金额与按单价汇总金额不一致的，以单价金额计算结果为准。</w:t>
      </w:r>
    </w:p>
    <w:p w14:paraId="0FF6598E">
      <w:pPr>
        <w:pStyle w:val="23"/>
        <w:ind w:firstLine="420"/>
        <w:rPr>
          <w:rFonts w:hAnsi="宋体"/>
          <w:color w:val="auto"/>
          <w:highlight w:val="none"/>
        </w:rPr>
      </w:pPr>
      <w:r>
        <w:rPr>
          <w:rFonts w:hint="eastAsia" w:hAnsi="宋体"/>
          <w:color w:val="auto"/>
          <w:highlight w:val="none"/>
        </w:rPr>
        <w:t>同时出现两种以上不一致的，按照以上（1）</w:t>
      </w:r>
      <w:r>
        <w:rPr>
          <w:rFonts w:hint="eastAsia" w:hAnsi="宋体"/>
          <w:color w:val="auto"/>
          <w:highlight w:val="none"/>
          <w:lang w:eastAsia="zh-CN"/>
        </w:rPr>
        <w:t>－</w:t>
      </w:r>
      <w:r>
        <w:rPr>
          <w:rFonts w:hint="eastAsia" w:hAnsi="宋体"/>
          <w:color w:val="auto"/>
          <w:highlight w:val="none"/>
        </w:rPr>
        <w:t>（4）规定的顺序修正。修正后的报价经投标人确认后产生约束力，投标人不确认的，</w:t>
      </w:r>
      <w:r>
        <w:rPr>
          <w:rFonts w:hint="eastAsia" w:hAnsi="宋体"/>
          <w:b/>
          <w:color w:val="auto"/>
          <w:highlight w:val="none"/>
        </w:rPr>
        <w:t>其投标无效</w:t>
      </w:r>
      <w:r>
        <w:rPr>
          <w:rFonts w:hint="eastAsia" w:hAnsi="宋体"/>
          <w:color w:val="auto"/>
          <w:highlight w:val="none"/>
        </w:rPr>
        <w:t>。</w:t>
      </w:r>
    </w:p>
    <w:p w14:paraId="78D6650A">
      <w:pPr>
        <w:pStyle w:val="23"/>
        <w:ind w:firstLine="422"/>
        <w:rPr>
          <w:rFonts w:hAnsi="宋体"/>
          <w:color w:val="auto"/>
          <w:highlight w:val="none"/>
        </w:rPr>
      </w:pPr>
      <w:r>
        <w:rPr>
          <w:rFonts w:hAnsi="宋体"/>
          <w:b/>
          <w:color w:val="auto"/>
          <w:highlight w:val="none"/>
        </w:rPr>
        <w:t>4</w:t>
      </w:r>
      <w:r>
        <w:rPr>
          <w:rFonts w:hint="eastAsia" w:hAnsi="宋体"/>
          <w:b/>
          <w:color w:val="auto"/>
          <w:highlight w:val="none"/>
        </w:rPr>
        <w:t>.2经投标人确认修正后的报价若超过采购预算金额或者最高限价，</w:t>
      </w:r>
      <w:r>
        <w:rPr>
          <w:rFonts w:hint="eastAsia" w:hAnsi="宋体"/>
          <w:b/>
          <w:bCs/>
          <w:color w:val="auto"/>
          <w:highlight w:val="none"/>
        </w:rPr>
        <w:t>投标人的投标文件作无效投标处理。</w:t>
      </w:r>
    </w:p>
    <w:p w14:paraId="53EF2346">
      <w:pPr>
        <w:ind w:firstLine="420"/>
        <w:rPr>
          <w:rFonts w:hAnsi="宋体"/>
          <w:color w:val="auto"/>
          <w:szCs w:val="21"/>
          <w:highlight w:val="none"/>
        </w:rPr>
      </w:pPr>
      <w:r>
        <w:rPr>
          <w:rFonts w:hAnsi="宋体"/>
          <w:color w:val="auto"/>
          <w:szCs w:val="21"/>
          <w:highlight w:val="none"/>
        </w:rPr>
        <w:t>4</w:t>
      </w:r>
      <w:r>
        <w:rPr>
          <w:rFonts w:hint="eastAsia" w:hAnsi="宋体"/>
          <w:color w:val="auto"/>
          <w:szCs w:val="21"/>
          <w:highlight w:val="none"/>
        </w:rPr>
        <w:t>.3经投标人确认修正后的报价作为签订合同的依据，并以此报价计算价格分。</w:t>
      </w:r>
    </w:p>
    <w:p w14:paraId="18290AFA">
      <w:pPr>
        <w:pStyle w:val="261"/>
        <w:ind w:firstLine="482"/>
        <w:rPr>
          <w:color w:val="auto"/>
          <w:highlight w:val="none"/>
        </w:rPr>
      </w:pPr>
      <w:r>
        <w:rPr>
          <w:color w:val="auto"/>
          <w:highlight w:val="none"/>
        </w:rPr>
        <w:t>5.</w:t>
      </w:r>
      <w:r>
        <w:rPr>
          <w:rFonts w:hint="eastAsia"/>
          <w:color w:val="auto"/>
          <w:highlight w:val="none"/>
        </w:rPr>
        <w:t>比较与评价</w:t>
      </w:r>
    </w:p>
    <w:p w14:paraId="7996C46D">
      <w:pPr>
        <w:ind w:firstLine="420"/>
        <w:rPr>
          <w:rFonts w:hAnsi="宋体"/>
          <w:color w:val="auto"/>
          <w:szCs w:val="21"/>
          <w:highlight w:val="none"/>
        </w:rPr>
      </w:pPr>
      <w:r>
        <w:rPr>
          <w:rFonts w:hint="eastAsia" w:hAnsi="宋体"/>
          <w:color w:val="auto"/>
          <w:szCs w:val="21"/>
          <w:highlight w:val="none"/>
        </w:rPr>
        <w:t>5.1采用综合评分法的</w:t>
      </w:r>
    </w:p>
    <w:p w14:paraId="27FA7EDD">
      <w:pPr>
        <w:ind w:firstLine="420"/>
        <w:rPr>
          <w:rFonts w:hAnsi="宋体"/>
          <w:color w:val="auto"/>
          <w:szCs w:val="21"/>
          <w:highlight w:val="none"/>
        </w:rPr>
      </w:pPr>
      <w:r>
        <w:rPr>
          <w:rFonts w:hint="eastAsia" w:hAnsi="宋体"/>
          <w:color w:val="auto"/>
          <w:szCs w:val="21"/>
          <w:highlight w:val="none"/>
        </w:rPr>
        <w:t>（1）评标委员会按照招标文件中规定的评标方法及评标标准，对符合性审查合格的投标文件进行商务和技术评估，综合比较与评价。</w:t>
      </w:r>
    </w:p>
    <w:p w14:paraId="4FE1A21A">
      <w:pPr>
        <w:ind w:firstLine="420"/>
        <w:rPr>
          <w:rFonts w:hAnsi="宋体"/>
          <w:color w:val="auto"/>
          <w:szCs w:val="21"/>
          <w:highlight w:val="none"/>
        </w:rPr>
      </w:pPr>
      <w:r>
        <w:rPr>
          <w:rFonts w:hint="eastAsia" w:hAnsi="宋体"/>
          <w:color w:val="auto"/>
          <w:szCs w:val="21"/>
          <w:highlight w:val="none"/>
        </w:rPr>
        <w:t>（2）评标委员会独立对每个投标人的投标文件进行评价，并汇总每个投标人的得分。</w:t>
      </w:r>
    </w:p>
    <w:p w14:paraId="1E1493AB">
      <w:pPr>
        <w:ind w:firstLine="420"/>
        <w:rPr>
          <w:rFonts w:hAnsi="宋体"/>
          <w:color w:val="auto"/>
          <w:szCs w:val="21"/>
          <w:highlight w:val="none"/>
        </w:rPr>
      </w:pPr>
      <w:r>
        <w:rPr>
          <w:rFonts w:hint="eastAsia" w:hAnsi="宋体"/>
          <w:color w:val="auto"/>
          <w:szCs w:val="21"/>
          <w:highlight w:val="none"/>
        </w:rPr>
        <w:t>1）评标委员会在评审中出现下列情形之一的，应当启动异常低价投标审查程序：</w:t>
      </w:r>
    </w:p>
    <w:p w14:paraId="1671C0E5">
      <w:pPr>
        <w:ind w:firstLine="420"/>
        <w:rPr>
          <w:rFonts w:hAnsi="宋体"/>
          <w:color w:val="auto"/>
          <w:szCs w:val="21"/>
          <w:highlight w:val="none"/>
        </w:rPr>
      </w:pPr>
      <w:r>
        <w:rPr>
          <w:rFonts w:hint="eastAsia" w:hAnsi="宋体"/>
          <w:color w:val="auto"/>
          <w:szCs w:val="21"/>
          <w:highlight w:val="none"/>
        </w:rPr>
        <w:t>①投标报价低于全部通过符合性审查供应商投标报价平均值</w:t>
      </w:r>
      <w:r>
        <w:rPr>
          <w:rFonts w:hint="eastAsia" w:hAnsi="宋体"/>
          <w:iCs/>
          <w:color w:val="auto"/>
          <w:szCs w:val="21"/>
          <w:highlight w:val="none"/>
          <w:u w:val="single"/>
          <w:lang w:val="en-US" w:eastAsia="zh-CN"/>
        </w:rPr>
        <w:t>65</w:t>
      </w:r>
      <w:r>
        <w:rPr>
          <w:rFonts w:hAnsi="宋体"/>
          <w:iCs/>
          <w:color w:val="auto"/>
          <w:szCs w:val="21"/>
          <w:highlight w:val="none"/>
          <w:u w:val="single"/>
        </w:rPr>
        <w:t>%</w:t>
      </w:r>
      <w:r>
        <w:rPr>
          <w:rFonts w:hint="eastAsia" w:hAnsi="宋体"/>
          <w:color w:val="auto"/>
          <w:szCs w:val="21"/>
          <w:highlight w:val="none"/>
        </w:rPr>
        <w:t>的，即投标报价＜全部通过符合性审查供应商投标报价平均值×</w:t>
      </w:r>
      <w:r>
        <w:rPr>
          <w:rFonts w:hint="eastAsia" w:hAnsi="宋体"/>
          <w:iCs/>
          <w:color w:val="auto"/>
          <w:szCs w:val="21"/>
          <w:highlight w:val="none"/>
          <w:u w:val="single"/>
          <w:lang w:val="en-US" w:eastAsia="zh-CN"/>
        </w:rPr>
        <w:t>65</w:t>
      </w:r>
      <w:r>
        <w:rPr>
          <w:rFonts w:hAnsi="宋体"/>
          <w:iCs/>
          <w:color w:val="auto"/>
          <w:szCs w:val="21"/>
          <w:highlight w:val="none"/>
          <w:u w:val="single"/>
        </w:rPr>
        <w:t>%</w:t>
      </w:r>
      <w:r>
        <w:rPr>
          <w:rFonts w:hint="eastAsia" w:hAnsi="宋体"/>
          <w:color w:val="auto"/>
          <w:szCs w:val="21"/>
          <w:highlight w:val="none"/>
        </w:rPr>
        <w:t>；</w:t>
      </w:r>
    </w:p>
    <w:p w14:paraId="2501C664">
      <w:pPr>
        <w:ind w:firstLine="420"/>
        <w:rPr>
          <w:rFonts w:hAnsi="宋体"/>
          <w:color w:val="auto"/>
          <w:szCs w:val="21"/>
          <w:highlight w:val="none"/>
        </w:rPr>
      </w:pPr>
      <w:r>
        <w:rPr>
          <w:rFonts w:hint="eastAsia" w:hAnsi="宋体"/>
          <w:color w:val="auto"/>
          <w:szCs w:val="21"/>
          <w:highlight w:val="none"/>
        </w:rPr>
        <w:t>②投标报价低于通过符合性审查的次低报价供应商投标报价</w:t>
      </w:r>
      <w:r>
        <w:rPr>
          <w:rFonts w:hint="eastAsia" w:hAnsi="宋体"/>
          <w:iCs/>
          <w:color w:val="auto"/>
          <w:szCs w:val="21"/>
          <w:highlight w:val="none"/>
          <w:u w:val="single"/>
          <w:lang w:val="en-US" w:eastAsia="zh-CN"/>
        </w:rPr>
        <w:t>65</w:t>
      </w:r>
      <w:r>
        <w:rPr>
          <w:rFonts w:hAnsi="宋体"/>
          <w:iCs/>
          <w:color w:val="auto"/>
          <w:szCs w:val="21"/>
          <w:highlight w:val="none"/>
          <w:u w:val="single"/>
        </w:rPr>
        <w:t>%</w:t>
      </w:r>
      <w:r>
        <w:rPr>
          <w:rFonts w:hint="eastAsia" w:hAnsi="宋体"/>
          <w:color w:val="auto"/>
          <w:szCs w:val="21"/>
          <w:highlight w:val="none"/>
        </w:rPr>
        <w:t>的，即投标报价＜通过符合性审查的次低报价供应商投标报价×</w:t>
      </w:r>
      <w:r>
        <w:rPr>
          <w:rFonts w:hint="eastAsia" w:hAnsi="宋体"/>
          <w:iCs/>
          <w:color w:val="auto"/>
          <w:szCs w:val="21"/>
          <w:highlight w:val="none"/>
          <w:u w:val="single"/>
          <w:lang w:val="en-US" w:eastAsia="zh-CN"/>
        </w:rPr>
        <w:t>65</w:t>
      </w:r>
      <w:r>
        <w:rPr>
          <w:rFonts w:hAnsi="宋体"/>
          <w:iCs/>
          <w:color w:val="auto"/>
          <w:szCs w:val="21"/>
          <w:highlight w:val="none"/>
          <w:u w:val="single"/>
        </w:rPr>
        <w:t>%</w:t>
      </w:r>
      <w:r>
        <w:rPr>
          <w:rFonts w:hint="eastAsia" w:hAnsi="宋体"/>
          <w:color w:val="auto"/>
          <w:szCs w:val="21"/>
          <w:highlight w:val="none"/>
        </w:rPr>
        <w:t>；</w:t>
      </w:r>
    </w:p>
    <w:p w14:paraId="5024C2D1">
      <w:pPr>
        <w:ind w:firstLine="420"/>
        <w:rPr>
          <w:rFonts w:hAnsi="宋体"/>
          <w:color w:val="auto"/>
          <w:szCs w:val="21"/>
          <w:highlight w:val="none"/>
        </w:rPr>
      </w:pPr>
      <w:r>
        <w:rPr>
          <w:rFonts w:hint="eastAsia" w:hAnsi="宋体"/>
          <w:color w:val="auto"/>
          <w:szCs w:val="21"/>
          <w:highlight w:val="none"/>
        </w:rPr>
        <w:t>③投标报价低于采购项目最高限价</w:t>
      </w:r>
      <w:r>
        <w:rPr>
          <w:rFonts w:hint="eastAsia" w:hAnsi="宋体"/>
          <w:iCs/>
          <w:color w:val="auto"/>
          <w:szCs w:val="21"/>
          <w:highlight w:val="none"/>
          <w:u w:val="single"/>
          <w:lang w:val="en-US" w:eastAsia="zh-CN"/>
        </w:rPr>
        <w:t>65</w:t>
      </w:r>
      <w:r>
        <w:rPr>
          <w:rFonts w:hAnsi="宋体"/>
          <w:iCs/>
          <w:color w:val="auto"/>
          <w:szCs w:val="21"/>
          <w:highlight w:val="none"/>
          <w:u w:val="single"/>
        </w:rPr>
        <w:t>%</w:t>
      </w:r>
      <w:r>
        <w:rPr>
          <w:rFonts w:hint="eastAsia" w:hAnsi="宋体"/>
          <w:color w:val="auto"/>
          <w:szCs w:val="21"/>
          <w:highlight w:val="none"/>
        </w:rPr>
        <w:t>的，即投标报价＜采购项目最高限价×</w:t>
      </w:r>
      <w:r>
        <w:rPr>
          <w:rFonts w:hint="eastAsia" w:hAnsi="宋体"/>
          <w:iCs/>
          <w:color w:val="auto"/>
          <w:szCs w:val="21"/>
          <w:highlight w:val="none"/>
          <w:u w:val="single"/>
          <w:lang w:val="en-US" w:eastAsia="zh-CN"/>
        </w:rPr>
        <w:t>65</w:t>
      </w:r>
      <w:r>
        <w:rPr>
          <w:rFonts w:hAnsi="宋体"/>
          <w:iCs/>
          <w:color w:val="auto"/>
          <w:szCs w:val="21"/>
          <w:highlight w:val="none"/>
          <w:u w:val="single"/>
        </w:rPr>
        <w:t>%</w:t>
      </w:r>
      <w:r>
        <w:rPr>
          <w:rFonts w:hint="eastAsia" w:hAnsi="宋体"/>
          <w:color w:val="auto"/>
          <w:szCs w:val="21"/>
          <w:highlight w:val="none"/>
        </w:rPr>
        <w:t>；</w:t>
      </w:r>
    </w:p>
    <w:p w14:paraId="2D52B99F">
      <w:pPr>
        <w:ind w:firstLine="420"/>
        <w:rPr>
          <w:rFonts w:hAnsi="宋体"/>
          <w:color w:val="auto"/>
          <w:szCs w:val="21"/>
          <w:highlight w:val="none"/>
        </w:rPr>
      </w:pPr>
      <w:r>
        <w:rPr>
          <w:rFonts w:hint="eastAsia" w:hAnsi="宋体"/>
          <w:color w:val="auto"/>
          <w:szCs w:val="21"/>
          <w:highlight w:val="none"/>
        </w:rPr>
        <w:t>④评标委员会基于专业判断，认为供应商报价过低，有可能影响产品质量或者不能诚信履约的其他情形。</w:t>
      </w:r>
    </w:p>
    <w:p w14:paraId="59A7DF9A">
      <w:pPr>
        <w:ind w:firstLine="420"/>
        <w:rPr>
          <w:rFonts w:hAnsi="宋体"/>
          <w:color w:val="auto"/>
          <w:szCs w:val="21"/>
          <w:highlight w:val="none"/>
        </w:rPr>
      </w:pPr>
      <w:r>
        <w:rPr>
          <w:rFonts w:hAnsi="宋体"/>
          <w:color w:val="auto"/>
          <w:szCs w:val="21"/>
          <w:highlight w:val="none"/>
        </w:rPr>
        <w:t>2</w:t>
      </w:r>
      <w:r>
        <w:rPr>
          <w:rFonts w:hint="eastAsia" w:hAnsi="宋体"/>
          <w:color w:val="auto"/>
          <w:szCs w:val="21"/>
          <w:highlight w:val="none"/>
        </w:rPr>
        <w:t>）评标委员会启动异常低价投标审查后，属于前述第1项至第4项情形的，应当要求相关供应商在评审现场合理的时间内对投标价格作出解释</w:t>
      </w:r>
      <w:r>
        <w:rPr>
          <w:rFonts w:hint="eastAsia" w:hAnsi="宋体"/>
          <w:color w:val="auto"/>
          <w:szCs w:val="21"/>
          <w:highlight w:val="none"/>
          <w:lang w:eastAsia="zh-CN"/>
        </w:rPr>
        <w:t>，并</w:t>
      </w:r>
      <w:r>
        <w:rPr>
          <w:rFonts w:hint="eastAsia" w:hAnsi="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04D69E2A">
      <w:pPr>
        <w:ind w:firstLine="420"/>
        <w:rPr>
          <w:rFonts w:hAnsi="宋体"/>
          <w:color w:val="auto"/>
          <w:szCs w:val="21"/>
          <w:highlight w:val="none"/>
        </w:rPr>
      </w:pPr>
      <w:r>
        <w:rPr>
          <w:rFonts w:hint="eastAsia"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b/>
          <w:color w:val="auto"/>
          <w:szCs w:val="21"/>
          <w:highlight w:val="none"/>
        </w:rPr>
        <w:t>投标人不能提供书面说明、证明材料，或者提供的书面说明、证明材料不能证明其报价合理性的，评标委员会应当将其作为无效投标处理。</w:t>
      </w:r>
    </w:p>
    <w:p w14:paraId="65AE9DAA">
      <w:pPr>
        <w:ind w:firstLine="420"/>
        <w:rPr>
          <w:rFonts w:hAnsi="宋体"/>
          <w:color w:val="auto"/>
          <w:szCs w:val="21"/>
          <w:highlight w:val="none"/>
        </w:rPr>
      </w:pPr>
      <w:r>
        <w:rPr>
          <w:rFonts w:hint="eastAsia"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C19431C">
      <w:pPr>
        <w:ind w:firstLine="420"/>
        <w:rPr>
          <w:rFonts w:hAnsi="宋体"/>
          <w:color w:val="auto"/>
          <w:szCs w:val="21"/>
          <w:highlight w:val="none"/>
        </w:rPr>
      </w:pPr>
      <w:r>
        <w:rPr>
          <w:rFonts w:hint="eastAsia"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40304531">
      <w:pPr>
        <w:ind w:firstLine="420"/>
        <w:rPr>
          <w:rFonts w:hAnsi="宋体"/>
          <w:color w:val="auto"/>
          <w:szCs w:val="21"/>
          <w:highlight w:val="none"/>
        </w:rPr>
      </w:pPr>
      <w:r>
        <w:rPr>
          <w:rFonts w:hint="eastAsia" w:hAnsi="宋体"/>
          <w:color w:val="auto"/>
          <w:szCs w:val="21"/>
          <w:highlight w:val="none"/>
        </w:rPr>
        <w:t>（3）评标委员会按照招标文件中规定的评标方法和标准计算各投标人的报价得分。在计算过程中，不得去掉最高报价或者最低报价。</w:t>
      </w:r>
    </w:p>
    <w:p w14:paraId="16DB2F3C">
      <w:pPr>
        <w:ind w:firstLine="420"/>
        <w:rPr>
          <w:rFonts w:hAnsi="宋体"/>
          <w:color w:val="auto"/>
          <w:szCs w:val="21"/>
          <w:highlight w:val="none"/>
        </w:rPr>
      </w:pPr>
      <w:r>
        <w:rPr>
          <w:rFonts w:hint="eastAsia" w:hAnsi="宋体"/>
          <w:color w:val="auto"/>
          <w:szCs w:val="21"/>
          <w:highlight w:val="none"/>
        </w:rPr>
        <w:t>（4）各投标人的得分为所有评委的有效评分的算术平均数。</w:t>
      </w:r>
    </w:p>
    <w:p w14:paraId="71AFE0BE">
      <w:pPr>
        <w:ind w:firstLine="420"/>
        <w:rPr>
          <w:rFonts w:hAnsi="宋体"/>
          <w:color w:val="auto"/>
          <w:szCs w:val="21"/>
          <w:highlight w:val="none"/>
        </w:rPr>
      </w:pPr>
      <w:r>
        <w:rPr>
          <w:rFonts w:hint="eastAsia" w:hAnsi="宋体"/>
          <w:color w:val="auto"/>
          <w:szCs w:val="21"/>
          <w:highlight w:val="none"/>
        </w:rPr>
        <w:t>（5）评标委员会按照招标文件中的规定推荐中标候选人。</w:t>
      </w:r>
    </w:p>
    <w:p w14:paraId="034DD1F6">
      <w:pPr>
        <w:ind w:firstLine="420"/>
        <w:rPr>
          <w:rFonts w:hAnsi="宋体"/>
          <w:color w:val="auto"/>
          <w:szCs w:val="21"/>
          <w:highlight w:val="none"/>
        </w:rPr>
      </w:pPr>
      <w:r>
        <w:rPr>
          <w:rFonts w:hint="eastAsia"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w:t>
      </w:r>
      <w:r>
        <w:rPr>
          <w:rFonts w:hint="eastAsia" w:hAnsi="宋体"/>
          <w:color w:val="auto"/>
          <w:szCs w:val="21"/>
          <w:highlight w:val="none"/>
          <w:lang w:eastAsia="zh-CN"/>
        </w:rPr>
        <w:t>原则作出结论</w:t>
      </w:r>
      <w:r>
        <w:rPr>
          <w:rFonts w:hint="eastAsia" w:hAnsi="宋体"/>
          <w:color w:val="auto"/>
          <w:szCs w:val="21"/>
          <w:highlight w:val="none"/>
        </w:rPr>
        <w:t>。持不同意见的评标委员会成员应当在评标报告上签署不同意见及理由，否则视为同意评标报告。</w:t>
      </w:r>
    </w:p>
    <w:p w14:paraId="5B7C846F">
      <w:pPr>
        <w:ind w:firstLine="420"/>
        <w:rPr>
          <w:rFonts w:hint="eastAsia" w:hAnsi="宋体" w:eastAsia="宋体"/>
          <w:color w:val="auto"/>
          <w:szCs w:val="21"/>
          <w:highlight w:val="none"/>
          <w:lang w:eastAsia="zh-CN"/>
        </w:rPr>
      </w:pPr>
      <w:r>
        <w:rPr>
          <w:rFonts w:hint="eastAsia" w:hAnsi="宋体"/>
          <w:color w:val="auto"/>
          <w:szCs w:val="21"/>
          <w:highlight w:val="none"/>
        </w:rPr>
        <w:t>5.2采用</w:t>
      </w:r>
      <w:r>
        <w:rPr>
          <w:rFonts w:hint="eastAsia" w:hAnsi="宋体"/>
          <w:color w:val="auto"/>
          <w:highlight w:val="none"/>
        </w:rPr>
        <w:t>最低评标价法</w:t>
      </w:r>
      <w:r>
        <w:rPr>
          <w:rFonts w:hint="eastAsia" w:hAnsi="宋体"/>
          <w:color w:val="auto"/>
          <w:szCs w:val="21"/>
          <w:highlight w:val="none"/>
        </w:rPr>
        <w:t>的</w:t>
      </w:r>
      <w:r>
        <w:rPr>
          <w:rFonts w:hint="eastAsia" w:hAnsi="宋体"/>
          <w:color w:val="auto"/>
          <w:szCs w:val="21"/>
          <w:highlight w:val="none"/>
          <w:lang w:eastAsia="zh-CN"/>
        </w:rPr>
        <w:t>（</w:t>
      </w:r>
      <w:r>
        <w:rPr>
          <w:rFonts w:hint="eastAsia" w:hAnsi="宋体"/>
          <w:color w:val="auto"/>
          <w:szCs w:val="21"/>
          <w:highlight w:val="none"/>
          <w:lang w:val="en-US" w:eastAsia="zh-CN"/>
        </w:rPr>
        <w:t>本项目不适用</w:t>
      </w:r>
      <w:r>
        <w:rPr>
          <w:rFonts w:hint="eastAsia" w:hAnsi="宋体"/>
          <w:color w:val="auto"/>
          <w:szCs w:val="21"/>
          <w:highlight w:val="none"/>
          <w:lang w:eastAsia="zh-CN"/>
        </w:rPr>
        <w:t>）</w:t>
      </w:r>
    </w:p>
    <w:p w14:paraId="52F18DC3">
      <w:pPr>
        <w:ind w:firstLine="424"/>
        <w:rPr>
          <w:rFonts w:hAnsi="宋体"/>
          <w:color w:val="auto"/>
          <w:szCs w:val="21"/>
          <w:highlight w:val="none"/>
        </w:rPr>
      </w:pPr>
      <w:r>
        <w:rPr>
          <w:rFonts w:hint="eastAsia" w:hAnsi="宋体"/>
          <w:color w:val="auto"/>
          <w:szCs w:val="21"/>
          <w:highlight w:val="none"/>
        </w:rPr>
        <w:t>（1）评标委员会按照招标文件中规定的评标方法及评标标准，对符合性审查合格的投标文件报价进行比较。</w:t>
      </w:r>
    </w:p>
    <w:p w14:paraId="60A27AF5">
      <w:pPr>
        <w:ind w:firstLine="399"/>
        <w:rPr>
          <w:rFonts w:hAnsi="宋体"/>
          <w:color w:val="auto"/>
          <w:spacing w:val="-6"/>
          <w:szCs w:val="21"/>
          <w:highlight w:val="none"/>
        </w:rPr>
      </w:pPr>
      <w:r>
        <w:rPr>
          <w:rFonts w:hint="eastAsia" w:hAnsi="宋体"/>
          <w:color w:val="auto"/>
          <w:spacing w:val="-6"/>
          <w:szCs w:val="21"/>
          <w:highlight w:val="none"/>
        </w:rPr>
        <w:t>（2）</w:t>
      </w:r>
      <w:r>
        <w:rPr>
          <w:rFonts w:hint="eastAsia" w:hAnsi="宋体"/>
          <w:color w:val="auto"/>
          <w:szCs w:val="21"/>
          <w:highlight w:val="none"/>
        </w:rPr>
        <w:t>异常低价投标审查</w:t>
      </w:r>
    </w:p>
    <w:p w14:paraId="5453F8F2">
      <w:pPr>
        <w:ind w:firstLine="420"/>
        <w:rPr>
          <w:rFonts w:hAnsi="宋体"/>
          <w:color w:val="auto"/>
          <w:szCs w:val="21"/>
          <w:highlight w:val="none"/>
        </w:rPr>
      </w:pPr>
      <w:r>
        <w:rPr>
          <w:rFonts w:hint="eastAsia" w:hAnsi="宋体"/>
          <w:color w:val="auto"/>
          <w:szCs w:val="21"/>
          <w:highlight w:val="none"/>
        </w:rPr>
        <w:t>1）评标委员会在评审中出现下列情形之一的，应当启动异常低价投标审查程序：</w:t>
      </w:r>
    </w:p>
    <w:p w14:paraId="348243FE">
      <w:pPr>
        <w:ind w:firstLine="420"/>
        <w:rPr>
          <w:rFonts w:hAnsi="宋体"/>
          <w:color w:val="auto"/>
          <w:szCs w:val="21"/>
          <w:highlight w:val="none"/>
        </w:rPr>
      </w:pPr>
      <w:r>
        <w:rPr>
          <w:rFonts w:hint="eastAsia" w:hAnsi="宋体"/>
          <w:color w:val="auto"/>
          <w:szCs w:val="21"/>
          <w:highlight w:val="none"/>
        </w:rPr>
        <w:t>①投标报价低于全部通过符合性审查供应商投标报价平均值</w:t>
      </w:r>
      <w:r>
        <w:rPr>
          <w:rFonts w:hint="eastAsia" w:hAnsi="宋体"/>
          <w:iCs/>
          <w:color w:val="auto"/>
          <w:szCs w:val="21"/>
          <w:highlight w:val="none"/>
          <w:u w:val="single"/>
          <w:lang w:val="en-US" w:eastAsia="zh-CN"/>
        </w:rPr>
        <w:t>/</w:t>
      </w:r>
      <w:r>
        <w:rPr>
          <w:rFonts w:hint="eastAsia" w:hAnsi="宋体"/>
          <w:color w:val="auto"/>
          <w:szCs w:val="21"/>
          <w:highlight w:val="none"/>
        </w:rPr>
        <w:t>的，即投标报价＜全部通过符合性审查供应商投标报价平均值×</w:t>
      </w:r>
      <w:r>
        <w:rPr>
          <w:rFonts w:hint="eastAsia" w:hAnsi="宋体"/>
          <w:iCs/>
          <w:color w:val="auto"/>
          <w:szCs w:val="21"/>
          <w:highlight w:val="none"/>
          <w:u w:val="single"/>
          <w:lang w:val="en-US" w:eastAsia="zh-CN"/>
        </w:rPr>
        <w:t>/</w:t>
      </w:r>
      <w:r>
        <w:rPr>
          <w:rFonts w:hint="eastAsia" w:hAnsi="宋体"/>
          <w:color w:val="auto"/>
          <w:szCs w:val="21"/>
          <w:highlight w:val="none"/>
        </w:rPr>
        <w:t>；</w:t>
      </w:r>
    </w:p>
    <w:p w14:paraId="04772638">
      <w:pPr>
        <w:ind w:firstLine="420"/>
        <w:rPr>
          <w:rFonts w:hAnsi="宋体"/>
          <w:color w:val="auto"/>
          <w:szCs w:val="21"/>
          <w:highlight w:val="none"/>
        </w:rPr>
      </w:pPr>
      <w:r>
        <w:rPr>
          <w:rFonts w:hint="eastAsia" w:hAnsi="宋体"/>
          <w:color w:val="auto"/>
          <w:szCs w:val="21"/>
          <w:highlight w:val="none"/>
        </w:rPr>
        <w:t>②投标报价低于通过符合性审查的次低报价供应商投标报价</w:t>
      </w:r>
      <w:r>
        <w:rPr>
          <w:rFonts w:hint="eastAsia" w:hAnsi="宋体"/>
          <w:iCs/>
          <w:color w:val="auto"/>
          <w:szCs w:val="21"/>
          <w:highlight w:val="none"/>
          <w:u w:val="single"/>
          <w:lang w:val="en-US" w:eastAsia="zh-CN"/>
        </w:rPr>
        <w:t>/</w:t>
      </w:r>
      <w:r>
        <w:rPr>
          <w:rFonts w:hint="eastAsia" w:hAnsi="宋体"/>
          <w:color w:val="auto"/>
          <w:szCs w:val="21"/>
          <w:highlight w:val="none"/>
        </w:rPr>
        <w:t>的，即投标报价＜通过符合性审查的次低报价供应商投标报价×</w:t>
      </w:r>
      <w:r>
        <w:rPr>
          <w:rFonts w:hint="eastAsia" w:hAnsi="宋体"/>
          <w:iCs/>
          <w:color w:val="auto"/>
          <w:szCs w:val="21"/>
          <w:highlight w:val="none"/>
          <w:u w:val="single"/>
          <w:lang w:val="en-US" w:eastAsia="zh-CN"/>
        </w:rPr>
        <w:t>/</w:t>
      </w:r>
      <w:r>
        <w:rPr>
          <w:rFonts w:hint="eastAsia" w:hAnsi="宋体"/>
          <w:color w:val="auto"/>
          <w:szCs w:val="21"/>
          <w:highlight w:val="none"/>
        </w:rPr>
        <w:t>；</w:t>
      </w:r>
    </w:p>
    <w:p w14:paraId="6A01D5A2">
      <w:pPr>
        <w:ind w:firstLine="420"/>
        <w:rPr>
          <w:rFonts w:hAnsi="宋体"/>
          <w:color w:val="auto"/>
          <w:szCs w:val="21"/>
          <w:highlight w:val="none"/>
        </w:rPr>
      </w:pPr>
      <w:r>
        <w:rPr>
          <w:rFonts w:hint="eastAsia" w:hAnsi="宋体"/>
          <w:color w:val="auto"/>
          <w:szCs w:val="21"/>
          <w:highlight w:val="none"/>
        </w:rPr>
        <w:t>③投标报价低于采购项目最高限价</w:t>
      </w:r>
      <w:r>
        <w:rPr>
          <w:rFonts w:hint="eastAsia" w:hAnsi="宋体"/>
          <w:iCs/>
          <w:color w:val="auto"/>
          <w:szCs w:val="21"/>
          <w:highlight w:val="none"/>
          <w:u w:val="single"/>
          <w:lang w:val="en-US" w:eastAsia="zh-CN"/>
        </w:rPr>
        <w:t>/</w:t>
      </w:r>
      <w:r>
        <w:rPr>
          <w:rFonts w:hint="eastAsia" w:hAnsi="宋体"/>
          <w:color w:val="auto"/>
          <w:szCs w:val="21"/>
          <w:highlight w:val="none"/>
        </w:rPr>
        <w:t>的，即投标报价＜采购项目最高限价×</w:t>
      </w:r>
      <w:r>
        <w:rPr>
          <w:rFonts w:hint="eastAsia" w:hAnsi="宋体"/>
          <w:iCs/>
          <w:color w:val="auto"/>
          <w:szCs w:val="21"/>
          <w:highlight w:val="none"/>
          <w:u w:val="single"/>
          <w:lang w:val="en-US" w:eastAsia="zh-CN"/>
        </w:rPr>
        <w:t>/</w:t>
      </w:r>
      <w:r>
        <w:rPr>
          <w:rFonts w:hint="eastAsia" w:hAnsi="宋体"/>
          <w:color w:val="auto"/>
          <w:szCs w:val="21"/>
          <w:highlight w:val="none"/>
        </w:rPr>
        <w:t>；</w:t>
      </w:r>
    </w:p>
    <w:p w14:paraId="636D96E5">
      <w:pPr>
        <w:ind w:firstLine="420"/>
        <w:rPr>
          <w:rFonts w:hAnsi="宋体"/>
          <w:color w:val="auto"/>
          <w:szCs w:val="21"/>
          <w:highlight w:val="none"/>
        </w:rPr>
      </w:pPr>
      <w:r>
        <w:rPr>
          <w:rFonts w:hint="eastAsia" w:hAnsi="宋体"/>
          <w:color w:val="auto"/>
          <w:szCs w:val="21"/>
          <w:highlight w:val="none"/>
        </w:rPr>
        <w:t>④评标委员会基于专业判断，认为供应商报价过低，有可能影响产品质量或者不能诚信履约的其他情形。</w:t>
      </w:r>
    </w:p>
    <w:p w14:paraId="7E42B05F">
      <w:pPr>
        <w:ind w:firstLine="420"/>
        <w:rPr>
          <w:rFonts w:hAnsi="宋体"/>
          <w:color w:val="auto"/>
          <w:szCs w:val="21"/>
          <w:highlight w:val="none"/>
        </w:rPr>
      </w:pPr>
      <w:r>
        <w:rPr>
          <w:rFonts w:hAnsi="宋体"/>
          <w:color w:val="auto"/>
          <w:szCs w:val="21"/>
          <w:highlight w:val="none"/>
        </w:rPr>
        <w:t>2</w:t>
      </w:r>
      <w:r>
        <w:rPr>
          <w:rFonts w:hint="eastAsia" w:hAnsi="宋体"/>
          <w:color w:val="auto"/>
          <w:szCs w:val="21"/>
          <w:highlight w:val="none"/>
        </w:rPr>
        <w:t>）评标委员会启动异常低价投标审查后，属于前述第1项至第4项情形的，应当要求相关供应商在评审现场合理的时间内对投标价格作出解释</w:t>
      </w:r>
      <w:r>
        <w:rPr>
          <w:rFonts w:hint="eastAsia" w:hAnsi="宋体"/>
          <w:color w:val="auto"/>
          <w:szCs w:val="21"/>
          <w:highlight w:val="none"/>
          <w:lang w:eastAsia="zh-CN"/>
        </w:rPr>
        <w:t>，并</w:t>
      </w:r>
      <w:r>
        <w:rPr>
          <w:rFonts w:hint="eastAsia" w:hAnsi="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AE2B571">
      <w:pPr>
        <w:ind w:firstLine="420"/>
        <w:rPr>
          <w:rFonts w:hAnsi="宋体"/>
          <w:color w:val="auto"/>
          <w:szCs w:val="21"/>
          <w:highlight w:val="none"/>
        </w:rPr>
      </w:pPr>
      <w:r>
        <w:rPr>
          <w:rFonts w:hint="eastAsia"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hAnsi="宋体"/>
          <w:b/>
          <w:color w:val="auto"/>
          <w:szCs w:val="21"/>
          <w:highlight w:val="none"/>
        </w:rPr>
        <w:t>投标人不能提供书面说明、证明材料，或者提供的书面说明、证明材料不能证明其报价合理性的，评标委员会应当将其作为无效投标处理。</w:t>
      </w:r>
    </w:p>
    <w:p w14:paraId="7554F863">
      <w:pPr>
        <w:ind w:firstLine="420"/>
        <w:rPr>
          <w:rFonts w:hAnsi="宋体"/>
          <w:color w:val="auto"/>
          <w:szCs w:val="21"/>
          <w:highlight w:val="none"/>
        </w:rPr>
      </w:pPr>
      <w:r>
        <w:rPr>
          <w:rFonts w:hint="eastAsia"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8C59929">
      <w:pPr>
        <w:ind w:firstLine="424"/>
        <w:rPr>
          <w:rFonts w:hAnsi="宋体"/>
          <w:color w:val="auto"/>
          <w:spacing w:val="-6"/>
          <w:szCs w:val="21"/>
          <w:highlight w:val="none"/>
        </w:rPr>
      </w:pPr>
      <w:r>
        <w:rPr>
          <w:rFonts w:hint="eastAsia"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4F91B587">
      <w:pPr>
        <w:ind w:firstLine="424"/>
        <w:rPr>
          <w:rFonts w:hAnsi="宋体"/>
          <w:color w:val="auto"/>
          <w:szCs w:val="21"/>
          <w:highlight w:val="none"/>
        </w:rPr>
      </w:pPr>
      <w:r>
        <w:rPr>
          <w:rFonts w:hint="eastAsia" w:hAnsi="宋体"/>
          <w:color w:val="auto"/>
          <w:szCs w:val="21"/>
          <w:highlight w:val="none"/>
        </w:rPr>
        <w:t>（3）评标委员会按照招标文件中的规定推荐中标候选人。</w:t>
      </w:r>
    </w:p>
    <w:p w14:paraId="23EDCACB">
      <w:pPr>
        <w:ind w:firstLine="424"/>
        <w:rPr>
          <w:rFonts w:hAnsi="宋体"/>
          <w:color w:val="auto"/>
          <w:szCs w:val="21"/>
          <w:highlight w:val="none"/>
        </w:rPr>
      </w:pPr>
      <w:r>
        <w:rPr>
          <w:rFonts w:hint="eastAsia" w:hAnsi="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w:t>
      </w:r>
      <w:r>
        <w:rPr>
          <w:rFonts w:hint="eastAsia" w:hAnsi="宋体"/>
          <w:color w:val="auto"/>
          <w:szCs w:val="21"/>
          <w:highlight w:val="none"/>
          <w:lang w:eastAsia="zh-CN"/>
        </w:rPr>
        <w:t>原则作出结论</w:t>
      </w:r>
      <w:r>
        <w:rPr>
          <w:rFonts w:hint="eastAsia" w:hAnsi="宋体"/>
          <w:color w:val="auto"/>
          <w:szCs w:val="21"/>
          <w:highlight w:val="none"/>
        </w:rPr>
        <w:t>。持不同意见的评标委员会成员应当在评标报告上签署不同意见及理由，否则视为同意评标报告。</w:t>
      </w:r>
    </w:p>
    <w:p w14:paraId="7489A3E9">
      <w:pPr>
        <w:ind w:firstLine="424"/>
        <w:jc w:val="center"/>
        <w:rPr>
          <w:rFonts w:hAnsi="宋体"/>
          <w:color w:val="auto"/>
          <w:szCs w:val="21"/>
          <w:highlight w:val="none"/>
        </w:rPr>
      </w:pPr>
    </w:p>
    <w:p w14:paraId="79439DBA">
      <w:pPr>
        <w:pStyle w:val="271"/>
        <w:rPr>
          <w:color w:val="auto"/>
          <w:highlight w:val="none"/>
        </w:rPr>
        <w:sectPr>
          <w:pgSz w:w="11906" w:h="16838"/>
          <w:pgMar w:top="1701" w:right="1701" w:bottom="1701" w:left="1701" w:header="851" w:footer="992" w:gutter="0"/>
          <w:pgNumType w:fmt="decimal"/>
          <w:cols w:space="1701" w:num="1"/>
          <w:titlePg/>
        </w:sectPr>
      </w:pPr>
    </w:p>
    <w:p w14:paraId="5F621D80">
      <w:pPr>
        <w:pStyle w:val="271"/>
        <w:rPr>
          <w:color w:val="auto"/>
          <w:highlight w:val="none"/>
        </w:rPr>
      </w:pPr>
      <w:r>
        <w:rPr>
          <w:rFonts w:hint="eastAsia"/>
          <w:color w:val="auto"/>
          <w:highlight w:val="none"/>
        </w:rPr>
        <w:t>三、评标标准</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770"/>
        <w:gridCol w:w="1260"/>
        <w:gridCol w:w="5916"/>
      </w:tblGrid>
      <w:tr w14:paraId="0179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2" w:type="dxa"/>
            <w:gridSpan w:val="2"/>
            <w:vAlign w:val="center"/>
          </w:tcPr>
          <w:p w14:paraId="5BCF32A1">
            <w:pPr>
              <w:adjustRightInd w:val="0"/>
              <w:snapToGrid w:val="0"/>
              <w:jc w:val="center"/>
              <w:textAlignment w:val="baseline"/>
              <w:rPr>
                <w:rFonts w:hAnsi="宋体"/>
                <w:b/>
                <w:color w:val="auto"/>
                <w:szCs w:val="21"/>
                <w:highlight w:val="none"/>
              </w:rPr>
            </w:pPr>
            <w:bookmarkStart w:id="128" w:name="_Hlk181103225"/>
            <w:r>
              <w:rPr>
                <w:rFonts w:hint="eastAsia" w:hAnsi="宋体"/>
                <w:b/>
                <w:color w:val="auto"/>
                <w:szCs w:val="21"/>
                <w:highlight w:val="none"/>
              </w:rPr>
              <w:t>序号</w:t>
            </w:r>
          </w:p>
        </w:tc>
        <w:tc>
          <w:tcPr>
            <w:tcW w:w="1260" w:type="dxa"/>
            <w:vAlign w:val="center"/>
          </w:tcPr>
          <w:p w14:paraId="5224FC43">
            <w:pPr>
              <w:adjustRightInd w:val="0"/>
              <w:snapToGrid w:val="0"/>
              <w:jc w:val="center"/>
              <w:textAlignment w:val="baseline"/>
              <w:rPr>
                <w:rFonts w:hAnsi="宋体"/>
                <w:b/>
                <w:color w:val="auto"/>
                <w:szCs w:val="21"/>
                <w:highlight w:val="none"/>
              </w:rPr>
            </w:pPr>
            <w:r>
              <w:rPr>
                <w:rFonts w:hint="eastAsia" w:hAnsi="宋体"/>
                <w:b/>
                <w:color w:val="auto"/>
                <w:szCs w:val="21"/>
                <w:highlight w:val="none"/>
              </w:rPr>
              <w:t>评审因素</w:t>
            </w:r>
          </w:p>
        </w:tc>
        <w:tc>
          <w:tcPr>
            <w:tcW w:w="5916" w:type="dxa"/>
            <w:vAlign w:val="center"/>
          </w:tcPr>
          <w:p w14:paraId="78FA49BC">
            <w:pPr>
              <w:adjustRightInd w:val="0"/>
              <w:snapToGrid w:val="0"/>
              <w:jc w:val="center"/>
              <w:textAlignment w:val="baseline"/>
              <w:rPr>
                <w:rFonts w:hAnsi="宋体"/>
                <w:b/>
                <w:color w:val="auto"/>
                <w:szCs w:val="21"/>
                <w:highlight w:val="none"/>
              </w:rPr>
            </w:pPr>
            <w:r>
              <w:rPr>
                <w:rFonts w:hint="eastAsia" w:hAnsi="宋体"/>
                <w:b/>
                <w:color w:val="auto"/>
                <w:szCs w:val="21"/>
                <w:highlight w:val="none"/>
              </w:rPr>
              <w:t>评标标准</w:t>
            </w:r>
          </w:p>
        </w:tc>
      </w:tr>
      <w:tr w14:paraId="354F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1693263D">
            <w:pPr>
              <w:adjustRightInd w:val="0"/>
              <w:snapToGrid w:val="0"/>
              <w:jc w:val="center"/>
              <w:textAlignment w:val="baseline"/>
              <w:rPr>
                <w:rFonts w:hAnsi="宋体"/>
                <w:color w:val="auto"/>
                <w:szCs w:val="21"/>
                <w:highlight w:val="none"/>
              </w:rPr>
            </w:pPr>
            <w:r>
              <w:rPr>
                <w:rFonts w:hint="eastAsia" w:hAnsi="宋体"/>
                <w:color w:val="auto"/>
                <w:szCs w:val="21"/>
                <w:highlight w:val="none"/>
              </w:rPr>
              <w:t>1</w:t>
            </w:r>
          </w:p>
        </w:tc>
        <w:tc>
          <w:tcPr>
            <w:tcW w:w="1770" w:type="dxa"/>
            <w:vAlign w:val="center"/>
          </w:tcPr>
          <w:p w14:paraId="68936883">
            <w:pPr>
              <w:adjustRightInd w:val="0"/>
              <w:snapToGrid w:val="0"/>
              <w:jc w:val="center"/>
              <w:textAlignment w:val="baseline"/>
              <w:rPr>
                <w:rFonts w:hAnsi="宋体"/>
                <w:b/>
                <w:bCs/>
                <w:color w:val="auto"/>
                <w:szCs w:val="21"/>
                <w:highlight w:val="none"/>
              </w:rPr>
            </w:pPr>
            <w:r>
              <w:rPr>
                <w:rFonts w:hint="eastAsia" w:hAnsi="宋体"/>
                <w:b/>
                <w:bCs/>
                <w:color w:val="auto"/>
                <w:szCs w:val="21"/>
                <w:highlight w:val="none"/>
              </w:rPr>
              <w:t>价格分</w:t>
            </w:r>
          </w:p>
          <w:p w14:paraId="23C17BC1">
            <w:pPr>
              <w:adjustRightInd w:val="0"/>
              <w:snapToGrid w:val="0"/>
              <w:jc w:val="center"/>
              <w:textAlignment w:val="baseline"/>
              <w:rPr>
                <w:rFonts w:hAnsi="宋体"/>
                <w:color w:val="auto"/>
                <w:szCs w:val="21"/>
                <w:highlight w:val="none"/>
              </w:rPr>
            </w:pPr>
            <w:r>
              <w:rPr>
                <w:rFonts w:hint="eastAsia" w:hAnsi="宋体"/>
                <w:color w:val="auto"/>
                <w:szCs w:val="21"/>
                <w:highlight w:val="none"/>
              </w:rPr>
              <w:t>（满分</w:t>
            </w:r>
            <w:r>
              <w:rPr>
                <w:rFonts w:hint="eastAsia" w:hAnsi="宋体"/>
                <w:color w:val="auto"/>
                <w:szCs w:val="21"/>
                <w:highlight w:val="none"/>
                <w:u w:val="single"/>
              </w:rPr>
              <w:t>30</w:t>
            </w:r>
            <w:r>
              <w:rPr>
                <w:rFonts w:hint="eastAsia" w:hAnsi="宋体"/>
                <w:color w:val="auto"/>
                <w:szCs w:val="21"/>
                <w:highlight w:val="none"/>
              </w:rPr>
              <w:t>分）</w:t>
            </w:r>
          </w:p>
        </w:tc>
        <w:tc>
          <w:tcPr>
            <w:tcW w:w="1260" w:type="dxa"/>
            <w:vAlign w:val="center"/>
          </w:tcPr>
          <w:p w14:paraId="2E63AA5C">
            <w:pPr>
              <w:adjustRightInd w:val="0"/>
              <w:snapToGrid w:val="0"/>
              <w:jc w:val="center"/>
              <w:textAlignment w:val="baseline"/>
              <w:rPr>
                <w:rFonts w:hAnsi="宋体"/>
                <w:b/>
                <w:bCs/>
                <w:color w:val="auto"/>
                <w:szCs w:val="21"/>
                <w:highlight w:val="none"/>
              </w:rPr>
            </w:pPr>
            <w:r>
              <w:rPr>
                <w:rFonts w:hint="eastAsia" w:hAnsi="宋体"/>
                <w:b/>
                <w:bCs/>
                <w:color w:val="auto"/>
                <w:szCs w:val="21"/>
                <w:highlight w:val="none"/>
              </w:rPr>
              <w:t>投标报价</w:t>
            </w:r>
          </w:p>
        </w:tc>
        <w:tc>
          <w:tcPr>
            <w:tcW w:w="5916" w:type="dxa"/>
            <w:vAlign w:val="center"/>
          </w:tcPr>
          <w:p w14:paraId="6BED5029">
            <w:pPr>
              <w:snapToGrid w:val="0"/>
              <w:ind w:firstLine="420" w:firstLineChars="200"/>
              <w:rPr>
                <w:rFonts w:hAnsi="宋体"/>
                <w:bCs/>
                <w:color w:val="auto"/>
                <w:szCs w:val="21"/>
                <w:highlight w:val="none"/>
              </w:rPr>
            </w:pPr>
            <w:r>
              <w:rPr>
                <w:rFonts w:hint="eastAsia" w:hAnsi="宋体"/>
                <w:bCs/>
                <w:color w:val="auto"/>
                <w:szCs w:val="21"/>
                <w:highlight w:val="none"/>
              </w:rPr>
              <w:t>（1）评标报价为投标人的投标报价（总折扣率）进行政策性扣除后的价格，评标报价（政策性扣除后总折扣率）只是作为评标时使用。最终中标供应商的中标金额（总折扣率）等于投标报价（总折扣率）。</w:t>
            </w:r>
          </w:p>
          <w:p w14:paraId="053AFA46">
            <w:pPr>
              <w:pStyle w:val="23"/>
              <w:ind w:firstLine="420"/>
              <w:rPr>
                <w:rFonts w:hAnsi="宋体" w:cs="宋体"/>
                <w:color w:val="auto"/>
                <w:highlight w:val="none"/>
              </w:rPr>
            </w:pPr>
            <w:r>
              <w:rPr>
                <w:rFonts w:hint="eastAsia" w:hAnsi="宋体" w:cs="宋体"/>
                <w:color w:val="auto"/>
                <w:highlight w:val="none"/>
              </w:rPr>
              <w:t>（2）本国产品政策性扣除计算方法。</w:t>
            </w:r>
          </w:p>
          <w:p w14:paraId="2826FB1A">
            <w:pPr>
              <w:pStyle w:val="23"/>
              <w:ind w:firstLine="420"/>
              <w:rPr>
                <w:rFonts w:hAnsi="宋体" w:cs="宋体"/>
                <w:color w:val="auto"/>
                <w:highlight w:val="none"/>
              </w:rPr>
            </w:pPr>
            <w:r>
              <w:rPr>
                <w:rFonts w:hint="eastAsia" w:hAnsi="宋体" w:cs="宋体"/>
                <w:color w:val="auto"/>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B37C473">
            <w:pPr>
              <w:pStyle w:val="23"/>
              <w:ind w:firstLine="420"/>
              <w:rPr>
                <w:rFonts w:hAnsi="宋体" w:cs="宋体"/>
                <w:color w:val="auto"/>
                <w:highlight w:val="none"/>
              </w:rPr>
            </w:pPr>
            <w:r>
              <w:rPr>
                <w:rFonts w:hint="eastAsia" w:hAnsi="宋体" w:cs="宋体"/>
                <w:color w:val="auto"/>
                <w:highlight w:val="none"/>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未达到80%，不享受价格评审优惠。</w:t>
            </w:r>
          </w:p>
          <w:p w14:paraId="566F9C45">
            <w:pPr>
              <w:pStyle w:val="23"/>
              <w:ind w:firstLine="420"/>
              <w:rPr>
                <w:rFonts w:hAnsi="宋体" w:cs="宋体"/>
                <w:color w:val="auto"/>
                <w:highlight w:val="none"/>
              </w:rPr>
            </w:pPr>
            <w:r>
              <w:rPr>
                <w:rFonts w:hint="eastAsia" w:hAnsi="宋体" w:cs="宋体"/>
                <w:color w:val="auto"/>
                <w:highlight w:val="none"/>
              </w:rPr>
              <w:t>投标人在其投标文件中提供《关于符合本国产品标准的声明函》或财政部会同有关部门规定的有关证明文件，出具符合要求的《声明函》或有关证明文件的，该产品视为本国产品。</w:t>
            </w:r>
          </w:p>
          <w:p w14:paraId="0DCD6120">
            <w:pPr>
              <w:pStyle w:val="23"/>
              <w:ind w:firstLine="420"/>
              <w:rPr>
                <w:rFonts w:hAnsi="宋体" w:cs="宋体"/>
                <w:color w:val="auto"/>
                <w:highlight w:val="none"/>
              </w:rPr>
            </w:pPr>
            <w:r>
              <w:rPr>
                <w:rFonts w:hint="eastAsia" w:hAnsi="宋体" w:cs="宋体"/>
                <w:color w:val="auto"/>
                <w:highlight w:val="none"/>
              </w:rPr>
              <w:t>如果所有参与竞争的供应商均可享受本国产品价格评审优惠，则统一不进行价格扣除。</w:t>
            </w:r>
          </w:p>
          <w:p w14:paraId="6030051A">
            <w:pPr>
              <w:ind w:firstLine="420"/>
              <w:rPr>
                <w:rFonts w:hAnsi="宋体" w:cs="宋体"/>
                <w:bCs/>
                <w:color w:val="auto"/>
                <w:szCs w:val="21"/>
                <w:highlight w:val="none"/>
              </w:rPr>
            </w:pPr>
            <w:r>
              <w:rPr>
                <w:rFonts w:hint="eastAsia" w:hAnsi="宋体" w:cs="宋体"/>
                <w:color w:val="auto"/>
                <w:szCs w:val="21"/>
                <w:highlight w:val="none"/>
              </w:rPr>
              <w:t>（3）用扣除后的价格参加评审。即</w:t>
            </w:r>
            <w:r>
              <w:rPr>
                <w:rFonts w:hint="eastAsia" w:hAnsi="宋体"/>
                <w:color w:val="auto"/>
                <w:highlight w:val="none"/>
              </w:rPr>
              <w:t>评标报价</w:t>
            </w:r>
            <w:r>
              <w:rPr>
                <w:rFonts w:hint="eastAsia" w:hAnsi="宋体" w:cs="宋体"/>
                <w:color w:val="auto"/>
                <w:szCs w:val="21"/>
                <w:highlight w:val="none"/>
              </w:rPr>
              <w:t>=投标报价-本国产品折扣，除上述情况外，</w:t>
            </w:r>
            <w:r>
              <w:rPr>
                <w:rFonts w:hint="eastAsia" w:hAnsi="宋体"/>
                <w:color w:val="auto"/>
                <w:highlight w:val="none"/>
              </w:rPr>
              <w:t>评标报价</w:t>
            </w:r>
            <w:r>
              <w:rPr>
                <w:rFonts w:hint="eastAsia" w:hAnsi="宋体" w:cs="宋体"/>
                <w:color w:val="auto"/>
                <w:szCs w:val="21"/>
                <w:highlight w:val="none"/>
              </w:rPr>
              <w:t>=投标报价。</w:t>
            </w:r>
          </w:p>
          <w:p w14:paraId="7A85CCED">
            <w:pPr>
              <w:ind w:firstLine="420"/>
              <w:rPr>
                <w:rFonts w:hAnsi="宋体" w:cs="宋体"/>
                <w:bCs/>
                <w:color w:val="auto"/>
                <w:szCs w:val="21"/>
                <w:highlight w:val="none"/>
              </w:rPr>
            </w:pPr>
            <w:r>
              <w:rPr>
                <w:rFonts w:hint="eastAsia" w:hAnsi="宋体" w:cs="宋体"/>
                <w:bCs/>
                <w:color w:val="auto"/>
                <w:szCs w:val="21"/>
                <w:highlight w:val="none"/>
              </w:rPr>
              <w:t>（4）满足招标文件要求且评标报价最低的评标报价为评标基准价，其价格分为满分。</w:t>
            </w:r>
          </w:p>
          <w:p w14:paraId="5E223B3C">
            <w:pPr>
              <w:ind w:firstLine="420"/>
              <w:rPr>
                <w:rFonts w:hAnsi="宋体"/>
                <w:bCs/>
                <w:color w:val="auto"/>
                <w:szCs w:val="21"/>
                <w:highlight w:val="none"/>
              </w:rPr>
            </w:pPr>
            <w:r>
              <w:rPr>
                <w:rFonts w:hint="eastAsia" w:hAnsi="宋体" w:cs="宋体"/>
                <w:bCs/>
                <w:color w:val="auto"/>
                <w:szCs w:val="21"/>
                <w:highlight w:val="none"/>
              </w:rPr>
              <w:t xml:space="preserve">（5）价格分计算公式：        </w:t>
            </w:r>
          </w:p>
          <w:p w14:paraId="3FF18E3B">
            <w:pPr>
              <w:snapToGrid w:val="0"/>
              <w:ind w:firstLine="420" w:firstLineChars="200"/>
              <w:rPr>
                <w:rFonts w:hAnsi="宋体"/>
                <w:bCs/>
                <w:color w:val="auto"/>
                <w:szCs w:val="21"/>
                <w:highlight w:val="none"/>
              </w:rPr>
            </w:pPr>
            <w:r>
              <w:rPr>
                <w:rFonts w:hint="eastAsia" w:hAnsi="宋体"/>
                <w:bCs/>
                <w:color w:val="auto"/>
                <w:szCs w:val="21"/>
                <w:highlight w:val="none"/>
              </w:rPr>
              <w:t>价格分=</w:t>
            </w:r>
            <w:r>
              <w:rPr>
                <w:rFonts w:hint="eastAsia" w:hAnsi="宋体"/>
                <w:bCs/>
                <w:color w:val="auto"/>
                <w:szCs w:val="21"/>
                <w:highlight w:val="none"/>
                <w:lang w:eastAsia="zh-CN"/>
              </w:rPr>
              <w:t>（</w:t>
            </w:r>
            <w:r>
              <w:rPr>
                <w:rFonts w:hint="eastAsia" w:hAnsi="宋体"/>
                <w:bCs/>
                <w:color w:val="auto"/>
                <w:szCs w:val="21"/>
                <w:highlight w:val="none"/>
              </w:rPr>
              <w:t>评标基准价／评标报价</w:t>
            </w:r>
            <w:r>
              <w:rPr>
                <w:rFonts w:hint="eastAsia" w:hAnsi="宋体"/>
                <w:bCs/>
                <w:color w:val="auto"/>
                <w:szCs w:val="21"/>
                <w:highlight w:val="none"/>
                <w:lang w:eastAsia="zh-CN"/>
              </w:rPr>
              <w:t>）</w:t>
            </w:r>
            <w:r>
              <w:rPr>
                <w:rFonts w:hint="eastAsia" w:hAnsi="宋体"/>
                <w:bCs/>
                <w:color w:val="auto"/>
                <w:szCs w:val="21"/>
                <w:highlight w:val="none"/>
              </w:rPr>
              <w:t>×30分</w:t>
            </w:r>
          </w:p>
          <w:p w14:paraId="0DD270CE">
            <w:pPr>
              <w:snapToGrid w:val="0"/>
              <w:ind w:firstLine="422" w:firstLineChars="200"/>
              <w:rPr>
                <w:rFonts w:hAnsi="宋体"/>
                <w:bCs/>
                <w:color w:val="auto"/>
                <w:szCs w:val="21"/>
                <w:highlight w:val="none"/>
              </w:rPr>
            </w:pPr>
            <w:r>
              <w:rPr>
                <w:rFonts w:hint="eastAsia" w:hAnsi="宋体" w:cs="宋体"/>
                <w:b/>
                <w:color w:val="auto"/>
                <w:szCs w:val="21"/>
                <w:highlight w:val="none"/>
              </w:rPr>
              <w:t>注：本项目面向中小企业采购，不执行中小企业价格优惠政策。</w:t>
            </w:r>
          </w:p>
        </w:tc>
      </w:tr>
      <w:tr w14:paraId="77D7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761C7A1B">
            <w:pPr>
              <w:adjustRightInd w:val="0"/>
              <w:snapToGrid w:val="0"/>
              <w:jc w:val="center"/>
              <w:textAlignment w:val="baseline"/>
              <w:rPr>
                <w:rFonts w:hAnsi="宋体"/>
                <w:color w:val="auto"/>
                <w:szCs w:val="21"/>
                <w:highlight w:val="none"/>
              </w:rPr>
            </w:pPr>
            <w:r>
              <w:rPr>
                <w:rFonts w:hint="eastAsia" w:hAnsi="宋体"/>
                <w:color w:val="auto"/>
                <w:szCs w:val="21"/>
                <w:highlight w:val="none"/>
              </w:rPr>
              <w:t>2</w:t>
            </w:r>
          </w:p>
        </w:tc>
        <w:tc>
          <w:tcPr>
            <w:tcW w:w="1770" w:type="dxa"/>
            <w:vMerge w:val="restart"/>
            <w:vAlign w:val="center"/>
          </w:tcPr>
          <w:p w14:paraId="65BED496">
            <w:pPr>
              <w:adjustRightInd w:val="0"/>
              <w:snapToGrid w:val="0"/>
              <w:jc w:val="center"/>
              <w:textAlignment w:val="baseline"/>
              <w:rPr>
                <w:rFonts w:hAnsi="宋体"/>
                <w:b/>
                <w:bCs/>
                <w:color w:val="auto"/>
                <w:szCs w:val="21"/>
                <w:highlight w:val="none"/>
              </w:rPr>
            </w:pPr>
            <w:r>
              <w:rPr>
                <w:rFonts w:hint="eastAsia" w:hAnsi="宋体"/>
                <w:b/>
                <w:bCs/>
                <w:color w:val="auto"/>
                <w:szCs w:val="21"/>
                <w:highlight w:val="none"/>
              </w:rPr>
              <w:t>技术分</w:t>
            </w:r>
          </w:p>
          <w:p w14:paraId="0EBA7C25">
            <w:pPr>
              <w:adjustRightInd w:val="0"/>
              <w:snapToGrid w:val="0"/>
              <w:ind w:left="-105" w:leftChars="-50" w:right="-105" w:rightChars="-50"/>
              <w:jc w:val="center"/>
              <w:textAlignment w:val="baseline"/>
              <w:rPr>
                <w:rFonts w:hAnsi="宋体"/>
                <w:color w:val="auto"/>
                <w:spacing w:val="-18"/>
                <w:szCs w:val="21"/>
                <w:highlight w:val="none"/>
              </w:rPr>
            </w:pPr>
            <w:r>
              <w:rPr>
                <w:rFonts w:hint="eastAsia" w:hAnsi="宋体"/>
                <w:bCs/>
                <w:color w:val="auto"/>
                <w:szCs w:val="21"/>
                <w:highlight w:val="none"/>
              </w:rPr>
              <w:t>（</w:t>
            </w:r>
            <w:r>
              <w:rPr>
                <w:rFonts w:hint="eastAsia" w:hAnsi="宋体"/>
                <w:color w:val="auto"/>
                <w:szCs w:val="21"/>
                <w:highlight w:val="none"/>
              </w:rPr>
              <w:t>满分51</w:t>
            </w:r>
            <w:r>
              <w:rPr>
                <w:rFonts w:hint="eastAsia" w:hAnsi="宋体"/>
                <w:bCs/>
                <w:color w:val="auto"/>
                <w:szCs w:val="21"/>
                <w:highlight w:val="none"/>
              </w:rPr>
              <w:t>分）</w:t>
            </w:r>
          </w:p>
        </w:tc>
        <w:tc>
          <w:tcPr>
            <w:tcW w:w="1260" w:type="dxa"/>
            <w:vAlign w:val="center"/>
          </w:tcPr>
          <w:p w14:paraId="4D9BDF1C">
            <w:pPr>
              <w:adjustRightInd w:val="0"/>
              <w:snapToGrid w:val="0"/>
              <w:jc w:val="center"/>
              <w:textAlignment w:val="baseline"/>
              <w:rPr>
                <w:rFonts w:hAnsi="宋体"/>
                <w:b/>
                <w:bCs/>
                <w:color w:val="auto"/>
                <w:szCs w:val="21"/>
                <w:highlight w:val="none"/>
              </w:rPr>
            </w:pPr>
            <w:bookmarkStart w:id="129" w:name="OLE_LINK15"/>
            <w:r>
              <w:rPr>
                <w:rFonts w:hint="eastAsia" w:hAnsi="宋体"/>
                <w:b/>
                <w:bCs/>
                <w:color w:val="auto"/>
                <w:szCs w:val="21"/>
                <w:highlight w:val="none"/>
              </w:rPr>
              <w:t>产品性能</w:t>
            </w:r>
          </w:p>
          <w:bookmarkEnd w:id="129"/>
          <w:p w14:paraId="302F7C91">
            <w:pPr>
              <w:adjustRightInd w:val="0"/>
              <w:snapToGrid w:val="0"/>
              <w:jc w:val="center"/>
              <w:textAlignment w:val="baseline"/>
              <w:rPr>
                <w:rFonts w:hAnsi="宋体"/>
                <w:color w:val="auto"/>
                <w:szCs w:val="21"/>
                <w:highlight w:val="none"/>
              </w:rPr>
            </w:pPr>
            <w:r>
              <w:rPr>
                <w:rFonts w:hint="eastAsia" w:hAnsi="宋体"/>
                <w:b/>
                <w:bCs/>
                <w:color w:val="auto"/>
                <w:szCs w:val="21"/>
                <w:highlight w:val="none"/>
              </w:rPr>
              <w:t>（</w:t>
            </w:r>
            <w:r>
              <w:rPr>
                <w:rFonts w:hint="eastAsia" w:hAnsi="宋体"/>
                <w:color w:val="auto"/>
                <w:szCs w:val="21"/>
                <w:highlight w:val="none"/>
              </w:rPr>
              <w:t>满分27</w:t>
            </w:r>
          </w:p>
          <w:p w14:paraId="45E23E16">
            <w:pPr>
              <w:snapToGrid w:val="0"/>
              <w:jc w:val="center"/>
              <w:rPr>
                <w:rFonts w:hAnsi="宋体"/>
                <w:color w:val="auto"/>
                <w:szCs w:val="21"/>
                <w:highlight w:val="none"/>
              </w:rPr>
            </w:pPr>
            <w:r>
              <w:rPr>
                <w:rFonts w:hint="eastAsia" w:hAnsi="宋体"/>
                <w:color w:val="auto"/>
                <w:szCs w:val="21"/>
                <w:highlight w:val="none"/>
              </w:rPr>
              <w:t>分</w:t>
            </w:r>
            <w:r>
              <w:rPr>
                <w:rFonts w:hint="eastAsia" w:hAnsi="宋体"/>
                <w:b/>
                <w:bCs/>
                <w:color w:val="auto"/>
                <w:szCs w:val="21"/>
                <w:highlight w:val="none"/>
              </w:rPr>
              <w:t>）</w:t>
            </w:r>
          </w:p>
        </w:tc>
        <w:tc>
          <w:tcPr>
            <w:tcW w:w="5916" w:type="dxa"/>
            <w:vAlign w:val="center"/>
          </w:tcPr>
          <w:p w14:paraId="1D693AE0">
            <w:pPr>
              <w:snapToGrid w:val="0"/>
              <w:ind w:firstLine="420" w:firstLineChars="200"/>
              <w:rPr>
                <w:rFonts w:hAnsi="宋体"/>
                <w:bCs/>
                <w:color w:val="auto"/>
                <w:highlight w:val="none"/>
              </w:rPr>
            </w:pPr>
            <w:bookmarkStart w:id="130" w:name="OLE_LINK16"/>
            <w:r>
              <w:rPr>
                <w:rFonts w:hint="eastAsia" w:hAnsi="宋体"/>
                <w:bCs/>
                <w:color w:val="auto"/>
                <w:highlight w:val="none"/>
              </w:rPr>
              <w:t>所有货物产品质量、技术参数完全满足招标文件要求的， 得产品性能基本分27分；非实质性响应的技术参数存在负偏离的，每有1项负偏离的扣产品性能满分分值的3分，产品性能满分分值扣完为止。</w:t>
            </w:r>
            <w:bookmarkEnd w:id="130"/>
          </w:p>
          <w:p w14:paraId="0D5E07FB">
            <w:pPr>
              <w:snapToGrid w:val="0"/>
              <w:ind w:firstLine="422" w:firstLineChars="200"/>
              <w:rPr>
                <w:rFonts w:hAnsi="宋体"/>
                <w:bCs/>
                <w:color w:val="auto"/>
                <w:highlight w:val="none"/>
              </w:rPr>
            </w:pPr>
            <w:r>
              <w:rPr>
                <w:rFonts w:hint="eastAsia" w:hAnsi="宋体"/>
                <w:b/>
                <w:color w:val="auto"/>
                <w:highlight w:val="none"/>
              </w:rPr>
              <w:t>注：非实质性响应的技术参数为未标注</w:t>
            </w:r>
            <w:r>
              <w:rPr>
                <w:rFonts w:hint="eastAsia" w:hAnsi="宋体" w:cs="宋体"/>
                <w:b/>
                <w:color w:val="auto"/>
                <w:highlight w:val="none"/>
              </w:rPr>
              <w:t>▲</w:t>
            </w:r>
            <w:r>
              <w:rPr>
                <w:rFonts w:hint="eastAsia" w:hAnsi="宋体"/>
                <w:b/>
                <w:color w:val="auto"/>
                <w:highlight w:val="none"/>
              </w:rPr>
              <w:t>号技术参数。</w:t>
            </w:r>
          </w:p>
        </w:tc>
      </w:tr>
      <w:tr w14:paraId="7757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Pr>
          <w:p w14:paraId="15D331CB">
            <w:pPr>
              <w:adjustRightInd w:val="0"/>
              <w:snapToGrid w:val="0"/>
              <w:jc w:val="center"/>
              <w:textAlignment w:val="baseline"/>
              <w:rPr>
                <w:rFonts w:hAnsi="宋体"/>
                <w:color w:val="auto"/>
                <w:szCs w:val="21"/>
                <w:highlight w:val="none"/>
              </w:rPr>
            </w:pPr>
          </w:p>
        </w:tc>
        <w:tc>
          <w:tcPr>
            <w:tcW w:w="1770" w:type="dxa"/>
            <w:vMerge w:val="continue"/>
          </w:tcPr>
          <w:p w14:paraId="08B6E7C5">
            <w:pPr>
              <w:adjustRightInd w:val="0"/>
              <w:snapToGrid w:val="0"/>
              <w:jc w:val="center"/>
              <w:textAlignment w:val="baseline"/>
              <w:rPr>
                <w:rFonts w:hAnsi="宋体"/>
                <w:color w:val="auto"/>
                <w:szCs w:val="21"/>
                <w:highlight w:val="none"/>
              </w:rPr>
            </w:pPr>
          </w:p>
        </w:tc>
        <w:tc>
          <w:tcPr>
            <w:tcW w:w="1260" w:type="dxa"/>
            <w:tcMar>
              <w:left w:w="57" w:type="dxa"/>
              <w:right w:w="57" w:type="dxa"/>
            </w:tcMar>
            <w:vAlign w:val="center"/>
          </w:tcPr>
          <w:p w14:paraId="6ECC2EC3">
            <w:pPr>
              <w:snapToGrid w:val="0"/>
              <w:jc w:val="center"/>
              <w:rPr>
                <w:rFonts w:hAnsi="宋体"/>
                <w:b/>
                <w:bCs/>
                <w:color w:val="auto"/>
                <w:szCs w:val="21"/>
                <w:highlight w:val="none"/>
              </w:rPr>
            </w:pPr>
            <w:r>
              <w:rPr>
                <w:rFonts w:hint="eastAsia" w:hAnsi="宋体"/>
                <w:b/>
                <w:bCs/>
                <w:color w:val="auto"/>
                <w:szCs w:val="21"/>
                <w:highlight w:val="none"/>
              </w:rPr>
              <w:t>实施方案</w:t>
            </w:r>
          </w:p>
          <w:p w14:paraId="4E4036D3">
            <w:pPr>
              <w:snapToGrid w:val="0"/>
              <w:jc w:val="center"/>
              <w:rPr>
                <w:rFonts w:hAnsi="宋体" w:cs="微软雅黑"/>
                <w:color w:val="auto"/>
                <w:szCs w:val="21"/>
                <w:highlight w:val="none"/>
              </w:rPr>
            </w:pPr>
            <w:r>
              <w:rPr>
                <w:rFonts w:hint="eastAsia" w:hAnsi="宋体"/>
                <w:color w:val="auto"/>
                <w:szCs w:val="21"/>
                <w:highlight w:val="none"/>
              </w:rPr>
              <w:t>（满分24分）</w:t>
            </w:r>
          </w:p>
        </w:tc>
        <w:tc>
          <w:tcPr>
            <w:tcW w:w="5916" w:type="dxa"/>
            <w:vAlign w:val="center"/>
          </w:tcPr>
          <w:p w14:paraId="1D345AF9">
            <w:pPr>
              <w:pStyle w:val="23"/>
              <w:snapToGrid w:val="0"/>
              <w:ind w:firstLine="361" w:firstLineChars="172"/>
              <w:rPr>
                <w:rFonts w:hAnsi="宋体"/>
                <w:color w:val="auto"/>
                <w:highlight w:val="none"/>
              </w:rPr>
            </w:pPr>
            <w:bookmarkStart w:id="131" w:name="OLE_LINK17"/>
            <w:r>
              <w:rPr>
                <w:rFonts w:hint="eastAsia" w:hAnsi="宋体"/>
                <w:color w:val="auto"/>
                <w:highlight w:val="none"/>
              </w:rPr>
              <w:t>一档（6分）：项目实施方案与采购需求一致。</w:t>
            </w:r>
          </w:p>
          <w:p w14:paraId="374DD734">
            <w:pPr>
              <w:pStyle w:val="23"/>
              <w:snapToGrid w:val="0"/>
              <w:ind w:firstLine="361" w:firstLineChars="172"/>
              <w:rPr>
                <w:rFonts w:hAnsi="宋体"/>
                <w:color w:val="auto"/>
                <w:highlight w:val="none"/>
              </w:rPr>
            </w:pPr>
            <w:r>
              <w:rPr>
                <w:rFonts w:hint="eastAsia" w:hAnsi="宋体"/>
                <w:color w:val="auto"/>
                <w:highlight w:val="none"/>
              </w:rPr>
              <w:t>二档（12分）：项目实施方案中有应急预案措施；相关内容“公式化”，无项目针对性。</w:t>
            </w:r>
          </w:p>
          <w:p w14:paraId="49C7818C">
            <w:pPr>
              <w:pStyle w:val="23"/>
              <w:snapToGrid w:val="0"/>
              <w:ind w:firstLine="361" w:firstLineChars="172"/>
              <w:rPr>
                <w:rFonts w:hAnsi="宋体"/>
                <w:color w:val="auto"/>
                <w:highlight w:val="none"/>
              </w:rPr>
            </w:pPr>
            <w:r>
              <w:rPr>
                <w:rFonts w:hint="eastAsia" w:hAnsi="宋体"/>
                <w:color w:val="auto"/>
                <w:highlight w:val="none"/>
              </w:rPr>
              <w:t>三档（18分）：项目实施方案包括镜架、镜片（库存片和定制片）的配送时间安排表；能提供人员分工安排表；有应急预案措施等；相关内容符合项目实际。</w:t>
            </w:r>
          </w:p>
          <w:p w14:paraId="53A60116">
            <w:pPr>
              <w:pStyle w:val="23"/>
              <w:snapToGrid w:val="0"/>
              <w:ind w:firstLine="361" w:firstLineChars="172"/>
              <w:rPr>
                <w:rFonts w:hAnsi="宋体"/>
                <w:color w:val="auto"/>
                <w:highlight w:val="none"/>
              </w:rPr>
            </w:pPr>
            <w:r>
              <w:rPr>
                <w:rFonts w:hint="eastAsia" w:hAnsi="宋体"/>
                <w:color w:val="auto"/>
                <w:highlight w:val="none"/>
              </w:rPr>
              <w:t>四档（24分）：项目实施方案能体现：（1）配送方案【包括镜架、镜片（库存片和定制片）配送到采购人指定地点的配送时间安排表】；（2）存储能力（能提供相关存储仓库证明文件及不少于5张的仓库照片）；（3）有合同外产品的配货能力及价格承诺；（4）有各类型工作人员分工安排；（5）应急预案措施有保障</w:t>
            </w:r>
            <w:bookmarkEnd w:id="131"/>
            <w:r>
              <w:rPr>
                <w:rFonts w:hint="eastAsia" w:hAnsi="宋体"/>
                <w:color w:val="auto"/>
                <w:highlight w:val="none"/>
              </w:rPr>
              <w:t>；（</w:t>
            </w:r>
            <w:r>
              <w:rPr>
                <w:rFonts w:hint="eastAsia" w:hAnsi="宋体"/>
                <w:color w:val="auto"/>
                <w:highlight w:val="none"/>
                <w:lang w:val="en-US" w:eastAsia="zh-CN"/>
              </w:rPr>
              <w:t>6</w:t>
            </w:r>
            <w:r>
              <w:rPr>
                <w:rFonts w:hint="eastAsia" w:hAnsi="宋体"/>
                <w:color w:val="auto"/>
                <w:highlight w:val="none"/>
              </w:rPr>
              <w:t>）相关内容具有项目针对性。</w:t>
            </w:r>
          </w:p>
          <w:p w14:paraId="5C725469">
            <w:pPr>
              <w:pStyle w:val="23"/>
              <w:snapToGrid w:val="0"/>
              <w:ind w:firstLine="363" w:firstLineChars="172"/>
              <w:rPr>
                <w:rFonts w:hAnsi="宋体"/>
                <w:color w:val="auto"/>
                <w:highlight w:val="none"/>
              </w:rPr>
            </w:pPr>
            <w:r>
              <w:rPr>
                <w:rFonts w:hint="eastAsia" w:hAnsi="宋体"/>
                <w:b/>
                <w:bCs/>
                <w:color w:val="auto"/>
                <w:highlight w:val="none"/>
              </w:rPr>
              <w:t>注：未提供或不满足一档要求的不得分。</w:t>
            </w:r>
          </w:p>
        </w:tc>
      </w:tr>
      <w:tr w14:paraId="3AAB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vAlign w:val="center"/>
          </w:tcPr>
          <w:p w14:paraId="0CF3816B">
            <w:pPr>
              <w:snapToGrid w:val="0"/>
              <w:jc w:val="center"/>
              <w:rPr>
                <w:rFonts w:hAnsi="宋体"/>
                <w:color w:val="auto"/>
                <w:szCs w:val="21"/>
                <w:highlight w:val="none"/>
              </w:rPr>
            </w:pPr>
            <w:r>
              <w:rPr>
                <w:rFonts w:hint="eastAsia" w:hAnsi="宋体"/>
                <w:color w:val="auto"/>
                <w:szCs w:val="21"/>
                <w:highlight w:val="none"/>
              </w:rPr>
              <w:t>3</w:t>
            </w:r>
          </w:p>
        </w:tc>
        <w:tc>
          <w:tcPr>
            <w:tcW w:w="1770" w:type="dxa"/>
            <w:vMerge w:val="restart"/>
            <w:vAlign w:val="center"/>
          </w:tcPr>
          <w:p w14:paraId="3DC530A1">
            <w:pPr>
              <w:adjustRightInd w:val="0"/>
              <w:snapToGrid w:val="0"/>
              <w:jc w:val="center"/>
              <w:textAlignment w:val="baseline"/>
              <w:rPr>
                <w:rFonts w:hAnsi="宋体"/>
                <w:b/>
                <w:color w:val="auto"/>
                <w:szCs w:val="21"/>
                <w:highlight w:val="none"/>
              </w:rPr>
            </w:pPr>
            <w:r>
              <w:rPr>
                <w:rFonts w:hint="eastAsia" w:hAnsi="宋体"/>
                <w:b/>
                <w:color w:val="auto"/>
                <w:szCs w:val="21"/>
                <w:highlight w:val="none"/>
              </w:rPr>
              <w:t>商务分</w:t>
            </w:r>
          </w:p>
          <w:p w14:paraId="694BA03A">
            <w:pPr>
              <w:adjustRightInd w:val="0"/>
              <w:snapToGrid w:val="0"/>
              <w:jc w:val="center"/>
              <w:textAlignment w:val="baseline"/>
              <w:rPr>
                <w:rFonts w:hAnsi="宋体"/>
                <w:bCs/>
                <w:color w:val="auto"/>
                <w:szCs w:val="21"/>
                <w:highlight w:val="none"/>
              </w:rPr>
            </w:pPr>
            <w:r>
              <w:rPr>
                <w:rFonts w:hint="eastAsia" w:hAnsi="宋体"/>
                <w:bCs/>
                <w:color w:val="auto"/>
                <w:szCs w:val="21"/>
                <w:highlight w:val="none"/>
              </w:rPr>
              <w:t>（</w:t>
            </w:r>
            <w:r>
              <w:rPr>
                <w:rFonts w:hint="eastAsia" w:hAnsi="宋体"/>
                <w:color w:val="auto"/>
                <w:szCs w:val="21"/>
                <w:highlight w:val="none"/>
              </w:rPr>
              <w:t>满分19</w:t>
            </w:r>
            <w:r>
              <w:rPr>
                <w:rFonts w:hint="eastAsia" w:hAnsi="宋体"/>
                <w:bCs/>
                <w:color w:val="auto"/>
                <w:szCs w:val="21"/>
                <w:highlight w:val="none"/>
              </w:rPr>
              <w:t>分）</w:t>
            </w:r>
          </w:p>
        </w:tc>
        <w:tc>
          <w:tcPr>
            <w:tcW w:w="1260" w:type="dxa"/>
            <w:vAlign w:val="center"/>
          </w:tcPr>
          <w:p w14:paraId="510DF63C">
            <w:pPr>
              <w:snapToGrid w:val="0"/>
              <w:ind w:firstLine="105" w:firstLineChars="50"/>
              <w:jc w:val="center"/>
              <w:rPr>
                <w:rFonts w:hAnsi="宋体"/>
                <w:b/>
                <w:bCs/>
                <w:color w:val="auto"/>
                <w:szCs w:val="21"/>
                <w:highlight w:val="none"/>
              </w:rPr>
            </w:pPr>
            <w:bookmarkStart w:id="132" w:name="OLE_LINK18"/>
            <w:r>
              <w:rPr>
                <w:rFonts w:hint="eastAsia" w:hAnsi="宋体"/>
                <w:b/>
                <w:bCs/>
                <w:color w:val="auto"/>
                <w:szCs w:val="21"/>
                <w:highlight w:val="none"/>
              </w:rPr>
              <w:t>售后服务承诺</w:t>
            </w:r>
          </w:p>
          <w:bookmarkEnd w:id="132"/>
          <w:p w14:paraId="51B15F60">
            <w:pPr>
              <w:snapToGrid w:val="0"/>
              <w:ind w:firstLine="105" w:firstLineChars="50"/>
              <w:jc w:val="center"/>
              <w:rPr>
                <w:rFonts w:hAnsi="宋体" w:cs="Courier New"/>
                <w:b/>
                <w:bCs/>
                <w:color w:val="auto"/>
                <w:szCs w:val="21"/>
                <w:highlight w:val="none"/>
              </w:rPr>
            </w:pPr>
            <w:r>
              <w:rPr>
                <w:rFonts w:hint="eastAsia" w:hAnsi="宋体"/>
                <w:color w:val="auto"/>
                <w:szCs w:val="21"/>
                <w:highlight w:val="none"/>
              </w:rPr>
              <w:t>（满分12分）</w:t>
            </w:r>
          </w:p>
        </w:tc>
        <w:tc>
          <w:tcPr>
            <w:tcW w:w="5916" w:type="dxa"/>
            <w:vAlign w:val="center"/>
          </w:tcPr>
          <w:p w14:paraId="0F4771D3">
            <w:pPr>
              <w:pStyle w:val="23"/>
              <w:snapToGrid w:val="0"/>
              <w:ind w:firstLine="361" w:firstLineChars="172"/>
              <w:rPr>
                <w:rFonts w:hAnsi="宋体"/>
                <w:color w:val="auto"/>
                <w:highlight w:val="none"/>
              </w:rPr>
            </w:pPr>
            <w:bookmarkStart w:id="133" w:name="OLE_LINK19"/>
            <w:r>
              <w:rPr>
                <w:rFonts w:hint="eastAsia" w:hAnsi="宋体"/>
                <w:color w:val="auto"/>
                <w:highlight w:val="none"/>
              </w:rPr>
              <w:t>一档（1分）：投标人提供的售后服务承诺与采购需求一致。</w:t>
            </w:r>
          </w:p>
          <w:p w14:paraId="522AFC91">
            <w:pPr>
              <w:pStyle w:val="23"/>
              <w:snapToGrid w:val="0"/>
              <w:ind w:firstLine="361" w:firstLineChars="172"/>
              <w:rPr>
                <w:rFonts w:hAnsi="宋体"/>
                <w:color w:val="auto"/>
                <w:highlight w:val="none"/>
              </w:rPr>
            </w:pPr>
            <w:r>
              <w:rPr>
                <w:rFonts w:hint="eastAsia" w:hAnsi="宋体"/>
                <w:color w:val="auto"/>
                <w:highlight w:val="none"/>
              </w:rPr>
              <w:t>二档（4分）：投标人提供的售后服务承诺内容有售后服务方案，有退换货流程；相关内容“公式化”，无项目针对性。</w:t>
            </w:r>
          </w:p>
          <w:p w14:paraId="142605BF">
            <w:pPr>
              <w:pStyle w:val="23"/>
              <w:snapToGrid w:val="0"/>
              <w:ind w:firstLine="361" w:firstLineChars="172"/>
              <w:rPr>
                <w:rFonts w:hAnsi="宋体"/>
                <w:color w:val="auto"/>
                <w:highlight w:val="none"/>
              </w:rPr>
            </w:pPr>
            <w:r>
              <w:rPr>
                <w:rFonts w:hint="eastAsia" w:hAnsi="宋体"/>
                <w:color w:val="auto"/>
                <w:highlight w:val="none"/>
              </w:rPr>
              <w:t>三档（8分）：投标人提供的售后服务承诺内容有售后服务方案；有产品质量保障措施；有退换货流程；相关内容符合项目实际。</w:t>
            </w:r>
          </w:p>
          <w:p w14:paraId="05D853F8">
            <w:pPr>
              <w:pStyle w:val="23"/>
              <w:snapToGrid w:val="0"/>
              <w:ind w:firstLine="361" w:firstLineChars="172"/>
              <w:rPr>
                <w:rFonts w:hAnsi="宋体"/>
                <w:color w:val="auto"/>
                <w:highlight w:val="none"/>
              </w:rPr>
            </w:pPr>
            <w:r>
              <w:rPr>
                <w:rFonts w:hint="eastAsia" w:hAnsi="宋体"/>
                <w:color w:val="auto"/>
                <w:highlight w:val="none"/>
              </w:rPr>
              <w:t>四档（12分）：投标人提供的售后服务承诺内容有售后服务方案；有产品质量保障措施；有退换货流程；能提供有专门的项目对接人员，负责配送货物以及定期回访；能承诺现片</w:t>
            </w:r>
            <w:r>
              <w:rPr>
                <w:rFonts w:hint="eastAsia" w:hAnsi="宋体"/>
                <w:color w:val="auto"/>
                <w:highlight w:val="none"/>
                <w:lang w:val="en-US" w:eastAsia="zh-CN"/>
              </w:rPr>
              <w:t>36小时</w:t>
            </w:r>
            <w:r>
              <w:rPr>
                <w:rFonts w:hint="eastAsia" w:hAnsi="宋体"/>
                <w:color w:val="auto"/>
                <w:highlight w:val="none"/>
              </w:rPr>
              <w:t>内完成供货，定制类产品</w:t>
            </w:r>
            <w:r>
              <w:rPr>
                <w:rFonts w:hint="eastAsia" w:hAnsi="宋体"/>
                <w:color w:val="auto"/>
                <w:highlight w:val="none"/>
                <w:lang w:val="en-US" w:eastAsia="zh-CN"/>
              </w:rPr>
              <w:t>5个工作日</w:t>
            </w:r>
            <w:r>
              <w:rPr>
                <w:rFonts w:hint="eastAsia" w:hAnsi="宋体"/>
                <w:color w:val="auto"/>
                <w:highlight w:val="none"/>
              </w:rPr>
              <w:t>内完成供货</w:t>
            </w:r>
            <w:bookmarkEnd w:id="133"/>
            <w:r>
              <w:rPr>
                <w:rFonts w:hint="eastAsia" w:hAnsi="宋体"/>
                <w:color w:val="auto"/>
                <w:highlight w:val="none"/>
              </w:rPr>
              <w:t>；相关内容具有项目针对性。</w:t>
            </w:r>
          </w:p>
          <w:p w14:paraId="19DD27D5">
            <w:pPr>
              <w:pStyle w:val="23"/>
              <w:snapToGrid w:val="0"/>
              <w:ind w:firstLine="363" w:firstLineChars="172"/>
              <w:rPr>
                <w:rFonts w:hAnsi="宋体"/>
                <w:color w:val="auto"/>
                <w:highlight w:val="none"/>
              </w:rPr>
            </w:pPr>
            <w:r>
              <w:rPr>
                <w:rFonts w:hint="eastAsia" w:hAnsi="宋体"/>
                <w:b/>
                <w:bCs/>
                <w:color w:val="auto"/>
                <w:highlight w:val="none"/>
              </w:rPr>
              <w:t>注：未提供或不满足一档要求的不得分</w:t>
            </w:r>
          </w:p>
        </w:tc>
      </w:tr>
      <w:tr w14:paraId="789E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6531EF7F">
            <w:pPr>
              <w:snapToGrid w:val="0"/>
              <w:jc w:val="center"/>
              <w:rPr>
                <w:rFonts w:hAnsi="宋体"/>
                <w:color w:val="auto"/>
                <w:szCs w:val="21"/>
                <w:highlight w:val="none"/>
              </w:rPr>
            </w:pPr>
          </w:p>
        </w:tc>
        <w:tc>
          <w:tcPr>
            <w:tcW w:w="1770" w:type="dxa"/>
            <w:vMerge w:val="continue"/>
            <w:vAlign w:val="center"/>
          </w:tcPr>
          <w:p w14:paraId="4721E3EB">
            <w:pPr>
              <w:snapToGrid w:val="0"/>
              <w:jc w:val="center"/>
              <w:rPr>
                <w:rFonts w:hAnsi="宋体"/>
                <w:bCs/>
                <w:color w:val="auto"/>
                <w:szCs w:val="21"/>
                <w:highlight w:val="none"/>
              </w:rPr>
            </w:pPr>
          </w:p>
        </w:tc>
        <w:tc>
          <w:tcPr>
            <w:tcW w:w="1260" w:type="dxa"/>
            <w:vAlign w:val="center"/>
          </w:tcPr>
          <w:p w14:paraId="22E16B1D">
            <w:pPr>
              <w:snapToGrid w:val="0"/>
              <w:ind w:firstLine="105" w:firstLineChars="50"/>
              <w:jc w:val="center"/>
              <w:rPr>
                <w:rFonts w:hAnsi="宋体"/>
                <w:b/>
                <w:bCs/>
                <w:color w:val="auto"/>
                <w:szCs w:val="21"/>
                <w:highlight w:val="none"/>
              </w:rPr>
            </w:pPr>
            <w:r>
              <w:rPr>
                <w:rFonts w:hint="eastAsia" w:hAnsi="宋体"/>
                <w:b/>
                <w:bCs/>
                <w:color w:val="auto"/>
                <w:szCs w:val="21"/>
                <w:highlight w:val="none"/>
              </w:rPr>
              <w:t>信誉</w:t>
            </w:r>
          </w:p>
          <w:p w14:paraId="17AE365C">
            <w:pPr>
              <w:snapToGrid w:val="0"/>
              <w:ind w:firstLine="105" w:firstLineChars="50"/>
              <w:jc w:val="center"/>
              <w:rPr>
                <w:rFonts w:hAnsi="宋体"/>
                <w:bCs/>
                <w:color w:val="auto"/>
                <w:szCs w:val="21"/>
                <w:highlight w:val="none"/>
              </w:rPr>
            </w:pPr>
            <w:r>
              <w:rPr>
                <w:rFonts w:hint="eastAsia" w:hAnsi="宋体"/>
                <w:bCs/>
                <w:color w:val="auto"/>
                <w:szCs w:val="21"/>
                <w:highlight w:val="none"/>
              </w:rPr>
              <w:t>（</w:t>
            </w:r>
            <w:r>
              <w:rPr>
                <w:rFonts w:hint="eastAsia" w:hAnsi="宋体"/>
                <w:color w:val="auto"/>
                <w:szCs w:val="21"/>
                <w:highlight w:val="none"/>
              </w:rPr>
              <w:t>满分2分</w:t>
            </w:r>
            <w:r>
              <w:rPr>
                <w:rFonts w:hint="eastAsia" w:hAnsi="宋体"/>
                <w:bCs/>
                <w:color w:val="auto"/>
                <w:szCs w:val="21"/>
                <w:highlight w:val="none"/>
              </w:rPr>
              <w:t>）</w:t>
            </w:r>
          </w:p>
        </w:tc>
        <w:tc>
          <w:tcPr>
            <w:tcW w:w="5916" w:type="dxa"/>
            <w:vAlign w:val="center"/>
          </w:tcPr>
          <w:p w14:paraId="15C0787A">
            <w:pPr>
              <w:tabs>
                <w:tab w:val="left" w:pos="0"/>
              </w:tabs>
              <w:snapToGrid w:val="0"/>
              <w:ind w:right="105" w:firstLine="361" w:firstLineChars="172"/>
              <w:rPr>
                <w:rFonts w:hAnsi="宋体"/>
                <w:color w:val="auto"/>
                <w:szCs w:val="21"/>
                <w:highlight w:val="none"/>
              </w:rPr>
            </w:pPr>
            <w:r>
              <w:rPr>
                <w:rFonts w:hint="eastAsia" w:hAnsi="宋体"/>
                <w:color w:val="auto"/>
                <w:szCs w:val="21"/>
                <w:highlight w:val="none"/>
              </w:rPr>
              <w:t>投标人或核心产品生产厂商具有质量管理体系认证证书，</w:t>
            </w:r>
            <w:r>
              <w:rPr>
                <w:rFonts w:hint="eastAsia" w:hAnsi="宋体" w:cs="宋体"/>
                <w:color w:val="auto"/>
                <w:szCs w:val="21"/>
                <w:highlight w:val="none"/>
              </w:rPr>
              <w:t>能提供相关证书扫描件并加盖投标人公章的得2分，满分2分。</w:t>
            </w:r>
          </w:p>
          <w:p w14:paraId="556C9E5C">
            <w:pPr>
              <w:tabs>
                <w:tab w:val="left" w:pos="0"/>
              </w:tabs>
              <w:snapToGrid w:val="0"/>
              <w:ind w:right="105" w:firstLine="422" w:firstLineChars="200"/>
              <w:rPr>
                <w:rFonts w:hAnsi="宋体"/>
                <w:color w:val="auto"/>
                <w:szCs w:val="21"/>
                <w:highlight w:val="none"/>
              </w:rPr>
            </w:pPr>
            <w:r>
              <w:rPr>
                <w:rFonts w:hint="eastAsia" w:hAnsi="宋体" w:cs="宋体"/>
                <w:b/>
                <w:bCs/>
                <w:color w:val="auto"/>
                <w:szCs w:val="21"/>
                <w:highlight w:val="none"/>
              </w:rPr>
              <w:t>注：相关证书能在全国认证认可信息公共服务平台查询。</w:t>
            </w:r>
          </w:p>
        </w:tc>
      </w:tr>
      <w:tr w14:paraId="5BFD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08AB1EFE">
            <w:pPr>
              <w:snapToGrid w:val="0"/>
              <w:jc w:val="center"/>
              <w:rPr>
                <w:rFonts w:hAnsi="宋体"/>
                <w:color w:val="auto"/>
                <w:szCs w:val="21"/>
                <w:highlight w:val="none"/>
              </w:rPr>
            </w:pPr>
          </w:p>
        </w:tc>
        <w:tc>
          <w:tcPr>
            <w:tcW w:w="1770" w:type="dxa"/>
            <w:vMerge w:val="continue"/>
            <w:vAlign w:val="center"/>
          </w:tcPr>
          <w:p w14:paraId="0391EB66">
            <w:pPr>
              <w:snapToGrid w:val="0"/>
              <w:jc w:val="center"/>
              <w:rPr>
                <w:rFonts w:hAnsi="宋体"/>
                <w:bCs/>
                <w:color w:val="auto"/>
                <w:szCs w:val="21"/>
                <w:highlight w:val="none"/>
              </w:rPr>
            </w:pPr>
          </w:p>
        </w:tc>
        <w:tc>
          <w:tcPr>
            <w:tcW w:w="1260" w:type="dxa"/>
            <w:vAlign w:val="center"/>
          </w:tcPr>
          <w:p w14:paraId="52DC35DC">
            <w:pPr>
              <w:snapToGrid w:val="0"/>
              <w:jc w:val="center"/>
              <w:rPr>
                <w:rFonts w:hAnsi="宋体"/>
                <w:b/>
                <w:color w:val="auto"/>
                <w:szCs w:val="21"/>
                <w:highlight w:val="none"/>
              </w:rPr>
            </w:pPr>
            <w:r>
              <w:rPr>
                <w:rFonts w:hint="eastAsia" w:hAnsi="宋体"/>
                <w:b/>
                <w:color w:val="auto"/>
                <w:szCs w:val="21"/>
                <w:highlight w:val="none"/>
              </w:rPr>
              <w:t>业绩</w:t>
            </w:r>
          </w:p>
          <w:p w14:paraId="540654A5">
            <w:pPr>
              <w:snapToGrid w:val="0"/>
              <w:ind w:firstLine="105" w:firstLineChars="50"/>
              <w:jc w:val="center"/>
              <w:rPr>
                <w:rFonts w:hAnsi="宋体"/>
                <w:bCs/>
                <w:color w:val="auto"/>
                <w:szCs w:val="21"/>
                <w:highlight w:val="none"/>
              </w:rPr>
            </w:pPr>
            <w:r>
              <w:rPr>
                <w:rFonts w:hint="eastAsia" w:hAnsi="宋体"/>
                <w:bCs/>
                <w:color w:val="auto"/>
                <w:szCs w:val="21"/>
                <w:highlight w:val="none"/>
              </w:rPr>
              <w:t>（满分4分）</w:t>
            </w:r>
          </w:p>
        </w:tc>
        <w:tc>
          <w:tcPr>
            <w:tcW w:w="5916" w:type="dxa"/>
            <w:vAlign w:val="center"/>
          </w:tcPr>
          <w:p w14:paraId="3DA299E9">
            <w:pPr>
              <w:tabs>
                <w:tab w:val="left" w:pos="0"/>
              </w:tabs>
              <w:snapToGrid w:val="0"/>
              <w:ind w:right="105" w:firstLine="361" w:firstLineChars="172"/>
              <w:rPr>
                <w:rFonts w:hAnsi="宋体"/>
                <w:color w:val="auto"/>
                <w:szCs w:val="21"/>
                <w:highlight w:val="none"/>
              </w:rPr>
            </w:pPr>
            <w:bookmarkStart w:id="134" w:name="OLE_LINK20"/>
            <w:r>
              <w:rPr>
                <w:rFonts w:hint="eastAsia" w:hAnsi="宋体"/>
                <w:color w:val="auto"/>
                <w:szCs w:val="21"/>
                <w:highlight w:val="none"/>
              </w:rPr>
              <w:t>自202</w:t>
            </w:r>
            <w:r>
              <w:rPr>
                <w:rFonts w:hint="eastAsia" w:hAnsi="宋体"/>
                <w:color w:val="auto"/>
                <w:szCs w:val="21"/>
                <w:highlight w:val="none"/>
                <w:lang w:val="en-US" w:eastAsia="zh-CN"/>
              </w:rPr>
              <w:t>3</w:t>
            </w:r>
            <w:r>
              <w:rPr>
                <w:rFonts w:hint="eastAsia" w:hAnsi="宋体"/>
                <w:color w:val="auto"/>
                <w:szCs w:val="21"/>
                <w:highlight w:val="none"/>
              </w:rPr>
              <w:t>年1月1日以来投标人同类项目业绩</w:t>
            </w:r>
            <w:r>
              <w:rPr>
                <w:rFonts w:hint="eastAsia" w:hAnsi="宋体"/>
                <w:bCs/>
                <w:color w:val="auto"/>
                <w:szCs w:val="21"/>
                <w:highlight w:val="none"/>
              </w:rPr>
              <w:t>[含镜架及镜片销售内容，以合同签订日期在</w:t>
            </w:r>
            <w:r>
              <w:rPr>
                <w:rFonts w:hAnsi="宋体"/>
                <w:bCs/>
                <w:color w:val="auto"/>
                <w:szCs w:val="21"/>
                <w:highlight w:val="none"/>
              </w:rPr>
              <w:t>时间内的</w:t>
            </w:r>
            <w:r>
              <w:rPr>
                <w:rFonts w:hint="eastAsia" w:hAnsi="宋体"/>
                <w:bCs/>
                <w:color w:val="auto"/>
                <w:szCs w:val="21"/>
                <w:highlight w:val="none"/>
              </w:rPr>
              <w:t>合同</w:t>
            </w:r>
            <w:r>
              <w:rPr>
                <w:rFonts w:hint="eastAsia" w:hAnsi="宋体" w:cs="Courier New"/>
                <w:bCs/>
                <w:color w:val="auto"/>
                <w:szCs w:val="21"/>
                <w:highlight w:val="none"/>
              </w:rPr>
              <w:t>原件扫描件</w:t>
            </w:r>
            <w:r>
              <w:rPr>
                <w:rFonts w:hint="eastAsia" w:hAnsi="宋体"/>
                <w:bCs/>
                <w:color w:val="auto"/>
                <w:szCs w:val="21"/>
                <w:highlight w:val="none"/>
              </w:rPr>
              <w:t>为准（合同书中内容不得有任何涂改、遮挡，能清</w:t>
            </w:r>
            <w:r>
              <w:rPr>
                <w:rFonts w:hint="eastAsia" w:hAnsi="宋体"/>
                <w:bCs/>
                <w:color w:val="auto"/>
                <w:szCs w:val="21"/>
                <w:highlight w:val="none"/>
                <w:lang w:eastAsia="zh-CN"/>
              </w:rPr>
              <w:t>晰地</w:t>
            </w:r>
            <w:r>
              <w:rPr>
                <w:rFonts w:hint="eastAsia" w:hAnsi="宋体"/>
                <w:bCs/>
                <w:color w:val="auto"/>
                <w:szCs w:val="21"/>
                <w:highlight w:val="none"/>
              </w:rPr>
              <w:t>反映产品内容、签订日期，提供用户名单及联系方式，否则将不予认可）]，每提供一份得1分，满分4分。</w:t>
            </w:r>
            <w:bookmarkEnd w:id="134"/>
          </w:p>
        </w:tc>
      </w:tr>
      <w:tr w14:paraId="05D3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vAlign w:val="center"/>
          </w:tcPr>
          <w:p w14:paraId="49474ED8">
            <w:pPr>
              <w:snapToGrid w:val="0"/>
              <w:jc w:val="center"/>
              <w:rPr>
                <w:rFonts w:hAnsi="宋体"/>
                <w:color w:val="auto"/>
                <w:szCs w:val="21"/>
                <w:highlight w:val="none"/>
              </w:rPr>
            </w:pPr>
          </w:p>
        </w:tc>
        <w:tc>
          <w:tcPr>
            <w:tcW w:w="1770" w:type="dxa"/>
            <w:vMerge w:val="continue"/>
            <w:vAlign w:val="center"/>
          </w:tcPr>
          <w:p w14:paraId="68B5AABB">
            <w:pPr>
              <w:snapToGrid w:val="0"/>
              <w:jc w:val="center"/>
              <w:rPr>
                <w:rFonts w:hAnsi="宋体"/>
                <w:color w:val="auto"/>
                <w:szCs w:val="21"/>
                <w:highlight w:val="none"/>
              </w:rPr>
            </w:pPr>
          </w:p>
        </w:tc>
        <w:tc>
          <w:tcPr>
            <w:tcW w:w="1260" w:type="dxa"/>
            <w:vAlign w:val="center"/>
          </w:tcPr>
          <w:p w14:paraId="2B454A36">
            <w:pPr>
              <w:snapToGrid w:val="0"/>
              <w:jc w:val="center"/>
              <w:rPr>
                <w:rFonts w:hAnsi="宋体"/>
                <w:b/>
                <w:color w:val="auto"/>
                <w:szCs w:val="21"/>
                <w:highlight w:val="none"/>
              </w:rPr>
            </w:pPr>
            <w:bookmarkStart w:id="135" w:name="OLE_LINK21"/>
            <w:r>
              <w:rPr>
                <w:rFonts w:hint="eastAsia" w:hAnsi="宋体"/>
                <w:b/>
                <w:color w:val="auto"/>
                <w:szCs w:val="21"/>
                <w:highlight w:val="none"/>
              </w:rPr>
              <w:t>政策分</w:t>
            </w:r>
          </w:p>
          <w:p w14:paraId="3C5359E3">
            <w:pPr>
              <w:snapToGrid w:val="0"/>
              <w:jc w:val="center"/>
              <w:rPr>
                <w:rFonts w:hAnsi="宋体"/>
                <w:color w:val="auto"/>
                <w:szCs w:val="21"/>
                <w:highlight w:val="none"/>
              </w:rPr>
            </w:pPr>
            <w:r>
              <w:rPr>
                <w:rFonts w:hint="eastAsia" w:hAnsi="宋体"/>
                <w:color w:val="auto"/>
                <w:szCs w:val="21"/>
                <w:highlight w:val="none"/>
              </w:rPr>
              <w:t>（满分</w:t>
            </w:r>
          </w:p>
          <w:p w14:paraId="140A9B63">
            <w:pPr>
              <w:snapToGrid w:val="0"/>
              <w:jc w:val="center"/>
              <w:rPr>
                <w:rFonts w:hAnsi="宋体"/>
                <w:bCs/>
                <w:color w:val="auto"/>
                <w:szCs w:val="21"/>
                <w:highlight w:val="none"/>
              </w:rPr>
            </w:pPr>
            <w:r>
              <w:rPr>
                <w:rFonts w:hint="eastAsia" w:hAnsi="宋体"/>
                <w:color w:val="auto"/>
                <w:szCs w:val="21"/>
                <w:highlight w:val="none"/>
              </w:rPr>
              <w:t>1分）</w:t>
            </w:r>
            <w:bookmarkEnd w:id="135"/>
          </w:p>
        </w:tc>
        <w:tc>
          <w:tcPr>
            <w:tcW w:w="5916" w:type="dxa"/>
            <w:vAlign w:val="center"/>
          </w:tcPr>
          <w:p w14:paraId="7B21BFAE">
            <w:pPr>
              <w:snapToGrid w:val="0"/>
              <w:ind w:firstLine="420" w:firstLineChars="200"/>
              <w:rPr>
                <w:rFonts w:hAnsi="宋体"/>
                <w:color w:val="auto"/>
                <w:szCs w:val="21"/>
                <w:highlight w:val="none"/>
              </w:rPr>
            </w:pPr>
            <w:bookmarkStart w:id="136" w:name="OLE_LINK22"/>
            <w:r>
              <w:rPr>
                <w:rFonts w:hint="eastAsia" w:hAnsi="宋体"/>
                <w:bCs/>
                <w:color w:val="auto"/>
                <w:szCs w:val="21"/>
                <w:highlight w:val="none"/>
              </w:rPr>
              <w:t>每有一项投标产品属于财政部《节能产品政府采购品目清单》内优先采购（清单内未标注“★”的品目）的产品或《环境标志产品政府采购品目清单》内的产品的，提供有效的节能产品或环境标志产品认证证书复印件得0.5分，满分1分（</w:t>
            </w:r>
            <w:r>
              <w:rPr>
                <w:rFonts w:hint="eastAsia" w:hAnsi="宋体"/>
                <w:b/>
                <w:bCs/>
                <w:color w:val="auto"/>
                <w:szCs w:val="21"/>
                <w:highlight w:val="none"/>
              </w:rPr>
              <w:t>招标文件中或相关法律法规强制要求的除外，须提供清晰的证书复印件并对投标型号做醒目标记，否则不予计分</w:t>
            </w:r>
            <w:r>
              <w:rPr>
                <w:rFonts w:hint="eastAsia" w:hAnsi="宋体"/>
                <w:bCs/>
                <w:color w:val="auto"/>
                <w:szCs w:val="21"/>
                <w:highlight w:val="none"/>
              </w:rPr>
              <w:t>）。</w:t>
            </w:r>
            <w:bookmarkEnd w:id="136"/>
          </w:p>
        </w:tc>
      </w:tr>
      <w:tr w14:paraId="2F05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8" w:type="dxa"/>
            <w:gridSpan w:val="4"/>
            <w:vAlign w:val="center"/>
          </w:tcPr>
          <w:p w14:paraId="11457497">
            <w:pPr>
              <w:pStyle w:val="23"/>
              <w:snapToGrid w:val="0"/>
              <w:rPr>
                <w:rFonts w:hAnsi="宋体"/>
                <w:b/>
                <w:bCs/>
                <w:color w:val="auto"/>
                <w:highlight w:val="none"/>
              </w:rPr>
            </w:pPr>
            <w:r>
              <w:rPr>
                <w:rFonts w:hint="eastAsia" w:hAnsi="宋体"/>
                <w:b/>
                <w:bCs/>
                <w:color w:val="auto"/>
                <w:highlight w:val="none"/>
              </w:rPr>
              <w:t>总得分为以上各项评审因素得分合计</w:t>
            </w:r>
          </w:p>
        </w:tc>
      </w:tr>
      <w:bookmarkEnd w:id="128"/>
    </w:tbl>
    <w:p w14:paraId="567BED8F">
      <w:pPr>
        <w:rPr>
          <w:color w:val="auto"/>
          <w:highlight w:val="none"/>
        </w:rPr>
      </w:pPr>
    </w:p>
    <w:p w14:paraId="4092F896">
      <w:pPr>
        <w:pStyle w:val="261"/>
        <w:ind w:firstLine="0"/>
        <w:jc w:val="center"/>
        <w:rPr>
          <w:color w:val="auto"/>
          <w:highlight w:val="none"/>
        </w:rPr>
        <w:sectPr>
          <w:pgSz w:w="11906" w:h="16838"/>
          <w:pgMar w:top="1701" w:right="1701" w:bottom="1701" w:left="1701" w:header="851" w:footer="992" w:gutter="0"/>
          <w:pgNumType w:fmt="decimal"/>
          <w:cols w:space="1701" w:num="1"/>
          <w:titlePg/>
        </w:sectPr>
      </w:pPr>
    </w:p>
    <w:p w14:paraId="6EB7AC1F">
      <w:pPr>
        <w:pStyle w:val="271"/>
        <w:rPr>
          <w:color w:val="auto"/>
          <w:highlight w:val="none"/>
        </w:rPr>
      </w:pPr>
      <w:r>
        <w:rPr>
          <w:rFonts w:hint="eastAsia"/>
          <w:color w:val="auto"/>
          <w:highlight w:val="none"/>
        </w:rPr>
        <w:t>四、中标候选人推荐原则</w:t>
      </w:r>
    </w:p>
    <w:p w14:paraId="175315C7">
      <w:pPr>
        <w:pStyle w:val="23"/>
        <w:ind w:firstLine="420"/>
        <w:contextualSpacing/>
        <w:rPr>
          <w:rFonts w:hAnsi="宋体"/>
          <w:color w:val="auto"/>
          <w:highlight w:val="none"/>
        </w:rPr>
      </w:pPr>
    </w:p>
    <w:p w14:paraId="69773826">
      <w:pPr>
        <w:pStyle w:val="23"/>
        <w:ind w:firstLine="420"/>
        <w:contextualSpacing/>
        <w:rPr>
          <w:rFonts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评标委员会根据原始评标记录和评标结果编写评标报告，并通过电子交易平台向采购人、采购代理机构提交。</w:t>
      </w:r>
    </w:p>
    <w:p w14:paraId="1DB2073D">
      <w:pPr>
        <w:pStyle w:val="23"/>
        <w:ind w:firstLine="420"/>
        <w:contextualSpacing/>
        <w:rPr>
          <w:rFonts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评标委员会将根据总得分由高到低排列次序并推荐中标候选人。得分相同的，以投标报价由低到高顺序排列。得分相同且投标报价相同按投标文件满足招标文件全部实质性要求，且按照评审因素的量化指标评审得分最高的投标人为排名第一的中标候选人。</w:t>
      </w:r>
    </w:p>
    <w:p w14:paraId="51CC652F">
      <w:pPr>
        <w:pStyle w:val="23"/>
        <w:ind w:firstLine="420"/>
        <w:contextualSpacing/>
        <w:rPr>
          <w:rFonts w:hAnsi="宋体"/>
          <w:color w:val="auto"/>
          <w:highlight w:val="none"/>
        </w:rPr>
      </w:pPr>
    </w:p>
    <w:p w14:paraId="2952947E">
      <w:pPr>
        <w:pStyle w:val="2"/>
        <w:rPr>
          <w:color w:val="auto"/>
          <w:highlight w:val="none"/>
        </w:rPr>
      </w:pPr>
    </w:p>
    <w:p w14:paraId="60176623">
      <w:pPr>
        <w:rPr>
          <w:color w:val="auto"/>
          <w:highlight w:val="none"/>
        </w:rPr>
      </w:pPr>
    </w:p>
    <w:p w14:paraId="7CB627AD">
      <w:pPr>
        <w:pStyle w:val="17"/>
        <w:rPr>
          <w:color w:val="auto"/>
          <w:highlight w:val="none"/>
        </w:rPr>
      </w:pPr>
    </w:p>
    <w:p w14:paraId="731D0551">
      <w:pPr>
        <w:rPr>
          <w:color w:val="auto"/>
          <w:highlight w:val="none"/>
        </w:rPr>
      </w:pPr>
    </w:p>
    <w:p w14:paraId="3B61DCCD">
      <w:pPr>
        <w:pStyle w:val="17"/>
        <w:rPr>
          <w:color w:val="auto"/>
          <w:highlight w:val="none"/>
        </w:rPr>
      </w:pPr>
    </w:p>
    <w:p w14:paraId="34607F5D">
      <w:pPr>
        <w:rPr>
          <w:color w:val="auto"/>
          <w:highlight w:val="none"/>
        </w:rPr>
      </w:pPr>
    </w:p>
    <w:p w14:paraId="7502D2EC">
      <w:pPr>
        <w:pStyle w:val="17"/>
        <w:rPr>
          <w:color w:val="auto"/>
          <w:highlight w:val="none"/>
        </w:rPr>
      </w:pPr>
    </w:p>
    <w:p w14:paraId="08629429">
      <w:pPr>
        <w:rPr>
          <w:color w:val="auto"/>
          <w:highlight w:val="none"/>
        </w:rPr>
      </w:pPr>
    </w:p>
    <w:p w14:paraId="48DA9613">
      <w:pPr>
        <w:pStyle w:val="17"/>
        <w:rPr>
          <w:color w:val="auto"/>
          <w:highlight w:val="none"/>
        </w:rPr>
      </w:pPr>
    </w:p>
    <w:p w14:paraId="04BC450D">
      <w:pPr>
        <w:rPr>
          <w:color w:val="auto"/>
          <w:highlight w:val="none"/>
        </w:rPr>
      </w:pPr>
    </w:p>
    <w:p w14:paraId="45B1B7A6">
      <w:pPr>
        <w:pStyle w:val="17"/>
        <w:rPr>
          <w:color w:val="auto"/>
          <w:highlight w:val="none"/>
        </w:rPr>
      </w:pPr>
    </w:p>
    <w:p w14:paraId="4DDF306C">
      <w:pPr>
        <w:rPr>
          <w:color w:val="auto"/>
          <w:highlight w:val="none"/>
        </w:rPr>
      </w:pPr>
    </w:p>
    <w:p w14:paraId="06518644">
      <w:pPr>
        <w:pStyle w:val="17"/>
        <w:rPr>
          <w:color w:val="auto"/>
          <w:highlight w:val="none"/>
        </w:rPr>
      </w:pPr>
    </w:p>
    <w:p w14:paraId="009888D1">
      <w:pPr>
        <w:rPr>
          <w:color w:val="auto"/>
          <w:highlight w:val="none"/>
        </w:rPr>
      </w:pPr>
    </w:p>
    <w:p w14:paraId="76C5708C">
      <w:pPr>
        <w:pStyle w:val="17"/>
        <w:rPr>
          <w:color w:val="auto"/>
          <w:highlight w:val="none"/>
        </w:rPr>
      </w:pPr>
    </w:p>
    <w:p w14:paraId="0F7B94AA">
      <w:pPr>
        <w:rPr>
          <w:color w:val="auto"/>
          <w:highlight w:val="none"/>
        </w:rPr>
      </w:pPr>
    </w:p>
    <w:p w14:paraId="1302E8B2">
      <w:pPr>
        <w:pStyle w:val="17"/>
        <w:rPr>
          <w:color w:val="auto"/>
          <w:highlight w:val="none"/>
        </w:rPr>
      </w:pPr>
    </w:p>
    <w:p w14:paraId="71A5AB36">
      <w:pPr>
        <w:rPr>
          <w:color w:val="auto"/>
          <w:highlight w:val="none"/>
        </w:rPr>
      </w:pPr>
    </w:p>
    <w:p w14:paraId="7BA61972">
      <w:pPr>
        <w:pStyle w:val="17"/>
        <w:rPr>
          <w:color w:val="auto"/>
          <w:highlight w:val="none"/>
        </w:rPr>
      </w:pPr>
    </w:p>
    <w:p w14:paraId="2E2B1ABC">
      <w:pPr>
        <w:rPr>
          <w:color w:val="auto"/>
          <w:highlight w:val="none"/>
        </w:rPr>
      </w:pPr>
    </w:p>
    <w:p w14:paraId="46AD5C90">
      <w:pPr>
        <w:pStyle w:val="17"/>
        <w:rPr>
          <w:color w:val="auto"/>
          <w:highlight w:val="none"/>
        </w:rPr>
      </w:pPr>
    </w:p>
    <w:p w14:paraId="03C4D7FC">
      <w:pPr>
        <w:rPr>
          <w:color w:val="auto"/>
          <w:highlight w:val="none"/>
        </w:rPr>
      </w:pPr>
    </w:p>
    <w:p w14:paraId="319E7F97">
      <w:pPr>
        <w:pStyle w:val="17"/>
        <w:rPr>
          <w:color w:val="auto"/>
          <w:highlight w:val="none"/>
        </w:rPr>
      </w:pPr>
    </w:p>
    <w:p w14:paraId="2891A1AB">
      <w:pPr>
        <w:rPr>
          <w:color w:val="auto"/>
          <w:highlight w:val="none"/>
        </w:rPr>
      </w:pPr>
    </w:p>
    <w:p w14:paraId="75F3E07B">
      <w:pPr>
        <w:pStyle w:val="17"/>
        <w:rPr>
          <w:color w:val="auto"/>
          <w:highlight w:val="none"/>
        </w:rPr>
      </w:pPr>
    </w:p>
    <w:p w14:paraId="27F7B3D7">
      <w:pPr>
        <w:rPr>
          <w:color w:val="auto"/>
          <w:highlight w:val="none"/>
        </w:rPr>
      </w:pPr>
    </w:p>
    <w:p w14:paraId="64BAFAF9">
      <w:pPr>
        <w:pStyle w:val="17"/>
        <w:rPr>
          <w:color w:val="auto"/>
          <w:highlight w:val="none"/>
        </w:rPr>
      </w:pPr>
    </w:p>
    <w:p w14:paraId="743B0150">
      <w:pPr>
        <w:rPr>
          <w:color w:val="auto"/>
          <w:highlight w:val="none"/>
        </w:rPr>
      </w:pPr>
    </w:p>
    <w:p w14:paraId="16AE589F">
      <w:pPr>
        <w:pStyle w:val="17"/>
        <w:rPr>
          <w:color w:val="auto"/>
          <w:highlight w:val="none"/>
        </w:rPr>
      </w:pPr>
    </w:p>
    <w:p w14:paraId="398A774C">
      <w:pPr>
        <w:rPr>
          <w:color w:val="auto"/>
          <w:highlight w:val="none"/>
        </w:rPr>
      </w:pPr>
    </w:p>
    <w:p w14:paraId="100F668B">
      <w:pPr>
        <w:pStyle w:val="17"/>
        <w:rPr>
          <w:color w:val="auto"/>
          <w:highlight w:val="none"/>
        </w:rPr>
      </w:pPr>
    </w:p>
    <w:p w14:paraId="39DDA45C">
      <w:pPr>
        <w:pStyle w:val="2"/>
        <w:rPr>
          <w:color w:val="auto"/>
          <w:highlight w:val="none"/>
        </w:rPr>
      </w:pPr>
      <w:bookmarkStart w:id="137" w:name="_Toc14177"/>
      <w:r>
        <w:rPr>
          <w:rFonts w:hint="eastAsia"/>
          <w:color w:val="auto"/>
          <w:highlight w:val="none"/>
        </w:rPr>
        <w:t xml:space="preserve">第五章 </w:t>
      </w:r>
      <w:r>
        <w:rPr>
          <w:color w:val="auto"/>
          <w:highlight w:val="none"/>
        </w:rPr>
        <w:t xml:space="preserve"> </w:t>
      </w:r>
      <w:r>
        <w:rPr>
          <w:rFonts w:hint="eastAsia"/>
          <w:color w:val="auto"/>
          <w:highlight w:val="none"/>
        </w:rPr>
        <w:t>拟签订的合同文本</w:t>
      </w:r>
      <w:bookmarkEnd w:id="137"/>
    </w:p>
    <w:p w14:paraId="06F72A4D">
      <w:pPr>
        <w:tabs>
          <w:tab w:val="left" w:pos="4935"/>
        </w:tabs>
        <w:rPr>
          <w:color w:val="auto"/>
          <w:highlight w:val="none"/>
        </w:rPr>
        <w:sectPr>
          <w:pgSz w:w="11906" w:h="16838"/>
          <w:pgMar w:top="1701" w:right="1701" w:bottom="1701" w:left="1701" w:header="851" w:footer="992" w:gutter="0"/>
          <w:pgNumType w:fmt="decimal"/>
          <w:cols w:space="1701" w:num="1"/>
          <w:titlePg/>
        </w:sectPr>
      </w:pPr>
      <w:r>
        <w:rPr>
          <w:color w:val="auto"/>
          <w:highlight w:val="none"/>
        </w:rPr>
        <w:tab/>
      </w:r>
    </w:p>
    <w:p w14:paraId="08B75C74">
      <w:pPr>
        <w:pStyle w:val="23"/>
        <w:spacing w:line="360" w:lineRule="exact"/>
        <w:rPr>
          <w:b/>
          <w:color w:val="auto"/>
          <w:sz w:val="18"/>
          <w:szCs w:val="18"/>
          <w:highlight w:val="none"/>
        </w:rPr>
      </w:pPr>
      <w:r>
        <w:rPr>
          <w:rFonts w:hint="eastAsia"/>
          <w:b/>
          <w:color w:val="auto"/>
          <w:sz w:val="18"/>
          <w:szCs w:val="18"/>
          <w:highlight w:val="none"/>
        </w:rPr>
        <w:t>说明：</w:t>
      </w:r>
    </w:p>
    <w:p w14:paraId="11EE08E1">
      <w:pPr>
        <w:pStyle w:val="23"/>
        <w:numPr>
          <w:ilvl w:val="0"/>
          <w:numId w:val="6"/>
        </w:numPr>
        <w:spacing w:line="360" w:lineRule="exact"/>
        <w:rPr>
          <w:b/>
          <w:color w:val="auto"/>
          <w:sz w:val="18"/>
          <w:szCs w:val="18"/>
          <w:highlight w:val="none"/>
        </w:rPr>
      </w:pPr>
      <w:r>
        <w:rPr>
          <w:rFonts w:hint="eastAsia"/>
          <w:b/>
          <w:color w:val="auto"/>
          <w:sz w:val="18"/>
          <w:szCs w:val="18"/>
          <w:highlight w:val="none"/>
        </w:rPr>
        <w:t>以下合同仅供签订正式合同时参</w:t>
      </w:r>
      <w:r>
        <w:rPr>
          <w:rFonts w:hint="eastAsia"/>
          <w:b/>
          <w:color w:val="auto"/>
          <w:sz w:val="18"/>
          <w:szCs w:val="18"/>
          <w:highlight w:val="none"/>
          <w:lang w:eastAsia="zh-CN"/>
        </w:rPr>
        <w:t>考使</w:t>
      </w:r>
      <w:r>
        <w:rPr>
          <w:rFonts w:hint="eastAsia"/>
          <w:b/>
          <w:color w:val="auto"/>
          <w:sz w:val="18"/>
          <w:szCs w:val="18"/>
          <w:highlight w:val="none"/>
        </w:rPr>
        <w:t>用，正式合同书应包括此参考格式的内容。</w:t>
      </w:r>
    </w:p>
    <w:p w14:paraId="67F96AFC">
      <w:pPr>
        <w:pStyle w:val="23"/>
        <w:numPr>
          <w:ilvl w:val="0"/>
          <w:numId w:val="6"/>
        </w:numPr>
        <w:spacing w:line="360" w:lineRule="exact"/>
        <w:rPr>
          <w:b/>
          <w:color w:val="auto"/>
          <w:sz w:val="18"/>
          <w:szCs w:val="18"/>
          <w:highlight w:val="none"/>
        </w:rPr>
      </w:pPr>
      <w:r>
        <w:rPr>
          <w:rFonts w:hint="eastAsia"/>
          <w:b/>
          <w:color w:val="auto"/>
          <w:sz w:val="18"/>
          <w:szCs w:val="18"/>
          <w:highlight w:val="none"/>
        </w:rPr>
        <w:t>合同签订双方可根据项目的具体要求进行修订，但合同条款不得与招标文件和中标供应商投标文件有实质性偏离。</w:t>
      </w:r>
    </w:p>
    <w:p w14:paraId="46357DB8">
      <w:pPr>
        <w:pStyle w:val="23"/>
        <w:spacing w:line="360" w:lineRule="exact"/>
        <w:jc w:val="center"/>
        <w:rPr>
          <w:rFonts w:hAnsi="宋体"/>
          <w:b/>
          <w:bCs/>
          <w:color w:val="auto"/>
          <w:sz w:val="32"/>
          <w:szCs w:val="32"/>
          <w:highlight w:val="none"/>
        </w:rPr>
      </w:pPr>
    </w:p>
    <w:p w14:paraId="1B25D673">
      <w:pPr>
        <w:pStyle w:val="23"/>
        <w:spacing w:line="360" w:lineRule="exact"/>
        <w:jc w:val="center"/>
        <w:rPr>
          <w:b/>
          <w:color w:val="auto"/>
          <w:sz w:val="32"/>
          <w:highlight w:val="none"/>
        </w:rPr>
      </w:pPr>
      <w:r>
        <w:rPr>
          <w:rFonts w:hint="eastAsia" w:hAnsi="宋体"/>
          <w:b/>
          <w:bCs/>
          <w:color w:val="auto"/>
          <w:sz w:val="32"/>
          <w:szCs w:val="32"/>
          <w:highlight w:val="none"/>
        </w:rPr>
        <w:t>政府采购合同</w:t>
      </w:r>
      <w:r>
        <w:rPr>
          <w:rFonts w:hint="eastAsia"/>
          <w:b/>
          <w:color w:val="auto"/>
          <w:sz w:val="32"/>
          <w:highlight w:val="none"/>
        </w:rPr>
        <w:t>（格式）</w:t>
      </w:r>
    </w:p>
    <w:p w14:paraId="516B693A">
      <w:pPr>
        <w:wordWrap w:val="0"/>
        <w:snapToGrid w:val="0"/>
        <w:ind w:right="840"/>
        <w:jc w:val="center"/>
        <w:rPr>
          <w:rFonts w:hAnsi="宋体"/>
          <w:bCs/>
          <w:color w:val="auto"/>
          <w:highlight w:val="none"/>
        </w:rPr>
      </w:pPr>
      <w:r>
        <w:rPr>
          <w:rFonts w:hint="eastAsia" w:hAnsi="宋体"/>
          <w:bCs/>
          <w:color w:val="auto"/>
          <w:highlight w:val="none"/>
        </w:rPr>
        <w:t xml:space="preserve">                                                       </w:t>
      </w:r>
    </w:p>
    <w:p w14:paraId="03CCC2C4">
      <w:pPr>
        <w:wordWrap w:val="0"/>
        <w:snapToGrid w:val="0"/>
        <w:ind w:right="840"/>
        <w:jc w:val="center"/>
        <w:rPr>
          <w:rFonts w:hAnsi="宋体"/>
          <w:bCs/>
          <w:color w:val="auto"/>
          <w:highlight w:val="none"/>
          <w:u w:val="single"/>
        </w:rPr>
      </w:pPr>
      <w:r>
        <w:rPr>
          <w:rFonts w:hAnsi="宋体"/>
          <w:bCs/>
          <w:color w:val="auto"/>
          <w:highlight w:val="none"/>
        </w:rPr>
        <w:t xml:space="preserve">                                                   </w:t>
      </w:r>
      <w:r>
        <w:rPr>
          <w:rFonts w:hint="eastAsia" w:hAnsi="宋体"/>
          <w:bCs/>
          <w:color w:val="auto"/>
          <w:highlight w:val="none"/>
        </w:rPr>
        <w:t xml:space="preserve">   合同编号：            </w:t>
      </w:r>
    </w:p>
    <w:p w14:paraId="79DCB088">
      <w:pPr>
        <w:snapToGrid w:val="0"/>
        <w:rPr>
          <w:rFonts w:hAnsi="宋体"/>
          <w:color w:val="auto"/>
          <w:highlight w:val="none"/>
        </w:rPr>
      </w:pPr>
    </w:p>
    <w:p w14:paraId="227C1088">
      <w:pPr>
        <w:snapToGrid w:val="0"/>
        <w:rPr>
          <w:rFonts w:hAnsi="宋体"/>
          <w:color w:val="auto"/>
          <w:highlight w:val="none"/>
          <w:u w:val="single"/>
        </w:rPr>
      </w:pPr>
      <w:r>
        <w:rPr>
          <w:rFonts w:hint="eastAsia" w:hAnsi="宋体"/>
          <w:color w:val="auto"/>
          <w:highlight w:val="none"/>
        </w:rPr>
        <w:t>采购单位（甲方）：</w:t>
      </w:r>
      <w:r>
        <w:rPr>
          <w:rFonts w:hint="eastAsia" w:hAnsi="宋体"/>
          <w:color w:val="auto"/>
          <w:highlight w:val="none"/>
          <w:u w:val="single"/>
        </w:rPr>
        <w:t xml:space="preserve">                       </w:t>
      </w:r>
      <w:r>
        <w:rPr>
          <w:rFonts w:hint="eastAsia" w:hAnsi="宋体"/>
          <w:color w:val="auto"/>
          <w:highlight w:val="none"/>
        </w:rPr>
        <w:t xml:space="preserve">           采购计划文号：</w:t>
      </w:r>
      <w:r>
        <w:rPr>
          <w:rFonts w:hint="eastAsia" w:hAnsi="宋体"/>
          <w:color w:val="auto"/>
          <w:highlight w:val="none"/>
          <w:u w:val="single"/>
        </w:rPr>
        <w:t xml:space="preserve">                           </w:t>
      </w:r>
    </w:p>
    <w:p w14:paraId="1C6700F3">
      <w:pPr>
        <w:snapToGrid w:val="0"/>
        <w:rPr>
          <w:rFonts w:hAnsi="宋体"/>
          <w:color w:val="auto"/>
          <w:highlight w:val="none"/>
          <w:u w:val="single"/>
        </w:rPr>
      </w:pPr>
      <w:r>
        <w:rPr>
          <w:rFonts w:hint="eastAsia" w:hAnsi="宋体"/>
          <w:color w:val="auto"/>
          <w:highlight w:val="none"/>
        </w:rPr>
        <w:t>供 应 商（乙方）：</w:t>
      </w:r>
      <w:r>
        <w:rPr>
          <w:rFonts w:hint="eastAsia" w:hAnsi="宋体"/>
          <w:color w:val="auto"/>
          <w:highlight w:val="none"/>
          <w:u w:val="single"/>
        </w:rPr>
        <w:t xml:space="preserve">                       </w:t>
      </w:r>
      <w:r>
        <w:rPr>
          <w:rFonts w:hint="eastAsia" w:hAnsi="宋体"/>
          <w:color w:val="auto"/>
          <w:highlight w:val="none"/>
        </w:rPr>
        <w:t xml:space="preserve">           项目名称及编号</w:t>
      </w:r>
      <w:r>
        <w:rPr>
          <w:rFonts w:hint="eastAsia" w:hAnsi="宋体"/>
          <w:color w:val="auto"/>
          <w:spacing w:val="-20"/>
          <w:highlight w:val="none"/>
        </w:rPr>
        <w:t>：</w:t>
      </w:r>
      <w:r>
        <w:rPr>
          <w:rFonts w:hint="eastAsia" w:hAnsi="宋体"/>
          <w:color w:val="auto"/>
          <w:highlight w:val="none"/>
        </w:rPr>
        <w:t xml:space="preserve"> </w:t>
      </w:r>
      <w:r>
        <w:rPr>
          <w:rFonts w:hint="eastAsia" w:hAnsi="宋体"/>
          <w:color w:val="auto"/>
          <w:highlight w:val="none"/>
          <w:u w:val="single"/>
        </w:rPr>
        <w:t xml:space="preserve">                        </w:t>
      </w:r>
    </w:p>
    <w:p w14:paraId="024CCF42">
      <w:pPr>
        <w:snapToGrid w:val="0"/>
        <w:rPr>
          <w:rFonts w:hAnsi="宋体"/>
          <w:color w:val="auto"/>
          <w:highlight w:val="none"/>
          <w:u w:val="single"/>
        </w:rPr>
      </w:pPr>
      <w:r>
        <w:rPr>
          <w:rFonts w:hint="eastAsia" w:hAnsi="宋体"/>
          <w:color w:val="auto"/>
          <w:highlight w:val="none"/>
        </w:rPr>
        <w:t>签  订  地  点 ：</w:t>
      </w:r>
      <w:r>
        <w:rPr>
          <w:rFonts w:hint="eastAsia" w:hAnsi="宋体"/>
          <w:color w:val="auto"/>
          <w:highlight w:val="none"/>
          <w:u w:val="single"/>
        </w:rPr>
        <w:t xml:space="preserve">                        </w:t>
      </w:r>
      <w:r>
        <w:rPr>
          <w:rFonts w:hint="eastAsia" w:hAnsi="宋体"/>
          <w:color w:val="auto"/>
          <w:highlight w:val="none"/>
        </w:rPr>
        <w:t xml:space="preserve">           </w:t>
      </w:r>
      <w:r>
        <w:rPr>
          <w:rFonts w:hint="eastAsia" w:hAnsi="宋体"/>
          <w:color w:val="auto"/>
          <w:spacing w:val="38"/>
          <w:highlight w:val="none"/>
        </w:rPr>
        <w:t>签订时间</w:t>
      </w:r>
      <w:r>
        <w:rPr>
          <w:rFonts w:hint="eastAsia" w:hAnsi="宋体"/>
          <w:color w:val="auto"/>
          <w:highlight w:val="none"/>
          <w:u w:val="single"/>
        </w:rPr>
        <w:t xml:space="preserve">      年   月   日   </w:t>
      </w:r>
    </w:p>
    <w:p w14:paraId="1E1C577E">
      <w:pPr>
        <w:snapToGrid w:val="0"/>
        <w:ind w:firstLine="420" w:firstLineChars="200"/>
        <w:rPr>
          <w:rFonts w:hAnsi="宋体"/>
          <w:color w:val="auto"/>
          <w:highlight w:val="none"/>
        </w:rPr>
      </w:pPr>
    </w:p>
    <w:p w14:paraId="157E25C9">
      <w:pPr>
        <w:adjustRightInd w:val="0"/>
        <w:snapToGrid w:val="0"/>
        <w:ind w:firstLine="420" w:firstLineChars="200"/>
        <w:jc w:val="both"/>
        <w:rPr>
          <w:rFonts w:hAnsi="宋体"/>
          <w:color w:val="auto"/>
          <w:highlight w:val="none"/>
        </w:rPr>
      </w:pPr>
      <w:r>
        <w:rPr>
          <w:rFonts w:hint="eastAsia" w:hAnsi="宋体"/>
          <w:color w:val="auto"/>
          <w:highlight w:val="none"/>
        </w:rPr>
        <w:t>根据《中华人民共和国政府采购法</w:t>
      </w:r>
      <w:r>
        <w:rPr>
          <w:rFonts w:hint="eastAsia" w:hAnsi="宋体"/>
          <w:color w:val="auto"/>
          <w:highlight w:val="none"/>
          <w:lang w:eastAsia="zh-CN"/>
        </w:rPr>
        <w:t>》《</w:t>
      </w:r>
      <w:r>
        <w:rPr>
          <w:rFonts w:hint="eastAsia" w:hAnsi="宋体"/>
          <w:color w:val="auto"/>
          <w:highlight w:val="none"/>
        </w:rPr>
        <w:t>中华人民共和国民法典》等</w:t>
      </w:r>
      <w:r>
        <w:rPr>
          <w:rFonts w:hint="eastAsia" w:hAnsi="宋体"/>
          <w:color w:val="auto"/>
          <w:highlight w:val="none"/>
          <w:lang w:eastAsia="zh-CN"/>
        </w:rPr>
        <w:t>法律法规</w:t>
      </w:r>
      <w:r>
        <w:rPr>
          <w:rFonts w:hint="eastAsia" w:hAnsi="宋体"/>
          <w:color w:val="auto"/>
          <w:highlight w:val="none"/>
        </w:rPr>
        <w:t>规定，按照招标、投标文件（采购文件）规定条款和中标（成交）供应商承诺，甲乙双方签订本合同。</w:t>
      </w:r>
    </w:p>
    <w:p w14:paraId="36D6D305">
      <w:pPr>
        <w:adjustRightInd w:val="0"/>
        <w:snapToGrid w:val="0"/>
        <w:ind w:firstLine="422" w:firstLineChars="200"/>
        <w:jc w:val="both"/>
        <w:rPr>
          <w:rFonts w:hAnsi="宋体"/>
          <w:b/>
          <w:color w:val="auto"/>
          <w:highlight w:val="none"/>
        </w:rPr>
      </w:pPr>
      <w:r>
        <w:rPr>
          <w:rFonts w:hint="eastAsia" w:hAnsi="宋体"/>
          <w:b/>
          <w:color w:val="auto"/>
          <w:highlight w:val="none"/>
        </w:rPr>
        <w:t>第一条　合同标的</w:t>
      </w:r>
    </w:p>
    <w:p w14:paraId="3E646165">
      <w:pPr>
        <w:adjustRightInd w:val="0"/>
        <w:snapToGrid w:val="0"/>
        <w:ind w:firstLine="420" w:firstLineChars="200"/>
        <w:jc w:val="both"/>
        <w:rPr>
          <w:rFonts w:hAnsi="宋体"/>
          <w:color w:val="auto"/>
          <w:highlight w:val="none"/>
        </w:rPr>
      </w:pPr>
      <w:r>
        <w:rPr>
          <w:rFonts w:hint="eastAsia" w:hAnsi="宋体"/>
          <w:color w:val="auto"/>
          <w:highlight w:val="none"/>
        </w:rPr>
        <w:t>1.供货一览表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207"/>
        <w:gridCol w:w="1134"/>
        <w:gridCol w:w="760"/>
        <w:gridCol w:w="892"/>
        <w:gridCol w:w="1253"/>
        <w:gridCol w:w="1275"/>
      </w:tblGrid>
      <w:tr w14:paraId="0803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36" w:type="dxa"/>
            <w:vAlign w:val="center"/>
          </w:tcPr>
          <w:p w14:paraId="63B780C1">
            <w:pPr>
              <w:adjustRightInd w:val="0"/>
              <w:snapToGrid w:val="0"/>
              <w:jc w:val="both"/>
              <w:rPr>
                <w:rFonts w:hAnsi="宋体"/>
                <w:color w:val="auto"/>
                <w:highlight w:val="none"/>
              </w:rPr>
            </w:pPr>
            <w:r>
              <w:rPr>
                <w:rFonts w:hint="eastAsia" w:hAnsi="宋体"/>
                <w:color w:val="auto"/>
                <w:highlight w:val="none"/>
              </w:rPr>
              <w:t>序号</w:t>
            </w:r>
          </w:p>
        </w:tc>
        <w:tc>
          <w:tcPr>
            <w:tcW w:w="1207" w:type="dxa"/>
            <w:vAlign w:val="center"/>
          </w:tcPr>
          <w:p w14:paraId="2A4F6287">
            <w:pPr>
              <w:adjustRightInd w:val="0"/>
              <w:snapToGrid w:val="0"/>
              <w:jc w:val="both"/>
              <w:rPr>
                <w:rFonts w:hAnsi="宋体"/>
                <w:color w:val="auto"/>
                <w:highlight w:val="none"/>
              </w:rPr>
            </w:pPr>
            <w:r>
              <w:rPr>
                <w:rFonts w:hint="eastAsia" w:hAnsi="宋体"/>
                <w:color w:val="auto"/>
                <w:highlight w:val="none"/>
              </w:rPr>
              <w:t>产品名称</w:t>
            </w:r>
          </w:p>
        </w:tc>
        <w:tc>
          <w:tcPr>
            <w:tcW w:w="1134" w:type="dxa"/>
            <w:vAlign w:val="center"/>
          </w:tcPr>
          <w:p w14:paraId="5EF3DBFD">
            <w:pPr>
              <w:adjustRightInd w:val="0"/>
              <w:snapToGrid w:val="0"/>
              <w:jc w:val="both"/>
              <w:rPr>
                <w:rFonts w:hAnsi="宋体"/>
                <w:color w:val="auto"/>
                <w:highlight w:val="none"/>
              </w:rPr>
            </w:pPr>
            <w:r>
              <w:rPr>
                <w:rFonts w:hint="eastAsia" w:hAnsi="宋体"/>
                <w:color w:val="auto"/>
                <w:highlight w:val="none"/>
              </w:rPr>
              <w:t>商标品牌</w:t>
            </w:r>
          </w:p>
        </w:tc>
        <w:tc>
          <w:tcPr>
            <w:tcW w:w="1207" w:type="dxa"/>
            <w:vAlign w:val="center"/>
          </w:tcPr>
          <w:p w14:paraId="7D917DCD">
            <w:pPr>
              <w:adjustRightInd w:val="0"/>
              <w:snapToGrid w:val="0"/>
              <w:jc w:val="both"/>
              <w:rPr>
                <w:rFonts w:hAnsi="宋体"/>
                <w:color w:val="auto"/>
                <w:highlight w:val="none"/>
              </w:rPr>
            </w:pPr>
            <w:r>
              <w:rPr>
                <w:rFonts w:hint="eastAsia" w:hAnsi="宋体"/>
                <w:color w:val="auto"/>
                <w:highlight w:val="none"/>
              </w:rPr>
              <w:t>规格型号</w:t>
            </w:r>
          </w:p>
        </w:tc>
        <w:tc>
          <w:tcPr>
            <w:tcW w:w="1134" w:type="dxa"/>
            <w:vAlign w:val="center"/>
          </w:tcPr>
          <w:p w14:paraId="0D267FA3">
            <w:pPr>
              <w:adjustRightInd w:val="0"/>
              <w:snapToGrid w:val="0"/>
              <w:jc w:val="both"/>
              <w:rPr>
                <w:rFonts w:hAnsi="宋体"/>
                <w:color w:val="auto"/>
                <w:highlight w:val="none"/>
              </w:rPr>
            </w:pPr>
            <w:r>
              <w:rPr>
                <w:rFonts w:hint="eastAsia" w:hAnsi="宋体"/>
                <w:color w:val="auto"/>
                <w:highlight w:val="none"/>
              </w:rPr>
              <w:t>生产厂家</w:t>
            </w:r>
          </w:p>
        </w:tc>
        <w:tc>
          <w:tcPr>
            <w:tcW w:w="760" w:type="dxa"/>
            <w:vAlign w:val="center"/>
          </w:tcPr>
          <w:p w14:paraId="3E282FC6">
            <w:pPr>
              <w:adjustRightInd w:val="0"/>
              <w:snapToGrid w:val="0"/>
              <w:jc w:val="both"/>
              <w:rPr>
                <w:rFonts w:hAnsi="宋体"/>
                <w:color w:val="auto"/>
                <w:highlight w:val="none"/>
              </w:rPr>
            </w:pPr>
            <w:r>
              <w:rPr>
                <w:rFonts w:hint="eastAsia" w:hAnsi="宋体"/>
                <w:color w:val="auto"/>
                <w:highlight w:val="none"/>
              </w:rPr>
              <w:t>数量</w:t>
            </w:r>
          </w:p>
        </w:tc>
        <w:tc>
          <w:tcPr>
            <w:tcW w:w="892" w:type="dxa"/>
            <w:vAlign w:val="center"/>
          </w:tcPr>
          <w:p w14:paraId="6C80A389">
            <w:pPr>
              <w:adjustRightInd w:val="0"/>
              <w:snapToGrid w:val="0"/>
              <w:jc w:val="both"/>
              <w:rPr>
                <w:rFonts w:hAnsi="宋体"/>
                <w:color w:val="auto"/>
                <w:highlight w:val="none"/>
              </w:rPr>
            </w:pPr>
            <w:r>
              <w:rPr>
                <w:rFonts w:hint="eastAsia" w:hAnsi="宋体"/>
                <w:color w:val="auto"/>
                <w:highlight w:val="none"/>
              </w:rPr>
              <w:t>单位</w:t>
            </w:r>
          </w:p>
        </w:tc>
        <w:tc>
          <w:tcPr>
            <w:tcW w:w="1253" w:type="dxa"/>
            <w:vAlign w:val="center"/>
          </w:tcPr>
          <w:p w14:paraId="64BF7D05">
            <w:pPr>
              <w:adjustRightInd w:val="0"/>
              <w:snapToGrid w:val="0"/>
              <w:jc w:val="both"/>
              <w:rPr>
                <w:rFonts w:hAnsi="宋体"/>
                <w:color w:val="auto"/>
                <w:highlight w:val="none"/>
              </w:rPr>
            </w:pPr>
            <w:r>
              <w:rPr>
                <w:rFonts w:hint="eastAsia" w:hAnsi="宋体"/>
                <w:color w:val="auto"/>
                <w:highlight w:val="none"/>
              </w:rPr>
              <w:t>单价（元）</w:t>
            </w:r>
          </w:p>
        </w:tc>
        <w:tc>
          <w:tcPr>
            <w:tcW w:w="1275" w:type="dxa"/>
            <w:vAlign w:val="center"/>
          </w:tcPr>
          <w:p w14:paraId="4ECA5DCA">
            <w:pPr>
              <w:adjustRightInd w:val="0"/>
              <w:snapToGrid w:val="0"/>
              <w:jc w:val="both"/>
              <w:rPr>
                <w:rFonts w:hAnsi="宋体"/>
                <w:color w:val="auto"/>
                <w:highlight w:val="none"/>
              </w:rPr>
            </w:pPr>
            <w:r>
              <w:rPr>
                <w:rFonts w:hint="eastAsia" w:hAnsi="宋体"/>
                <w:color w:val="auto"/>
                <w:highlight w:val="none"/>
              </w:rPr>
              <w:t>金额（元）</w:t>
            </w:r>
          </w:p>
        </w:tc>
      </w:tr>
      <w:tr w14:paraId="282E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14:paraId="7B9BDEA5">
            <w:pPr>
              <w:adjustRightInd w:val="0"/>
              <w:snapToGrid w:val="0"/>
              <w:jc w:val="both"/>
              <w:rPr>
                <w:rFonts w:hAnsi="宋体"/>
                <w:color w:val="auto"/>
                <w:highlight w:val="none"/>
              </w:rPr>
            </w:pPr>
            <w:r>
              <w:rPr>
                <w:rFonts w:hint="eastAsia" w:hAnsi="宋体"/>
                <w:color w:val="auto"/>
                <w:highlight w:val="none"/>
              </w:rPr>
              <w:t>1</w:t>
            </w:r>
          </w:p>
        </w:tc>
        <w:tc>
          <w:tcPr>
            <w:tcW w:w="1207" w:type="dxa"/>
            <w:vAlign w:val="center"/>
          </w:tcPr>
          <w:p w14:paraId="12C54B70">
            <w:pPr>
              <w:adjustRightInd w:val="0"/>
              <w:snapToGrid w:val="0"/>
              <w:jc w:val="both"/>
              <w:rPr>
                <w:rFonts w:hAnsi="宋体"/>
                <w:color w:val="auto"/>
                <w:highlight w:val="none"/>
              </w:rPr>
            </w:pPr>
          </w:p>
        </w:tc>
        <w:tc>
          <w:tcPr>
            <w:tcW w:w="1134" w:type="dxa"/>
            <w:vAlign w:val="center"/>
          </w:tcPr>
          <w:p w14:paraId="66308314">
            <w:pPr>
              <w:adjustRightInd w:val="0"/>
              <w:snapToGrid w:val="0"/>
              <w:jc w:val="both"/>
              <w:rPr>
                <w:rFonts w:hAnsi="宋体"/>
                <w:color w:val="auto"/>
                <w:highlight w:val="none"/>
              </w:rPr>
            </w:pPr>
          </w:p>
        </w:tc>
        <w:tc>
          <w:tcPr>
            <w:tcW w:w="1207" w:type="dxa"/>
            <w:vAlign w:val="center"/>
          </w:tcPr>
          <w:p w14:paraId="6AC04664">
            <w:pPr>
              <w:adjustRightInd w:val="0"/>
              <w:snapToGrid w:val="0"/>
              <w:jc w:val="both"/>
              <w:rPr>
                <w:rFonts w:hAnsi="宋体"/>
                <w:color w:val="auto"/>
                <w:highlight w:val="none"/>
              </w:rPr>
            </w:pPr>
          </w:p>
        </w:tc>
        <w:tc>
          <w:tcPr>
            <w:tcW w:w="1134" w:type="dxa"/>
            <w:vAlign w:val="center"/>
          </w:tcPr>
          <w:p w14:paraId="7422BDFA">
            <w:pPr>
              <w:adjustRightInd w:val="0"/>
              <w:snapToGrid w:val="0"/>
              <w:jc w:val="both"/>
              <w:rPr>
                <w:rFonts w:hAnsi="宋体"/>
                <w:color w:val="auto"/>
                <w:highlight w:val="none"/>
              </w:rPr>
            </w:pPr>
          </w:p>
        </w:tc>
        <w:tc>
          <w:tcPr>
            <w:tcW w:w="760" w:type="dxa"/>
            <w:vAlign w:val="center"/>
          </w:tcPr>
          <w:p w14:paraId="48CB4D83">
            <w:pPr>
              <w:adjustRightInd w:val="0"/>
              <w:snapToGrid w:val="0"/>
              <w:jc w:val="both"/>
              <w:rPr>
                <w:rFonts w:hAnsi="宋体"/>
                <w:color w:val="auto"/>
                <w:highlight w:val="none"/>
              </w:rPr>
            </w:pPr>
          </w:p>
        </w:tc>
        <w:tc>
          <w:tcPr>
            <w:tcW w:w="892" w:type="dxa"/>
            <w:vAlign w:val="center"/>
          </w:tcPr>
          <w:p w14:paraId="4E4710B0">
            <w:pPr>
              <w:adjustRightInd w:val="0"/>
              <w:snapToGrid w:val="0"/>
              <w:jc w:val="both"/>
              <w:rPr>
                <w:rFonts w:hAnsi="宋体"/>
                <w:color w:val="auto"/>
                <w:highlight w:val="none"/>
              </w:rPr>
            </w:pPr>
          </w:p>
        </w:tc>
        <w:tc>
          <w:tcPr>
            <w:tcW w:w="1253" w:type="dxa"/>
            <w:vAlign w:val="center"/>
          </w:tcPr>
          <w:p w14:paraId="1ED66CDD">
            <w:pPr>
              <w:adjustRightInd w:val="0"/>
              <w:snapToGrid w:val="0"/>
              <w:jc w:val="both"/>
              <w:rPr>
                <w:rFonts w:hAnsi="宋体"/>
                <w:color w:val="auto"/>
                <w:highlight w:val="none"/>
              </w:rPr>
            </w:pPr>
          </w:p>
        </w:tc>
        <w:tc>
          <w:tcPr>
            <w:tcW w:w="1275" w:type="dxa"/>
            <w:vAlign w:val="center"/>
          </w:tcPr>
          <w:p w14:paraId="36403BF5">
            <w:pPr>
              <w:adjustRightInd w:val="0"/>
              <w:snapToGrid w:val="0"/>
              <w:jc w:val="both"/>
              <w:rPr>
                <w:rFonts w:hAnsi="宋体"/>
                <w:color w:val="auto"/>
                <w:highlight w:val="none"/>
              </w:rPr>
            </w:pPr>
          </w:p>
        </w:tc>
      </w:tr>
      <w:tr w14:paraId="753C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14:paraId="19E391DB">
            <w:pPr>
              <w:adjustRightInd w:val="0"/>
              <w:snapToGrid w:val="0"/>
              <w:jc w:val="both"/>
              <w:rPr>
                <w:rFonts w:hAnsi="宋体"/>
                <w:color w:val="auto"/>
                <w:highlight w:val="none"/>
              </w:rPr>
            </w:pPr>
            <w:r>
              <w:rPr>
                <w:rFonts w:hint="eastAsia" w:hAnsi="宋体"/>
                <w:color w:val="auto"/>
                <w:highlight w:val="none"/>
              </w:rPr>
              <w:t>2</w:t>
            </w:r>
          </w:p>
        </w:tc>
        <w:tc>
          <w:tcPr>
            <w:tcW w:w="1207" w:type="dxa"/>
            <w:vAlign w:val="center"/>
          </w:tcPr>
          <w:p w14:paraId="1F7EA8D0">
            <w:pPr>
              <w:adjustRightInd w:val="0"/>
              <w:snapToGrid w:val="0"/>
              <w:jc w:val="both"/>
              <w:rPr>
                <w:rFonts w:hAnsi="宋体"/>
                <w:color w:val="auto"/>
                <w:highlight w:val="none"/>
              </w:rPr>
            </w:pPr>
          </w:p>
        </w:tc>
        <w:tc>
          <w:tcPr>
            <w:tcW w:w="1134" w:type="dxa"/>
            <w:vAlign w:val="center"/>
          </w:tcPr>
          <w:p w14:paraId="6C129CEE">
            <w:pPr>
              <w:adjustRightInd w:val="0"/>
              <w:snapToGrid w:val="0"/>
              <w:jc w:val="both"/>
              <w:rPr>
                <w:rFonts w:hAnsi="宋体"/>
                <w:color w:val="auto"/>
                <w:highlight w:val="none"/>
              </w:rPr>
            </w:pPr>
          </w:p>
        </w:tc>
        <w:tc>
          <w:tcPr>
            <w:tcW w:w="1207" w:type="dxa"/>
            <w:vAlign w:val="center"/>
          </w:tcPr>
          <w:p w14:paraId="4F3041D9">
            <w:pPr>
              <w:adjustRightInd w:val="0"/>
              <w:snapToGrid w:val="0"/>
              <w:jc w:val="both"/>
              <w:rPr>
                <w:rFonts w:hAnsi="宋体"/>
                <w:color w:val="auto"/>
                <w:highlight w:val="none"/>
              </w:rPr>
            </w:pPr>
          </w:p>
        </w:tc>
        <w:tc>
          <w:tcPr>
            <w:tcW w:w="1134" w:type="dxa"/>
            <w:vAlign w:val="center"/>
          </w:tcPr>
          <w:p w14:paraId="3A5327D4">
            <w:pPr>
              <w:adjustRightInd w:val="0"/>
              <w:snapToGrid w:val="0"/>
              <w:jc w:val="both"/>
              <w:rPr>
                <w:rFonts w:hAnsi="宋体"/>
                <w:color w:val="auto"/>
                <w:highlight w:val="none"/>
              </w:rPr>
            </w:pPr>
          </w:p>
        </w:tc>
        <w:tc>
          <w:tcPr>
            <w:tcW w:w="760" w:type="dxa"/>
            <w:vAlign w:val="center"/>
          </w:tcPr>
          <w:p w14:paraId="61418F95">
            <w:pPr>
              <w:adjustRightInd w:val="0"/>
              <w:snapToGrid w:val="0"/>
              <w:jc w:val="both"/>
              <w:rPr>
                <w:rFonts w:hAnsi="宋体"/>
                <w:color w:val="auto"/>
                <w:highlight w:val="none"/>
              </w:rPr>
            </w:pPr>
          </w:p>
        </w:tc>
        <w:tc>
          <w:tcPr>
            <w:tcW w:w="892" w:type="dxa"/>
            <w:vAlign w:val="center"/>
          </w:tcPr>
          <w:p w14:paraId="576BAB04">
            <w:pPr>
              <w:adjustRightInd w:val="0"/>
              <w:snapToGrid w:val="0"/>
              <w:jc w:val="both"/>
              <w:rPr>
                <w:rFonts w:hAnsi="宋体"/>
                <w:color w:val="auto"/>
                <w:highlight w:val="none"/>
              </w:rPr>
            </w:pPr>
          </w:p>
        </w:tc>
        <w:tc>
          <w:tcPr>
            <w:tcW w:w="1253" w:type="dxa"/>
            <w:vAlign w:val="center"/>
          </w:tcPr>
          <w:p w14:paraId="31E6978A">
            <w:pPr>
              <w:adjustRightInd w:val="0"/>
              <w:snapToGrid w:val="0"/>
              <w:jc w:val="both"/>
              <w:rPr>
                <w:rFonts w:hAnsi="宋体"/>
                <w:color w:val="auto"/>
                <w:highlight w:val="none"/>
              </w:rPr>
            </w:pPr>
          </w:p>
        </w:tc>
        <w:tc>
          <w:tcPr>
            <w:tcW w:w="1275" w:type="dxa"/>
            <w:vAlign w:val="center"/>
          </w:tcPr>
          <w:p w14:paraId="6B82F77B">
            <w:pPr>
              <w:adjustRightInd w:val="0"/>
              <w:snapToGrid w:val="0"/>
              <w:jc w:val="both"/>
              <w:rPr>
                <w:rFonts w:hAnsi="宋体"/>
                <w:color w:val="auto"/>
                <w:highlight w:val="none"/>
              </w:rPr>
            </w:pPr>
          </w:p>
        </w:tc>
      </w:tr>
      <w:tr w14:paraId="16C4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14:paraId="4786476B">
            <w:pPr>
              <w:adjustRightInd w:val="0"/>
              <w:snapToGrid w:val="0"/>
              <w:jc w:val="both"/>
              <w:rPr>
                <w:rFonts w:hAnsi="宋体"/>
                <w:color w:val="auto"/>
                <w:highlight w:val="none"/>
              </w:rPr>
            </w:pPr>
            <w:r>
              <w:rPr>
                <w:rFonts w:hint="eastAsia" w:hAnsi="宋体"/>
                <w:color w:val="auto"/>
                <w:highlight w:val="none"/>
              </w:rPr>
              <w:t>……</w:t>
            </w:r>
          </w:p>
        </w:tc>
        <w:tc>
          <w:tcPr>
            <w:tcW w:w="1207" w:type="dxa"/>
            <w:vAlign w:val="center"/>
          </w:tcPr>
          <w:p w14:paraId="6F9587F6">
            <w:pPr>
              <w:adjustRightInd w:val="0"/>
              <w:snapToGrid w:val="0"/>
              <w:jc w:val="both"/>
              <w:rPr>
                <w:rFonts w:hAnsi="宋体"/>
                <w:color w:val="auto"/>
                <w:highlight w:val="none"/>
              </w:rPr>
            </w:pPr>
          </w:p>
        </w:tc>
        <w:tc>
          <w:tcPr>
            <w:tcW w:w="1134" w:type="dxa"/>
            <w:vAlign w:val="center"/>
          </w:tcPr>
          <w:p w14:paraId="4C7D3121">
            <w:pPr>
              <w:adjustRightInd w:val="0"/>
              <w:snapToGrid w:val="0"/>
              <w:jc w:val="both"/>
              <w:rPr>
                <w:rFonts w:hAnsi="宋体"/>
                <w:color w:val="auto"/>
                <w:highlight w:val="none"/>
              </w:rPr>
            </w:pPr>
          </w:p>
        </w:tc>
        <w:tc>
          <w:tcPr>
            <w:tcW w:w="1207" w:type="dxa"/>
            <w:vAlign w:val="center"/>
          </w:tcPr>
          <w:p w14:paraId="39AC967B">
            <w:pPr>
              <w:adjustRightInd w:val="0"/>
              <w:snapToGrid w:val="0"/>
              <w:jc w:val="both"/>
              <w:rPr>
                <w:rFonts w:hAnsi="宋体"/>
                <w:color w:val="auto"/>
                <w:highlight w:val="none"/>
              </w:rPr>
            </w:pPr>
          </w:p>
        </w:tc>
        <w:tc>
          <w:tcPr>
            <w:tcW w:w="1134" w:type="dxa"/>
            <w:vAlign w:val="center"/>
          </w:tcPr>
          <w:p w14:paraId="731AE26D">
            <w:pPr>
              <w:adjustRightInd w:val="0"/>
              <w:snapToGrid w:val="0"/>
              <w:jc w:val="both"/>
              <w:rPr>
                <w:rFonts w:hAnsi="宋体"/>
                <w:color w:val="auto"/>
                <w:highlight w:val="none"/>
              </w:rPr>
            </w:pPr>
          </w:p>
        </w:tc>
        <w:tc>
          <w:tcPr>
            <w:tcW w:w="760" w:type="dxa"/>
            <w:vAlign w:val="center"/>
          </w:tcPr>
          <w:p w14:paraId="0330F089">
            <w:pPr>
              <w:adjustRightInd w:val="0"/>
              <w:snapToGrid w:val="0"/>
              <w:jc w:val="both"/>
              <w:rPr>
                <w:rFonts w:hAnsi="宋体"/>
                <w:color w:val="auto"/>
                <w:highlight w:val="none"/>
              </w:rPr>
            </w:pPr>
          </w:p>
        </w:tc>
        <w:tc>
          <w:tcPr>
            <w:tcW w:w="892" w:type="dxa"/>
            <w:vAlign w:val="center"/>
          </w:tcPr>
          <w:p w14:paraId="391E599C">
            <w:pPr>
              <w:adjustRightInd w:val="0"/>
              <w:snapToGrid w:val="0"/>
              <w:jc w:val="both"/>
              <w:rPr>
                <w:rFonts w:hAnsi="宋体"/>
                <w:color w:val="auto"/>
                <w:highlight w:val="none"/>
              </w:rPr>
            </w:pPr>
          </w:p>
        </w:tc>
        <w:tc>
          <w:tcPr>
            <w:tcW w:w="1253" w:type="dxa"/>
            <w:vAlign w:val="center"/>
          </w:tcPr>
          <w:p w14:paraId="1D86D103">
            <w:pPr>
              <w:adjustRightInd w:val="0"/>
              <w:snapToGrid w:val="0"/>
              <w:jc w:val="both"/>
              <w:rPr>
                <w:rFonts w:hAnsi="宋体"/>
                <w:color w:val="auto"/>
                <w:highlight w:val="none"/>
              </w:rPr>
            </w:pPr>
          </w:p>
        </w:tc>
        <w:tc>
          <w:tcPr>
            <w:tcW w:w="1275" w:type="dxa"/>
            <w:vAlign w:val="center"/>
          </w:tcPr>
          <w:p w14:paraId="6A76EB87">
            <w:pPr>
              <w:adjustRightInd w:val="0"/>
              <w:snapToGrid w:val="0"/>
              <w:jc w:val="both"/>
              <w:rPr>
                <w:rFonts w:hAnsi="宋体"/>
                <w:color w:val="auto"/>
                <w:highlight w:val="none"/>
              </w:rPr>
            </w:pPr>
          </w:p>
        </w:tc>
      </w:tr>
      <w:tr w14:paraId="1C5C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14:paraId="3AF85399">
            <w:pPr>
              <w:adjustRightInd w:val="0"/>
              <w:snapToGrid w:val="0"/>
              <w:jc w:val="both"/>
              <w:rPr>
                <w:rFonts w:hAnsi="宋体"/>
                <w:color w:val="auto"/>
                <w:highlight w:val="none"/>
              </w:rPr>
            </w:pPr>
            <w:r>
              <w:rPr>
                <w:rFonts w:hint="eastAsia" w:hAnsi="宋体"/>
                <w:color w:val="auto"/>
                <w:highlight w:val="none"/>
              </w:rPr>
              <w:t>N</w:t>
            </w:r>
          </w:p>
        </w:tc>
        <w:tc>
          <w:tcPr>
            <w:tcW w:w="1207" w:type="dxa"/>
            <w:vAlign w:val="center"/>
          </w:tcPr>
          <w:p w14:paraId="749D215A">
            <w:pPr>
              <w:adjustRightInd w:val="0"/>
              <w:snapToGrid w:val="0"/>
              <w:jc w:val="both"/>
              <w:rPr>
                <w:rFonts w:hAnsi="宋体"/>
                <w:color w:val="auto"/>
                <w:highlight w:val="none"/>
              </w:rPr>
            </w:pPr>
          </w:p>
        </w:tc>
        <w:tc>
          <w:tcPr>
            <w:tcW w:w="1134" w:type="dxa"/>
            <w:vAlign w:val="center"/>
          </w:tcPr>
          <w:p w14:paraId="36B5C2BB">
            <w:pPr>
              <w:adjustRightInd w:val="0"/>
              <w:snapToGrid w:val="0"/>
              <w:jc w:val="both"/>
              <w:rPr>
                <w:rFonts w:hAnsi="宋体"/>
                <w:color w:val="auto"/>
                <w:highlight w:val="none"/>
              </w:rPr>
            </w:pPr>
          </w:p>
        </w:tc>
        <w:tc>
          <w:tcPr>
            <w:tcW w:w="1207" w:type="dxa"/>
            <w:vAlign w:val="center"/>
          </w:tcPr>
          <w:p w14:paraId="16E65A74">
            <w:pPr>
              <w:adjustRightInd w:val="0"/>
              <w:snapToGrid w:val="0"/>
              <w:jc w:val="both"/>
              <w:rPr>
                <w:rFonts w:hAnsi="宋体"/>
                <w:color w:val="auto"/>
                <w:highlight w:val="none"/>
              </w:rPr>
            </w:pPr>
          </w:p>
        </w:tc>
        <w:tc>
          <w:tcPr>
            <w:tcW w:w="1134" w:type="dxa"/>
            <w:vAlign w:val="center"/>
          </w:tcPr>
          <w:p w14:paraId="50418607">
            <w:pPr>
              <w:adjustRightInd w:val="0"/>
              <w:snapToGrid w:val="0"/>
              <w:jc w:val="both"/>
              <w:rPr>
                <w:rFonts w:hAnsi="宋体"/>
                <w:color w:val="auto"/>
                <w:highlight w:val="none"/>
              </w:rPr>
            </w:pPr>
          </w:p>
        </w:tc>
        <w:tc>
          <w:tcPr>
            <w:tcW w:w="760" w:type="dxa"/>
            <w:vAlign w:val="center"/>
          </w:tcPr>
          <w:p w14:paraId="26A4CD07">
            <w:pPr>
              <w:adjustRightInd w:val="0"/>
              <w:snapToGrid w:val="0"/>
              <w:jc w:val="both"/>
              <w:rPr>
                <w:rFonts w:hAnsi="宋体"/>
                <w:color w:val="auto"/>
                <w:highlight w:val="none"/>
              </w:rPr>
            </w:pPr>
          </w:p>
        </w:tc>
        <w:tc>
          <w:tcPr>
            <w:tcW w:w="892" w:type="dxa"/>
            <w:vAlign w:val="center"/>
          </w:tcPr>
          <w:p w14:paraId="2F639DA8">
            <w:pPr>
              <w:adjustRightInd w:val="0"/>
              <w:snapToGrid w:val="0"/>
              <w:jc w:val="both"/>
              <w:rPr>
                <w:rFonts w:hAnsi="宋体"/>
                <w:color w:val="auto"/>
                <w:highlight w:val="none"/>
              </w:rPr>
            </w:pPr>
          </w:p>
        </w:tc>
        <w:tc>
          <w:tcPr>
            <w:tcW w:w="1253" w:type="dxa"/>
            <w:vAlign w:val="center"/>
          </w:tcPr>
          <w:p w14:paraId="7B086F4E">
            <w:pPr>
              <w:adjustRightInd w:val="0"/>
              <w:snapToGrid w:val="0"/>
              <w:jc w:val="both"/>
              <w:rPr>
                <w:rFonts w:hAnsi="宋体"/>
                <w:color w:val="auto"/>
                <w:highlight w:val="none"/>
              </w:rPr>
            </w:pPr>
          </w:p>
        </w:tc>
        <w:tc>
          <w:tcPr>
            <w:tcW w:w="1275" w:type="dxa"/>
            <w:vAlign w:val="center"/>
          </w:tcPr>
          <w:p w14:paraId="67E5B249">
            <w:pPr>
              <w:adjustRightInd w:val="0"/>
              <w:snapToGrid w:val="0"/>
              <w:jc w:val="both"/>
              <w:rPr>
                <w:rFonts w:hAnsi="宋体"/>
                <w:color w:val="auto"/>
                <w:highlight w:val="none"/>
              </w:rPr>
            </w:pPr>
          </w:p>
        </w:tc>
      </w:tr>
      <w:tr w14:paraId="2C1E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498" w:type="dxa"/>
            <w:gridSpan w:val="9"/>
            <w:vAlign w:val="center"/>
          </w:tcPr>
          <w:p w14:paraId="1C6C73FA">
            <w:pPr>
              <w:adjustRightInd w:val="0"/>
              <w:snapToGrid w:val="0"/>
              <w:jc w:val="both"/>
              <w:rPr>
                <w:rFonts w:hAnsi="宋体"/>
                <w:color w:val="auto"/>
                <w:highlight w:val="none"/>
              </w:rPr>
            </w:pPr>
            <w:r>
              <w:rPr>
                <w:rFonts w:hint="eastAsia" w:hAnsi="宋体"/>
                <w:color w:val="auto"/>
                <w:highlight w:val="none"/>
              </w:rPr>
              <w:t>中标总折扣率：</w:t>
            </w:r>
            <w:r>
              <w:rPr>
                <w:rFonts w:hint="eastAsia" w:ascii="Arial" w:hAnsi="Arial" w:cs="Arial"/>
                <w:b/>
                <w:bCs/>
                <w:color w:val="auto"/>
                <w:szCs w:val="21"/>
                <w:highlight w:val="none"/>
                <w:u w:val="single"/>
              </w:rPr>
              <w:t xml:space="preserve">     </w:t>
            </w:r>
            <w:r>
              <w:rPr>
                <w:rFonts w:hint="eastAsia" w:ascii="Arial" w:hAnsi="Arial" w:cs="Arial"/>
                <w:b/>
                <w:bCs/>
                <w:color w:val="auto"/>
                <w:szCs w:val="21"/>
                <w:highlight w:val="none"/>
              </w:rPr>
              <w:t>%</w:t>
            </w:r>
          </w:p>
        </w:tc>
      </w:tr>
    </w:tbl>
    <w:p w14:paraId="6C3680F7">
      <w:pPr>
        <w:adjustRightInd w:val="0"/>
        <w:snapToGrid w:val="0"/>
        <w:ind w:firstLine="420" w:firstLineChars="200"/>
        <w:jc w:val="both"/>
        <w:rPr>
          <w:rFonts w:hAnsi="宋体"/>
          <w:color w:val="auto"/>
          <w:highlight w:val="none"/>
        </w:rPr>
      </w:pPr>
      <w:r>
        <w:rPr>
          <w:rFonts w:hint="eastAsia" w:hAnsi="宋体"/>
          <w:color w:val="auto"/>
          <w:highlight w:val="none"/>
        </w:rPr>
        <w:t>2.合同合计金额包括货物价款，备件、专用工具、安装、调试、检验、技术培训及技术资料和包装、运输等全部费用。如招标、投标文件对其另有规定的，从其规定。</w:t>
      </w:r>
    </w:p>
    <w:p w14:paraId="19B6D43D">
      <w:pPr>
        <w:adjustRightInd w:val="0"/>
        <w:snapToGrid w:val="0"/>
        <w:ind w:firstLine="422" w:firstLineChars="200"/>
        <w:jc w:val="both"/>
        <w:rPr>
          <w:rFonts w:hAnsi="宋体"/>
          <w:color w:val="auto"/>
          <w:highlight w:val="none"/>
        </w:rPr>
      </w:pPr>
      <w:r>
        <w:rPr>
          <w:rFonts w:hint="eastAsia" w:hAnsi="宋体"/>
          <w:b/>
          <w:color w:val="auto"/>
          <w:highlight w:val="none"/>
        </w:rPr>
        <w:t>第二条　质量保证</w:t>
      </w:r>
    </w:p>
    <w:p w14:paraId="152DC87B">
      <w:pPr>
        <w:adjustRightInd w:val="0"/>
        <w:snapToGrid w:val="0"/>
        <w:ind w:firstLine="420" w:firstLineChars="200"/>
        <w:jc w:val="both"/>
        <w:rPr>
          <w:rFonts w:hAnsi="宋体"/>
          <w:color w:val="auto"/>
          <w:highlight w:val="none"/>
        </w:rPr>
      </w:pPr>
      <w:r>
        <w:rPr>
          <w:rFonts w:hint="eastAsia" w:hAnsi="宋体"/>
          <w:color w:val="auto"/>
          <w:highlight w:val="none"/>
        </w:rPr>
        <w:t>1.乙方所提供的货物型号、技术规格、技术参数等质量必须与招标、投标文件和承诺相一致。乙方提供的节能和环保产品必须是列入政府采购清单的产品。</w:t>
      </w:r>
    </w:p>
    <w:p w14:paraId="74A6F66A">
      <w:pPr>
        <w:adjustRightInd w:val="0"/>
        <w:snapToGrid w:val="0"/>
        <w:ind w:firstLine="420" w:firstLineChars="200"/>
        <w:jc w:val="both"/>
        <w:rPr>
          <w:rFonts w:hAnsi="宋体"/>
          <w:color w:val="auto"/>
          <w:highlight w:val="none"/>
          <w:u w:val="single"/>
        </w:rPr>
      </w:pPr>
      <w:r>
        <w:rPr>
          <w:rFonts w:hint="eastAsia" w:hAnsi="宋体"/>
          <w:color w:val="auto"/>
          <w:highlight w:val="none"/>
        </w:rPr>
        <w:t>2.乙方所提供的货物必须是全新、未使用的原装产品，且在正常安装、使用和保养条件下，其使用寿命期内各项指标均达到质量要求。</w:t>
      </w:r>
    </w:p>
    <w:p w14:paraId="57CDC855">
      <w:pPr>
        <w:adjustRightInd w:val="0"/>
        <w:snapToGrid w:val="0"/>
        <w:ind w:firstLine="422" w:firstLineChars="200"/>
        <w:jc w:val="both"/>
        <w:rPr>
          <w:rFonts w:hAnsi="宋体"/>
          <w:color w:val="auto"/>
          <w:highlight w:val="none"/>
        </w:rPr>
      </w:pPr>
      <w:r>
        <w:rPr>
          <w:rFonts w:hint="eastAsia" w:hAnsi="宋体"/>
          <w:b/>
          <w:color w:val="auto"/>
          <w:highlight w:val="none"/>
        </w:rPr>
        <w:t>第三条　权利保证</w:t>
      </w:r>
    </w:p>
    <w:p w14:paraId="41ACB88E">
      <w:pPr>
        <w:adjustRightInd w:val="0"/>
        <w:snapToGrid w:val="0"/>
        <w:ind w:firstLine="420" w:firstLineChars="200"/>
        <w:jc w:val="both"/>
        <w:rPr>
          <w:rFonts w:hAnsi="宋体"/>
          <w:color w:val="auto"/>
          <w:highlight w:val="none"/>
        </w:rPr>
      </w:pPr>
      <w:r>
        <w:rPr>
          <w:rFonts w:hint="eastAsia" w:hAnsi="宋体"/>
          <w:color w:val="auto"/>
          <w:highlight w:val="none"/>
        </w:rPr>
        <w:t>1.乙方应保证所提供货物在使用时不会侵犯任何第三方的专利权、商标权、工业设计权或其他权利。</w:t>
      </w:r>
    </w:p>
    <w:p w14:paraId="4C331CD6">
      <w:pPr>
        <w:adjustRightInd w:val="0"/>
        <w:snapToGrid w:val="0"/>
        <w:ind w:firstLine="420" w:firstLineChars="200"/>
        <w:jc w:val="both"/>
        <w:rPr>
          <w:rFonts w:hAnsi="宋体"/>
          <w:color w:val="auto"/>
          <w:highlight w:val="none"/>
        </w:rPr>
      </w:pPr>
      <w:r>
        <w:rPr>
          <w:rFonts w:hint="eastAsia" w:hAnsi="宋体"/>
          <w:color w:val="auto"/>
          <w:highlight w:val="none"/>
        </w:rPr>
        <w:t>2.乙方应按招标文件规定的时间向甲方提供使用货物的有关技术资料。</w:t>
      </w:r>
    </w:p>
    <w:p w14:paraId="3703EF8E">
      <w:pPr>
        <w:adjustRightInd w:val="0"/>
        <w:snapToGrid w:val="0"/>
        <w:ind w:firstLine="420" w:firstLineChars="200"/>
        <w:jc w:val="both"/>
        <w:rPr>
          <w:rFonts w:hAnsi="宋体"/>
          <w:color w:val="auto"/>
          <w:highlight w:val="none"/>
        </w:rPr>
      </w:pPr>
      <w:r>
        <w:rPr>
          <w:rFonts w:hint="eastAsia" w:hAnsi="宋体"/>
          <w:color w:val="auto"/>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FADA163">
      <w:pPr>
        <w:adjustRightInd w:val="0"/>
        <w:snapToGrid w:val="0"/>
        <w:ind w:firstLine="420" w:firstLineChars="200"/>
        <w:jc w:val="both"/>
        <w:rPr>
          <w:rFonts w:hAnsi="宋体"/>
          <w:color w:val="auto"/>
          <w:highlight w:val="none"/>
        </w:rPr>
      </w:pPr>
      <w:r>
        <w:rPr>
          <w:rFonts w:hint="eastAsia" w:hAnsi="宋体"/>
          <w:color w:val="auto"/>
          <w:highlight w:val="none"/>
        </w:rPr>
        <w:t>4.乙方保证所交付的货物的所有权完全属于乙方且无任何抵押、查封等产权瑕疵。</w:t>
      </w:r>
    </w:p>
    <w:p w14:paraId="738258A5">
      <w:pPr>
        <w:adjustRightInd w:val="0"/>
        <w:snapToGrid w:val="0"/>
        <w:ind w:firstLine="422" w:firstLineChars="200"/>
        <w:jc w:val="both"/>
        <w:rPr>
          <w:rFonts w:hAnsi="宋体"/>
          <w:b/>
          <w:color w:val="auto"/>
          <w:highlight w:val="none"/>
        </w:rPr>
      </w:pPr>
      <w:r>
        <w:rPr>
          <w:rFonts w:hint="eastAsia" w:hAnsi="宋体"/>
          <w:b/>
          <w:color w:val="auto"/>
          <w:highlight w:val="none"/>
        </w:rPr>
        <w:t>第四条　包装和运输</w:t>
      </w:r>
    </w:p>
    <w:p w14:paraId="46FE947E">
      <w:pPr>
        <w:adjustRightInd w:val="0"/>
        <w:snapToGrid w:val="0"/>
        <w:ind w:firstLine="420" w:firstLineChars="200"/>
        <w:jc w:val="both"/>
        <w:rPr>
          <w:rFonts w:hAnsi="宋体"/>
          <w:color w:val="auto"/>
          <w:highlight w:val="none"/>
        </w:rPr>
      </w:pPr>
      <w:r>
        <w:rPr>
          <w:rFonts w:hint="eastAsia" w:hAnsi="宋体"/>
          <w:color w:val="auto"/>
          <w:highlight w:val="none"/>
        </w:rPr>
        <w:t>1.乙方提供的货物均应按招标、投标文件要求的包装材料、包装标准、包装方式进行包装，每一包装单元内应附详细的装箱单和质量合格证。</w:t>
      </w:r>
    </w:p>
    <w:p w14:paraId="294BE88A">
      <w:pPr>
        <w:adjustRightInd w:val="0"/>
        <w:snapToGrid w:val="0"/>
        <w:ind w:firstLine="420" w:firstLineChars="200"/>
        <w:jc w:val="both"/>
        <w:rPr>
          <w:rFonts w:hAnsi="宋体"/>
          <w:color w:val="auto"/>
          <w:highlight w:val="none"/>
        </w:rPr>
      </w:pPr>
      <w:r>
        <w:rPr>
          <w:rFonts w:hint="eastAsia" w:hAnsi="宋体"/>
          <w:color w:val="auto"/>
          <w:highlight w:val="none"/>
        </w:rPr>
        <w:t>2.货物的运输方式：</w:t>
      </w:r>
      <w:r>
        <w:rPr>
          <w:rFonts w:hint="eastAsia" w:hAnsi="宋体"/>
          <w:color w:val="auto"/>
          <w:highlight w:val="none"/>
          <w:u w:val="single"/>
        </w:rPr>
        <w:t>不限</w:t>
      </w:r>
      <w:r>
        <w:rPr>
          <w:rFonts w:hint="eastAsia" w:hAnsi="宋体"/>
          <w:color w:val="auto"/>
          <w:highlight w:val="none"/>
        </w:rPr>
        <w:t>。</w:t>
      </w:r>
    </w:p>
    <w:p w14:paraId="7E409B99">
      <w:pPr>
        <w:adjustRightInd w:val="0"/>
        <w:snapToGrid w:val="0"/>
        <w:ind w:firstLine="420" w:firstLineChars="200"/>
        <w:jc w:val="both"/>
        <w:rPr>
          <w:rFonts w:hAnsi="宋体"/>
          <w:color w:val="auto"/>
          <w:highlight w:val="none"/>
          <w:u w:val="single"/>
        </w:rPr>
      </w:pPr>
      <w:r>
        <w:rPr>
          <w:rFonts w:hint="eastAsia" w:hAnsi="宋体"/>
          <w:color w:val="auto"/>
          <w:highlight w:val="none"/>
        </w:rPr>
        <w:t>3.乙方负责货物运输，货物运输合理损耗及计算方法：</w:t>
      </w:r>
      <w:r>
        <w:rPr>
          <w:rFonts w:hint="eastAsia" w:hAnsi="宋体"/>
          <w:color w:val="auto"/>
          <w:highlight w:val="none"/>
          <w:u w:val="single"/>
        </w:rPr>
        <w:t>本合同货物不接受损耗</w:t>
      </w:r>
      <w:r>
        <w:rPr>
          <w:rFonts w:hint="eastAsia" w:hAnsi="宋体"/>
          <w:color w:val="auto"/>
          <w:highlight w:val="none"/>
        </w:rPr>
        <w:t>。</w:t>
      </w:r>
    </w:p>
    <w:p w14:paraId="64C7A846">
      <w:pPr>
        <w:adjustRightInd w:val="0"/>
        <w:snapToGrid w:val="0"/>
        <w:ind w:firstLine="422" w:firstLineChars="200"/>
        <w:jc w:val="both"/>
        <w:rPr>
          <w:rFonts w:hAnsi="宋体"/>
          <w:color w:val="auto"/>
          <w:highlight w:val="none"/>
        </w:rPr>
      </w:pPr>
      <w:r>
        <w:rPr>
          <w:rFonts w:hint="eastAsia" w:hAnsi="宋体"/>
          <w:b/>
          <w:color w:val="auto"/>
          <w:highlight w:val="none"/>
        </w:rPr>
        <w:t>第五条　交付及地点</w:t>
      </w:r>
    </w:p>
    <w:p w14:paraId="3745143B">
      <w:pPr>
        <w:adjustRightInd w:val="0"/>
        <w:snapToGrid w:val="0"/>
        <w:ind w:firstLine="420" w:firstLineChars="200"/>
        <w:jc w:val="both"/>
        <w:rPr>
          <w:rFonts w:hAnsi="宋体"/>
          <w:color w:val="auto"/>
          <w:highlight w:val="none"/>
        </w:rPr>
      </w:pPr>
      <w:r>
        <w:rPr>
          <w:rFonts w:hint="eastAsia" w:hAnsi="宋体"/>
          <w:color w:val="auto"/>
          <w:highlight w:val="none"/>
        </w:rPr>
        <w:t>1.交付时间：乙方须按每批次采购计划的型号、规格、数量于</w:t>
      </w:r>
      <w:r>
        <w:rPr>
          <w:rFonts w:hint="eastAsia" w:hAnsi="宋体"/>
          <w:color w:val="auto"/>
          <w:highlight w:val="none"/>
          <w:u w:val="single"/>
        </w:rPr>
        <w:t xml:space="preserve">   </w:t>
      </w:r>
      <w:r>
        <w:rPr>
          <w:rFonts w:hint="eastAsia" w:hAnsi="宋体"/>
          <w:color w:val="auto"/>
          <w:highlight w:val="none"/>
        </w:rPr>
        <w:t>内将货物运送到甲方指定的地点、地点：</w:t>
      </w:r>
      <w:r>
        <w:rPr>
          <w:rFonts w:hint="eastAsia" w:hAnsi="宋体"/>
          <w:color w:val="auto"/>
          <w:highlight w:val="none"/>
          <w:u w:val="single"/>
        </w:rPr>
        <w:t>柳州市甲方指定地点</w:t>
      </w:r>
      <w:r>
        <w:rPr>
          <w:rFonts w:hint="eastAsia" w:hAnsi="宋体"/>
          <w:color w:val="auto"/>
          <w:highlight w:val="none"/>
        </w:rPr>
        <w:t>。</w:t>
      </w:r>
    </w:p>
    <w:p w14:paraId="0107F95D">
      <w:pPr>
        <w:adjustRightInd w:val="0"/>
        <w:snapToGrid w:val="0"/>
        <w:ind w:firstLine="420" w:firstLineChars="200"/>
        <w:jc w:val="both"/>
        <w:rPr>
          <w:rFonts w:hAnsi="宋体"/>
          <w:color w:val="auto"/>
          <w:highlight w:val="none"/>
        </w:rPr>
      </w:pPr>
      <w:r>
        <w:rPr>
          <w:rFonts w:hint="eastAsia" w:hAnsi="宋体"/>
          <w:color w:val="auto"/>
          <w:highlight w:val="none"/>
        </w:rPr>
        <w:t>2.乙方提供不符合招标、投标文件和本合同规定的货物，甲方有权拒绝</w:t>
      </w:r>
      <w:r>
        <w:rPr>
          <w:rFonts w:hint="eastAsia" w:hAnsi="宋体"/>
          <w:color w:val="auto"/>
          <w:highlight w:val="none"/>
          <w:lang w:eastAsia="zh-CN"/>
        </w:rPr>
        <w:t>接收</w:t>
      </w:r>
      <w:r>
        <w:rPr>
          <w:rFonts w:hint="eastAsia" w:hAnsi="宋体"/>
          <w:color w:val="auto"/>
          <w:highlight w:val="none"/>
        </w:rPr>
        <w:t>。</w:t>
      </w:r>
    </w:p>
    <w:p w14:paraId="10FBB796">
      <w:pPr>
        <w:adjustRightInd w:val="0"/>
        <w:snapToGrid w:val="0"/>
        <w:ind w:firstLine="420" w:firstLineChars="200"/>
        <w:jc w:val="both"/>
        <w:rPr>
          <w:rFonts w:hAnsi="宋体"/>
          <w:color w:val="auto"/>
          <w:highlight w:val="none"/>
        </w:rPr>
      </w:pPr>
      <w:r>
        <w:rPr>
          <w:rFonts w:hint="eastAsia" w:hAnsi="宋体"/>
          <w:color w:val="auto"/>
          <w:highlight w:val="none"/>
        </w:rPr>
        <w:t>3.乙方应将所提供货物的装箱清单、用户手册、原厂保修卡、随机资料、工具和备品、备件等交付给甲方，如有缺失应及时补齐，否则视为逾期交货。</w:t>
      </w:r>
    </w:p>
    <w:p w14:paraId="6A03140E">
      <w:pPr>
        <w:adjustRightInd w:val="0"/>
        <w:snapToGrid w:val="0"/>
        <w:ind w:firstLine="422" w:firstLineChars="200"/>
        <w:jc w:val="both"/>
        <w:rPr>
          <w:rFonts w:hAnsi="宋体"/>
          <w:b/>
          <w:color w:val="auto"/>
          <w:highlight w:val="none"/>
        </w:rPr>
      </w:pPr>
      <w:r>
        <w:rPr>
          <w:rFonts w:hint="eastAsia" w:hAnsi="宋体"/>
          <w:b/>
          <w:color w:val="auto"/>
          <w:highlight w:val="none"/>
        </w:rPr>
        <w:t>第六条　安装和培训</w:t>
      </w:r>
    </w:p>
    <w:p w14:paraId="64A48A39">
      <w:pPr>
        <w:adjustRightInd w:val="0"/>
        <w:snapToGrid w:val="0"/>
        <w:ind w:firstLine="420" w:firstLineChars="200"/>
        <w:jc w:val="both"/>
        <w:rPr>
          <w:rFonts w:hAnsi="宋体"/>
          <w:color w:val="auto"/>
          <w:highlight w:val="none"/>
        </w:rPr>
      </w:pPr>
      <w:r>
        <w:rPr>
          <w:rFonts w:hint="eastAsia" w:hAnsi="宋体"/>
          <w:color w:val="auto"/>
          <w:highlight w:val="none"/>
        </w:rPr>
        <w:t>1.甲方应提供必要安装条件（如场地、电源、水源等）。</w:t>
      </w:r>
    </w:p>
    <w:p w14:paraId="0875E65E">
      <w:pPr>
        <w:adjustRightInd w:val="0"/>
        <w:snapToGrid w:val="0"/>
        <w:ind w:firstLine="420" w:firstLineChars="200"/>
        <w:jc w:val="both"/>
        <w:rPr>
          <w:rFonts w:hAnsi="宋体"/>
          <w:color w:val="auto"/>
          <w:highlight w:val="none"/>
          <w:u w:val="single"/>
        </w:rPr>
      </w:pPr>
      <w:r>
        <w:rPr>
          <w:rFonts w:hint="eastAsia" w:hAnsi="宋体"/>
          <w:color w:val="auto"/>
          <w:highlight w:val="none"/>
        </w:rPr>
        <w:t>2.乙方负责甲方有关人员的培训。培训时间、地点：</w:t>
      </w:r>
      <w:r>
        <w:rPr>
          <w:rFonts w:hint="eastAsia" w:hAnsi="宋体"/>
          <w:color w:val="auto"/>
          <w:highlight w:val="none"/>
          <w:u w:val="single"/>
        </w:rPr>
        <w:t>甲方指定</w:t>
      </w:r>
      <w:r>
        <w:rPr>
          <w:rFonts w:hint="eastAsia" w:hAnsi="宋体"/>
          <w:color w:val="auto"/>
          <w:highlight w:val="none"/>
        </w:rPr>
        <w:t>。</w:t>
      </w:r>
    </w:p>
    <w:p w14:paraId="490AD842">
      <w:pPr>
        <w:adjustRightInd w:val="0"/>
        <w:snapToGrid w:val="0"/>
        <w:ind w:firstLine="422" w:firstLineChars="200"/>
        <w:jc w:val="both"/>
        <w:rPr>
          <w:rFonts w:hAnsi="宋体"/>
          <w:b/>
          <w:color w:val="auto"/>
          <w:highlight w:val="none"/>
        </w:rPr>
      </w:pPr>
      <w:r>
        <w:rPr>
          <w:rFonts w:hint="eastAsia" w:hAnsi="宋体"/>
          <w:b/>
          <w:color w:val="auto"/>
          <w:highlight w:val="none"/>
        </w:rPr>
        <w:t>第七条  售后服务</w:t>
      </w:r>
    </w:p>
    <w:p w14:paraId="368030EE">
      <w:pPr>
        <w:adjustRightInd w:val="0"/>
        <w:snapToGrid w:val="0"/>
        <w:ind w:firstLine="420" w:firstLineChars="200"/>
        <w:jc w:val="both"/>
        <w:rPr>
          <w:rFonts w:hAnsi="宋体"/>
          <w:color w:val="auto"/>
          <w:highlight w:val="none"/>
        </w:rPr>
      </w:pPr>
      <w:r>
        <w:rPr>
          <w:rFonts w:hint="eastAsia" w:hAnsi="宋体"/>
          <w:color w:val="auto"/>
          <w:highlight w:val="none"/>
        </w:rPr>
        <w:t>1.乙方应按照国家有关法律法规和“三包”规定以及招标、投标文件和本合同所附的“售后服务方案及承诺书”，为甲方提供售后服务。</w:t>
      </w:r>
    </w:p>
    <w:p w14:paraId="65B971D5">
      <w:pPr>
        <w:adjustRightInd w:val="0"/>
        <w:snapToGrid w:val="0"/>
        <w:ind w:firstLine="420" w:firstLineChars="200"/>
        <w:rPr>
          <w:rFonts w:hAnsi="宋体"/>
          <w:color w:val="auto"/>
          <w:highlight w:val="none"/>
          <w:u w:val="single"/>
        </w:rPr>
      </w:pPr>
      <w:r>
        <w:rPr>
          <w:rFonts w:hint="eastAsia" w:hAnsi="宋体"/>
          <w:color w:val="auto"/>
          <w:highlight w:val="none"/>
        </w:rPr>
        <w:t>2.货物质保期：</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w:t>
      </w:r>
    </w:p>
    <w:p w14:paraId="12266E98">
      <w:pPr>
        <w:adjustRightInd w:val="0"/>
        <w:snapToGrid w:val="0"/>
        <w:ind w:firstLine="420" w:firstLineChars="200"/>
        <w:jc w:val="both"/>
        <w:rPr>
          <w:rFonts w:hAnsi="宋体"/>
          <w:color w:val="auto"/>
          <w:highlight w:val="none"/>
          <w:u w:val="single"/>
        </w:rPr>
      </w:pPr>
      <w:r>
        <w:rPr>
          <w:rFonts w:hint="eastAsia" w:hAnsi="宋体"/>
          <w:color w:val="auto"/>
          <w:highlight w:val="none"/>
        </w:rPr>
        <w:t>3.乙方提供的服务承诺和售后服务及质保期责任等</w:t>
      </w:r>
      <w:r>
        <w:rPr>
          <w:rFonts w:hint="eastAsia" w:hAnsi="宋体"/>
          <w:color w:val="auto"/>
          <w:highlight w:val="none"/>
          <w:lang w:eastAsia="zh-CN"/>
        </w:rPr>
        <w:t>其他</w:t>
      </w:r>
      <w:r>
        <w:rPr>
          <w:rFonts w:hint="eastAsia" w:hAnsi="宋体"/>
          <w:color w:val="auto"/>
          <w:highlight w:val="none"/>
        </w:rPr>
        <w:t>具体约定事项。（见合同附件）</w:t>
      </w:r>
    </w:p>
    <w:p w14:paraId="4E34EAA8">
      <w:pPr>
        <w:adjustRightInd w:val="0"/>
        <w:snapToGrid w:val="0"/>
        <w:ind w:firstLine="422" w:firstLineChars="200"/>
        <w:jc w:val="both"/>
        <w:rPr>
          <w:rFonts w:hAnsi="宋体"/>
          <w:color w:val="auto"/>
          <w:highlight w:val="none"/>
        </w:rPr>
      </w:pPr>
      <w:r>
        <w:rPr>
          <w:rFonts w:hint="eastAsia" w:hAnsi="宋体"/>
          <w:b/>
          <w:color w:val="auto"/>
          <w:highlight w:val="none"/>
        </w:rPr>
        <w:t>第八条　付款方式</w:t>
      </w:r>
    </w:p>
    <w:p w14:paraId="6CB9E243">
      <w:pPr>
        <w:adjustRightInd w:val="0"/>
        <w:snapToGrid w:val="0"/>
        <w:ind w:firstLine="420" w:firstLineChars="200"/>
        <w:rPr>
          <w:rFonts w:hAnsi="宋体"/>
          <w:color w:val="auto"/>
          <w:highlight w:val="none"/>
        </w:rPr>
      </w:pPr>
      <w:r>
        <w:rPr>
          <w:rFonts w:hint="eastAsia" w:hAnsi="宋体"/>
          <w:color w:val="auto"/>
          <w:highlight w:val="none"/>
        </w:rPr>
        <w:t>付款方式：</w:t>
      </w:r>
      <w:r>
        <w:rPr>
          <w:rFonts w:hint="eastAsia" w:hAnsi="宋体"/>
          <w:color w:val="auto"/>
          <w:highlight w:val="none"/>
          <w:u w:val="single"/>
        </w:rPr>
        <w:t xml:space="preserve">                 </w:t>
      </w:r>
      <w:r>
        <w:rPr>
          <w:rFonts w:hint="eastAsia" w:hAnsi="宋体"/>
          <w:color w:val="auto"/>
          <w:highlight w:val="none"/>
        </w:rPr>
        <w:t>。</w:t>
      </w:r>
    </w:p>
    <w:p w14:paraId="365B65EC">
      <w:pPr>
        <w:adjustRightInd w:val="0"/>
        <w:snapToGrid w:val="0"/>
        <w:ind w:firstLine="422" w:firstLineChars="200"/>
        <w:jc w:val="both"/>
        <w:rPr>
          <w:rFonts w:hAnsi="宋体"/>
          <w:b/>
          <w:color w:val="auto"/>
          <w:highlight w:val="none"/>
        </w:rPr>
      </w:pPr>
      <w:r>
        <w:rPr>
          <w:rFonts w:hint="eastAsia" w:hAnsi="宋体"/>
          <w:b/>
          <w:color w:val="auto"/>
          <w:highlight w:val="none"/>
        </w:rPr>
        <w:t>第九条　履约保证金</w:t>
      </w:r>
    </w:p>
    <w:p w14:paraId="4AC41553">
      <w:pPr>
        <w:adjustRightInd w:val="0"/>
        <w:snapToGrid w:val="0"/>
        <w:ind w:firstLine="422" w:firstLineChars="200"/>
        <w:jc w:val="both"/>
        <w:rPr>
          <w:rFonts w:hAnsi="宋体"/>
          <w:b/>
          <w:color w:val="auto"/>
          <w:highlight w:val="none"/>
        </w:rPr>
      </w:pPr>
      <w:r>
        <w:rPr>
          <w:rFonts w:hAnsi="宋体"/>
          <w:b/>
          <w:bCs/>
          <w:color w:val="auto"/>
          <w:highlight w:val="none"/>
        </w:rPr>
        <w:fldChar w:fldCharType="begin"/>
      </w:r>
      <w:r>
        <w:rPr>
          <w:rFonts w:hAnsi="宋体"/>
          <w:b/>
          <w:bCs/>
          <w:color w:val="auto"/>
          <w:highlight w:val="none"/>
        </w:rPr>
        <w:instrText xml:space="preserve"> </w:instrText>
      </w:r>
      <w:r>
        <w:rPr>
          <w:rFonts w:hint="eastAsia" w:hAnsi="宋体"/>
          <w:b/>
          <w:bCs/>
          <w:color w:val="auto"/>
          <w:highlight w:val="none"/>
        </w:rPr>
        <w:instrText xml:space="preserve">eq \o\ac(□,√)</w:instrText>
      </w:r>
      <w:r>
        <w:rPr>
          <w:rFonts w:hAnsi="宋体"/>
          <w:b/>
          <w:bCs/>
          <w:color w:val="auto"/>
          <w:highlight w:val="none"/>
        </w:rPr>
        <w:fldChar w:fldCharType="end"/>
      </w:r>
      <w:r>
        <w:rPr>
          <w:rFonts w:hint="eastAsia" w:hAnsi="宋体"/>
          <w:b/>
          <w:color w:val="auto"/>
          <w:highlight w:val="none"/>
        </w:rPr>
        <w:t>本项目不收取履约保证金。</w:t>
      </w:r>
    </w:p>
    <w:p w14:paraId="1A05466E">
      <w:pPr>
        <w:autoSpaceDE w:val="0"/>
        <w:autoSpaceDN w:val="0"/>
        <w:adjustRightInd w:val="0"/>
        <w:snapToGrid w:val="0"/>
        <w:ind w:firstLine="422" w:firstLineChars="200"/>
        <w:jc w:val="both"/>
        <w:textAlignment w:val="bottom"/>
        <w:rPr>
          <w:rFonts w:hAnsi="宋体"/>
          <w:color w:val="auto"/>
          <w:highlight w:val="none"/>
        </w:rPr>
      </w:pPr>
      <w:r>
        <w:rPr>
          <w:rFonts w:hint="eastAsia" w:hAnsi="宋体"/>
          <w:b/>
          <w:color w:val="auto"/>
          <w:highlight w:val="none"/>
        </w:rPr>
        <w:t>□</w:t>
      </w:r>
      <w:r>
        <w:rPr>
          <w:rFonts w:hint="eastAsia" w:hAnsi="宋体"/>
          <w:b/>
          <w:bCs/>
          <w:color w:val="auto"/>
          <w:highlight w:val="none"/>
        </w:rPr>
        <w:t>本项目</w:t>
      </w:r>
      <w:r>
        <w:rPr>
          <w:rFonts w:hint="eastAsia" w:hAnsi="宋体"/>
          <w:b/>
          <w:color w:val="auto"/>
          <w:highlight w:val="none"/>
        </w:rPr>
        <w:t>收取</w:t>
      </w:r>
      <w:r>
        <w:rPr>
          <w:rFonts w:hint="eastAsia" w:hAnsi="宋体"/>
          <w:b/>
          <w:bCs/>
          <w:color w:val="auto"/>
          <w:highlight w:val="none"/>
        </w:rPr>
        <w:t>履约保证金，具体规定如下</w:t>
      </w:r>
      <w:r>
        <w:rPr>
          <w:rFonts w:hint="eastAsia" w:hAnsi="宋体"/>
          <w:color w:val="auto"/>
          <w:highlight w:val="none"/>
        </w:rPr>
        <w:t>：</w:t>
      </w:r>
    </w:p>
    <w:p w14:paraId="2ADEDFC5">
      <w:pPr>
        <w:adjustRightInd w:val="0"/>
        <w:snapToGrid w:val="0"/>
        <w:ind w:firstLine="411" w:firstLineChars="196"/>
        <w:jc w:val="both"/>
        <w:rPr>
          <w:rFonts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履约保证金金额：</w:t>
      </w:r>
    </w:p>
    <w:p w14:paraId="2C9257C0">
      <w:pPr>
        <w:adjustRightInd w:val="0"/>
        <w:snapToGrid w:val="0"/>
        <w:ind w:firstLine="411" w:firstLineChars="196"/>
        <w:jc w:val="both"/>
        <w:rPr>
          <w:rFonts w:hAnsi="宋体"/>
          <w:color w:val="auto"/>
          <w:highlight w:val="none"/>
        </w:rPr>
      </w:pPr>
      <w:r>
        <w:rPr>
          <w:rFonts w:hint="eastAsia" w:hAnsi="宋体"/>
          <w:color w:val="auto"/>
          <w:highlight w:val="none"/>
        </w:rPr>
        <w:t>□乙方为大型企业，须缴纳履约保证金金额：</w:t>
      </w:r>
      <w:r>
        <w:rPr>
          <w:rFonts w:hint="eastAsia" w:hAnsi="宋体"/>
          <w:b/>
          <w:bCs/>
          <w:color w:val="auto"/>
          <w:highlight w:val="none"/>
        </w:rPr>
        <w:t>合同金额的5</w:t>
      </w:r>
      <w:r>
        <w:rPr>
          <w:rFonts w:hAnsi="宋体"/>
          <w:b/>
          <w:bCs/>
          <w:color w:val="auto"/>
          <w:highlight w:val="none"/>
        </w:rPr>
        <w:t>%；</w:t>
      </w:r>
    </w:p>
    <w:p w14:paraId="28C557A2">
      <w:pPr>
        <w:adjustRightInd w:val="0"/>
        <w:snapToGrid w:val="0"/>
        <w:ind w:firstLine="411" w:firstLineChars="196"/>
        <w:jc w:val="both"/>
        <w:rPr>
          <w:rFonts w:hAnsi="宋体"/>
          <w:color w:val="auto"/>
          <w:highlight w:val="none"/>
        </w:rPr>
      </w:pPr>
      <w:r>
        <w:rPr>
          <w:rFonts w:hint="eastAsia" w:hAnsi="宋体"/>
          <w:color w:val="auto"/>
          <w:highlight w:val="none"/>
        </w:rPr>
        <w:t>□乙方为中型企业，须缴纳履约保证金金额：</w:t>
      </w:r>
      <w:r>
        <w:rPr>
          <w:rFonts w:hint="eastAsia" w:hAnsi="宋体"/>
          <w:b/>
          <w:bCs/>
          <w:color w:val="auto"/>
          <w:highlight w:val="none"/>
        </w:rPr>
        <w:t>合同金额的</w:t>
      </w:r>
      <w:r>
        <w:rPr>
          <w:rFonts w:hAnsi="宋体"/>
          <w:b/>
          <w:bCs/>
          <w:color w:val="auto"/>
          <w:highlight w:val="none"/>
        </w:rPr>
        <w:t>2%；</w:t>
      </w:r>
    </w:p>
    <w:p w14:paraId="638FC7F4">
      <w:pPr>
        <w:adjustRightInd w:val="0"/>
        <w:snapToGrid w:val="0"/>
        <w:ind w:firstLine="411" w:firstLineChars="196"/>
        <w:jc w:val="both"/>
        <w:rPr>
          <w:rFonts w:hAnsi="宋体"/>
          <w:color w:val="auto"/>
          <w:highlight w:val="none"/>
        </w:rPr>
      </w:pPr>
      <w:r>
        <w:rPr>
          <w:rFonts w:hint="eastAsia" w:hAnsi="宋体"/>
          <w:color w:val="auto"/>
          <w:highlight w:val="none"/>
        </w:rPr>
        <w:t>□乙方为</w:t>
      </w:r>
      <w:r>
        <w:rPr>
          <w:rFonts w:hint="eastAsia" w:hAnsi="宋体" w:cs="宋体"/>
          <w:color w:val="auto"/>
          <w:highlight w:val="none"/>
        </w:rPr>
        <w:t>小微企业或</w:t>
      </w:r>
      <w:r>
        <w:rPr>
          <w:rFonts w:hint="eastAsia" w:hAnsi="宋体"/>
          <w:color w:val="auto"/>
          <w:highlight w:val="none"/>
        </w:rPr>
        <w:t>监狱</w:t>
      </w:r>
      <w:r>
        <w:rPr>
          <w:rFonts w:hint="eastAsia" w:hAnsi="宋体" w:cs="宋体"/>
          <w:color w:val="auto"/>
          <w:highlight w:val="none"/>
        </w:rPr>
        <w:t>企业或残疾人福利性单位：</w:t>
      </w:r>
      <w:r>
        <w:rPr>
          <w:rFonts w:hint="eastAsia" w:hAnsi="宋体" w:cs="宋体"/>
          <w:b/>
          <w:bCs/>
          <w:color w:val="auto"/>
          <w:highlight w:val="none"/>
        </w:rPr>
        <w:t>免收履约保证金。</w:t>
      </w:r>
    </w:p>
    <w:p w14:paraId="4A6095D8">
      <w:pPr>
        <w:adjustRightInd w:val="0"/>
        <w:snapToGrid w:val="0"/>
        <w:ind w:firstLine="411" w:firstLineChars="196"/>
        <w:jc w:val="both"/>
        <w:rPr>
          <w:rFonts w:hAnsi="宋体" w:cs="宋体"/>
          <w:color w:val="auto"/>
          <w:highlight w:val="none"/>
        </w:rPr>
      </w:pPr>
      <w:r>
        <w:rPr>
          <w:rFonts w:hAnsi="宋体"/>
          <w:color w:val="auto"/>
          <w:highlight w:val="none"/>
        </w:rPr>
        <w:t>2.</w:t>
      </w:r>
      <w:r>
        <w:rPr>
          <w:rFonts w:hint="eastAsia" w:hAnsi="宋体"/>
          <w:color w:val="auto"/>
          <w:highlight w:val="none"/>
        </w:rPr>
        <w:t>履约保证金提交及退付方式、时间及条件：</w:t>
      </w:r>
    </w:p>
    <w:p w14:paraId="62B2D52F">
      <w:pPr>
        <w:adjustRightInd w:val="0"/>
        <w:snapToGrid w:val="0"/>
        <w:ind w:firstLine="420" w:firstLineChars="200"/>
        <w:jc w:val="both"/>
        <w:rPr>
          <w:rFonts w:hAnsi="宋体"/>
          <w:color w:val="auto"/>
          <w:highlight w:val="none"/>
        </w:rPr>
      </w:pPr>
      <w:r>
        <w:rPr>
          <w:rFonts w:hint="eastAsia" w:hAnsi="宋体"/>
          <w:color w:val="auto"/>
          <w:highlight w:val="none"/>
        </w:rPr>
        <w:t>合同签订前</w:t>
      </w:r>
      <w:r>
        <w:rPr>
          <w:rFonts w:hAnsi="宋体"/>
          <w:color w:val="auto"/>
          <w:highlight w:val="none"/>
        </w:rPr>
        <w:t>5</w:t>
      </w:r>
      <w:r>
        <w:rPr>
          <w:rFonts w:hint="eastAsia" w:hAnsi="宋体"/>
          <w:color w:val="auto"/>
          <w:highlight w:val="none"/>
        </w:rPr>
        <w:t>日内，乙方必须以银行转账、支票、汇票、本票或者金融机构、担保机构出具的保险、保函（含电子保函，下同）等非现金方式向甲方提交履约保证金。履约保证金在乙方提供的设备正常使用满1年后，甲方在</w:t>
      </w:r>
      <w:r>
        <w:rPr>
          <w:rFonts w:hAnsi="宋体"/>
          <w:color w:val="auto"/>
          <w:highlight w:val="none"/>
        </w:rPr>
        <w:t>5</w:t>
      </w:r>
      <w:r>
        <w:rPr>
          <w:rFonts w:hint="eastAsia" w:hAnsi="宋体"/>
          <w:color w:val="auto"/>
          <w:highlight w:val="none"/>
        </w:rPr>
        <w:t>个工作日内退还全部履约保证金（不计利息，如在合同执行过程中违反合同规定或违约，则扣除相应履约保证金后退还剩下履约保证金）。若因乙方的原因未在规定时限内缴纳履约保证金的，则视为违约，甲方有权取消其中标资格、拒绝签订合同。若因乙方的原因不能签订合同的，不退还履约保证金。在履约保证金退还日期前，若乙方的开户名称、开户银行、账号有变动的，请以书面形式通知甲方，否则由此产生的后果由乙方自负。</w:t>
      </w:r>
    </w:p>
    <w:p w14:paraId="1FC98FF3">
      <w:pPr>
        <w:adjustRightInd w:val="0"/>
        <w:snapToGrid w:val="0"/>
        <w:ind w:firstLine="411" w:firstLineChars="196"/>
        <w:jc w:val="both"/>
        <w:rPr>
          <w:rFonts w:hAnsi="宋体" w:cs="宋体"/>
          <w:color w:val="auto"/>
          <w:highlight w:val="none"/>
        </w:rPr>
      </w:pPr>
      <w:r>
        <w:rPr>
          <w:rFonts w:hint="eastAsia" w:hAnsi="宋体" w:cs="宋体"/>
          <w:color w:val="auto"/>
          <w:highlight w:val="none"/>
        </w:rPr>
        <w:t>履约保证金账户：</w:t>
      </w:r>
    </w:p>
    <w:p w14:paraId="0A70ACE8">
      <w:pPr>
        <w:adjustRightInd w:val="0"/>
        <w:snapToGrid w:val="0"/>
        <w:ind w:firstLine="411" w:firstLineChars="196"/>
        <w:jc w:val="both"/>
        <w:rPr>
          <w:rFonts w:hAnsi="宋体" w:cs="宋体"/>
          <w:color w:val="auto"/>
          <w:highlight w:val="none"/>
        </w:rPr>
      </w:pPr>
      <w:r>
        <w:rPr>
          <w:rFonts w:hint="eastAsia" w:hAnsi="宋体" w:cs="宋体"/>
          <w:color w:val="auto"/>
          <w:highlight w:val="none"/>
        </w:rPr>
        <w:t>名  称：柳州市妇幼保健院</w:t>
      </w:r>
    </w:p>
    <w:p w14:paraId="6AE36B9A">
      <w:pPr>
        <w:adjustRightInd w:val="0"/>
        <w:snapToGrid w:val="0"/>
        <w:ind w:firstLine="411" w:firstLineChars="196"/>
        <w:jc w:val="both"/>
        <w:rPr>
          <w:rFonts w:hAnsi="宋体" w:cs="宋体"/>
          <w:color w:val="auto"/>
          <w:highlight w:val="none"/>
        </w:rPr>
      </w:pPr>
      <w:r>
        <w:rPr>
          <w:rFonts w:hint="eastAsia" w:hAnsi="宋体" w:cs="宋体"/>
          <w:color w:val="auto"/>
          <w:highlight w:val="none"/>
        </w:rPr>
        <w:t>开户行：建设银行柳州连塘路支行</w:t>
      </w:r>
    </w:p>
    <w:p w14:paraId="48C7BDF4">
      <w:pPr>
        <w:adjustRightInd w:val="0"/>
        <w:snapToGrid w:val="0"/>
        <w:ind w:firstLine="411" w:firstLineChars="196"/>
        <w:jc w:val="both"/>
        <w:rPr>
          <w:rFonts w:hAnsi="宋体" w:cs="宋体"/>
          <w:color w:val="auto"/>
          <w:highlight w:val="none"/>
        </w:rPr>
      </w:pPr>
      <w:r>
        <w:rPr>
          <w:rFonts w:hint="eastAsia" w:hAnsi="宋体" w:cs="宋体"/>
          <w:color w:val="auto"/>
          <w:highlight w:val="none"/>
        </w:rPr>
        <w:t>账  号：4500 1625 2510 5998 9898</w:t>
      </w:r>
    </w:p>
    <w:p w14:paraId="373A95BC">
      <w:pPr>
        <w:adjustRightInd w:val="0"/>
        <w:snapToGrid w:val="0"/>
        <w:ind w:firstLine="411" w:firstLineChars="196"/>
        <w:jc w:val="both"/>
        <w:rPr>
          <w:rFonts w:hAnsi="宋体" w:cs="宋体"/>
          <w:color w:val="auto"/>
          <w:highlight w:val="none"/>
        </w:rPr>
      </w:pPr>
      <w:r>
        <w:rPr>
          <w:rFonts w:hint="eastAsia" w:hAnsi="宋体" w:cs="宋体"/>
          <w:color w:val="auto"/>
          <w:highlight w:val="none"/>
        </w:rPr>
        <w:t>转账时注明：××××项目，项目编号××××履约保证金</w:t>
      </w:r>
    </w:p>
    <w:p w14:paraId="70C3A482">
      <w:pPr>
        <w:adjustRightInd w:val="0"/>
        <w:snapToGrid w:val="0"/>
        <w:ind w:firstLine="411" w:firstLineChars="196"/>
        <w:jc w:val="both"/>
        <w:rPr>
          <w:rFonts w:hAnsi="宋体" w:cs="宋体"/>
          <w:color w:val="auto"/>
          <w:highlight w:val="none"/>
        </w:rPr>
      </w:pPr>
      <w:r>
        <w:rPr>
          <w:rFonts w:hint="eastAsia" w:hAnsi="宋体" w:cs="宋体"/>
          <w:color w:val="auto"/>
          <w:highlight w:val="none"/>
        </w:rPr>
        <w:t>转账的持银行回执复印件（非转账的出具其他保证金递交证明文件）、中标通知书及合同到</w:t>
      </w:r>
      <w:r>
        <w:rPr>
          <w:rFonts w:hint="eastAsia" w:hAnsi="宋体" w:cs="宋体"/>
          <w:color w:val="auto"/>
          <w:highlight w:val="none"/>
          <w:u w:val="single"/>
        </w:rPr>
        <w:t>柳州市妇幼保健院</w:t>
      </w:r>
      <w:r>
        <w:rPr>
          <w:rFonts w:hint="eastAsia" w:hAnsi="宋体" w:cs="宋体"/>
          <w:color w:val="auto"/>
          <w:highlight w:val="none"/>
        </w:rPr>
        <w:t>签订合同。</w:t>
      </w:r>
    </w:p>
    <w:p w14:paraId="4D5E4751">
      <w:pPr>
        <w:adjustRightInd w:val="0"/>
        <w:snapToGrid w:val="0"/>
        <w:ind w:firstLine="422" w:firstLineChars="200"/>
        <w:jc w:val="both"/>
        <w:rPr>
          <w:rFonts w:hAnsi="宋体"/>
          <w:b/>
          <w:color w:val="auto"/>
          <w:highlight w:val="none"/>
        </w:rPr>
      </w:pPr>
      <w:r>
        <w:rPr>
          <w:rFonts w:hint="eastAsia" w:hAnsi="宋体"/>
          <w:b/>
          <w:color w:val="auto"/>
          <w:highlight w:val="none"/>
        </w:rPr>
        <w:t>第十条　税费</w:t>
      </w:r>
    </w:p>
    <w:p w14:paraId="71603BC6">
      <w:pPr>
        <w:adjustRightInd w:val="0"/>
        <w:snapToGrid w:val="0"/>
        <w:ind w:firstLine="420" w:firstLineChars="200"/>
        <w:jc w:val="both"/>
        <w:rPr>
          <w:rFonts w:hAnsi="宋体"/>
          <w:color w:val="auto"/>
          <w:highlight w:val="none"/>
        </w:rPr>
      </w:pPr>
      <w:r>
        <w:rPr>
          <w:rFonts w:hint="eastAsia" w:hAnsi="宋体"/>
          <w:color w:val="auto"/>
          <w:highlight w:val="none"/>
        </w:rPr>
        <w:t>本合同执行中相关的一切税费均由乙方负担。</w:t>
      </w:r>
    </w:p>
    <w:p w14:paraId="4075CF00">
      <w:pPr>
        <w:adjustRightInd w:val="0"/>
        <w:snapToGrid w:val="0"/>
        <w:ind w:firstLine="422" w:firstLineChars="200"/>
        <w:jc w:val="both"/>
        <w:rPr>
          <w:rFonts w:hAnsi="宋体"/>
          <w:b/>
          <w:color w:val="auto"/>
          <w:highlight w:val="none"/>
        </w:rPr>
      </w:pPr>
      <w:r>
        <w:rPr>
          <w:rFonts w:hint="eastAsia" w:hAnsi="宋体"/>
          <w:b/>
          <w:color w:val="auto"/>
          <w:highlight w:val="none"/>
        </w:rPr>
        <w:t>第十一条  质量保证及售后服务</w:t>
      </w:r>
    </w:p>
    <w:p w14:paraId="1075DC78">
      <w:pPr>
        <w:adjustRightInd w:val="0"/>
        <w:snapToGrid w:val="0"/>
        <w:ind w:firstLine="420" w:firstLineChars="200"/>
        <w:jc w:val="both"/>
        <w:rPr>
          <w:rFonts w:hAnsi="宋体"/>
          <w:color w:val="auto"/>
          <w:highlight w:val="none"/>
        </w:rPr>
      </w:pPr>
      <w:r>
        <w:rPr>
          <w:rFonts w:hint="eastAsia" w:hAnsi="宋体"/>
          <w:color w:val="auto"/>
          <w:highlight w:val="none"/>
        </w:rPr>
        <w:t>1.乙方应按招标文件规定的货物性能、技术要求、质量标准向甲方提供未经使用的全新产品。不符合要求的，根据实际情况，经双方协商，可按以下办法处理：</w:t>
      </w:r>
    </w:p>
    <w:p w14:paraId="1BB94108">
      <w:pPr>
        <w:adjustRightInd w:val="0"/>
        <w:snapToGrid w:val="0"/>
        <w:ind w:firstLine="420" w:firstLineChars="200"/>
        <w:jc w:val="both"/>
        <w:rPr>
          <w:rFonts w:hAnsi="宋体"/>
          <w:color w:val="auto"/>
          <w:highlight w:val="none"/>
        </w:rPr>
      </w:pPr>
      <w:r>
        <w:rPr>
          <w:rFonts w:hint="eastAsia" w:hAnsi="宋体"/>
          <w:color w:val="auto"/>
          <w:highlight w:val="none"/>
        </w:rPr>
        <w:t>⑴更换：由乙方承担所发生的全部费用。</w:t>
      </w:r>
    </w:p>
    <w:p w14:paraId="2F63CC60">
      <w:pPr>
        <w:adjustRightInd w:val="0"/>
        <w:snapToGrid w:val="0"/>
        <w:ind w:firstLine="420" w:firstLineChars="200"/>
        <w:jc w:val="both"/>
        <w:rPr>
          <w:rFonts w:hAnsi="宋体"/>
          <w:color w:val="auto"/>
          <w:highlight w:val="none"/>
        </w:rPr>
      </w:pPr>
      <w:r>
        <w:rPr>
          <w:rFonts w:hint="eastAsia" w:hAnsi="宋体"/>
          <w:color w:val="auto"/>
          <w:highlight w:val="none"/>
        </w:rPr>
        <w:t>⑵贬值处理：由甲乙双方合议定价。</w:t>
      </w:r>
    </w:p>
    <w:p w14:paraId="4F96ABC0">
      <w:pPr>
        <w:adjustRightInd w:val="0"/>
        <w:snapToGrid w:val="0"/>
        <w:ind w:firstLine="420" w:firstLineChars="200"/>
        <w:jc w:val="both"/>
        <w:rPr>
          <w:rFonts w:hAnsi="宋体"/>
          <w:color w:val="auto"/>
          <w:highlight w:val="none"/>
        </w:rPr>
      </w:pPr>
      <w:r>
        <w:rPr>
          <w:rFonts w:hint="eastAsia" w:hAnsi="宋体"/>
          <w:color w:val="auto"/>
          <w:highlight w:val="none"/>
        </w:rPr>
        <w:t>⑶退货处理：乙方应退还甲方支付的合同款，同时应承担该货物的直接费用（运输、保险、检验、货款利息及银行手续费等）。</w:t>
      </w:r>
    </w:p>
    <w:p w14:paraId="6E843E40">
      <w:pPr>
        <w:adjustRightInd w:val="0"/>
        <w:snapToGrid w:val="0"/>
        <w:ind w:firstLine="420" w:firstLineChars="200"/>
        <w:jc w:val="both"/>
        <w:rPr>
          <w:rFonts w:hAnsi="宋体"/>
          <w:color w:val="auto"/>
          <w:highlight w:val="none"/>
        </w:rPr>
      </w:pPr>
      <w:r>
        <w:rPr>
          <w:rFonts w:hint="eastAsia" w:hAnsi="宋体"/>
          <w:color w:val="auto"/>
          <w:highlight w:val="none"/>
        </w:rPr>
        <w:t>2.在质保期内，乙方应对货物出现的质量及安全问题负责处理解决并承担一切费用。</w:t>
      </w:r>
    </w:p>
    <w:p w14:paraId="6CB74F15">
      <w:pPr>
        <w:adjustRightInd w:val="0"/>
        <w:snapToGrid w:val="0"/>
        <w:ind w:firstLine="420" w:firstLineChars="200"/>
        <w:jc w:val="both"/>
        <w:rPr>
          <w:rFonts w:hAnsi="宋体"/>
          <w:color w:val="auto"/>
          <w:highlight w:val="none"/>
        </w:rPr>
      </w:pPr>
      <w:r>
        <w:rPr>
          <w:rFonts w:hint="eastAsia" w:hAnsi="宋体"/>
          <w:color w:val="auto"/>
          <w:highlight w:val="none"/>
        </w:rPr>
        <w:t>3.因人为因素出现的设备故障不在保修范围内。超过质保期的机器设备，终身维修，维修时只收部件成本费。</w:t>
      </w:r>
    </w:p>
    <w:p w14:paraId="5604EDAA">
      <w:pPr>
        <w:adjustRightInd w:val="0"/>
        <w:snapToGrid w:val="0"/>
        <w:ind w:firstLine="422" w:firstLineChars="200"/>
        <w:jc w:val="both"/>
        <w:rPr>
          <w:rFonts w:hAnsi="宋体"/>
          <w:color w:val="auto"/>
          <w:highlight w:val="none"/>
        </w:rPr>
      </w:pPr>
      <w:r>
        <w:rPr>
          <w:rFonts w:hint="eastAsia" w:hAnsi="宋体"/>
          <w:b/>
          <w:color w:val="auto"/>
          <w:highlight w:val="none"/>
        </w:rPr>
        <w:t>第十二条  验收（本条款适用于甲方自行验收，委托第三方验收的另行规定）</w:t>
      </w:r>
    </w:p>
    <w:p w14:paraId="634E5B74">
      <w:pPr>
        <w:adjustRightInd w:val="0"/>
        <w:snapToGrid w:val="0"/>
        <w:ind w:firstLine="420" w:firstLineChars="200"/>
        <w:jc w:val="both"/>
        <w:rPr>
          <w:rFonts w:hAnsi="宋体" w:cs="仿宋"/>
          <w:color w:val="auto"/>
          <w:highlight w:val="none"/>
        </w:rPr>
      </w:pPr>
      <w:r>
        <w:rPr>
          <w:rFonts w:hint="eastAsia" w:hAnsi="宋体" w:cs="仿宋"/>
          <w:color w:val="auto"/>
          <w:highlight w:val="none"/>
        </w:rPr>
        <w:t>1.交付验收标准依次序对照适用标准为：①符合中华人民共和国国家安全质量标准、环保标准或行业标准；②符合招标文件和投标文件承诺中甲方认可的合理最佳配置、参数及各项要求；③货物符合国家合格标准。</w:t>
      </w:r>
    </w:p>
    <w:p w14:paraId="194E1DA0">
      <w:pPr>
        <w:adjustRightInd w:val="0"/>
        <w:snapToGrid w:val="0"/>
        <w:ind w:firstLine="420" w:firstLineChars="200"/>
        <w:jc w:val="both"/>
        <w:rPr>
          <w:rFonts w:hAnsi="宋体" w:cs="仿宋"/>
          <w:color w:val="auto"/>
          <w:highlight w:val="none"/>
        </w:rPr>
      </w:pPr>
      <w:r>
        <w:rPr>
          <w:rFonts w:hint="eastAsia" w:hAnsi="宋体" w:cs="仿宋"/>
          <w:color w:val="auto"/>
          <w:highlight w:val="none"/>
        </w:rPr>
        <w:t>2.乙方须确保货物为原制造商制造的全新产品，无污染，无侵权行为、表面无划损、无任何缺陷隐患，在中国境内可依常规安全合法使用。</w:t>
      </w:r>
    </w:p>
    <w:p w14:paraId="37C51F3C">
      <w:pPr>
        <w:adjustRightInd w:val="0"/>
        <w:snapToGrid w:val="0"/>
        <w:ind w:firstLine="420" w:firstLineChars="200"/>
        <w:jc w:val="both"/>
        <w:rPr>
          <w:rFonts w:hAnsi="宋体" w:cs="仿宋"/>
          <w:color w:val="auto"/>
          <w:highlight w:val="none"/>
        </w:rPr>
      </w:pPr>
      <w:r>
        <w:rPr>
          <w:rFonts w:hint="eastAsia" w:hAnsi="宋体" w:cs="仿宋"/>
          <w:color w:val="auto"/>
          <w:highlight w:val="none"/>
        </w:rPr>
        <w:t>3.供货时乙方应将关键货物的用户手册、保修手册、有关单证资料及配备件等交付给甲方，使用操作及安全须知等重要资料应附有中文说明。</w:t>
      </w:r>
    </w:p>
    <w:p w14:paraId="622A6D90">
      <w:pPr>
        <w:snapToGrid w:val="0"/>
        <w:ind w:firstLine="420" w:firstLineChars="200"/>
        <w:jc w:val="both"/>
        <w:rPr>
          <w:rFonts w:hAnsi="宋体" w:cs="仿宋"/>
          <w:color w:val="auto"/>
          <w:highlight w:val="none"/>
        </w:rPr>
      </w:pPr>
      <w:r>
        <w:rPr>
          <w:rFonts w:hint="eastAsia" w:hAnsi="宋体" w:cs="仿宋"/>
          <w:color w:val="auto"/>
          <w:highlight w:val="none"/>
        </w:rPr>
        <w:t>4.甲方按国家有关规定、规范进行验收，必要时邀请相关的专业人员或机构参与验收。因货物质量问题发生争议时，由本地质量技术监督部门鉴定。鉴定费由乙方承担。</w:t>
      </w:r>
    </w:p>
    <w:p w14:paraId="13DC6236">
      <w:pPr>
        <w:snapToGrid w:val="0"/>
        <w:ind w:firstLine="420" w:firstLineChars="200"/>
        <w:jc w:val="both"/>
        <w:rPr>
          <w:rFonts w:hAnsi="宋体" w:cs="仿宋"/>
          <w:color w:val="auto"/>
          <w:highlight w:val="none"/>
        </w:rPr>
      </w:pPr>
      <w:r>
        <w:rPr>
          <w:rFonts w:hint="eastAsia" w:hAnsi="宋体" w:cs="仿宋"/>
          <w:color w:val="auto"/>
          <w:highlight w:val="none"/>
          <w:lang w:val="en-US" w:eastAsia="zh-CN"/>
        </w:rPr>
        <w:t>5</w:t>
      </w:r>
      <w:r>
        <w:rPr>
          <w:rFonts w:hint="eastAsia" w:hAnsi="宋体" w:cs="仿宋"/>
          <w:color w:val="auto"/>
          <w:highlight w:val="none"/>
        </w:rPr>
        <w:t>.甲方对乙方提交的货物依据招标（或投标）文件及签订的合同上的技术规格要求和国家有关质量标准进行现场初步验收，外观、说明书符合招标文件技术要求的，给予签收，初步验收不合格的不予签收。</w:t>
      </w:r>
    </w:p>
    <w:p w14:paraId="2BC1EA71">
      <w:pPr>
        <w:snapToGrid w:val="0"/>
        <w:ind w:firstLine="420" w:firstLineChars="200"/>
        <w:jc w:val="both"/>
        <w:rPr>
          <w:rFonts w:hAnsi="宋体" w:cs="仿宋"/>
          <w:color w:val="auto"/>
          <w:highlight w:val="none"/>
        </w:rPr>
      </w:pPr>
      <w:r>
        <w:rPr>
          <w:rFonts w:hint="eastAsia" w:hAnsi="宋体" w:cs="仿宋"/>
          <w:color w:val="auto"/>
          <w:highlight w:val="none"/>
          <w:lang w:val="en-US" w:eastAsia="zh-CN"/>
        </w:rPr>
        <w:t>6</w:t>
      </w:r>
      <w:r>
        <w:rPr>
          <w:rFonts w:hint="eastAsia" w:hAnsi="宋体" w:cs="仿宋"/>
          <w:color w:val="auto"/>
          <w:highlight w:val="none"/>
        </w:rPr>
        <w:t>.甲方对乙方提供的货物验收前，乙方需负责安装完毕、培训甲方的使用操作人员并协助甲方一起调试，直到符合招标、投标文件及签订的合同规定的技术要求，甲方才做最终验收。在验收过程中发现乙方有违约问题，可暂缓资金结算，待违约问题解决后，方可办理资金结算事宜。</w:t>
      </w:r>
    </w:p>
    <w:p w14:paraId="0D9944B0">
      <w:pPr>
        <w:snapToGrid w:val="0"/>
        <w:ind w:firstLine="420" w:firstLineChars="200"/>
        <w:jc w:val="both"/>
        <w:rPr>
          <w:rFonts w:hAnsi="宋体" w:cs="仿宋"/>
          <w:color w:val="auto"/>
          <w:highlight w:val="none"/>
        </w:rPr>
      </w:pPr>
      <w:r>
        <w:rPr>
          <w:rFonts w:hint="eastAsia" w:hAnsi="宋体" w:cs="仿宋"/>
          <w:color w:val="auto"/>
          <w:highlight w:val="none"/>
          <w:lang w:val="en-US" w:eastAsia="zh-CN"/>
        </w:rPr>
        <w:t>7</w:t>
      </w:r>
      <w:r>
        <w:rPr>
          <w:rFonts w:hint="eastAsia" w:hAnsi="宋体" w:cs="仿宋"/>
          <w:color w:val="auto"/>
          <w:highlight w:val="none"/>
        </w:rPr>
        <w:t>.对技术复杂的货物，甲方可聘请国家认可的专业检测机构参与初步验收及最终验收并由其出具质量检测报告，检测费用由乙方承担。</w:t>
      </w:r>
    </w:p>
    <w:p w14:paraId="7291D899">
      <w:pPr>
        <w:snapToGrid w:val="0"/>
        <w:ind w:firstLine="420" w:firstLineChars="200"/>
        <w:jc w:val="both"/>
        <w:rPr>
          <w:rFonts w:hAnsi="宋体" w:cs="仿宋"/>
          <w:color w:val="auto"/>
          <w:highlight w:val="none"/>
        </w:rPr>
      </w:pPr>
      <w:r>
        <w:rPr>
          <w:rFonts w:hint="eastAsia" w:hAnsi="宋体" w:cs="仿宋"/>
          <w:color w:val="auto"/>
          <w:highlight w:val="none"/>
          <w:lang w:val="en-US" w:eastAsia="zh-CN"/>
        </w:rPr>
        <w:t>8</w:t>
      </w:r>
      <w:r>
        <w:rPr>
          <w:rFonts w:hint="eastAsia" w:hAnsi="宋体" w:cs="仿宋"/>
          <w:color w:val="auto"/>
          <w:highlight w:val="none"/>
        </w:rPr>
        <w:t>.以招标文件技术参数要求为依据，满足使用需求为原则，由甲方组织相关部门组成验收小组对货物技术参数及性能（配置）进行验收，技术参数及性能（配置）是否符合招标文件要求以实际验收结果为准。</w:t>
      </w:r>
    </w:p>
    <w:p w14:paraId="60B92244">
      <w:pPr>
        <w:snapToGrid w:val="0"/>
        <w:ind w:firstLine="420" w:firstLineChars="200"/>
        <w:jc w:val="both"/>
        <w:rPr>
          <w:rFonts w:hAnsi="宋体" w:cs="仿宋"/>
          <w:color w:val="auto"/>
          <w:highlight w:val="none"/>
        </w:rPr>
      </w:pPr>
      <w:r>
        <w:rPr>
          <w:rFonts w:hint="eastAsia" w:hAnsi="宋体" w:cs="仿宋"/>
          <w:color w:val="auto"/>
          <w:highlight w:val="none"/>
          <w:lang w:val="en-US" w:eastAsia="zh-CN"/>
        </w:rPr>
        <w:t>9</w:t>
      </w:r>
      <w:r>
        <w:rPr>
          <w:rFonts w:hint="eastAsia" w:hAnsi="宋体" w:cs="仿宋"/>
          <w:color w:val="auto"/>
          <w:highlight w:val="none"/>
        </w:rPr>
        <w:t>.技术性能资料涵盖招标文件技术参数及性能（配置），投标文件技术文件响应表及产品配置清单等。</w:t>
      </w:r>
    </w:p>
    <w:p w14:paraId="59FBD3CD">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0</w:t>
      </w:r>
      <w:r>
        <w:rPr>
          <w:rFonts w:hint="eastAsia" w:hAnsi="宋体" w:cs="仿宋"/>
          <w:color w:val="auto"/>
          <w:highlight w:val="none"/>
        </w:rPr>
        <w:t>.货物技术参数及性能（配置）必须与投标文件相符合，如出现不一致，以技术响应表响应内容为准。</w:t>
      </w:r>
    </w:p>
    <w:p w14:paraId="17714DF1">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1</w:t>
      </w:r>
      <w:r>
        <w:rPr>
          <w:rFonts w:hint="eastAsia" w:hAnsi="宋体" w:cs="仿宋"/>
          <w:color w:val="auto"/>
          <w:highlight w:val="none"/>
        </w:rPr>
        <w:t>.验收小组依据投标文件技术响应表逐条进行验收，对于货物技术参数及性能（配置）与投标文件技术响应表响应不符的，</w:t>
      </w:r>
      <w:r>
        <w:rPr>
          <w:rFonts w:hint="eastAsia" w:hAnsi="宋体" w:cs="仿宋"/>
          <w:color w:val="auto"/>
          <w:highlight w:val="none"/>
          <w:lang w:eastAsia="zh-CN"/>
        </w:rPr>
        <w:t>做</w:t>
      </w:r>
      <w:r>
        <w:rPr>
          <w:rFonts w:hint="eastAsia" w:hAnsi="宋体" w:cs="仿宋"/>
          <w:color w:val="auto"/>
          <w:highlight w:val="none"/>
        </w:rPr>
        <w:t>如下处理：</w:t>
      </w:r>
    </w:p>
    <w:p w14:paraId="47A83F17">
      <w:pPr>
        <w:snapToGrid w:val="0"/>
        <w:ind w:firstLine="420" w:firstLineChars="200"/>
        <w:jc w:val="both"/>
        <w:rPr>
          <w:rFonts w:hAnsi="宋体" w:cs="仿宋"/>
          <w:color w:val="auto"/>
          <w:highlight w:val="none"/>
        </w:rPr>
      </w:pPr>
      <w:r>
        <w:rPr>
          <w:rFonts w:hint="eastAsia" w:hAnsi="宋体" w:cs="仿宋"/>
          <w:color w:val="auto"/>
          <w:highlight w:val="none"/>
        </w:rPr>
        <w:t>①货物实际是负偏离的参数，在投标文件中标明是无偏离或正偏离，在评审中未被发现的，以虚假响应论处；</w:t>
      </w:r>
    </w:p>
    <w:p w14:paraId="367E1B2D">
      <w:pPr>
        <w:snapToGrid w:val="0"/>
        <w:ind w:firstLine="420" w:firstLineChars="200"/>
        <w:jc w:val="both"/>
        <w:rPr>
          <w:rFonts w:hAnsi="宋体" w:cs="仿宋"/>
          <w:color w:val="auto"/>
          <w:highlight w:val="none"/>
        </w:rPr>
      </w:pPr>
      <w:r>
        <w:rPr>
          <w:rFonts w:hint="eastAsia" w:hAnsi="宋体" w:cs="仿宋"/>
          <w:color w:val="auto"/>
          <w:highlight w:val="none"/>
        </w:rPr>
        <w:t>②货物实际是无偏离参数，在投标文件中标明是正偏离，在评审中未被发现的，以虚假响应论处；</w:t>
      </w:r>
    </w:p>
    <w:p w14:paraId="1E254A21">
      <w:pPr>
        <w:snapToGrid w:val="0"/>
        <w:ind w:firstLine="420" w:firstLineChars="200"/>
        <w:jc w:val="both"/>
        <w:rPr>
          <w:rFonts w:hAnsi="宋体" w:cs="仿宋"/>
          <w:color w:val="auto"/>
          <w:highlight w:val="none"/>
        </w:rPr>
      </w:pPr>
      <w:r>
        <w:rPr>
          <w:rFonts w:hint="eastAsia" w:hAnsi="宋体" w:cs="仿宋"/>
          <w:color w:val="auto"/>
          <w:highlight w:val="none"/>
        </w:rPr>
        <w:t>③货物响应表是正偏离参数，验收时并没有达到技术响应表中标明的正偏离范围，以虚假响应论处。</w:t>
      </w:r>
    </w:p>
    <w:p w14:paraId="049450E5">
      <w:pPr>
        <w:snapToGrid w:val="0"/>
        <w:ind w:firstLine="420" w:firstLineChars="200"/>
        <w:jc w:val="both"/>
        <w:rPr>
          <w:rFonts w:hAnsi="宋体" w:cs="仿宋"/>
          <w:color w:val="auto"/>
          <w:highlight w:val="none"/>
        </w:rPr>
      </w:pPr>
      <w:r>
        <w:rPr>
          <w:rFonts w:hint="eastAsia" w:hAnsi="宋体" w:cs="仿宋"/>
          <w:color w:val="auto"/>
          <w:highlight w:val="none"/>
        </w:rPr>
        <w:t>中标后，甲方在货物验收环节发现设备的技术参数指标达不到投标文件中技术参数响应的内容，</w:t>
      </w:r>
      <w:r>
        <w:rPr>
          <w:rFonts w:hint="eastAsia" w:hAnsi="宋体" w:cs="仿宋"/>
          <w:color w:val="auto"/>
          <w:highlight w:val="none"/>
          <w:lang w:eastAsia="zh-CN"/>
        </w:rPr>
        <w:t>属于</w:t>
      </w:r>
      <w:r>
        <w:rPr>
          <w:rFonts w:hint="eastAsia" w:hAnsi="宋体" w:cs="仿宋"/>
          <w:color w:val="auto"/>
          <w:highlight w:val="none"/>
        </w:rPr>
        <w:t>虚假响应行为，甲方经政府采购监督管理部门同意有权依法终止合同拒收货物，并追究乙方违约责任，乙方须赔偿甲方因采购时间延长造成的经济等方面损失，同时视情形将违约情况上报监督管理部门。</w:t>
      </w:r>
    </w:p>
    <w:p w14:paraId="07265238">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2</w:t>
      </w:r>
      <w:r>
        <w:rPr>
          <w:rFonts w:hint="eastAsia" w:hAnsi="宋体" w:cs="仿宋"/>
          <w:color w:val="auto"/>
          <w:highlight w:val="none"/>
        </w:rPr>
        <w:t xml:space="preserve">.乙方交付前须作出全面检查并对验收材料进行整理列出清单，作为甲方收货验收和使用的技术条件依据，检验的结果应随货物交甲方。  </w:t>
      </w:r>
    </w:p>
    <w:p w14:paraId="76E4948E">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3</w:t>
      </w:r>
      <w:r>
        <w:rPr>
          <w:rFonts w:hint="eastAsia" w:hAnsi="宋体" w:cs="仿宋"/>
          <w:color w:val="auto"/>
          <w:highlight w:val="none"/>
        </w:rPr>
        <w:t>.验收时乙方代表必须在现场，验收完毕后作出验收结果报告；验收费用由乙方承担。</w:t>
      </w:r>
    </w:p>
    <w:p w14:paraId="64682FD3">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4</w:t>
      </w:r>
      <w:r>
        <w:rPr>
          <w:rFonts w:hint="eastAsia" w:hAnsi="宋体" w:cs="仿宋"/>
          <w:color w:val="auto"/>
          <w:highlight w:val="none"/>
        </w:rPr>
        <w:t>.乙方对验收结果有异议的，须在验收后5个工作日内以书面形式向甲方提出，甲方自收到乙方书面异议后 5 个工作日内及时予以复核并书面回复最终验收结果。</w:t>
      </w:r>
    </w:p>
    <w:p w14:paraId="54541B82">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5</w:t>
      </w:r>
      <w:r>
        <w:rPr>
          <w:rFonts w:hint="eastAsia" w:hAnsi="宋体" w:cs="仿宋"/>
          <w:color w:val="auto"/>
          <w:highlight w:val="none"/>
        </w:rPr>
        <w:t>.如乙方有下列情况之一的，甲方有权拒绝验收和支付款项，并依照处罚条款作出相应处罚：</w:t>
      </w:r>
    </w:p>
    <w:p w14:paraId="7BE52573">
      <w:pPr>
        <w:snapToGrid w:val="0"/>
        <w:ind w:firstLine="420" w:firstLineChars="200"/>
        <w:jc w:val="both"/>
        <w:rPr>
          <w:rFonts w:hAnsi="宋体" w:cs="仿宋"/>
          <w:color w:val="auto"/>
          <w:highlight w:val="none"/>
        </w:rPr>
      </w:pPr>
      <w:r>
        <w:rPr>
          <w:rFonts w:hint="eastAsia" w:hAnsi="宋体" w:cs="仿宋"/>
          <w:color w:val="auto"/>
          <w:highlight w:val="none"/>
        </w:rPr>
        <w:t>（1）提供的货物规格、技术标准、材料未达到其投标文件所承诺的，导致无法通过验收交付使用的；</w:t>
      </w:r>
    </w:p>
    <w:p w14:paraId="7B83284C">
      <w:pPr>
        <w:snapToGrid w:val="0"/>
        <w:ind w:firstLine="420" w:firstLineChars="200"/>
        <w:jc w:val="both"/>
        <w:rPr>
          <w:rFonts w:hAnsi="宋体" w:cs="仿宋"/>
          <w:color w:val="auto"/>
          <w:highlight w:val="none"/>
        </w:rPr>
      </w:pPr>
      <w:r>
        <w:rPr>
          <w:rFonts w:hint="eastAsia" w:hAnsi="宋体" w:cs="仿宋"/>
          <w:color w:val="auto"/>
          <w:highlight w:val="none"/>
        </w:rPr>
        <w:t>（2）提供的货物经查证无法得到生产厂家正规售后服务的；</w:t>
      </w:r>
    </w:p>
    <w:p w14:paraId="1DF9FA98">
      <w:pPr>
        <w:snapToGrid w:val="0"/>
        <w:ind w:firstLine="420" w:firstLineChars="200"/>
        <w:jc w:val="both"/>
        <w:rPr>
          <w:rFonts w:hAnsi="宋体" w:cs="仿宋"/>
          <w:color w:val="auto"/>
          <w:highlight w:val="none"/>
        </w:rPr>
      </w:pPr>
      <w:r>
        <w:rPr>
          <w:rFonts w:hint="eastAsia" w:hAnsi="宋体" w:cs="仿宋"/>
          <w:color w:val="auto"/>
          <w:highlight w:val="none"/>
        </w:rPr>
        <w:t>（3）提供的货物未经正规合法经销渠道的；</w:t>
      </w:r>
    </w:p>
    <w:p w14:paraId="3CA9C686">
      <w:pPr>
        <w:snapToGrid w:val="0"/>
        <w:ind w:firstLine="420" w:firstLineChars="200"/>
        <w:jc w:val="both"/>
        <w:rPr>
          <w:rFonts w:hAnsi="宋体" w:cs="仿宋"/>
          <w:color w:val="auto"/>
          <w:highlight w:val="none"/>
        </w:rPr>
      </w:pPr>
      <w:r>
        <w:rPr>
          <w:rFonts w:hint="eastAsia" w:hAnsi="宋体" w:cs="仿宋"/>
          <w:color w:val="auto"/>
          <w:highlight w:val="none"/>
        </w:rPr>
        <w:t>（4）提供的货物侵犯了第三方合法权益而引发了纠纷或诉讼，导致无法按期交付使用的；</w:t>
      </w:r>
    </w:p>
    <w:p w14:paraId="767CAF5A">
      <w:pPr>
        <w:snapToGrid w:val="0"/>
        <w:ind w:firstLine="420" w:firstLineChars="200"/>
        <w:jc w:val="both"/>
        <w:rPr>
          <w:rFonts w:hAnsi="宋体" w:cs="仿宋"/>
          <w:color w:val="auto"/>
          <w:highlight w:val="none"/>
        </w:rPr>
      </w:pPr>
      <w:r>
        <w:rPr>
          <w:rFonts w:hint="eastAsia" w:hAnsi="宋体" w:cs="仿宋"/>
          <w:color w:val="auto"/>
          <w:highlight w:val="none"/>
        </w:rPr>
        <w:t>（5）所交的货物品种、型号、规格、质量等不符合投标文件提供的技术数据经实际测试发现不真实的。</w:t>
      </w:r>
    </w:p>
    <w:p w14:paraId="5EB0D105">
      <w:pPr>
        <w:snapToGrid w:val="0"/>
        <w:ind w:firstLine="420" w:firstLineChars="200"/>
        <w:jc w:val="both"/>
        <w:rPr>
          <w:rFonts w:hAnsi="宋体" w:cs="仿宋"/>
          <w:color w:val="auto"/>
          <w:highlight w:val="none"/>
        </w:rPr>
      </w:pPr>
      <w:r>
        <w:rPr>
          <w:rFonts w:hint="eastAsia" w:hAnsi="宋体" w:cs="仿宋"/>
          <w:color w:val="auto"/>
          <w:highlight w:val="none"/>
        </w:rPr>
        <w:t>（6）发现所提供的产品有弄虚作假的行为的。</w:t>
      </w:r>
    </w:p>
    <w:p w14:paraId="1EC0FD0C">
      <w:pPr>
        <w:snapToGrid w:val="0"/>
        <w:ind w:firstLine="420" w:firstLineChars="200"/>
        <w:jc w:val="both"/>
        <w:rPr>
          <w:rFonts w:hAnsi="宋体" w:cs="仿宋"/>
          <w:color w:val="auto"/>
          <w:highlight w:val="none"/>
        </w:rPr>
      </w:pPr>
      <w:r>
        <w:rPr>
          <w:rFonts w:hint="eastAsia" w:hAnsi="宋体" w:cs="仿宋"/>
          <w:color w:val="auto"/>
          <w:highlight w:val="none"/>
        </w:rPr>
        <w:t>1</w:t>
      </w:r>
      <w:r>
        <w:rPr>
          <w:rFonts w:hint="eastAsia" w:hAnsi="宋体" w:cs="仿宋"/>
          <w:color w:val="auto"/>
          <w:highlight w:val="none"/>
          <w:lang w:val="en-US" w:eastAsia="zh-CN"/>
        </w:rPr>
        <w:t>6</w:t>
      </w:r>
      <w:r>
        <w:rPr>
          <w:rFonts w:hint="eastAsia" w:hAnsi="宋体" w:cs="仿宋"/>
          <w:color w:val="auto"/>
          <w:highlight w:val="none"/>
        </w:rPr>
        <w:t>.甲方有权委托第三方进行履约验收，履约验收费用由乙方支付。</w:t>
      </w:r>
    </w:p>
    <w:p w14:paraId="66528C8A">
      <w:pPr>
        <w:snapToGrid w:val="0"/>
        <w:ind w:firstLine="420" w:firstLineChars="200"/>
        <w:jc w:val="both"/>
        <w:rPr>
          <w:rFonts w:hAnsi="宋体" w:cs="仿宋"/>
          <w:color w:val="auto"/>
          <w:highlight w:val="none"/>
        </w:rPr>
      </w:pPr>
      <w:r>
        <w:rPr>
          <w:rFonts w:hAnsi="宋体" w:cs="仿宋"/>
          <w:color w:val="auto"/>
          <w:highlight w:val="none"/>
        </w:rPr>
        <w:t>1</w:t>
      </w:r>
      <w:r>
        <w:rPr>
          <w:rFonts w:hint="eastAsia" w:hAnsi="宋体" w:cs="仿宋"/>
          <w:color w:val="auto"/>
          <w:highlight w:val="none"/>
          <w:lang w:val="en-US" w:eastAsia="zh-CN"/>
        </w:rPr>
        <w:t>7</w:t>
      </w:r>
      <w:r>
        <w:rPr>
          <w:rFonts w:hint="eastAsia" w:hAnsi="宋体" w:cs="仿宋"/>
          <w:color w:val="auto"/>
          <w:highlight w:val="none"/>
        </w:rPr>
        <w:t>.甲方应当在安装、调试完成且收到乙方验收申请后</w:t>
      </w:r>
      <w:r>
        <w:rPr>
          <w:rFonts w:hAnsi="宋体" w:cs="仿宋"/>
          <w:color w:val="auto"/>
          <w:highlight w:val="none"/>
        </w:rPr>
        <w:t>7</w:t>
      </w:r>
      <w:r>
        <w:rPr>
          <w:rFonts w:hint="eastAsia" w:hAnsi="宋体" w:cs="仿宋"/>
          <w:color w:val="auto"/>
          <w:highlight w:val="none"/>
        </w:rPr>
        <w:t>个工作日内组织验收，1</w:t>
      </w:r>
      <w:r>
        <w:rPr>
          <w:rFonts w:hAnsi="宋体" w:cs="仿宋"/>
          <w:color w:val="auto"/>
          <w:highlight w:val="none"/>
        </w:rPr>
        <w:t>0</w:t>
      </w:r>
      <w:r>
        <w:rPr>
          <w:rFonts w:hint="eastAsia" w:hAnsi="宋体" w:cs="仿宋"/>
          <w:color w:val="auto"/>
          <w:highlight w:val="none"/>
        </w:rPr>
        <w:t>个工作日内完成验收，如果有特殊情况无法完成验收的，书面向分管领导报告。验收合格后由甲乙双方签署货物验收单并加盖双方单位公章，甲乙双方各执一份。货物验收单只有单方签字的，需征得对方书面同意。</w:t>
      </w:r>
    </w:p>
    <w:p w14:paraId="6E1AEDB9">
      <w:pPr>
        <w:snapToGrid w:val="0"/>
        <w:ind w:firstLine="420" w:firstLineChars="200"/>
        <w:jc w:val="both"/>
        <w:rPr>
          <w:rFonts w:hAnsi="宋体" w:cs="仿宋"/>
          <w:color w:val="auto"/>
          <w:highlight w:val="none"/>
        </w:rPr>
      </w:pPr>
      <w:r>
        <w:rPr>
          <w:rFonts w:hAnsi="宋体" w:cs="仿宋"/>
          <w:color w:val="auto"/>
          <w:highlight w:val="none"/>
        </w:rPr>
        <w:t>1</w:t>
      </w:r>
      <w:r>
        <w:rPr>
          <w:rFonts w:hint="eastAsia" w:hAnsi="宋体" w:cs="仿宋"/>
          <w:color w:val="auto"/>
          <w:highlight w:val="none"/>
          <w:lang w:val="en-US" w:eastAsia="zh-CN"/>
        </w:rPr>
        <w:t>8</w:t>
      </w:r>
      <w:r>
        <w:rPr>
          <w:rFonts w:hAnsi="宋体" w:cs="仿宋"/>
          <w:color w:val="auto"/>
          <w:highlight w:val="none"/>
        </w:rPr>
        <w:t>.</w:t>
      </w:r>
      <w:r>
        <w:rPr>
          <w:rFonts w:hint="eastAsia" w:hAnsi="宋体" w:cs="仿宋"/>
          <w:color w:val="auto"/>
          <w:highlight w:val="none"/>
        </w:rPr>
        <w:t>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0315DA98">
      <w:pPr>
        <w:snapToGrid w:val="0"/>
        <w:ind w:firstLine="422" w:firstLineChars="200"/>
        <w:jc w:val="both"/>
        <w:rPr>
          <w:rFonts w:hAnsi="宋体"/>
          <w:b/>
          <w:color w:val="auto"/>
          <w:highlight w:val="none"/>
        </w:rPr>
      </w:pPr>
      <w:r>
        <w:rPr>
          <w:rFonts w:hint="eastAsia" w:hAnsi="宋体"/>
          <w:b/>
          <w:color w:val="auto"/>
          <w:highlight w:val="none"/>
        </w:rPr>
        <w:t>第十三条  货物包装、发运及运输</w:t>
      </w:r>
    </w:p>
    <w:p w14:paraId="09D9DD2D">
      <w:pPr>
        <w:snapToGrid w:val="0"/>
        <w:ind w:firstLine="420" w:firstLineChars="200"/>
        <w:jc w:val="both"/>
        <w:rPr>
          <w:rFonts w:hAnsi="宋体"/>
          <w:color w:val="auto"/>
          <w:highlight w:val="none"/>
        </w:rPr>
      </w:pPr>
      <w:r>
        <w:rPr>
          <w:rFonts w:hint="eastAsia" w:hAnsi="宋体"/>
          <w:color w:val="auto"/>
          <w:highlight w:val="none"/>
        </w:rPr>
        <w:t>1.乙方应在货物发运前对其进行满足运输距离、防潮、防震、防锈和防破损装卸等要求包装，以保证货物安全运达甲方指定地点。</w:t>
      </w:r>
    </w:p>
    <w:p w14:paraId="4A825BFE">
      <w:pPr>
        <w:snapToGrid w:val="0"/>
        <w:ind w:firstLine="420" w:firstLineChars="200"/>
        <w:jc w:val="both"/>
        <w:rPr>
          <w:rFonts w:hAnsi="宋体"/>
          <w:color w:val="auto"/>
          <w:highlight w:val="none"/>
        </w:rPr>
      </w:pPr>
      <w:r>
        <w:rPr>
          <w:rFonts w:hint="eastAsia" w:hAnsi="宋体"/>
          <w:color w:val="auto"/>
          <w:highlight w:val="none"/>
        </w:rPr>
        <w:t>2.使用说明书、质量检验证明书、随配附件和工具以及清单一并附于货物内。</w:t>
      </w:r>
    </w:p>
    <w:p w14:paraId="05E10A3D">
      <w:pPr>
        <w:snapToGrid w:val="0"/>
        <w:ind w:firstLine="420" w:firstLineChars="200"/>
        <w:jc w:val="both"/>
        <w:rPr>
          <w:rFonts w:hAnsi="宋体"/>
          <w:color w:val="auto"/>
          <w:highlight w:val="none"/>
        </w:rPr>
      </w:pPr>
      <w:r>
        <w:rPr>
          <w:rFonts w:hint="eastAsia" w:hAnsi="宋体"/>
          <w:color w:val="auto"/>
          <w:highlight w:val="none"/>
        </w:rPr>
        <w:t>3.乙方在货物发运手续办理完毕后二十四小时内或货到甲方四十八小时前通知甲方，以准备接货。</w:t>
      </w:r>
    </w:p>
    <w:p w14:paraId="17DCE46A">
      <w:pPr>
        <w:snapToGrid w:val="0"/>
        <w:ind w:firstLine="420" w:firstLineChars="200"/>
        <w:jc w:val="both"/>
        <w:rPr>
          <w:rFonts w:hAnsi="宋体"/>
          <w:color w:val="auto"/>
          <w:highlight w:val="none"/>
        </w:rPr>
      </w:pPr>
      <w:r>
        <w:rPr>
          <w:rFonts w:hint="eastAsia" w:hAnsi="宋体"/>
          <w:color w:val="auto"/>
          <w:highlight w:val="none"/>
        </w:rPr>
        <w:t>4.货物在交付甲方前发生的风险均由乙方负责。</w:t>
      </w:r>
    </w:p>
    <w:p w14:paraId="69441D7F">
      <w:pPr>
        <w:snapToGrid w:val="0"/>
        <w:ind w:firstLine="420" w:firstLineChars="200"/>
        <w:jc w:val="both"/>
        <w:rPr>
          <w:rFonts w:hAnsi="宋体"/>
          <w:b/>
          <w:color w:val="auto"/>
          <w:highlight w:val="none"/>
        </w:rPr>
      </w:pPr>
      <w:r>
        <w:rPr>
          <w:rFonts w:hint="eastAsia" w:hAnsi="宋体"/>
          <w:color w:val="auto"/>
          <w:highlight w:val="none"/>
        </w:rPr>
        <w:t>5.货物在规定的交付期限内由乙方送达甲方指定的地点视为交付，乙方同时需</w:t>
      </w:r>
      <w:r>
        <w:rPr>
          <w:rFonts w:hint="eastAsia" w:hAnsi="宋体"/>
          <w:color w:val="auto"/>
          <w:spacing w:val="-8"/>
          <w:highlight w:val="none"/>
        </w:rPr>
        <w:t>通知甲方货物已送达。</w:t>
      </w:r>
    </w:p>
    <w:p w14:paraId="24225A17">
      <w:pPr>
        <w:snapToGrid w:val="0"/>
        <w:ind w:firstLine="422" w:firstLineChars="200"/>
        <w:jc w:val="both"/>
        <w:rPr>
          <w:rFonts w:hAnsi="宋体"/>
          <w:b/>
          <w:color w:val="auto"/>
          <w:highlight w:val="none"/>
        </w:rPr>
      </w:pPr>
      <w:r>
        <w:rPr>
          <w:rFonts w:hint="eastAsia" w:hAnsi="宋体"/>
          <w:b/>
          <w:color w:val="auto"/>
          <w:highlight w:val="none"/>
        </w:rPr>
        <w:t>第十四条  违约责任</w:t>
      </w:r>
    </w:p>
    <w:p w14:paraId="122A05F6">
      <w:pPr>
        <w:snapToGrid w:val="0"/>
        <w:ind w:firstLine="420" w:firstLineChars="200"/>
        <w:jc w:val="both"/>
        <w:rPr>
          <w:rFonts w:hAnsi="宋体"/>
          <w:color w:val="auto"/>
          <w:highlight w:val="none"/>
        </w:rPr>
      </w:pPr>
      <w:r>
        <w:rPr>
          <w:rFonts w:hAnsi="宋体"/>
          <w:color w:val="auto"/>
          <w:highlight w:val="none"/>
        </w:rPr>
        <w:t>1</w:t>
      </w:r>
      <w:r>
        <w:rPr>
          <w:rFonts w:hint="eastAsia" w:hAnsi="宋体"/>
          <w:color w:val="auto"/>
          <w:highlight w:val="none"/>
        </w:rPr>
        <w:t>.甲方无故延期接收货物、乙方逾期交货的，每天向对方偿付违约货款额</w:t>
      </w:r>
      <w:r>
        <w:rPr>
          <w:rFonts w:hint="eastAsia" w:hAnsi="宋体"/>
          <w:color w:val="auto"/>
          <w:highlight w:val="none"/>
          <w:u w:val="single"/>
        </w:rPr>
        <w:t>3‰</w:t>
      </w:r>
      <w:r>
        <w:rPr>
          <w:rFonts w:hint="eastAsia" w:hAnsi="宋体"/>
          <w:color w:val="auto"/>
          <w:highlight w:val="none"/>
        </w:rPr>
        <w:t>违约金，但违约金累计不得超过合同总金额的</w:t>
      </w:r>
      <w:r>
        <w:rPr>
          <w:rFonts w:hint="eastAsia" w:hAnsi="宋体"/>
          <w:color w:val="auto"/>
          <w:highlight w:val="none"/>
          <w:u w:val="single"/>
        </w:rPr>
        <w:t>5%</w:t>
      </w:r>
      <w:r>
        <w:rPr>
          <w:rFonts w:hint="eastAsia" w:hAnsi="宋体"/>
          <w:color w:val="auto"/>
          <w:highlight w:val="none"/>
        </w:rPr>
        <w:t>，超过</w:t>
      </w:r>
      <w:r>
        <w:rPr>
          <w:rFonts w:hint="eastAsia" w:hAnsi="宋体"/>
          <w:color w:val="auto"/>
          <w:highlight w:val="none"/>
          <w:u w:val="single"/>
        </w:rPr>
        <w:t xml:space="preserve"> 十 </w:t>
      </w:r>
      <w:r>
        <w:rPr>
          <w:rFonts w:hint="eastAsia" w:hAnsi="宋体"/>
          <w:color w:val="auto"/>
          <w:highlight w:val="none"/>
        </w:rPr>
        <w:t>天对方有权解除合同，违约方承担因此给对方造成的经济损失；甲方延期付货款的，每天向乙方偿付延期货款额</w:t>
      </w:r>
      <w:r>
        <w:rPr>
          <w:rFonts w:hint="eastAsia" w:hAnsi="宋体"/>
          <w:color w:val="auto"/>
          <w:highlight w:val="none"/>
          <w:u w:val="single"/>
        </w:rPr>
        <w:t>3‰</w:t>
      </w:r>
      <w:r>
        <w:rPr>
          <w:rFonts w:hint="eastAsia" w:hAnsi="宋体"/>
          <w:color w:val="auto"/>
          <w:highlight w:val="none"/>
        </w:rPr>
        <w:t>滞纳金，但滞纳金累计不得超过合同总金额的</w:t>
      </w:r>
      <w:r>
        <w:rPr>
          <w:rFonts w:hint="eastAsia" w:hAnsi="宋体"/>
          <w:color w:val="auto"/>
          <w:highlight w:val="none"/>
          <w:u w:val="single"/>
        </w:rPr>
        <w:t>5%</w:t>
      </w:r>
      <w:r>
        <w:rPr>
          <w:rFonts w:hint="eastAsia" w:hAnsi="宋体"/>
          <w:color w:val="auto"/>
          <w:highlight w:val="none"/>
        </w:rPr>
        <w:t>。</w:t>
      </w:r>
    </w:p>
    <w:p w14:paraId="13397102">
      <w:pPr>
        <w:snapToGrid w:val="0"/>
        <w:ind w:firstLine="420" w:firstLineChars="200"/>
        <w:jc w:val="both"/>
        <w:rPr>
          <w:rFonts w:hAnsi="宋体" w:cs="仿宋"/>
          <w:color w:val="auto"/>
          <w:highlight w:val="none"/>
        </w:rPr>
      </w:pPr>
      <w:r>
        <w:rPr>
          <w:rFonts w:hAnsi="宋体" w:cs="仿宋"/>
          <w:color w:val="auto"/>
          <w:highlight w:val="none"/>
        </w:rPr>
        <w:t>2</w:t>
      </w:r>
      <w:r>
        <w:rPr>
          <w:rFonts w:hint="eastAsia" w:hAnsi="宋体" w:cs="仿宋"/>
          <w:color w:val="auto"/>
          <w:highlight w:val="none"/>
        </w:rPr>
        <w:t>.乙方所提供的货物规格、技术标准、材料等质量不合格或不符合相关法律法规的，应按要求在 5日内更换完毕，更换不及时的按逾期交货处罚，并承担由此造成的损失；若货物投入使用后，甲方在使用过程中发现货物存在交货时未发现的其他技术标准、材料等质量不合格或不符合相关法律法规问题的（包括乙方应提供而未提供的相关法律法规要求必须具备的资质材料或资质材料到期未及时更新提供的），甲方可要求更换或退货，乙方须支付甲方该批货款额的30%作为赔偿金。存在质量问题的，甲方有权拒绝接收，同时有权要求乙方支付该批货</w:t>
      </w:r>
      <w:r>
        <w:rPr>
          <w:rFonts w:hint="eastAsia" w:hAnsi="宋体" w:cs="仿宋"/>
          <w:color w:val="auto"/>
          <w:highlight w:val="none"/>
          <w:lang w:eastAsia="zh-CN"/>
        </w:rPr>
        <w:t>款</w:t>
      </w:r>
      <w:r>
        <w:rPr>
          <w:rFonts w:hint="eastAsia" w:hAnsi="宋体" w:cs="仿宋"/>
          <w:color w:val="auto"/>
          <w:highlight w:val="none"/>
        </w:rPr>
        <w:t xml:space="preserve">5%违约金并赔偿甲方经济损失。                                       </w:t>
      </w:r>
    </w:p>
    <w:p w14:paraId="3ABFA0A8">
      <w:pPr>
        <w:snapToGrid w:val="0"/>
        <w:ind w:firstLine="420" w:firstLineChars="200"/>
        <w:jc w:val="both"/>
        <w:rPr>
          <w:rFonts w:hAnsi="宋体" w:cs="仿宋"/>
          <w:color w:val="auto"/>
          <w:highlight w:val="none"/>
        </w:rPr>
      </w:pPr>
      <w:r>
        <w:rPr>
          <w:rFonts w:hAnsi="宋体" w:cs="仿宋"/>
          <w:color w:val="auto"/>
          <w:highlight w:val="none"/>
        </w:rPr>
        <w:t>3</w:t>
      </w:r>
      <w:r>
        <w:rPr>
          <w:rFonts w:hint="eastAsia" w:hAnsi="宋体" w:cs="仿宋"/>
          <w:color w:val="auto"/>
          <w:highlight w:val="none"/>
        </w:rPr>
        <w:t>.乙方提供的货物如侵犯了第三方合法权益而引发的任何纠纷或诉讼，均由乙方负责交涉并承担全部责任。如因提供的货物侵犯了第三方合法权益而引发了纠纷或诉讼，导致无法按期交付使用的，甲方可拒绝验收，同时有权要求乙方支付该批货款额5%违约金并赔偿甲方经济损失。</w:t>
      </w:r>
    </w:p>
    <w:p w14:paraId="38C64046">
      <w:pPr>
        <w:snapToGrid w:val="0"/>
        <w:ind w:firstLine="420" w:firstLineChars="200"/>
        <w:jc w:val="both"/>
        <w:rPr>
          <w:rFonts w:hAnsi="宋体" w:cs="仿宋"/>
          <w:color w:val="auto"/>
          <w:highlight w:val="none"/>
        </w:rPr>
      </w:pPr>
      <w:r>
        <w:rPr>
          <w:rFonts w:hAnsi="宋体" w:cs="仿宋"/>
          <w:color w:val="auto"/>
          <w:highlight w:val="none"/>
        </w:rPr>
        <w:t>4</w:t>
      </w:r>
      <w:r>
        <w:rPr>
          <w:rFonts w:hint="eastAsia" w:hAnsi="宋体" w:cs="仿宋"/>
          <w:color w:val="auto"/>
          <w:highlight w:val="none"/>
        </w:rPr>
        <w:t>.因包装、运输引起的货物损坏，按质量不合格处理。</w:t>
      </w:r>
    </w:p>
    <w:p w14:paraId="30EF4444">
      <w:pPr>
        <w:snapToGrid w:val="0"/>
        <w:ind w:firstLine="420" w:firstLineChars="200"/>
        <w:jc w:val="both"/>
        <w:rPr>
          <w:rFonts w:hAnsi="宋体" w:cs="仿宋"/>
          <w:color w:val="auto"/>
          <w:highlight w:val="none"/>
        </w:rPr>
      </w:pPr>
      <w:r>
        <w:rPr>
          <w:rFonts w:hAnsi="宋体" w:cs="仿宋"/>
          <w:color w:val="auto"/>
          <w:highlight w:val="none"/>
        </w:rPr>
        <w:t>5</w:t>
      </w:r>
      <w:r>
        <w:rPr>
          <w:rFonts w:hint="eastAsia" w:hAnsi="宋体" w:cs="仿宋"/>
          <w:color w:val="auto"/>
          <w:highlight w:val="none"/>
        </w:rPr>
        <w:t>.乙方逾期交货的，每天向甲方偿付该逾期交付货物金额的3‰违约金，但违约金累计不得超过该批货款额5%。超过10天甲方有权解除合同，乙方承担因此给甲方造成的经济损失。</w:t>
      </w:r>
    </w:p>
    <w:p w14:paraId="16A93ED2">
      <w:pPr>
        <w:snapToGrid w:val="0"/>
        <w:ind w:firstLine="420" w:firstLineChars="200"/>
        <w:jc w:val="both"/>
        <w:rPr>
          <w:rFonts w:hAnsi="宋体" w:cs="仿宋"/>
          <w:color w:val="auto"/>
          <w:highlight w:val="none"/>
        </w:rPr>
      </w:pPr>
      <w:r>
        <w:rPr>
          <w:rFonts w:hAnsi="宋体" w:cs="仿宋"/>
          <w:color w:val="auto"/>
          <w:highlight w:val="none"/>
        </w:rPr>
        <w:t>6</w:t>
      </w:r>
      <w:r>
        <w:rPr>
          <w:rFonts w:hint="eastAsia" w:hAnsi="宋体" w:cs="仿宋"/>
          <w:color w:val="auto"/>
          <w:highlight w:val="none"/>
        </w:rPr>
        <w:t>.乙方未按签订的合同和投标文件中规定的服务承诺提供售后服务的，乙方应按签订的合同合计金额5%向甲方支付违约金；承诺由生产厂家提供正规售后服务但经查证后无法得到生产厂家正规售后服务的，甲方可拒绝验收。</w:t>
      </w:r>
    </w:p>
    <w:p w14:paraId="7C72A8C1">
      <w:pPr>
        <w:snapToGrid w:val="0"/>
        <w:ind w:firstLine="420" w:firstLineChars="200"/>
        <w:jc w:val="both"/>
        <w:rPr>
          <w:rFonts w:hAnsi="宋体" w:cs="仿宋"/>
          <w:color w:val="auto"/>
          <w:highlight w:val="none"/>
        </w:rPr>
      </w:pPr>
      <w:r>
        <w:rPr>
          <w:rFonts w:hAnsi="宋体" w:cs="仿宋"/>
          <w:color w:val="auto"/>
          <w:highlight w:val="none"/>
        </w:rPr>
        <w:t>7</w:t>
      </w:r>
      <w:r>
        <w:rPr>
          <w:rFonts w:hint="eastAsia" w:hAnsi="宋体" w:cs="仿宋"/>
          <w:color w:val="auto"/>
          <w:highlight w:val="none"/>
        </w:rPr>
        <w:t>.乙方提供的货物在质量保证期内，因设计、工艺或材料的缺陷和</w:t>
      </w:r>
      <w:r>
        <w:rPr>
          <w:rFonts w:hint="eastAsia" w:hAnsi="宋体" w:cs="仿宋"/>
          <w:color w:val="auto"/>
          <w:highlight w:val="none"/>
          <w:lang w:eastAsia="zh-CN"/>
        </w:rPr>
        <w:t>其他</w:t>
      </w:r>
      <w:r>
        <w:rPr>
          <w:rFonts w:hint="eastAsia" w:hAnsi="宋体" w:cs="仿宋"/>
          <w:color w:val="auto"/>
          <w:highlight w:val="none"/>
        </w:rPr>
        <w:t>质量原因造成的</w:t>
      </w:r>
      <w:r>
        <w:rPr>
          <w:rFonts w:hint="eastAsia" w:hAnsi="宋体" w:cs="仿宋"/>
          <w:color w:val="auto"/>
          <w:highlight w:val="none"/>
          <w:lang w:eastAsia="zh-CN"/>
        </w:rPr>
        <w:t>问题</w:t>
      </w:r>
      <w:r>
        <w:rPr>
          <w:rFonts w:hint="eastAsia" w:hAnsi="宋体" w:cs="仿宋"/>
          <w:color w:val="auto"/>
          <w:highlight w:val="none"/>
        </w:rPr>
        <w:t>，产生的维修或更换费用、给甲方造成的经济损失均由乙方承担。</w:t>
      </w:r>
    </w:p>
    <w:p w14:paraId="1B1E3BCF">
      <w:pPr>
        <w:snapToGrid w:val="0"/>
        <w:ind w:firstLine="420" w:firstLineChars="200"/>
        <w:jc w:val="both"/>
        <w:rPr>
          <w:rFonts w:hAnsi="宋体" w:cs="仿宋"/>
          <w:color w:val="auto"/>
          <w:highlight w:val="none"/>
        </w:rPr>
      </w:pPr>
      <w:r>
        <w:rPr>
          <w:rFonts w:hAnsi="宋体" w:cs="仿宋"/>
          <w:color w:val="auto"/>
          <w:highlight w:val="none"/>
        </w:rPr>
        <w:t>8</w:t>
      </w:r>
      <w:r>
        <w:rPr>
          <w:rFonts w:hint="eastAsia" w:hAnsi="宋体" w:cs="仿宋"/>
          <w:color w:val="auto"/>
          <w:highlight w:val="none"/>
        </w:rPr>
        <w:t>.如发现所提供的产品有弄虚作假的行为，甲方有权拒绝接收产品或退货，并要求乙方赔偿损失，此条赔偿总额为该批货款的50%，同时甲方有权单方终止合同。</w:t>
      </w:r>
    </w:p>
    <w:p w14:paraId="0A869A4E">
      <w:pPr>
        <w:snapToGrid w:val="0"/>
        <w:ind w:firstLine="420" w:firstLineChars="200"/>
        <w:jc w:val="both"/>
        <w:rPr>
          <w:rFonts w:hAnsi="宋体" w:cs="仿宋"/>
          <w:color w:val="auto"/>
          <w:highlight w:val="none"/>
        </w:rPr>
      </w:pPr>
      <w:r>
        <w:rPr>
          <w:rFonts w:hAnsi="宋体" w:cs="仿宋"/>
          <w:color w:val="auto"/>
          <w:highlight w:val="none"/>
        </w:rPr>
        <w:t>9</w:t>
      </w:r>
      <w:r>
        <w:rPr>
          <w:rFonts w:hint="eastAsia" w:hAnsi="宋体" w:cs="仿宋"/>
          <w:color w:val="auto"/>
          <w:highlight w:val="none"/>
        </w:rPr>
        <w:t>.将本项目转让、分包给他人的，一经发现，甲方经政府采购监督管理部门同意有权单方终止合同，并有权要求乙方承担由此造成的一切经济损失。</w:t>
      </w:r>
    </w:p>
    <w:p w14:paraId="6A214E3E">
      <w:pPr>
        <w:snapToGrid w:val="0"/>
        <w:ind w:firstLine="420" w:firstLineChars="200"/>
        <w:jc w:val="both"/>
        <w:rPr>
          <w:rFonts w:hAnsi="宋体"/>
          <w:color w:val="auto"/>
          <w:highlight w:val="none"/>
        </w:rPr>
      </w:pPr>
      <w:r>
        <w:rPr>
          <w:rFonts w:hAnsi="宋体" w:cs="仿宋"/>
          <w:color w:val="auto"/>
          <w:highlight w:val="none"/>
        </w:rPr>
        <w:t>10</w:t>
      </w:r>
      <w:r>
        <w:rPr>
          <w:rFonts w:hint="eastAsia" w:hAnsi="宋体" w:cs="仿宋"/>
          <w:color w:val="auto"/>
          <w:highlight w:val="none"/>
        </w:rPr>
        <w:t>.</w:t>
      </w:r>
      <w:r>
        <w:rPr>
          <w:rFonts w:hint="eastAsia" w:hAnsi="宋体" w:cs="仿宋"/>
          <w:color w:val="auto"/>
          <w:highlight w:val="none"/>
          <w:lang w:eastAsia="zh-CN"/>
        </w:rPr>
        <w:t>其他</w:t>
      </w:r>
      <w:r>
        <w:rPr>
          <w:rFonts w:hint="eastAsia" w:hAnsi="宋体" w:cs="仿宋"/>
          <w:color w:val="auto"/>
          <w:highlight w:val="none"/>
        </w:rPr>
        <w:t>违约行为按违约货款额5%收取违约金并赔偿经济损失。</w:t>
      </w:r>
    </w:p>
    <w:p w14:paraId="577D1492">
      <w:pPr>
        <w:snapToGrid w:val="0"/>
        <w:ind w:firstLine="422" w:firstLineChars="200"/>
        <w:jc w:val="both"/>
        <w:rPr>
          <w:rFonts w:hAnsi="宋体"/>
          <w:b/>
          <w:color w:val="auto"/>
          <w:highlight w:val="none"/>
        </w:rPr>
      </w:pPr>
      <w:r>
        <w:rPr>
          <w:rFonts w:hint="eastAsia" w:hAnsi="宋体"/>
          <w:b/>
          <w:color w:val="auto"/>
          <w:highlight w:val="none"/>
        </w:rPr>
        <w:t>第十五条  不可抗力事件处理</w:t>
      </w:r>
    </w:p>
    <w:p w14:paraId="658E7542">
      <w:pPr>
        <w:snapToGrid w:val="0"/>
        <w:ind w:firstLine="420" w:firstLineChars="200"/>
        <w:jc w:val="both"/>
        <w:rPr>
          <w:rFonts w:hAnsi="宋体"/>
          <w:color w:val="auto"/>
          <w:highlight w:val="none"/>
        </w:rPr>
      </w:pPr>
      <w:r>
        <w:rPr>
          <w:rFonts w:hint="eastAsia" w:hAnsi="宋体"/>
          <w:color w:val="auto"/>
          <w:highlight w:val="none"/>
        </w:rPr>
        <w:t>1.在合同有效期内，任何一方因不可抗力事件导致不能履行合同，则合同履行期可延长，其延长期与不可抗力影响期相同。</w:t>
      </w:r>
    </w:p>
    <w:p w14:paraId="1B18B1B9">
      <w:pPr>
        <w:snapToGrid w:val="0"/>
        <w:ind w:firstLine="420" w:firstLineChars="200"/>
        <w:jc w:val="both"/>
        <w:rPr>
          <w:rFonts w:hAnsi="宋体"/>
          <w:color w:val="auto"/>
          <w:highlight w:val="none"/>
        </w:rPr>
      </w:pPr>
      <w:r>
        <w:rPr>
          <w:rFonts w:hint="eastAsia" w:hAnsi="宋体"/>
          <w:color w:val="auto"/>
          <w:highlight w:val="none"/>
        </w:rPr>
        <w:t>2.不可抗力事件发生后，应立即通知对方，并寄送有关权威机构出具的证明。</w:t>
      </w:r>
    </w:p>
    <w:p w14:paraId="787175BD">
      <w:pPr>
        <w:snapToGrid w:val="0"/>
        <w:ind w:firstLine="420" w:firstLineChars="200"/>
        <w:jc w:val="both"/>
        <w:rPr>
          <w:rFonts w:hAnsi="宋体"/>
          <w:color w:val="auto"/>
          <w:highlight w:val="none"/>
        </w:rPr>
      </w:pPr>
      <w:r>
        <w:rPr>
          <w:rFonts w:hint="eastAsia" w:hAnsi="宋体"/>
          <w:color w:val="auto"/>
          <w:highlight w:val="none"/>
        </w:rPr>
        <w:t>3.不可抗力事件延续一百二十天以上，双方应通过友好协商，确定是否继续履行合同。</w:t>
      </w:r>
    </w:p>
    <w:p w14:paraId="4444B22C">
      <w:pPr>
        <w:snapToGrid w:val="0"/>
        <w:ind w:firstLine="422" w:firstLineChars="200"/>
        <w:jc w:val="both"/>
        <w:rPr>
          <w:rFonts w:hAnsi="宋体"/>
          <w:color w:val="auto"/>
          <w:highlight w:val="none"/>
        </w:rPr>
      </w:pPr>
      <w:r>
        <w:rPr>
          <w:rFonts w:hint="eastAsia" w:hAnsi="宋体"/>
          <w:b/>
          <w:color w:val="auto"/>
          <w:highlight w:val="none"/>
        </w:rPr>
        <w:t>第十六条  合同争议解决</w:t>
      </w:r>
    </w:p>
    <w:p w14:paraId="4BB053E2">
      <w:pPr>
        <w:snapToGrid w:val="0"/>
        <w:ind w:firstLine="420" w:firstLineChars="200"/>
        <w:jc w:val="both"/>
        <w:rPr>
          <w:rFonts w:hAnsi="宋体"/>
          <w:color w:val="auto"/>
          <w:highlight w:val="none"/>
        </w:rPr>
      </w:pPr>
      <w:r>
        <w:rPr>
          <w:rFonts w:hint="eastAsia" w:hAnsi="宋体"/>
          <w:color w:val="auto"/>
          <w:highlight w:val="none"/>
        </w:rPr>
        <w:t>1.因货物质量问题发生争议的，应邀请国家认可的质量检测机构对货物质量进行鉴定。货物符合标准的，鉴定费由甲方承担；货物不符合标准的，鉴定费由乙方承担。</w:t>
      </w:r>
    </w:p>
    <w:p w14:paraId="00D65F9E">
      <w:pPr>
        <w:snapToGrid w:val="0"/>
        <w:ind w:firstLine="420" w:firstLineChars="200"/>
        <w:jc w:val="both"/>
        <w:rPr>
          <w:rFonts w:hAnsi="宋体"/>
          <w:color w:val="auto"/>
          <w:highlight w:val="none"/>
        </w:rPr>
      </w:pPr>
      <w:r>
        <w:rPr>
          <w:rFonts w:hint="eastAsia" w:hAnsi="宋体"/>
          <w:color w:val="auto"/>
          <w:highlight w:val="none"/>
        </w:rPr>
        <w:t>2.因履行本合同引起的或与本合同有关的争议，甲乙双方应首先通过友好协商解决，如果协商不能解决，按合同事先约定的条款，可向</w:t>
      </w:r>
      <w:r>
        <w:rPr>
          <w:rFonts w:hint="eastAsia" w:hAnsi="宋体"/>
          <w:color w:val="auto"/>
          <w:spacing w:val="4"/>
          <w:highlight w:val="none"/>
        </w:rPr>
        <w:t>甲方所在地的</w:t>
      </w:r>
      <w:r>
        <w:rPr>
          <w:rFonts w:hint="eastAsia" w:hAnsi="宋体"/>
          <w:color w:val="auto"/>
          <w:highlight w:val="none"/>
        </w:rPr>
        <w:t>人民法院提起诉讼。</w:t>
      </w:r>
    </w:p>
    <w:p w14:paraId="00EED491">
      <w:pPr>
        <w:snapToGrid w:val="0"/>
        <w:ind w:firstLine="420" w:firstLineChars="200"/>
        <w:jc w:val="both"/>
        <w:rPr>
          <w:rFonts w:hAnsi="宋体"/>
          <w:color w:val="auto"/>
          <w:highlight w:val="none"/>
        </w:rPr>
      </w:pPr>
      <w:r>
        <w:rPr>
          <w:rFonts w:hint="eastAsia" w:hAnsi="宋体"/>
          <w:color w:val="auto"/>
          <w:highlight w:val="none"/>
        </w:rPr>
        <w:t>3.诉讼期间，本合同继续履行。</w:t>
      </w:r>
    </w:p>
    <w:p w14:paraId="2304ED6E">
      <w:pPr>
        <w:snapToGrid w:val="0"/>
        <w:ind w:firstLine="422" w:firstLineChars="200"/>
        <w:jc w:val="both"/>
        <w:rPr>
          <w:rFonts w:hAnsi="宋体"/>
          <w:b/>
          <w:color w:val="auto"/>
          <w:highlight w:val="none"/>
        </w:rPr>
      </w:pPr>
      <w:r>
        <w:rPr>
          <w:rFonts w:hint="eastAsia" w:hAnsi="宋体"/>
          <w:b/>
          <w:color w:val="auto"/>
          <w:highlight w:val="none"/>
        </w:rPr>
        <w:t>第十七条  合同生效及其它</w:t>
      </w:r>
    </w:p>
    <w:p w14:paraId="588B30FF">
      <w:pPr>
        <w:snapToGrid w:val="0"/>
        <w:ind w:firstLine="420" w:firstLineChars="200"/>
        <w:jc w:val="both"/>
        <w:rPr>
          <w:rFonts w:hAnsi="宋体"/>
          <w:color w:val="auto"/>
          <w:highlight w:val="none"/>
        </w:rPr>
      </w:pPr>
      <w:r>
        <w:rPr>
          <w:rFonts w:hint="eastAsia" w:hAnsi="宋体"/>
          <w:color w:val="auto"/>
          <w:highlight w:val="none"/>
        </w:rPr>
        <w:t>1.合同经双方法定代表人（负责人或自然人）或授权代表签字盖章（自然人加盖手指指印）后生效。</w:t>
      </w:r>
    </w:p>
    <w:p w14:paraId="3872BD6F">
      <w:pPr>
        <w:snapToGrid w:val="0"/>
        <w:ind w:firstLine="420" w:firstLineChars="200"/>
        <w:jc w:val="both"/>
        <w:rPr>
          <w:rFonts w:hAnsi="宋体"/>
          <w:color w:val="auto"/>
          <w:highlight w:val="none"/>
        </w:rPr>
      </w:pPr>
      <w:r>
        <w:rPr>
          <w:rFonts w:hint="eastAsia" w:hAnsi="宋体"/>
          <w:color w:val="auto"/>
          <w:highlight w:val="none"/>
        </w:rPr>
        <w:t>2.合同执行中涉及采购资金和采购内容修改或补充的，须经财政部门审批，并</w:t>
      </w:r>
      <w:r>
        <w:rPr>
          <w:rFonts w:hint="eastAsia" w:hAnsi="宋体"/>
          <w:color w:val="auto"/>
          <w:highlight w:val="none"/>
          <w:lang w:eastAsia="zh-CN"/>
        </w:rPr>
        <w:t>签订</w:t>
      </w:r>
      <w:r>
        <w:rPr>
          <w:rFonts w:hint="eastAsia" w:hAnsi="宋体"/>
          <w:color w:val="auto"/>
          <w:highlight w:val="none"/>
        </w:rPr>
        <w:t>书面补充协议报财政部门备案，方可作为主合同不可分割的一部分。</w:t>
      </w:r>
    </w:p>
    <w:p w14:paraId="4D3D2B15">
      <w:pPr>
        <w:snapToGrid w:val="0"/>
        <w:ind w:firstLine="420" w:firstLineChars="200"/>
        <w:jc w:val="both"/>
        <w:rPr>
          <w:rFonts w:hAnsi="宋体"/>
          <w:color w:val="auto"/>
          <w:highlight w:val="none"/>
        </w:rPr>
      </w:pPr>
      <w:r>
        <w:rPr>
          <w:rFonts w:hint="eastAsia" w:hAnsi="宋体"/>
          <w:color w:val="auto"/>
          <w:highlight w:val="none"/>
        </w:rPr>
        <w:t>3.本合同未尽事宜，遵照《中华人民共和国民法典》有关条文执行。</w:t>
      </w:r>
    </w:p>
    <w:p w14:paraId="57628A75">
      <w:pPr>
        <w:snapToGrid w:val="0"/>
        <w:ind w:firstLine="422" w:firstLineChars="200"/>
        <w:jc w:val="both"/>
        <w:rPr>
          <w:rFonts w:hAnsi="宋体"/>
          <w:b/>
          <w:color w:val="auto"/>
          <w:highlight w:val="none"/>
        </w:rPr>
      </w:pPr>
      <w:r>
        <w:rPr>
          <w:rFonts w:hint="eastAsia" w:hAnsi="宋体"/>
          <w:b/>
          <w:color w:val="auto"/>
          <w:highlight w:val="none"/>
        </w:rPr>
        <w:t>第十八条　合同的变更、终止与转让</w:t>
      </w:r>
    </w:p>
    <w:p w14:paraId="408D6524">
      <w:pPr>
        <w:snapToGrid w:val="0"/>
        <w:ind w:firstLine="420" w:firstLineChars="200"/>
        <w:jc w:val="both"/>
        <w:rPr>
          <w:rFonts w:hAnsi="宋体"/>
          <w:color w:val="auto"/>
          <w:highlight w:val="none"/>
        </w:rPr>
      </w:pPr>
      <w:r>
        <w:rPr>
          <w:rFonts w:hint="eastAsia" w:hAnsi="宋体"/>
          <w:color w:val="auto"/>
          <w:highlight w:val="none"/>
        </w:rPr>
        <w:t>1.除《中华人民共和国政府采购法》第五十条规定的情形外，本合同一经签订，甲乙双方不得擅自变更、中止或终止。</w:t>
      </w:r>
    </w:p>
    <w:p w14:paraId="7CE886DE">
      <w:pPr>
        <w:snapToGrid w:val="0"/>
        <w:ind w:firstLine="420" w:firstLineChars="200"/>
        <w:jc w:val="both"/>
        <w:rPr>
          <w:rFonts w:hAnsi="宋体"/>
          <w:color w:val="auto"/>
          <w:highlight w:val="none"/>
        </w:rPr>
      </w:pPr>
      <w:r>
        <w:rPr>
          <w:rFonts w:hint="eastAsia" w:hAnsi="宋体"/>
          <w:color w:val="auto"/>
          <w:highlight w:val="none"/>
        </w:rPr>
        <w:t>2.乙方不得擅自转让（无进口资格的供应商委托进口货物除外）其应履行的合同义务。</w:t>
      </w:r>
    </w:p>
    <w:p w14:paraId="79EF0429">
      <w:pPr>
        <w:snapToGrid w:val="0"/>
        <w:ind w:firstLine="422" w:firstLineChars="200"/>
        <w:jc w:val="both"/>
        <w:rPr>
          <w:rFonts w:hAnsi="宋体"/>
          <w:b/>
          <w:color w:val="auto"/>
          <w:highlight w:val="none"/>
        </w:rPr>
      </w:pPr>
      <w:r>
        <w:rPr>
          <w:rFonts w:hint="eastAsia" w:hAnsi="宋体"/>
          <w:b/>
          <w:color w:val="auto"/>
          <w:highlight w:val="none"/>
        </w:rPr>
        <w:t>第十九条　签订本合同依据</w:t>
      </w:r>
    </w:p>
    <w:p w14:paraId="500AFE0C">
      <w:pPr>
        <w:snapToGrid w:val="0"/>
        <w:ind w:firstLine="420" w:firstLineChars="200"/>
        <w:jc w:val="both"/>
        <w:rPr>
          <w:rFonts w:hAnsi="宋体"/>
          <w:color w:val="auto"/>
          <w:highlight w:val="none"/>
        </w:rPr>
      </w:pPr>
      <w:r>
        <w:rPr>
          <w:rFonts w:hint="eastAsia" w:hAnsi="宋体"/>
          <w:color w:val="auto"/>
          <w:highlight w:val="none"/>
        </w:rPr>
        <w:t>1.政府采购招标文件；</w:t>
      </w:r>
    </w:p>
    <w:p w14:paraId="6E96998C">
      <w:pPr>
        <w:snapToGrid w:val="0"/>
        <w:ind w:firstLine="420" w:firstLineChars="200"/>
        <w:jc w:val="both"/>
        <w:rPr>
          <w:rFonts w:hAnsi="宋体"/>
          <w:color w:val="auto"/>
          <w:highlight w:val="none"/>
        </w:rPr>
      </w:pPr>
      <w:r>
        <w:rPr>
          <w:rFonts w:hint="eastAsia" w:hAnsi="宋体"/>
          <w:color w:val="auto"/>
          <w:highlight w:val="none"/>
        </w:rPr>
        <w:t>2.乙方提供的采购投标（或应答）文件；</w:t>
      </w:r>
    </w:p>
    <w:p w14:paraId="4FF49F71">
      <w:pPr>
        <w:snapToGrid w:val="0"/>
        <w:ind w:firstLine="420" w:firstLineChars="200"/>
        <w:jc w:val="both"/>
        <w:rPr>
          <w:rFonts w:hAnsi="宋体"/>
          <w:color w:val="auto"/>
          <w:highlight w:val="none"/>
        </w:rPr>
      </w:pPr>
      <w:r>
        <w:rPr>
          <w:rFonts w:hint="eastAsia" w:hAnsi="宋体"/>
          <w:color w:val="auto"/>
          <w:highlight w:val="none"/>
        </w:rPr>
        <w:t>3.投标承诺书；</w:t>
      </w:r>
    </w:p>
    <w:p w14:paraId="1340151B">
      <w:pPr>
        <w:snapToGrid w:val="0"/>
        <w:ind w:firstLine="420" w:firstLineChars="200"/>
        <w:jc w:val="both"/>
        <w:rPr>
          <w:rFonts w:hAnsi="宋体"/>
          <w:color w:val="auto"/>
          <w:highlight w:val="none"/>
          <w:u w:val="single"/>
        </w:rPr>
      </w:pPr>
      <w:r>
        <w:rPr>
          <w:rFonts w:hint="eastAsia" w:hAnsi="宋体"/>
          <w:color w:val="auto"/>
          <w:highlight w:val="none"/>
        </w:rPr>
        <w:t>4.中标或成交通知书。</w:t>
      </w:r>
    </w:p>
    <w:p w14:paraId="483EE589">
      <w:pPr>
        <w:snapToGrid w:val="0"/>
        <w:ind w:firstLine="422" w:firstLineChars="200"/>
        <w:jc w:val="both"/>
        <w:rPr>
          <w:rFonts w:hAnsi="宋体"/>
          <w:color w:val="auto"/>
          <w:highlight w:val="none"/>
        </w:rPr>
      </w:pPr>
      <w:r>
        <w:rPr>
          <w:rFonts w:hint="eastAsia" w:hAnsi="宋体"/>
          <w:b/>
          <w:color w:val="auto"/>
          <w:highlight w:val="none"/>
        </w:rPr>
        <w:t>第二十条　</w:t>
      </w:r>
      <w:r>
        <w:rPr>
          <w:rFonts w:hint="eastAsia" w:hAnsi="宋体"/>
          <w:color w:val="auto"/>
          <w:highlight w:val="none"/>
        </w:rPr>
        <w:t>本合同一式五份，具有同等法律效力，甲方二份，乙方二份，代理机构一份（可根据需要</w:t>
      </w:r>
      <w:r>
        <w:rPr>
          <w:rFonts w:hint="eastAsia" w:hAnsi="宋体"/>
          <w:color w:val="auto"/>
          <w:highlight w:val="none"/>
          <w:lang w:eastAsia="zh-CN"/>
        </w:rPr>
        <w:t>另行</w:t>
      </w:r>
      <w:r>
        <w:rPr>
          <w:rFonts w:hint="eastAsia" w:hAnsi="宋体"/>
          <w:color w:val="auto"/>
          <w:highlight w:val="none"/>
        </w:rPr>
        <w:t>增加）。</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68"/>
        <w:gridCol w:w="5069"/>
      </w:tblGrid>
      <w:tr w14:paraId="68A5E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3" w:hRule="atLeast"/>
          <w:jc w:val="center"/>
        </w:trPr>
        <w:tc>
          <w:tcPr>
            <w:tcW w:w="5068" w:type="dxa"/>
          </w:tcPr>
          <w:p w14:paraId="304F6432">
            <w:pPr>
              <w:snapToGrid w:val="0"/>
              <w:spacing w:line="440" w:lineRule="exact"/>
              <w:rPr>
                <w:rFonts w:hAnsi="宋体"/>
                <w:color w:val="auto"/>
                <w:highlight w:val="none"/>
              </w:rPr>
            </w:pPr>
            <w:r>
              <w:rPr>
                <w:rFonts w:hint="eastAsia" w:hAnsi="宋体"/>
                <w:color w:val="auto"/>
                <w:highlight w:val="none"/>
              </w:rPr>
              <w:t xml:space="preserve">甲方（章）           </w:t>
            </w:r>
          </w:p>
          <w:p w14:paraId="394AD958">
            <w:pPr>
              <w:snapToGrid w:val="0"/>
              <w:spacing w:line="440" w:lineRule="exact"/>
              <w:ind w:firstLine="420" w:firstLineChars="200"/>
              <w:rPr>
                <w:rFonts w:hAnsi="宋体"/>
                <w:color w:val="auto"/>
                <w:highlight w:val="none"/>
              </w:rPr>
            </w:pPr>
          </w:p>
          <w:p w14:paraId="0716A763">
            <w:pPr>
              <w:snapToGrid w:val="0"/>
              <w:spacing w:line="440" w:lineRule="exact"/>
              <w:ind w:firstLine="420" w:firstLineChars="200"/>
              <w:jc w:val="right"/>
              <w:rPr>
                <w:rFonts w:hAnsi="宋体"/>
                <w:color w:val="auto"/>
                <w:highlight w:val="none"/>
              </w:rPr>
            </w:pPr>
            <w:r>
              <w:rPr>
                <w:rFonts w:hint="eastAsia" w:hAnsi="宋体"/>
                <w:color w:val="auto"/>
                <w:highlight w:val="none"/>
              </w:rPr>
              <w:t>年   月   日</w:t>
            </w:r>
          </w:p>
        </w:tc>
        <w:tc>
          <w:tcPr>
            <w:tcW w:w="5069" w:type="dxa"/>
          </w:tcPr>
          <w:p w14:paraId="3797B41B">
            <w:pPr>
              <w:snapToGrid w:val="0"/>
              <w:spacing w:line="440" w:lineRule="exact"/>
              <w:rPr>
                <w:rFonts w:hAnsi="宋体"/>
                <w:color w:val="auto"/>
                <w:highlight w:val="none"/>
              </w:rPr>
            </w:pPr>
            <w:r>
              <w:rPr>
                <w:rFonts w:hint="eastAsia" w:hAnsi="宋体"/>
                <w:color w:val="auto"/>
                <w:highlight w:val="none"/>
              </w:rPr>
              <w:t xml:space="preserve">乙方（章）              </w:t>
            </w:r>
          </w:p>
          <w:p w14:paraId="663FDBF0">
            <w:pPr>
              <w:snapToGrid w:val="0"/>
              <w:spacing w:line="440" w:lineRule="exact"/>
              <w:ind w:firstLine="420" w:firstLineChars="200"/>
              <w:rPr>
                <w:rFonts w:hAnsi="宋体"/>
                <w:color w:val="auto"/>
                <w:highlight w:val="none"/>
              </w:rPr>
            </w:pPr>
          </w:p>
          <w:p w14:paraId="268DB469">
            <w:pPr>
              <w:snapToGrid w:val="0"/>
              <w:spacing w:line="440" w:lineRule="exact"/>
              <w:ind w:firstLine="420" w:firstLineChars="200"/>
              <w:jc w:val="right"/>
              <w:rPr>
                <w:rFonts w:hAnsi="宋体"/>
                <w:color w:val="auto"/>
                <w:highlight w:val="none"/>
              </w:rPr>
            </w:pPr>
            <w:r>
              <w:rPr>
                <w:rFonts w:hint="eastAsia" w:hAnsi="宋体"/>
                <w:color w:val="auto"/>
                <w:highlight w:val="none"/>
              </w:rPr>
              <w:t xml:space="preserve"> 年   月   日</w:t>
            </w:r>
          </w:p>
        </w:tc>
      </w:tr>
      <w:tr w14:paraId="58BCA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5068" w:type="dxa"/>
          </w:tcPr>
          <w:p w14:paraId="4806C198">
            <w:pPr>
              <w:snapToGrid w:val="0"/>
              <w:spacing w:line="440" w:lineRule="exact"/>
              <w:rPr>
                <w:rFonts w:hAnsi="宋体"/>
                <w:color w:val="auto"/>
                <w:highlight w:val="none"/>
              </w:rPr>
            </w:pPr>
            <w:r>
              <w:rPr>
                <w:rFonts w:hint="eastAsia" w:hAnsi="宋体"/>
                <w:color w:val="auto"/>
                <w:highlight w:val="none"/>
              </w:rPr>
              <w:t>单位地址：</w:t>
            </w:r>
          </w:p>
        </w:tc>
        <w:tc>
          <w:tcPr>
            <w:tcW w:w="5069" w:type="dxa"/>
          </w:tcPr>
          <w:p w14:paraId="4B4612CD">
            <w:pPr>
              <w:snapToGrid w:val="0"/>
              <w:spacing w:line="440" w:lineRule="exact"/>
              <w:rPr>
                <w:rFonts w:hAnsi="宋体"/>
                <w:color w:val="auto"/>
                <w:highlight w:val="none"/>
              </w:rPr>
            </w:pPr>
            <w:r>
              <w:rPr>
                <w:rFonts w:hint="eastAsia" w:hAnsi="宋体"/>
                <w:color w:val="auto"/>
                <w:highlight w:val="none"/>
              </w:rPr>
              <w:t>单位地址：</w:t>
            </w:r>
          </w:p>
        </w:tc>
      </w:tr>
      <w:tr w14:paraId="46BD9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5068" w:type="dxa"/>
          </w:tcPr>
          <w:p w14:paraId="3B31B404">
            <w:pPr>
              <w:snapToGrid w:val="0"/>
              <w:spacing w:line="440" w:lineRule="exact"/>
              <w:rPr>
                <w:rFonts w:hAnsi="宋体"/>
                <w:color w:val="auto"/>
                <w:highlight w:val="none"/>
              </w:rPr>
            </w:pPr>
            <w:r>
              <w:rPr>
                <w:rFonts w:hint="eastAsia" w:hAnsi="宋体"/>
                <w:color w:val="auto"/>
                <w:highlight w:val="none"/>
              </w:rPr>
              <w:t>法定代表人：</w:t>
            </w:r>
          </w:p>
        </w:tc>
        <w:tc>
          <w:tcPr>
            <w:tcW w:w="5069" w:type="dxa"/>
          </w:tcPr>
          <w:p w14:paraId="51287BDA">
            <w:pPr>
              <w:snapToGrid w:val="0"/>
              <w:spacing w:line="440" w:lineRule="exact"/>
              <w:rPr>
                <w:rFonts w:hAnsi="宋体"/>
                <w:color w:val="auto"/>
                <w:highlight w:val="none"/>
              </w:rPr>
            </w:pPr>
            <w:r>
              <w:rPr>
                <w:rFonts w:hint="eastAsia" w:hAnsi="宋体"/>
                <w:color w:val="auto"/>
                <w:highlight w:val="none"/>
              </w:rPr>
              <w:t>法定代表人（负责人或自然人）：</w:t>
            </w:r>
          </w:p>
        </w:tc>
      </w:tr>
      <w:tr w14:paraId="2D694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jc w:val="center"/>
        </w:trPr>
        <w:tc>
          <w:tcPr>
            <w:tcW w:w="5068" w:type="dxa"/>
          </w:tcPr>
          <w:p w14:paraId="256BF392">
            <w:pPr>
              <w:snapToGrid w:val="0"/>
              <w:spacing w:line="440" w:lineRule="exact"/>
              <w:rPr>
                <w:rFonts w:hAnsi="宋体"/>
                <w:color w:val="auto"/>
                <w:highlight w:val="none"/>
              </w:rPr>
            </w:pPr>
            <w:r>
              <w:rPr>
                <w:rFonts w:hint="eastAsia" w:hAnsi="宋体"/>
                <w:color w:val="auto"/>
                <w:highlight w:val="none"/>
              </w:rPr>
              <w:t>或委托代理人：</w:t>
            </w:r>
          </w:p>
        </w:tc>
        <w:tc>
          <w:tcPr>
            <w:tcW w:w="5069" w:type="dxa"/>
          </w:tcPr>
          <w:p w14:paraId="40D2904B">
            <w:pPr>
              <w:snapToGrid w:val="0"/>
              <w:spacing w:line="440" w:lineRule="exact"/>
              <w:rPr>
                <w:rFonts w:hAnsi="宋体"/>
                <w:color w:val="auto"/>
                <w:highlight w:val="none"/>
              </w:rPr>
            </w:pPr>
            <w:r>
              <w:rPr>
                <w:rFonts w:hint="eastAsia" w:hAnsi="宋体"/>
                <w:color w:val="auto"/>
                <w:highlight w:val="none"/>
              </w:rPr>
              <w:t>或委托代理人：</w:t>
            </w:r>
          </w:p>
        </w:tc>
      </w:tr>
      <w:tr w14:paraId="7DB28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5068" w:type="dxa"/>
          </w:tcPr>
          <w:p w14:paraId="20B0B8F2">
            <w:pPr>
              <w:snapToGrid w:val="0"/>
              <w:spacing w:line="440" w:lineRule="exact"/>
              <w:rPr>
                <w:rFonts w:hAnsi="宋体"/>
                <w:color w:val="auto"/>
                <w:highlight w:val="none"/>
              </w:rPr>
            </w:pPr>
            <w:r>
              <w:rPr>
                <w:rFonts w:hint="eastAsia" w:hAnsi="宋体"/>
                <w:color w:val="auto"/>
                <w:highlight w:val="none"/>
              </w:rPr>
              <w:t>电    话：</w:t>
            </w:r>
          </w:p>
        </w:tc>
        <w:tc>
          <w:tcPr>
            <w:tcW w:w="5069" w:type="dxa"/>
          </w:tcPr>
          <w:p w14:paraId="4C694ED3">
            <w:pPr>
              <w:snapToGrid w:val="0"/>
              <w:spacing w:line="440" w:lineRule="exact"/>
              <w:rPr>
                <w:rFonts w:hAnsi="宋体"/>
                <w:color w:val="auto"/>
                <w:highlight w:val="none"/>
              </w:rPr>
            </w:pPr>
            <w:r>
              <w:rPr>
                <w:rFonts w:hint="eastAsia" w:hAnsi="宋体"/>
                <w:color w:val="auto"/>
                <w:highlight w:val="none"/>
              </w:rPr>
              <w:t>电    话：</w:t>
            </w:r>
          </w:p>
        </w:tc>
      </w:tr>
      <w:tr w14:paraId="33051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5068" w:type="dxa"/>
          </w:tcPr>
          <w:p w14:paraId="2E0D668E">
            <w:pPr>
              <w:snapToGrid w:val="0"/>
              <w:spacing w:line="440" w:lineRule="exact"/>
              <w:rPr>
                <w:rFonts w:hAnsi="宋体"/>
                <w:color w:val="auto"/>
                <w:highlight w:val="none"/>
              </w:rPr>
            </w:pPr>
            <w:r>
              <w:rPr>
                <w:rFonts w:hint="eastAsia" w:hAnsi="宋体"/>
                <w:color w:val="auto"/>
                <w:highlight w:val="none"/>
              </w:rPr>
              <w:t>电子邮箱：</w:t>
            </w:r>
          </w:p>
        </w:tc>
        <w:tc>
          <w:tcPr>
            <w:tcW w:w="5069" w:type="dxa"/>
          </w:tcPr>
          <w:p w14:paraId="5408D2E2">
            <w:pPr>
              <w:snapToGrid w:val="0"/>
              <w:spacing w:line="440" w:lineRule="exact"/>
              <w:rPr>
                <w:rFonts w:hAnsi="宋体"/>
                <w:color w:val="auto"/>
                <w:highlight w:val="none"/>
              </w:rPr>
            </w:pPr>
            <w:r>
              <w:rPr>
                <w:rFonts w:hint="eastAsia" w:hAnsi="宋体"/>
                <w:color w:val="auto"/>
                <w:highlight w:val="none"/>
              </w:rPr>
              <w:t>电子邮箱：</w:t>
            </w:r>
          </w:p>
        </w:tc>
      </w:tr>
      <w:tr w14:paraId="50A7D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5068" w:type="dxa"/>
          </w:tcPr>
          <w:p w14:paraId="45FEEFA2">
            <w:pPr>
              <w:snapToGrid w:val="0"/>
              <w:spacing w:line="440" w:lineRule="exact"/>
              <w:rPr>
                <w:rFonts w:hAnsi="宋体"/>
                <w:color w:val="auto"/>
                <w:highlight w:val="none"/>
              </w:rPr>
            </w:pPr>
            <w:r>
              <w:rPr>
                <w:rFonts w:hint="eastAsia" w:hAnsi="宋体"/>
                <w:color w:val="auto"/>
                <w:highlight w:val="none"/>
              </w:rPr>
              <w:t>开户银行：</w:t>
            </w:r>
          </w:p>
        </w:tc>
        <w:tc>
          <w:tcPr>
            <w:tcW w:w="5069" w:type="dxa"/>
          </w:tcPr>
          <w:p w14:paraId="213C29D5">
            <w:pPr>
              <w:snapToGrid w:val="0"/>
              <w:spacing w:line="440" w:lineRule="exact"/>
              <w:rPr>
                <w:rFonts w:hAnsi="宋体"/>
                <w:color w:val="auto"/>
                <w:highlight w:val="none"/>
              </w:rPr>
            </w:pPr>
            <w:r>
              <w:rPr>
                <w:rFonts w:hint="eastAsia" w:hAnsi="宋体"/>
                <w:color w:val="auto"/>
                <w:highlight w:val="none"/>
              </w:rPr>
              <w:t>开户银行：</w:t>
            </w:r>
          </w:p>
        </w:tc>
      </w:tr>
      <w:tr w14:paraId="62658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068" w:type="dxa"/>
          </w:tcPr>
          <w:p w14:paraId="376B1081">
            <w:pPr>
              <w:snapToGrid w:val="0"/>
              <w:spacing w:line="440" w:lineRule="exact"/>
              <w:rPr>
                <w:rFonts w:hAnsi="宋体"/>
                <w:color w:val="auto"/>
                <w:highlight w:val="none"/>
              </w:rPr>
            </w:pPr>
            <w:r>
              <w:rPr>
                <w:rFonts w:hint="eastAsia" w:hAnsi="宋体"/>
                <w:color w:val="auto"/>
                <w:highlight w:val="none"/>
              </w:rPr>
              <w:t>账    号：</w:t>
            </w:r>
          </w:p>
        </w:tc>
        <w:tc>
          <w:tcPr>
            <w:tcW w:w="5069" w:type="dxa"/>
          </w:tcPr>
          <w:p w14:paraId="7A97F13C">
            <w:pPr>
              <w:snapToGrid w:val="0"/>
              <w:spacing w:line="440" w:lineRule="exact"/>
              <w:rPr>
                <w:rFonts w:hAnsi="宋体"/>
                <w:color w:val="auto"/>
                <w:highlight w:val="none"/>
              </w:rPr>
            </w:pPr>
            <w:r>
              <w:rPr>
                <w:rFonts w:hint="eastAsia" w:hAnsi="宋体"/>
                <w:color w:val="auto"/>
                <w:highlight w:val="none"/>
              </w:rPr>
              <w:t>账    号：</w:t>
            </w:r>
          </w:p>
        </w:tc>
      </w:tr>
      <w:tr w14:paraId="6089A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5068" w:type="dxa"/>
          </w:tcPr>
          <w:p w14:paraId="2F296FD9">
            <w:pPr>
              <w:snapToGrid w:val="0"/>
              <w:spacing w:line="440" w:lineRule="exact"/>
              <w:rPr>
                <w:rFonts w:hAnsi="宋体"/>
                <w:color w:val="auto"/>
                <w:highlight w:val="none"/>
              </w:rPr>
            </w:pPr>
            <w:r>
              <w:rPr>
                <w:rFonts w:hint="eastAsia" w:hAnsi="宋体"/>
                <w:color w:val="auto"/>
                <w:highlight w:val="none"/>
              </w:rPr>
              <w:t>邮政编码：</w:t>
            </w:r>
          </w:p>
        </w:tc>
        <w:tc>
          <w:tcPr>
            <w:tcW w:w="5069" w:type="dxa"/>
          </w:tcPr>
          <w:p w14:paraId="060908A1">
            <w:pPr>
              <w:snapToGrid w:val="0"/>
              <w:spacing w:line="440" w:lineRule="exact"/>
              <w:rPr>
                <w:rFonts w:hAnsi="宋体"/>
                <w:color w:val="auto"/>
                <w:highlight w:val="none"/>
              </w:rPr>
            </w:pPr>
            <w:r>
              <w:rPr>
                <w:rFonts w:hint="eastAsia" w:hAnsi="宋体"/>
                <w:color w:val="auto"/>
                <w:highlight w:val="none"/>
              </w:rPr>
              <w:t>邮政编码：</w:t>
            </w:r>
          </w:p>
        </w:tc>
      </w:tr>
      <w:tr w14:paraId="7B349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10137" w:type="dxa"/>
            <w:gridSpan w:val="2"/>
            <w:vAlign w:val="center"/>
          </w:tcPr>
          <w:p w14:paraId="73BBF91C">
            <w:pPr>
              <w:snapToGrid w:val="0"/>
              <w:spacing w:line="440" w:lineRule="exact"/>
              <w:ind w:right="210"/>
              <w:jc w:val="both"/>
              <w:rPr>
                <w:rFonts w:hAnsi="宋体"/>
                <w:color w:val="auto"/>
                <w:highlight w:val="none"/>
              </w:rPr>
            </w:pPr>
            <w:r>
              <w:rPr>
                <w:rFonts w:hint="eastAsia" w:hAnsi="宋体"/>
                <w:color w:val="auto"/>
                <w:highlight w:val="none"/>
              </w:rPr>
              <w:t>经办人：</w:t>
            </w:r>
          </w:p>
          <w:p w14:paraId="0A1569DE">
            <w:pPr>
              <w:snapToGrid w:val="0"/>
              <w:spacing w:line="440" w:lineRule="exact"/>
              <w:ind w:firstLine="8400" w:firstLineChars="4000"/>
              <w:jc w:val="both"/>
              <w:rPr>
                <w:rFonts w:hAnsi="宋体"/>
                <w:color w:val="auto"/>
                <w:highlight w:val="none"/>
              </w:rPr>
            </w:pPr>
            <w:r>
              <w:rPr>
                <w:rFonts w:hint="eastAsia" w:hAnsi="宋体"/>
                <w:color w:val="auto"/>
                <w:highlight w:val="none"/>
              </w:rPr>
              <w:t>年   月   日</w:t>
            </w:r>
          </w:p>
        </w:tc>
      </w:tr>
    </w:tbl>
    <w:p w14:paraId="48F2B1F4">
      <w:pPr>
        <w:snapToGrid w:val="0"/>
        <w:spacing w:before="120" w:beforeLines="50" w:line="400" w:lineRule="exact"/>
        <w:jc w:val="center"/>
        <w:rPr>
          <w:rFonts w:hAnsi="宋体"/>
          <w:bCs/>
          <w:color w:val="auto"/>
          <w:sz w:val="32"/>
          <w:szCs w:val="32"/>
          <w:highlight w:val="none"/>
        </w:rPr>
      </w:pPr>
      <w:r>
        <w:rPr>
          <w:rFonts w:hAnsi="宋体"/>
          <w:bCs/>
          <w:color w:val="auto"/>
          <w:highlight w:val="none"/>
        </w:rPr>
        <w:br w:type="page"/>
      </w:r>
      <w:r>
        <w:rPr>
          <w:rFonts w:hint="eastAsia" w:hAnsi="宋体"/>
          <w:bCs/>
          <w:color w:val="auto"/>
          <w:sz w:val="32"/>
          <w:szCs w:val="32"/>
          <w:highlight w:val="none"/>
        </w:rPr>
        <w:t>合同附件</w:t>
      </w:r>
    </w:p>
    <w:p w14:paraId="5CB4E9C2">
      <w:pPr>
        <w:snapToGrid w:val="0"/>
        <w:spacing w:line="400" w:lineRule="exact"/>
        <w:rPr>
          <w:rFonts w:hAnsi="宋体"/>
          <w:bCs/>
          <w:color w:val="auto"/>
          <w:highlight w:val="none"/>
        </w:rPr>
      </w:pPr>
      <w:r>
        <w:rPr>
          <w:rFonts w:hint="eastAsia" w:hAnsi="宋体"/>
          <w:bCs/>
          <w:color w:val="auto"/>
          <w:highlight w:val="none"/>
        </w:rPr>
        <w:t>一般货物类</w:t>
      </w:r>
    </w:p>
    <w:tbl>
      <w:tblPr>
        <w:tblStyle w:val="4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60"/>
        <w:gridCol w:w="4360"/>
      </w:tblGrid>
      <w:tr w14:paraId="0FCB4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2"/>
            <w:shd w:val="clear" w:color="auto" w:fill="auto"/>
          </w:tcPr>
          <w:p w14:paraId="1E4CE2E6">
            <w:pPr>
              <w:snapToGrid w:val="0"/>
              <w:spacing w:line="400" w:lineRule="exact"/>
              <w:rPr>
                <w:rFonts w:hAnsi="宋体" w:cs="仿宋"/>
                <w:color w:val="auto"/>
                <w:highlight w:val="none"/>
              </w:rPr>
            </w:pPr>
            <w:r>
              <w:rPr>
                <w:rFonts w:hAnsi="宋体" w:cs="仿宋"/>
                <w:color w:val="auto"/>
                <w:highlight w:val="none"/>
              </w:rPr>
              <w:t>1.</w:t>
            </w:r>
            <w:r>
              <w:rPr>
                <w:rFonts w:hint="eastAsia" w:hAnsi="宋体" w:cs="仿宋"/>
                <w:color w:val="auto"/>
                <w:highlight w:val="none"/>
              </w:rPr>
              <w:t>供应商承诺具体事项：</w:t>
            </w:r>
          </w:p>
          <w:p w14:paraId="06D41138">
            <w:pPr>
              <w:snapToGrid w:val="0"/>
              <w:spacing w:line="400" w:lineRule="exact"/>
              <w:rPr>
                <w:rFonts w:hAnsi="宋体" w:cs="仿宋"/>
                <w:color w:val="auto"/>
                <w:highlight w:val="none"/>
              </w:rPr>
            </w:pPr>
          </w:p>
          <w:p w14:paraId="76505916">
            <w:pPr>
              <w:snapToGrid w:val="0"/>
              <w:spacing w:line="400" w:lineRule="exact"/>
              <w:rPr>
                <w:rFonts w:hAnsi="宋体" w:cs="仿宋"/>
                <w:color w:val="auto"/>
                <w:highlight w:val="none"/>
              </w:rPr>
            </w:pPr>
          </w:p>
          <w:p w14:paraId="3B784DD3">
            <w:pPr>
              <w:snapToGrid w:val="0"/>
              <w:spacing w:line="400" w:lineRule="exact"/>
              <w:rPr>
                <w:rFonts w:hAnsi="宋体" w:cs="仿宋"/>
                <w:color w:val="auto"/>
                <w:highlight w:val="none"/>
              </w:rPr>
            </w:pPr>
          </w:p>
          <w:p w14:paraId="24A3DAC4">
            <w:pPr>
              <w:snapToGrid w:val="0"/>
              <w:spacing w:line="400" w:lineRule="exact"/>
              <w:rPr>
                <w:rFonts w:hAnsi="宋体"/>
                <w:bCs/>
                <w:color w:val="auto"/>
                <w:highlight w:val="none"/>
              </w:rPr>
            </w:pPr>
          </w:p>
        </w:tc>
      </w:tr>
      <w:tr w14:paraId="76024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2"/>
            <w:shd w:val="clear" w:color="auto" w:fill="auto"/>
          </w:tcPr>
          <w:p w14:paraId="31D0B1DB">
            <w:pPr>
              <w:snapToGrid w:val="0"/>
              <w:spacing w:line="400" w:lineRule="exact"/>
              <w:rPr>
                <w:rFonts w:hAnsi="宋体" w:cs="仿宋"/>
                <w:color w:val="auto"/>
                <w:highlight w:val="none"/>
              </w:rPr>
            </w:pPr>
            <w:r>
              <w:rPr>
                <w:rFonts w:hAnsi="宋体" w:cs="仿宋"/>
                <w:color w:val="auto"/>
                <w:highlight w:val="none"/>
              </w:rPr>
              <w:t>2.</w:t>
            </w:r>
            <w:r>
              <w:rPr>
                <w:rFonts w:hint="eastAsia" w:hAnsi="宋体" w:cs="仿宋"/>
                <w:color w:val="auto"/>
                <w:highlight w:val="none"/>
              </w:rPr>
              <w:t>售后服务具体事项：</w:t>
            </w:r>
          </w:p>
          <w:p w14:paraId="4E57E2BC">
            <w:pPr>
              <w:snapToGrid w:val="0"/>
              <w:spacing w:line="400" w:lineRule="exact"/>
              <w:rPr>
                <w:rFonts w:hAnsi="宋体" w:cs="仿宋"/>
                <w:color w:val="auto"/>
                <w:highlight w:val="none"/>
              </w:rPr>
            </w:pPr>
          </w:p>
          <w:p w14:paraId="11CF8456">
            <w:pPr>
              <w:snapToGrid w:val="0"/>
              <w:spacing w:line="400" w:lineRule="exact"/>
              <w:rPr>
                <w:rFonts w:hAnsi="宋体" w:cs="仿宋"/>
                <w:color w:val="auto"/>
                <w:highlight w:val="none"/>
              </w:rPr>
            </w:pPr>
          </w:p>
          <w:p w14:paraId="41F2F408">
            <w:pPr>
              <w:snapToGrid w:val="0"/>
              <w:spacing w:line="400" w:lineRule="exact"/>
              <w:rPr>
                <w:rFonts w:hAnsi="宋体" w:cs="仿宋"/>
                <w:color w:val="auto"/>
                <w:highlight w:val="none"/>
              </w:rPr>
            </w:pPr>
          </w:p>
          <w:p w14:paraId="3B7DF970">
            <w:pPr>
              <w:snapToGrid w:val="0"/>
              <w:spacing w:line="400" w:lineRule="exact"/>
              <w:rPr>
                <w:rFonts w:hAnsi="宋体"/>
                <w:bCs/>
                <w:color w:val="auto"/>
                <w:highlight w:val="none"/>
              </w:rPr>
            </w:pPr>
          </w:p>
        </w:tc>
      </w:tr>
      <w:tr w14:paraId="3C57C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2"/>
            <w:shd w:val="clear" w:color="auto" w:fill="auto"/>
          </w:tcPr>
          <w:p w14:paraId="5ED3F496">
            <w:pPr>
              <w:snapToGrid w:val="0"/>
              <w:spacing w:line="400" w:lineRule="exact"/>
              <w:rPr>
                <w:rFonts w:hAnsi="宋体" w:cs="仿宋"/>
                <w:color w:val="auto"/>
                <w:highlight w:val="none"/>
              </w:rPr>
            </w:pPr>
            <w:r>
              <w:rPr>
                <w:rFonts w:hAnsi="宋体" w:cs="仿宋"/>
                <w:color w:val="auto"/>
                <w:highlight w:val="none"/>
              </w:rPr>
              <w:t>3.</w:t>
            </w:r>
            <w:r>
              <w:rPr>
                <w:rFonts w:hint="eastAsia" w:hAnsi="宋体" w:cs="仿宋"/>
                <w:color w:val="auto"/>
                <w:highlight w:val="none"/>
              </w:rPr>
              <w:t>保修期责任：</w:t>
            </w:r>
          </w:p>
          <w:p w14:paraId="0677B8A6">
            <w:pPr>
              <w:snapToGrid w:val="0"/>
              <w:spacing w:line="400" w:lineRule="exact"/>
              <w:rPr>
                <w:rFonts w:hAnsi="宋体" w:cs="仿宋"/>
                <w:color w:val="auto"/>
                <w:highlight w:val="none"/>
              </w:rPr>
            </w:pPr>
          </w:p>
          <w:p w14:paraId="46564E7A">
            <w:pPr>
              <w:snapToGrid w:val="0"/>
              <w:spacing w:line="400" w:lineRule="exact"/>
              <w:rPr>
                <w:rFonts w:hAnsi="宋体" w:cs="仿宋"/>
                <w:color w:val="auto"/>
                <w:highlight w:val="none"/>
              </w:rPr>
            </w:pPr>
          </w:p>
          <w:p w14:paraId="69A2DA9E">
            <w:pPr>
              <w:snapToGrid w:val="0"/>
              <w:spacing w:line="400" w:lineRule="exact"/>
              <w:rPr>
                <w:rFonts w:hAnsi="宋体" w:cs="仿宋"/>
                <w:color w:val="auto"/>
                <w:highlight w:val="none"/>
              </w:rPr>
            </w:pPr>
          </w:p>
          <w:p w14:paraId="2EF080C8">
            <w:pPr>
              <w:snapToGrid w:val="0"/>
              <w:spacing w:line="400" w:lineRule="exact"/>
              <w:rPr>
                <w:rFonts w:hAnsi="宋体"/>
                <w:bCs/>
                <w:color w:val="auto"/>
                <w:highlight w:val="none"/>
              </w:rPr>
            </w:pPr>
          </w:p>
        </w:tc>
      </w:tr>
      <w:tr w14:paraId="3B8FC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37" w:type="dxa"/>
            <w:gridSpan w:val="2"/>
            <w:shd w:val="clear" w:color="auto" w:fill="auto"/>
          </w:tcPr>
          <w:p w14:paraId="7A01D069">
            <w:pPr>
              <w:snapToGrid w:val="0"/>
              <w:spacing w:line="400" w:lineRule="exact"/>
              <w:rPr>
                <w:rFonts w:hAnsi="宋体" w:cs="仿宋"/>
                <w:color w:val="auto"/>
                <w:highlight w:val="none"/>
              </w:rPr>
            </w:pPr>
            <w:r>
              <w:rPr>
                <w:rFonts w:hAnsi="宋体" w:cs="仿宋"/>
                <w:color w:val="auto"/>
                <w:highlight w:val="none"/>
              </w:rPr>
              <w:t>4.</w:t>
            </w:r>
            <w:r>
              <w:rPr>
                <w:rFonts w:hint="eastAsia" w:hAnsi="宋体" w:cs="仿宋"/>
                <w:color w:val="auto"/>
                <w:highlight w:val="none"/>
              </w:rPr>
              <w:t>其他具体事项：</w:t>
            </w:r>
          </w:p>
          <w:p w14:paraId="5097038D">
            <w:pPr>
              <w:snapToGrid w:val="0"/>
              <w:spacing w:line="400" w:lineRule="exact"/>
              <w:rPr>
                <w:rFonts w:hAnsi="宋体" w:cs="仿宋"/>
                <w:color w:val="auto"/>
                <w:highlight w:val="none"/>
              </w:rPr>
            </w:pPr>
          </w:p>
          <w:p w14:paraId="3D4BA59A">
            <w:pPr>
              <w:snapToGrid w:val="0"/>
              <w:spacing w:line="400" w:lineRule="exact"/>
              <w:rPr>
                <w:rFonts w:hAnsi="宋体" w:cs="仿宋"/>
                <w:color w:val="auto"/>
                <w:highlight w:val="none"/>
              </w:rPr>
            </w:pPr>
          </w:p>
          <w:p w14:paraId="5AA0C26A">
            <w:pPr>
              <w:snapToGrid w:val="0"/>
              <w:spacing w:line="400" w:lineRule="exact"/>
              <w:rPr>
                <w:rFonts w:hAnsi="宋体" w:cs="仿宋"/>
                <w:color w:val="auto"/>
                <w:highlight w:val="none"/>
              </w:rPr>
            </w:pPr>
          </w:p>
          <w:p w14:paraId="3A6051C5">
            <w:pPr>
              <w:snapToGrid w:val="0"/>
              <w:spacing w:line="400" w:lineRule="exact"/>
              <w:rPr>
                <w:rFonts w:hAnsi="宋体"/>
                <w:bCs/>
                <w:color w:val="auto"/>
                <w:highlight w:val="none"/>
              </w:rPr>
            </w:pPr>
          </w:p>
        </w:tc>
      </w:tr>
      <w:tr w14:paraId="653F8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68" w:type="dxa"/>
            <w:tcBorders>
              <w:top w:val="single" w:color="auto" w:sz="4" w:space="0"/>
              <w:left w:val="single" w:color="auto" w:sz="4" w:space="0"/>
              <w:bottom w:val="single" w:color="auto" w:sz="4" w:space="0"/>
              <w:right w:val="single" w:color="auto" w:sz="4" w:space="0"/>
            </w:tcBorders>
            <w:shd w:val="clear" w:color="auto" w:fill="auto"/>
          </w:tcPr>
          <w:p w14:paraId="23E42372">
            <w:pPr>
              <w:snapToGrid w:val="0"/>
              <w:spacing w:line="400" w:lineRule="exact"/>
              <w:rPr>
                <w:rFonts w:hAnsi="宋体" w:cs="仿宋"/>
                <w:color w:val="auto"/>
                <w:highlight w:val="none"/>
              </w:rPr>
            </w:pPr>
            <w:r>
              <w:rPr>
                <w:rFonts w:hint="eastAsia" w:hAnsi="宋体" w:cs="仿宋"/>
                <w:color w:val="auto"/>
                <w:highlight w:val="none"/>
              </w:rPr>
              <w:t>甲方（章）</w:t>
            </w:r>
          </w:p>
          <w:p w14:paraId="6C9B0559">
            <w:pPr>
              <w:snapToGrid w:val="0"/>
              <w:spacing w:line="400" w:lineRule="exact"/>
              <w:ind w:firstLine="2520" w:firstLineChars="1200"/>
              <w:rPr>
                <w:rFonts w:hAnsi="宋体" w:cs="仿宋"/>
                <w:color w:val="auto"/>
                <w:highlight w:val="none"/>
              </w:rPr>
            </w:pPr>
          </w:p>
          <w:p w14:paraId="60803950">
            <w:pPr>
              <w:snapToGrid w:val="0"/>
              <w:spacing w:line="400" w:lineRule="exact"/>
              <w:ind w:firstLine="2520" w:firstLineChars="1200"/>
              <w:rPr>
                <w:rFonts w:hAnsi="宋体" w:cs="仿宋"/>
                <w:color w:val="auto"/>
                <w:highlight w:val="none"/>
              </w:rPr>
            </w:pPr>
          </w:p>
          <w:p w14:paraId="3612F922">
            <w:pPr>
              <w:snapToGrid w:val="0"/>
              <w:spacing w:line="400" w:lineRule="exact"/>
              <w:ind w:firstLine="2520" w:firstLineChars="1200"/>
              <w:rPr>
                <w:rFonts w:hAnsi="宋体" w:cs="仿宋"/>
                <w:color w:val="auto"/>
                <w:highlight w:val="none"/>
              </w:rPr>
            </w:pPr>
          </w:p>
          <w:p w14:paraId="051A907A">
            <w:pPr>
              <w:snapToGrid w:val="0"/>
              <w:spacing w:line="400" w:lineRule="exact"/>
              <w:ind w:firstLine="2520" w:firstLineChars="1200"/>
              <w:rPr>
                <w:rFonts w:hAnsi="宋体" w:cs="仿宋"/>
                <w:color w:val="auto"/>
                <w:highlight w:val="none"/>
              </w:rPr>
            </w:pPr>
          </w:p>
          <w:p w14:paraId="46C772AA">
            <w:pPr>
              <w:snapToGrid w:val="0"/>
              <w:spacing w:line="400" w:lineRule="exact"/>
              <w:ind w:firstLine="2520" w:firstLineChars="1200"/>
              <w:rPr>
                <w:rFonts w:hAnsi="宋体" w:cs="仿宋"/>
                <w:color w:val="auto"/>
                <w:highlight w:val="none"/>
              </w:rPr>
            </w:pPr>
          </w:p>
          <w:p w14:paraId="0E33C147">
            <w:pPr>
              <w:snapToGrid w:val="0"/>
              <w:spacing w:line="400" w:lineRule="exact"/>
              <w:ind w:firstLine="2940" w:firstLineChars="1400"/>
              <w:rPr>
                <w:rFonts w:hAnsi="宋体"/>
                <w:bCs/>
                <w:color w:val="auto"/>
                <w:highlight w:val="none"/>
              </w:rPr>
            </w:pPr>
            <w:r>
              <w:rPr>
                <w:rFonts w:hint="eastAsia" w:hAnsi="宋体" w:cs="仿宋"/>
                <w:color w:val="auto"/>
                <w:highlight w:val="none"/>
              </w:rPr>
              <w:t xml:space="preserve">年  </w:t>
            </w:r>
            <w:r>
              <w:rPr>
                <w:rFonts w:hAnsi="宋体" w:cs="仿宋"/>
                <w:color w:val="auto"/>
                <w:highlight w:val="none"/>
              </w:rPr>
              <w:t xml:space="preserve">  </w:t>
            </w:r>
            <w:r>
              <w:rPr>
                <w:rFonts w:hint="eastAsia" w:hAnsi="宋体" w:cs="仿宋"/>
                <w:color w:val="auto"/>
                <w:highlight w:val="none"/>
              </w:rPr>
              <w:t xml:space="preserve">月 </w:t>
            </w:r>
            <w:r>
              <w:rPr>
                <w:rFonts w:hAnsi="宋体" w:cs="仿宋"/>
                <w:color w:val="auto"/>
                <w:highlight w:val="none"/>
              </w:rPr>
              <w:t xml:space="preserve">    </w:t>
            </w:r>
            <w:r>
              <w:rPr>
                <w:rFonts w:hint="eastAsia" w:hAnsi="宋体" w:cs="仿宋"/>
                <w:color w:val="auto"/>
                <w:highlight w:val="none"/>
              </w:rPr>
              <w:t>日</w:t>
            </w:r>
          </w:p>
        </w:tc>
        <w:tc>
          <w:tcPr>
            <w:tcW w:w="5069" w:type="dxa"/>
            <w:tcBorders>
              <w:top w:val="single" w:color="auto" w:sz="4" w:space="0"/>
              <w:left w:val="single" w:color="auto" w:sz="4" w:space="0"/>
              <w:bottom w:val="single" w:color="auto" w:sz="4" w:space="0"/>
              <w:right w:val="single" w:color="auto" w:sz="4" w:space="0"/>
            </w:tcBorders>
            <w:shd w:val="clear" w:color="auto" w:fill="auto"/>
          </w:tcPr>
          <w:p w14:paraId="7B2C9E16">
            <w:pPr>
              <w:snapToGrid w:val="0"/>
              <w:spacing w:line="400" w:lineRule="exact"/>
              <w:rPr>
                <w:rFonts w:hAnsi="宋体" w:cs="仿宋"/>
                <w:color w:val="auto"/>
                <w:highlight w:val="none"/>
              </w:rPr>
            </w:pPr>
            <w:r>
              <w:rPr>
                <w:rFonts w:hint="eastAsia" w:hAnsi="宋体" w:cs="仿宋"/>
                <w:color w:val="auto"/>
                <w:highlight w:val="none"/>
              </w:rPr>
              <w:t>乙方（章）</w:t>
            </w:r>
          </w:p>
          <w:p w14:paraId="56A472A0">
            <w:pPr>
              <w:snapToGrid w:val="0"/>
              <w:spacing w:line="400" w:lineRule="exact"/>
              <w:ind w:firstLine="2520" w:firstLineChars="1200"/>
              <w:rPr>
                <w:rFonts w:hAnsi="宋体" w:cs="仿宋"/>
                <w:color w:val="auto"/>
                <w:highlight w:val="none"/>
              </w:rPr>
            </w:pPr>
          </w:p>
          <w:p w14:paraId="25956E09">
            <w:pPr>
              <w:snapToGrid w:val="0"/>
              <w:spacing w:line="400" w:lineRule="exact"/>
              <w:ind w:firstLine="2520" w:firstLineChars="1200"/>
              <w:rPr>
                <w:rFonts w:hAnsi="宋体" w:cs="仿宋"/>
                <w:color w:val="auto"/>
                <w:highlight w:val="none"/>
              </w:rPr>
            </w:pPr>
          </w:p>
          <w:p w14:paraId="16BB2953">
            <w:pPr>
              <w:snapToGrid w:val="0"/>
              <w:spacing w:line="400" w:lineRule="exact"/>
              <w:ind w:firstLine="2520" w:firstLineChars="1200"/>
              <w:rPr>
                <w:rFonts w:hAnsi="宋体" w:cs="仿宋"/>
                <w:color w:val="auto"/>
                <w:highlight w:val="none"/>
              </w:rPr>
            </w:pPr>
          </w:p>
          <w:p w14:paraId="75A21223">
            <w:pPr>
              <w:snapToGrid w:val="0"/>
              <w:spacing w:line="400" w:lineRule="exact"/>
              <w:ind w:firstLine="2520" w:firstLineChars="1200"/>
              <w:rPr>
                <w:rFonts w:hAnsi="宋体" w:cs="仿宋"/>
                <w:color w:val="auto"/>
                <w:highlight w:val="none"/>
              </w:rPr>
            </w:pPr>
          </w:p>
          <w:p w14:paraId="487F8D65">
            <w:pPr>
              <w:snapToGrid w:val="0"/>
              <w:spacing w:line="400" w:lineRule="exact"/>
              <w:ind w:firstLine="2520" w:firstLineChars="1200"/>
              <w:rPr>
                <w:rFonts w:hAnsi="宋体" w:cs="仿宋"/>
                <w:color w:val="auto"/>
                <w:highlight w:val="none"/>
              </w:rPr>
            </w:pPr>
          </w:p>
          <w:p w14:paraId="43A927E5">
            <w:pPr>
              <w:snapToGrid w:val="0"/>
              <w:spacing w:line="400" w:lineRule="exact"/>
              <w:ind w:firstLine="2940" w:firstLineChars="1400"/>
              <w:rPr>
                <w:rFonts w:hAnsi="宋体"/>
                <w:bCs/>
                <w:color w:val="auto"/>
                <w:highlight w:val="none"/>
              </w:rPr>
            </w:pPr>
            <w:r>
              <w:rPr>
                <w:rFonts w:hint="eastAsia" w:hAnsi="宋体" w:cs="仿宋"/>
                <w:color w:val="auto"/>
                <w:highlight w:val="none"/>
              </w:rPr>
              <w:t xml:space="preserve">年 </w:t>
            </w:r>
            <w:r>
              <w:rPr>
                <w:rFonts w:hAnsi="宋体" w:cs="仿宋"/>
                <w:color w:val="auto"/>
                <w:highlight w:val="none"/>
              </w:rPr>
              <w:t xml:space="preserve">    </w:t>
            </w:r>
            <w:r>
              <w:rPr>
                <w:rFonts w:hint="eastAsia" w:hAnsi="宋体" w:cs="仿宋"/>
                <w:color w:val="auto"/>
                <w:highlight w:val="none"/>
              </w:rPr>
              <w:t xml:space="preserve">月 </w:t>
            </w:r>
            <w:r>
              <w:rPr>
                <w:rFonts w:hAnsi="宋体" w:cs="仿宋"/>
                <w:color w:val="auto"/>
                <w:highlight w:val="none"/>
              </w:rPr>
              <w:t xml:space="preserve">   </w:t>
            </w:r>
            <w:r>
              <w:rPr>
                <w:rFonts w:hint="eastAsia" w:hAnsi="宋体" w:cs="仿宋"/>
                <w:color w:val="auto"/>
                <w:highlight w:val="none"/>
              </w:rPr>
              <w:t>日</w:t>
            </w:r>
          </w:p>
        </w:tc>
      </w:tr>
      <w:tr w14:paraId="708D1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68" w:type="dxa"/>
            <w:tcBorders>
              <w:top w:val="single" w:color="auto" w:sz="4" w:space="0"/>
              <w:left w:val="nil"/>
              <w:bottom w:val="nil"/>
              <w:right w:val="nil"/>
            </w:tcBorders>
            <w:shd w:val="clear" w:color="auto" w:fill="auto"/>
          </w:tcPr>
          <w:p w14:paraId="3322F58D">
            <w:pPr>
              <w:snapToGrid w:val="0"/>
              <w:spacing w:line="400" w:lineRule="exact"/>
              <w:rPr>
                <w:rFonts w:ascii="仿宋" w:eastAsia="仿宋" w:cs="仿宋"/>
                <w:color w:val="auto"/>
                <w:highlight w:val="none"/>
              </w:rPr>
            </w:pPr>
            <w:r>
              <w:rPr>
                <w:rFonts w:hint="eastAsia" w:hAnsi="宋体" w:cs="仿宋"/>
                <w:color w:val="auto"/>
                <w:highlight w:val="none"/>
              </w:rPr>
              <w:t>注：售后服务事项填不下时可另加附页</w:t>
            </w:r>
          </w:p>
        </w:tc>
        <w:tc>
          <w:tcPr>
            <w:tcW w:w="5069" w:type="dxa"/>
            <w:tcBorders>
              <w:top w:val="single" w:color="auto" w:sz="4" w:space="0"/>
              <w:left w:val="nil"/>
              <w:bottom w:val="nil"/>
              <w:right w:val="nil"/>
            </w:tcBorders>
            <w:shd w:val="clear" w:color="auto" w:fill="auto"/>
          </w:tcPr>
          <w:p w14:paraId="5D8440C1">
            <w:pPr>
              <w:snapToGrid w:val="0"/>
              <w:spacing w:line="400" w:lineRule="exact"/>
              <w:rPr>
                <w:rFonts w:ascii="仿宋" w:eastAsia="仿宋" w:cs="仿宋"/>
                <w:color w:val="auto"/>
                <w:highlight w:val="none"/>
              </w:rPr>
            </w:pPr>
          </w:p>
        </w:tc>
      </w:tr>
    </w:tbl>
    <w:p w14:paraId="56628DF9">
      <w:pPr>
        <w:spacing w:line="400" w:lineRule="exact"/>
        <w:ind w:firstLine="420"/>
        <w:jc w:val="both"/>
        <w:rPr>
          <w:rFonts w:hAnsi="宋体" w:cs="仿宋"/>
          <w:color w:val="auto"/>
          <w:szCs w:val="21"/>
          <w:highlight w:val="none"/>
        </w:rPr>
      </w:pPr>
    </w:p>
    <w:p w14:paraId="3044C5FB">
      <w:pPr>
        <w:spacing w:line="400" w:lineRule="exact"/>
        <w:ind w:firstLine="420"/>
        <w:jc w:val="both"/>
        <w:rPr>
          <w:rFonts w:hAnsi="宋体" w:cs="仿宋"/>
          <w:color w:val="auto"/>
          <w:szCs w:val="21"/>
          <w:highlight w:val="none"/>
        </w:rPr>
      </w:pPr>
    </w:p>
    <w:p w14:paraId="3B55E143">
      <w:pPr>
        <w:pStyle w:val="2"/>
        <w:rPr>
          <w:color w:val="auto"/>
          <w:highlight w:val="none"/>
        </w:rPr>
        <w:sectPr>
          <w:headerReference r:id="rId11" w:type="default"/>
          <w:footerReference r:id="rId12" w:type="default"/>
          <w:pgSz w:w="11906" w:h="16838"/>
          <w:pgMar w:top="1701" w:right="1701" w:bottom="1701" w:left="1701" w:header="851" w:footer="992" w:gutter="0"/>
          <w:pgNumType w:fmt="decimal"/>
          <w:cols w:space="1701" w:num="1"/>
          <w:titlePg/>
        </w:sectPr>
      </w:pPr>
    </w:p>
    <w:p w14:paraId="29270362">
      <w:pPr>
        <w:rPr>
          <w:color w:val="auto"/>
          <w:highlight w:val="none"/>
        </w:rPr>
      </w:pPr>
    </w:p>
    <w:p w14:paraId="68AF9543">
      <w:pPr>
        <w:pStyle w:val="2"/>
        <w:rPr>
          <w:color w:val="auto"/>
          <w:highlight w:val="none"/>
        </w:rPr>
      </w:pPr>
    </w:p>
    <w:p w14:paraId="250FCBD1">
      <w:pPr>
        <w:rPr>
          <w:color w:val="auto"/>
          <w:highlight w:val="none"/>
        </w:rPr>
      </w:pPr>
    </w:p>
    <w:p w14:paraId="52261BF4">
      <w:pPr>
        <w:rPr>
          <w:color w:val="auto"/>
          <w:highlight w:val="none"/>
        </w:rPr>
      </w:pPr>
    </w:p>
    <w:p w14:paraId="32FE27F2">
      <w:pPr>
        <w:pStyle w:val="2"/>
        <w:rPr>
          <w:color w:val="auto"/>
          <w:highlight w:val="none"/>
        </w:rPr>
        <w:sectPr>
          <w:pgSz w:w="11906" w:h="16838"/>
          <w:pgMar w:top="1701" w:right="1701" w:bottom="1701" w:left="1701" w:header="851" w:footer="992" w:gutter="0"/>
          <w:pgNumType w:fmt="decimal"/>
          <w:cols w:space="1701" w:num="1"/>
          <w:titlePg/>
        </w:sectPr>
      </w:pPr>
      <w:bookmarkStart w:id="138" w:name="_Toc21286"/>
      <w:r>
        <w:rPr>
          <w:rFonts w:hint="eastAsia"/>
          <w:color w:val="auto"/>
          <w:highlight w:val="none"/>
        </w:rPr>
        <w:t>第六章  投标文件格式</w:t>
      </w:r>
      <w:bookmarkEnd w:id="138"/>
    </w:p>
    <w:p w14:paraId="5B4F4B60">
      <w:pPr>
        <w:pStyle w:val="279"/>
        <w:rPr>
          <w:color w:val="auto"/>
          <w:highlight w:val="none"/>
        </w:rPr>
      </w:pPr>
      <w:r>
        <w:rPr>
          <w:rFonts w:hint="eastAsia"/>
          <w:color w:val="auto"/>
          <w:highlight w:val="none"/>
        </w:rPr>
        <w:t>一、报价文件格式</w:t>
      </w:r>
    </w:p>
    <w:p w14:paraId="0C0B8143">
      <w:pPr>
        <w:pStyle w:val="4"/>
        <w:rPr>
          <w:color w:val="auto"/>
          <w:highlight w:val="none"/>
        </w:rPr>
      </w:pPr>
      <w:r>
        <w:rPr>
          <w:color w:val="auto"/>
          <w:highlight w:val="none"/>
        </w:rPr>
        <w:t>1.</w:t>
      </w:r>
      <w:r>
        <w:rPr>
          <w:rFonts w:hint="eastAsia"/>
          <w:color w:val="auto"/>
          <w:highlight w:val="none"/>
        </w:rPr>
        <w:t xml:space="preserve">报价文件封面格式 </w:t>
      </w:r>
    </w:p>
    <w:p w14:paraId="306AA395">
      <w:pPr>
        <w:spacing w:before="120" w:after="50"/>
        <w:ind w:left="142"/>
        <w:jc w:val="center"/>
        <w:rPr>
          <w:rFonts w:hAnsi="宋体" w:eastAsia="方正小标宋简体"/>
          <w:bCs/>
          <w:color w:val="auto"/>
          <w:sz w:val="48"/>
          <w:szCs w:val="48"/>
          <w:highlight w:val="none"/>
        </w:rPr>
      </w:pPr>
      <w:r>
        <w:rPr>
          <w:rFonts w:hint="eastAsia" w:hAnsi="宋体" w:cs="宋体"/>
          <w:bCs/>
          <w:color w:val="auto"/>
          <w:sz w:val="48"/>
          <w:szCs w:val="48"/>
          <w:highlight w:val="none"/>
        </w:rPr>
        <w:t>电子投标文件</w:t>
      </w:r>
    </w:p>
    <w:p w14:paraId="06126678">
      <w:pPr>
        <w:rPr>
          <w:color w:val="auto"/>
          <w:highlight w:val="none"/>
        </w:rPr>
      </w:pPr>
      <w:r>
        <w:rPr>
          <w:rFonts w:hint="eastAsia"/>
          <w:color w:val="auto"/>
          <w:sz w:val="24"/>
          <w:highlight w:val="none"/>
        </w:rPr>
        <w:t xml:space="preserve"> </w:t>
      </w:r>
    </w:p>
    <w:p w14:paraId="0AF1CD2F">
      <w:pPr>
        <w:rPr>
          <w:color w:val="auto"/>
          <w:sz w:val="24"/>
          <w:highlight w:val="none"/>
        </w:rPr>
      </w:pPr>
    </w:p>
    <w:p w14:paraId="79593167">
      <w:pPr>
        <w:spacing w:before="120" w:after="50" w:line="400" w:lineRule="exact"/>
        <w:jc w:val="center"/>
        <w:rPr>
          <w:rFonts w:hAnsi="宋体"/>
          <w:b/>
          <w:bCs/>
          <w:color w:val="auto"/>
          <w:sz w:val="44"/>
          <w:szCs w:val="44"/>
          <w:highlight w:val="none"/>
        </w:rPr>
      </w:pPr>
      <w:r>
        <w:rPr>
          <w:rFonts w:hint="eastAsia" w:hAnsi="宋体"/>
          <w:b/>
          <w:bCs/>
          <w:color w:val="auto"/>
          <w:sz w:val="44"/>
          <w:szCs w:val="44"/>
          <w:highlight w:val="none"/>
        </w:rPr>
        <w:t>报价文件</w:t>
      </w:r>
    </w:p>
    <w:p w14:paraId="6DC9387F">
      <w:pPr>
        <w:rPr>
          <w:color w:val="auto"/>
          <w:highlight w:val="none"/>
        </w:rPr>
      </w:pPr>
    </w:p>
    <w:p w14:paraId="5B89588C">
      <w:pPr>
        <w:rPr>
          <w:color w:val="auto"/>
          <w:highlight w:val="none"/>
        </w:rPr>
      </w:pPr>
    </w:p>
    <w:p w14:paraId="3F16C8CD">
      <w:pPr>
        <w:rPr>
          <w:color w:val="auto"/>
          <w:highlight w:val="none"/>
        </w:rPr>
      </w:pPr>
    </w:p>
    <w:p w14:paraId="6822476C">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 xml:space="preserve">项目名称： </w:t>
      </w:r>
    </w:p>
    <w:p w14:paraId="061AEA1B">
      <w:pPr>
        <w:spacing w:before="120" w:after="50" w:line="400" w:lineRule="exact"/>
        <w:ind w:firstLine="640"/>
        <w:rPr>
          <w:rFonts w:hAnsi="宋体"/>
          <w:bCs/>
          <w:color w:val="auto"/>
          <w:sz w:val="32"/>
          <w:szCs w:val="32"/>
          <w:highlight w:val="none"/>
        </w:rPr>
      </w:pPr>
    </w:p>
    <w:p w14:paraId="5193C88D">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项目编号：</w:t>
      </w:r>
    </w:p>
    <w:p w14:paraId="2D81B2A6">
      <w:pPr>
        <w:spacing w:before="120" w:after="50" w:line="400" w:lineRule="exact"/>
        <w:ind w:firstLine="640"/>
        <w:rPr>
          <w:rFonts w:hAnsi="宋体"/>
          <w:bCs/>
          <w:color w:val="auto"/>
          <w:sz w:val="32"/>
          <w:szCs w:val="32"/>
          <w:highlight w:val="none"/>
        </w:rPr>
      </w:pPr>
    </w:p>
    <w:p w14:paraId="63AF5395">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投标人名称：</w:t>
      </w:r>
    </w:p>
    <w:p w14:paraId="58266DB1">
      <w:pPr>
        <w:spacing w:before="120" w:after="50" w:line="400" w:lineRule="exact"/>
        <w:ind w:firstLine="640"/>
        <w:rPr>
          <w:rFonts w:hAnsi="宋体"/>
          <w:bCs/>
          <w:color w:val="auto"/>
          <w:sz w:val="32"/>
          <w:szCs w:val="32"/>
          <w:highlight w:val="none"/>
        </w:rPr>
      </w:pPr>
    </w:p>
    <w:p w14:paraId="554B1516">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投标人地址：</w:t>
      </w:r>
    </w:p>
    <w:p w14:paraId="3C74DB83">
      <w:pPr>
        <w:pStyle w:val="7"/>
        <w:spacing w:before="50" w:after="50" w:line="400" w:lineRule="exact"/>
        <w:ind w:firstLine="1280"/>
        <w:rPr>
          <w:rFonts w:hAnsi="宋体"/>
          <w:bCs/>
          <w:color w:val="auto"/>
          <w:sz w:val="32"/>
          <w:szCs w:val="32"/>
          <w:highlight w:val="none"/>
        </w:rPr>
      </w:pPr>
    </w:p>
    <w:p w14:paraId="6A16075B">
      <w:pPr>
        <w:spacing w:before="120" w:after="50" w:line="400" w:lineRule="exact"/>
        <w:rPr>
          <w:rFonts w:hAnsi="宋体"/>
          <w:color w:val="auto"/>
          <w:sz w:val="36"/>
          <w:szCs w:val="22"/>
          <w:highlight w:val="none"/>
        </w:rPr>
      </w:pPr>
      <w:r>
        <w:rPr>
          <w:rFonts w:hint="eastAsia" w:hAnsi="宋体"/>
          <w:color w:val="auto"/>
          <w:sz w:val="32"/>
          <w:szCs w:val="32"/>
          <w:highlight w:val="none"/>
        </w:rPr>
        <w:t xml:space="preserve">                                   年  月  日</w:t>
      </w:r>
    </w:p>
    <w:p w14:paraId="6A2514EF">
      <w:pPr>
        <w:pStyle w:val="4"/>
        <w:rPr>
          <w:color w:val="auto"/>
          <w:szCs w:val="20"/>
          <w:highlight w:val="none"/>
        </w:rPr>
      </w:pPr>
      <w:r>
        <w:rPr>
          <w:color w:val="auto"/>
          <w:highlight w:val="none"/>
        </w:rPr>
        <w:br w:type="page" w:clear="all"/>
      </w:r>
      <w:r>
        <w:rPr>
          <w:rFonts w:hint="eastAsia"/>
          <w:color w:val="auto"/>
          <w:highlight w:val="none"/>
        </w:rPr>
        <w:t>2.报价文件目录</w:t>
      </w:r>
    </w:p>
    <w:p w14:paraId="2BA0FDBA">
      <w:pPr>
        <w:ind w:firstLine="643"/>
        <w:rPr>
          <w:rFonts w:hAnsi="宋体"/>
          <w:b/>
          <w:color w:val="auto"/>
          <w:sz w:val="24"/>
          <w:highlight w:val="none"/>
        </w:rPr>
      </w:pPr>
      <w:r>
        <w:rPr>
          <w:rFonts w:hint="eastAsia" w:hAnsi="宋体"/>
          <w:b/>
          <w:bCs/>
          <w:color w:val="auto"/>
          <w:sz w:val="32"/>
          <w:szCs w:val="32"/>
          <w:highlight w:val="none"/>
        </w:rPr>
        <w:t>根据招标文件规定及投标人提供的材料自行编写目录。</w:t>
      </w:r>
    </w:p>
    <w:p w14:paraId="5A32876F">
      <w:pPr>
        <w:spacing w:before="120" w:after="50"/>
        <w:rPr>
          <w:rFonts w:hAnsi="宋体"/>
          <w:b/>
          <w:color w:val="auto"/>
          <w:sz w:val="24"/>
          <w:highlight w:val="none"/>
        </w:rPr>
      </w:pPr>
    </w:p>
    <w:p w14:paraId="5F82965F">
      <w:pPr>
        <w:pStyle w:val="4"/>
        <w:rPr>
          <w:color w:val="auto"/>
          <w:highlight w:val="none"/>
        </w:rPr>
      </w:pPr>
      <w:r>
        <w:rPr>
          <w:color w:val="auto"/>
          <w:highlight w:val="none"/>
        </w:rPr>
        <w:br w:type="page" w:clear="all"/>
      </w:r>
      <w:r>
        <w:rPr>
          <w:rFonts w:hint="eastAsia"/>
          <w:color w:val="auto"/>
          <w:highlight w:val="none"/>
        </w:rPr>
        <w:t>3.投标函格式</w:t>
      </w:r>
    </w:p>
    <w:p w14:paraId="2FCFADAE">
      <w:pPr>
        <w:jc w:val="center"/>
        <w:rPr>
          <w:rFonts w:hAnsi="宋体"/>
          <w:b/>
          <w:color w:val="auto"/>
          <w:sz w:val="44"/>
          <w:szCs w:val="44"/>
          <w:highlight w:val="none"/>
        </w:rPr>
      </w:pPr>
      <w:r>
        <w:rPr>
          <w:rFonts w:hint="eastAsia" w:hAnsi="宋体"/>
          <w:b/>
          <w:color w:val="auto"/>
          <w:sz w:val="44"/>
          <w:szCs w:val="44"/>
          <w:highlight w:val="none"/>
        </w:rPr>
        <w:t>投标函</w:t>
      </w:r>
    </w:p>
    <w:p w14:paraId="4D46A6A8">
      <w:pPr>
        <w:rPr>
          <w:rFonts w:hAnsi="宋体"/>
          <w:b/>
          <w:color w:val="auto"/>
          <w:sz w:val="24"/>
          <w:szCs w:val="20"/>
          <w:highlight w:val="none"/>
        </w:rPr>
      </w:pPr>
    </w:p>
    <w:p w14:paraId="2A744895">
      <w:pPr>
        <w:rPr>
          <w:rFonts w:hAnsi="宋体"/>
          <w:b/>
          <w:bCs/>
          <w:color w:val="auto"/>
          <w:sz w:val="24"/>
          <w:highlight w:val="none"/>
        </w:rPr>
      </w:pPr>
      <w:r>
        <w:rPr>
          <w:rFonts w:hint="eastAsia" w:hAnsi="宋体"/>
          <w:b/>
          <w:bCs/>
          <w:color w:val="auto"/>
          <w:sz w:val="24"/>
          <w:highlight w:val="none"/>
        </w:rPr>
        <w:t>致：</w:t>
      </w:r>
      <w:r>
        <w:rPr>
          <w:rFonts w:hint="eastAsia" w:hAnsi="宋体"/>
          <w:b/>
          <w:bCs/>
          <w:color w:val="auto"/>
          <w:sz w:val="24"/>
          <w:highlight w:val="none"/>
          <w:u w:val="single"/>
        </w:rPr>
        <w:t>采购人名称</w:t>
      </w:r>
      <w:r>
        <w:rPr>
          <w:rFonts w:hint="eastAsia" w:hAnsi="宋体"/>
          <w:b/>
          <w:bCs/>
          <w:color w:val="auto"/>
          <w:sz w:val="24"/>
          <w:highlight w:val="none"/>
        </w:rPr>
        <w:t>：</w:t>
      </w:r>
    </w:p>
    <w:p w14:paraId="4A1155E5">
      <w:pPr>
        <w:ind w:firstLine="480"/>
        <w:rPr>
          <w:rFonts w:hAnsi="宋体"/>
          <w:color w:val="auto"/>
          <w:sz w:val="24"/>
          <w:highlight w:val="none"/>
        </w:rPr>
      </w:pPr>
      <w:r>
        <w:rPr>
          <w:rFonts w:hint="eastAsia" w:hAnsi="宋体"/>
          <w:color w:val="auto"/>
          <w:sz w:val="24"/>
          <w:highlight w:val="none"/>
        </w:rPr>
        <w:t>根据贵方</w:t>
      </w:r>
      <w:r>
        <w:rPr>
          <w:rFonts w:hint="eastAsia" w:hAnsi="宋体"/>
          <w:color w:val="auto"/>
          <w:sz w:val="24"/>
          <w:highlight w:val="none"/>
          <w:u w:val="single"/>
        </w:rPr>
        <w:t xml:space="preserve"> 项目名称 </w:t>
      </w:r>
      <w:r>
        <w:rPr>
          <w:rFonts w:hint="eastAsia" w:hAnsi="宋体"/>
          <w:color w:val="auto"/>
          <w:sz w:val="24"/>
          <w:highlight w:val="none"/>
        </w:rPr>
        <w:t>（项目编号：</w:t>
      </w:r>
      <w:r>
        <w:rPr>
          <w:rFonts w:hint="eastAsia" w:hAnsi="宋体"/>
          <w:color w:val="auto"/>
          <w:sz w:val="24"/>
          <w:highlight w:val="none"/>
          <w:u w:val="single"/>
        </w:rPr>
        <w:t xml:space="preserve">             </w:t>
      </w:r>
      <w:r>
        <w:rPr>
          <w:rFonts w:hint="eastAsia" w:hAnsi="宋体"/>
          <w:color w:val="auto"/>
          <w:sz w:val="24"/>
          <w:highlight w:val="none"/>
        </w:rPr>
        <w:t>）的招标文件，签字代表___________（姓名）经正式授权并代表投标人</w:t>
      </w:r>
      <w:r>
        <w:rPr>
          <w:rFonts w:hint="eastAsia" w:hAnsi="宋体"/>
          <w:color w:val="auto"/>
          <w:sz w:val="24"/>
          <w:highlight w:val="none"/>
          <w:u w:val="single"/>
        </w:rPr>
        <w:t xml:space="preserve">              </w:t>
      </w:r>
      <w:r>
        <w:rPr>
          <w:rFonts w:hint="eastAsia" w:hAnsi="宋体"/>
          <w:color w:val="auto"/>
          <w:sz w:val="24"/>
          <w:highlight w:val="none"/>
        </w:rPr>
        <w:t>（投标人名称）提交投标文件。</w:t>
      </w:r>
    </w:p>
    <w:p w14:paraId="1618FCE6">
      <w:pPr>
        <w:ind w:firstLine="480"/>
        <w:rPr>
          <w:rFonts w:hAnsi="宋体"/>
          <w:color w:val="auto"/>
          <w:sz w:val="24"/>
          <w:highlight w:val="none"/>
        </w:rPr>
      </w:pPr>
      <w:r>
        <w:rPr>
          <w:rFonts w:hint="eastAsia" w:hAnsi="宋体"/>
          <w:color w:val="auto"/>
          <w:sz w:val="24"/>
          <w:highlight w:val="none"/>
        </w:rPr>
        <w:t>据此函，我方宣布同意如下：</w:t>
      </w:r>
    </w:p>
    <w:p w14:paraId="57AABAB3">
      <w:pPr>
        <w:ind w:firstLine="480"/>
        <w:rPr>
          <w:rFonts w:hAnsi="宋体"/>
          <w:color w:val="auto"/>
          <w:sz w:val="24"/>
          <w:highlight w:val="none"/>
        </w:rPr>
      </w:pPr>
      <w:r>
        <w:rPr>
          <w:rFonts w:hint="eastAsia"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4BC9593E">
      <w:pPr>
        <w:ind w:firstLine="480"/>
        <w:rPr>
          <w:rFonts w:hAnsi="宋体"/>
          <w:color w:val="auto"/>
          <w:sz w:val="24"/>
          <w:highlight w:val="none"/>
        </w:rPr>
      </w:pPr>
      <w:r>
        <w:rPr>
          <w:rFonts w:hint="eastAsia" w:hAnsi="宋体"/>
          <w:color w:val="auto"/>
          <w:sz w:val="24"/>
          <w:highlight w:val="none"/>
        </w:rPr>
        <w:t>2.我方在投标之前已经完全理解并接受招标文件的各项规定和要求，对招标文件的合理性、合法性不再有异议。</w:t>
      </w:r>
    </w:p>
    <w:p w14:paraId="06716ECD">
      <w:pPr>
        <w:ind w:firstLine="480"/>
        <w:rPr>
          <w:rFonts w:hAnsi="宋体"/>
          <w:color w:val="auto"/>
          <w:sz w:val="24"/>
          <w:highlight w:val="none"/>
        </w:rPr>
      </w:pPr>
      <w:r>
        <w:rPr>
          <w:rFonts w:hint="eastAsia" w:hAnsi="宋体"/>
          <w:color w:val="auto"/>
          <w:sz w:val="24"/>
          <w:highlight w:val="none"/>
        </w:rPr>
        <w:t>3.本投标有效期自投标截止之日起</w:t>
      </w:r>
      <w:r>
        <w:rPr>
          <w:rFonts w:hAnsi="宋体"/>
          <w:b/>
          <w:bCs/>
          <w:color w:val="auto"/>
          <w:sz w:val="24"/>
          <w:highlight w:val="none"/>
          <w:u w:val="single"/>
        </w:rPr>
        <w:t xml:space="preserve">  90  </w:t>
      </w:r>
      <w:r>
        <w:rPr>
          <w:rFonts w:hint="eastAsia" w:hAnsi="宋体"/>
          <w:b/>
          <w:bCs/>
          <w:color w:val="auto"/>
          <w:sz w:val="24"/>
          <w:highlight w:val="none"/>
        </w:rPr>
        <w:t>日</w:t>
      </w:r>
      <w:r>
        <w:rPr>
          <w:rFonts w:hint="eastAsia" w:hAnsi="宋体"/>
          <w:color w:val="auto"/>
          <w:sz w:val="24"/>
          <w:highlight w:val="none"/>
        </w:rPr>
        <w:t>。</w:t>
      </w:r>
    </w:p>
    <w:p w14:paraId="48B468B1">
      <w:pPr>
        <w:ind w:firstLine="480"/>
        <w:rPr>
          <w:rFonts w:hAnsi="宋体"/>
          <w:color w:val="auto"/>
          <w:sz w:val="24"/>
          <w:highlight w:val="none"/>
        </w:rPr>
      </w:pPr>
      <w:r>
        <w:rPr>
          <w:rFonts w:hint="eastAsia" w:hAnsi="宋体"/>
          <w:color w:val="auto"/>
          <w:sz w:val="24"/>
          <w:highlight w:val="none"/>
        </w:rPr>
        <w:t>4.如中标，本投标文件至本项目合同履行完毕止均保持有效，我方将按“招标文件”及政府采购</w:t>
      </w:r>
      <w:r>
        <w:rPr>
          <w:rFonts w:hint="eastAsia" w:hAnsi="宋体"/>
          <w:color w:val="auto"/>
          <w:sz w:val="24"/>
          <w:highlight w:val="none"/>
          <w:lang w:eastAsia="zh-CN"/>
        </w:rPr>
        <w:t>法律法规</w:t>
      </w:r>
      <w:r>
        <w:rPr>
          <w:rFonts w:hint="eastAsia" w:hAnsi="宋体"/>
          <w:color w:val="auto"/>
          <w:sz w:val="24"/>
          <w:highlight w:val="none"/>
        </w:rPr>
        <w:t>的规定履行合同责任和义务。</w:t>
      </w:r>
    </w:p>
    <w:p w14:paraId="4C212D4F">
      <w:pPr>
        <w:ind w:firstLine="480"/>
        <w:rPr>
          <w:rFonts w:hAnsi="宋体"/>
          <w:color w:val="auto"/>
          <w:sz w:val="24"/>
          <w:highlight w:val="none"/>
        </w:rPr>
      </w:pPr>
      <w:r>
        <w:rPr>
          <w:rFonts w:hint="eastAsia" w:hAnsi="宋体"/>
          <w:color w:val="auto"/>
          <w:sz w:val="24"/>
          <w:highlight w:val="none"/>
        </w:rPr>
        <w:t>5.我方同意按照贵方要求提供与投标有关的一切数据或者资料。</w:t>
      </w:r>
    </w:p>
    <w:p w14:paraId="2FD415D4">
      <w:pPr>
        <w:ind w:firstLine="480"/>
        <w:rPr>
          <w:rFonts w:hAnsi="宋体"/>
          <w:color w:val="auto"/>
          <w:sz w:val="24"/>
          <w:highlight w:val="none"/>
        </w:rPr>
      </w:pPr>
      <w:r>
        <w:rPr>
          <w:rFonts w:hint="eastAsia" w:hAnsi="宋体"/>
          <w:color w:val="auto"/>
          <w:sz w:val="24"/>
          <w:highlight w:val="none"/>
        </w:rPr>
        <w:t>6.我方向贵方提交的所有投标文件、资料都是准确的和真实的。</w:t>
      </w:r>
    </w:p>
    <w:p w14:paraId="76562F98">
      <w:pPr>
        <w:ind w:firstLine="480"/>
        <w:rPr>
          <w:rFonts w:hAnsi="宋体"/>
          <w:color w:val="auto"/>
          <w:sz w:val="24"/>
          <w:highlight w:val="none"/>
        </w:rPr>
      </w:pPr>
      <w:r>
        <w:rPr>
          <w:rFonts w:hint="eastAsia" w:hAnsi="宋体"/>
          <w:color w:val="auto"/>
          <w:sz w:val="24"/>
          <w:highlight w:val="none"/>
        </w:rPr>
        <w:t>7.以上事项如有虚假或者隐瞒，我方愿意承担一切后果，并不再寻求任何旨在减轻或者免除法律责任的辩解。</w:t>
      </w:r>
    </w:p>
    <w:p w14:paraId="636CC24B">
      <w:pPr>
        <w:ind w:firstLine="480"/>
        <w:rPr>
          <w:rFonts w:hAnsi="宋体"/>
          <w:color w:val="auto"/>
          <w:sz w:val="24"/>
          <w:highlight w:val="none"/>
        </w:rPr>
      </w:pPr>
      <w:r>
        <w:rPr>
          <w:rFonts w:hint="eastAsia" w:hAnsi="宋体"/>
          <w:color w:val="auto"/>
          <w:sz w:val="24"/>
          <w:highlight w:val="none"/>
        </w:rPr>
        <w:t>8.根据</w:t>
      </w:r>
      <w:r>
        <w:rPr>
          <w:rFonts w:hAnsi="宋体"/>
          <w:color w:val="auto"/>
          <w:sz w:val="24"/>
          <w:highlight w:val="none"/>
        </w:rPr>
        <w:t>《中华人民共和国政府采购法实施条例》第五十条要求对政府采购合同进行公告</w:t>
      </w:r>
      <w:r>
        <w:rPr>
          <w:rFonts w:hint="eastAsia" w:hAnsi="宋体"/>
          <w:color w:val="auto"/>
          <w:sz w:val="24"/>
          <w:highlight w:val="none"/>
        </w:rPr>
        <w:t>，</w:t>
      </w:r>
      <w:r>
        <w:rPr>
          <w:rFonts w:hAnsi="宋体"/>
          <w:color w:val="auto"/>
          <w:sz w:val="24"/>
          <w:highlight w:val="none"/>
        </w:rPr>
        <w:t>但政府采购合同中涉及国家秘密、商业秘密的内容除外。</w:t>
      </w:r>
      <w:r>
        <w:rPr>
          <w:rFonts w:hint="eastAsia" w:hAnsi="宋体"/>
          <w:color w:val="auto"/>
          <w:sz w:val="24"/>
          <w:highlight w:val="none"/>
        </w:rPr>
        <w:t>我方就对本次投标文件进行注明如下：（</w:t>
      </w:r>
      <w:r>
        <w:rPr>
          <w:rFonts w:hint="eastAsia" w:hAnsi="宋体"/>
          <w:b/>
          <w:bCs/>
          <w:color w:val="auto"/>
          <w:sz w:val="24"/>
          <w:highlight w:val="none"/>
        </w:rPr>
        <w:t>两项内容中必须选择一项</w:t>
      </w:r>
      <w:r>
        <w:rPr>
          <w:rFonts w:hint="eastAsia" w:hAnsi="宋体"/>
          <w:color w:val="auto"/>
          <w:sz w:val="24"/>
          <w:highlight w:val="none"/>
        </w:rPr>
        <w:t>）</w:t>
      </w:r>
    </w:p>
    <w:p w14:paraId="5E669C9F">
      <w:pPr>
        <w:ind w:firstLine="480"/>
        <w:rPr>
          <w:rFonts w:hAnsi="宋体"/>
          <w:color w:val="auto"/>
          <w:sz w:val="24"/>
          <w:highlight w:val="none"/>
        </w:rPr>
      </w:pPr>
      <w:r>
        <w:rPr>
          <w:rFonts w:hint="eastAsia" w:hAnsi="宋体"/>
          <w:color w:val="auto"/>
          <w:sz w:val="24"/>
          <w:highlight w:val="none"/>
        </w:rPr>
        <w:t>□我方本次投标文件</w:t>
      </w:r>
      <w:r>
        <w:rPr>
          <w:rFonts w:hAnsi="宋体" w:cs="宋体"/>
          <w:color w:val="auto"/>
          <w:sz w:val="24"/>
          <w:highlight w:val="none"/>
        </w:rPr>
        <w:t>内容中</w:t>
      </w:r>
      <w:r>
        <w:rPr>
          <w:rFonts w:hint="eastAsia" w:hAnsi="宋体"/>
          <w:color w:val="auto"/>
          <w:sz w:val="24"/>
          <w:highlight w:val="none"/>
        </w:rPr>
        <w:t>未</w:t>
      </w:r>
      <w:r>
        <w:rPr>
          <w:rFonts w:hAnsi="宋体" w:cs="宋体"/>
          <w:color w:val="auto"/>
          <w:sz w:val="24"/>
          <w:highlight w:val="none"/>
        </w:rPr>
        <w:t>涉及商业秘密</w:t>
      </w:r>
      <w:r>
        <w:rPr>
          <w:rFonts w:hint="eastAsia" w:hAnsi="宋体" w:cs="宋体"/>
          <w:color w:val="auto"/>
          <w:sz w:val="24"/>
          <w:highlight w:val="none"/>
        </w:rPr>
        <w:t>；</w:t>
      </w:r>
    </w:p>
    <w:p w14:paraId="219376C0">
      <w:pPr>
        <w:ind w:firstLine="480"/>
        <w:rPr>
          <w:rFonts w:hAnsi="宋体"/>
          <w:color w:val="auto"/>
          <w:sz w:val="24"/>
          <w:highlight w:val="none"/>
        </w:rPr>
      </w:pPr>
      <w:r>
        <w:rPr>
          <w:rFonts w:hint="eastAsia" w:hAnsi="宋体"/>
          <w:color w:val="auto"/>
          <w:sz w:val="24"/>
          <w:highlight w:val="none"/>
        </w:rPr>
        <w:t>□我方本次投标文件</w:t>
      </w:r>
      <w:r>
        <w:rPr>
          <w:rFonts w:hAnsi="宋体" w:cs="宋体"/>
          <w:color w:val="auto"/>
          <w:sz w:val="24"/>
          <w:highlight w:val="none"/>
        </w:rPr>
        <w:t>涉及商业秘密</w:t>
      </w:r>
      <w:r>
        <w:rPr>
          <w:rFonts w:hint="eastAsia" w:hAnsi="宋体" w:cs="宋体"/>
          <w:color w:val="auto"/>
          <w:sz w:val="24"/>
          <w:highlight w:val="none"/>
        </w:rPr>
        <w:t>的</w:t>
      </w:r>
      <w:r>
        <w:rPr>
          <w:rFonts w:hAnsi="宋体" w:cs="宋体"/>
          <w:color w:val="auto"/>
          <w:sz w:val="24"/>
          <w:highlight w:val="none"/>
        </w:rPr>
        <w:t>内容</w:t>
      </w:r>
      <w:r>
        <w:rPr>
          <w:rFonts w:hint="eastAsia" w:hAnsi="宋体" w:cs="宋体"/>
          <w:color w:val="auto"/>
          <w:sz w:val="24"/>
          <w:highlight w:val="none"/>
        </w:rPr>
        <w:t>有：</w:t>
      </w:r>
      <w:r>
        <w:rPr>
          <w:rFonts w:hint="eastAsia" w:hAnsi="宋体" w:cs="宋体"/>
          <w:color w:val="auto"/>
          <w:sz w:val="24"/>
          <w:highlight w:val="none"/>
          <w:u w:val="single"/>
        </w:rPr>
        <w:t xml:space="preserve">                         </w:t>
      </w:r>
      <w:r>
        <w:rPr>
          <w:rFonts w:hint="eastAsia" w:hAnsi="宋体" w:cs="宋体"/>
          <w:color w:val="auto"/>
          <w:sz w:val="24"/>
          <w:highlight w:val="none"/>
        </w:rPr>
        <w:t>；</w:t>
      </w:r>
    </w:p>
    <w:p w14:paraId="313F6850">
      <w:pPr>
        <w:ind w:firstLine="480"/>
        <w:rPr>
          <w:rFonts w:hAnsi="宋体"/>
          <w:color w:val="auto"/>
          <w:sz w:val="24"/>
          <w:highlight w:val="none"/>
        </w:rPr>
      </w:pPr>
      <w:r>
        <w:rPr>
          <w:rFonts w:hint="eastAsia" w:hAnsi="宋体"/>
          <w:color w:val="auto"/>
          <w:sz w:val="24"/>
          <w:highlight w:val="none"/>
        </w:rPr>
        <w:t>9.与本项目有关的一切正式往来信函请寄：</w:t>
      </w:r>
    </w:p>
    <w:p w14:paraId="68918041">
      <w:pPr>
        <w:ind w:firstLine="480"/>
        <w:contextualSpacing/>
        <w:rPr>
          <w:rFonts w:hAnsi="宋体" w:cs="宋体"/>
          <w:color w:val="auto"/>
          <w:sz w:val="24"/>
          <w:highlight w:val="none"/>
          <w:u w:val="single"/>
          <w:lang w:val="zh-CN"/>
        </w:rPr>
      </w:pPr>
      <w:r>
        <w:rPr>
          <w:rFonts w:hint="eastAsia" w:hAnsi="宋体" w:cs="宋体"/>
          <w:color w:val="auto"/>
          <w:sz w:val="24"/>
          <w:highlight w:val="none"/>
          <w:lang w:val="zh-CN"/>
        </w:rPr>
        <w:t>地址：</w:t>
      </w:r>
      <w:r>
        <w:rPr>
          <w:rFonts w:hint="eastAsia" w:hAnsi="宋体" w:cs="宋体"/>
          <w:color w:val="auto"/>
          <w:sz w:val="24"/>
          <w:highlight w:val="none"/>
          <w:u w:val="single"/>
          <w:lang w:val="zh-CN"/>
        </w:rPr>
        <w:t xml:space="preserve">                  </w:t>
      </w:r>
      <w:r>
        <w:rPr>
          <w:rFonts w:hAnsi="宋体" w:cs="宋体"/>
          <w:color w:val="auto"/>
          <w:sz w:val="24"/>
          <w:highlight w:val="none"/>
          <w:u w:val="single"/>
          <w:lang w:val="zh-CN"/>
        </w:rPr>
        <w:t xml:space="preserve">        </w:t>
      </w:r>
      <w:r>
        <w:rPr>
          <w:rFonts w:hAnsi="宋体" w:cs="宋体"/>
          <w:color w:val="auto"/>
          <w:sz w:val="24"/>
          <w:highlight w:val="none"/>
          <w:lang w:val="zh-CN"/>
        </w:rPr>
        <w:t xml:space="preserve">   </w:t>
      </w:r>
      <w:r>
        <w:rPr>
          <w:rFonts w:hint="eastAsia" w:hAnsi="宋体" w:cs="宋体"/>
          <w:color w:val="auto"/>
          <w:sz w:val="24"/>
          <w:highlight w:val="none"/>
          <w:lang w:val="zh-CN"/>
        </w:rPr>
        <w:t>邮政编号：</w:t>
      </w:r>
      <w:r>
        <w:rPr>
          <w:rFonts w:hint="eastAsia" w:hAnsi="宋体" w:cs="宋体"/>
          <w:color w:val="auto"/>
          <w:sz w:val="24"/>
          <w:highlight w:val="none"/>
          <w:u w:val="single"/>
          <w:lang w:val="zh-CN"/>
        </w:rPr>
        <w:t xml:space="preserve">    </w:t>
      </w:r>
      <w:r>
        <w:rPr>
          <w:rFonts w:hAnsi="宋体" w:cs="宋体"/>
          <w:color w:val="auto"/>
          <w:sz w:val="24"/>
          <w:highlight w:val="none"/>
          <w:u w:val="single"/>
          <w:lang w:val="zh-CN"/>
        </w:rPr>
        <w:t xml:space="preserve">                  </w:t>
      </w:r>
    </w:p>
    <w:p w14:paraId="30F22A7C">
      <w:pPr>
        <w:ind w:firstLine="480"/>
        <w:contextualSpacing/>
        <w:jc w:val="both"/>
        <w:rPr>
          <w:rFonts w:hAnsi="宋体"/>
          <w:color w:val="auto"/>
          <w:sz w:val="24"/>
          <w:highlight w:val="none"/>
        </w:rPr>
      </w:pPr>
      <w:r>
        <w:rPr>
          <w:rFonts w:hint="eastAsia" w:hAnsi="宋体"/>
          <w:color w:val="auto"/>
          <w:sz w:val="24"/>
          <w:highlight w:val="none"/>
        </w:rPr>
        <w:t>联系人：</w:t>
      </w:r>
      <w:r>
        <w:rPr>
          <w:rFonts w:hint="eastAsia" w:hAnsi="宋体"/>
          <w:color w:val="auto"/>
          <w:sz w:val="24"/>
          <w:highlight w:val="none"/>
          <w:u w:val="single"/>
        </w:rPr>
        <w:t xml:space="preserve">       </w:t>
      </w:r>
      <w:r>
        <w:rPr>
          <w:rFonts w:hint="eastAsia" w:hAnsi="宋体"/>
          <w:color w:val="auto"/>
          <w:sz w:val="24"/>
          <w:highlight w:val="none"/>
        </w:rPr>
        <w:t xml:space="preserve"> 电话：</w:t>
      </w:r>
      <w:r>
        <w:rPr>
          <w:rFonts w:hint="eastAsia" w:hAnsi="宋体"/>
          <w:color w:val="auto"/>
          <w:sz w:val="24"/>
          <w:highlight w:val="none"/>
          <w:u w:val="single"/>
        </w:rPr>
        <w:t xml:space="preserve">        </w:t>
      </w:r>
      <w:r>
        <w:rPr>
          <w:rFonts w:hint="eastAsia" w:hAnsi="宋体"/>
          <w:color w:val="auto"/>
          <w:sz w:val="24"/>
          <w:highlight w:val="none"/>
        </w:rPr>
        <w:t>传真：</w:t>
      </w:r>
      <w:r>
        <w:rPr>
          <w:rFonts w:hint="eastAsia" w:hAnsi="宋体"/>
          <w:color w:val="auto"/>
          <w:sz w:val="24"/>
          <w:highlight w:val="none"/>
          <w:u w:val="single"/>
        </w:rPr>
        <w:t xml:space="preserve">         </w:t>
      </w:r>
      <w:r>
        <w:rPr>
          <w:rFonts w:hint="eastAsia" w:hAnsi="宋体"/>
          <w:color w:val="auto"/>
          <w:sz w:val="24"/>
          <w:highlight w:val="none"/>
        </w:rPr>
        <w:t xml:space="preserve"> 电子邮箱：</w:t>
      </w:r>
      <w:r>
        <w:rPr>
          <w:rFonts w:hint="eastAsia" w:hAnsi="宋体"/>
          <w:color w:val="auto"/>
          <w:sz w:val="24"/>
          <w:highlight w:val="none"/>
          <w:u w:val="single"/>
        </w:rPr>
        <w:t xml:space="preserve"> </w:t>
      </w:r>
      <w:r>
        <w:rPr>
          <w:rFonts w:hAnsi="宋体"/>
          <w:color w:val="auto"/>
          <w:sz w:val="24"/>
          <w:highlight w:val="none"/>
          <w:u w:val="single"/>
        </w:rPr>
        <w:t xml:space="preserve">        </w:t>
      </w:r>
    </w:p>
    <w:p w14:paraId="5554ADF6">
      <w:pPr>
        <w:ind w:firstLine="480"/>
        <w:contextualSpacing/>
        <w:jc w:val="both"/>
        <w:rPr>
          <w:rFonts w:hAnsi="宋体"/>
          <w:color w:val="auto"/>
          <w:sz w:val="24"/>
          <w:highlight w:val="none"/>
        </w:rPr>
      </w:pPr>
      <w:r>
        <w:rPr>
          <w:rFonts w:hint="eastAsia" w:hAnsi="宋体"/>
          <w:color w:val="auto"/>
          <w:sz w:val="24"/>
          <w:highlight w:val="none"/>
        </w:rPr>
        <w:t>投标人名称：</w:t>
      </w:r>
      <w:r>
        <w:rPr>
          <w:rFonts w:hint="eastAsia" w:hAnsi="宋体"/>
          <w:color w:val="auto"/>
          <w:sz w:val="24"/>
          <w:highlight w:val="none"/>
          <w:u w:val="single"/>
        </w:rPr>
        <w:t xml:space="preserve">                ；</w:t>
      </w:r>
      <w:r>
        <w:rPr>
          <w:rFonts w:hint="eastAsia" w:hAnsi="宋体"/>
          <w:color w:val="auto"/>
          <w:sz w:val="24"/>
          <w:highlight w:val="none"/>
        </w:rPr>
        <w:t>固定电话</w:t>
      </w:r>
      <w:r>
        <w:rPr>
          <w:rFonts w:hint="eastAsia" w:hAnsi="宋体"/>
          <w:color w:val="auto"/>
          <w:sz w:val="24"/>
          <w:highlight w:val="none"/>
          <w:u w:val="single"/>
        </w:rPr>
        <w:t xml:space="preserve">：                    </w:t>
      </w:r>
    </w:p>
    <w:p w14:paraId="2CA2AB2F">
      <w:pPr>
        <w:tabs>
          <w:tab w:val="left" w:pos="939"/>
        </w:tabs>
        <w:ind w:firstLine="480"/>
        <w:contextualSpacing/>
        <w:rPr>
          <w:rFonts w:hAnsi="宋体" w:cs="宋体"/>
          <w:color w:val="auto"/>
          <w:sz w:val="24"/>
          <w:highlight w:val="none"/>
        </w:rPr>
      </w:pPr>
      <w:r>
        <w:rPr>
          <w:rFonts w:hint="eastAsia" w:hAnsi="宋体"/>
          <w:color w:val="auto"/>
          <w:sz w:val="24"/>
          <w:highlight w:val="none"/>
        </w:rPr>
        <w:t>开户银行：</w:t>
      </w:r>
      <w:r>
        <w:rPr>
          <w:rFonts w:hint="eastAsia" w:hAnsi="宋体"/>
          <w:color w:val="auto"/>
          <w:sz w:val="24"/>
          <w:highlight w:val="none"/>
          <w:u w:val="single"/>
        </w:rPr>
        <w:t xml:space="preserve">                      </w:t>
      </w:r>
      <w:r>
        <w:rPr>
          <w:rFonts w:hint="eastAsia" w:hAnsi="宋体"/>
          <w:color w:val="auto"/>
          <w:sz w:val="24"/>
          <w:highlight w:val="none"/>
        </w:rPr>
        <w:t xml:space="preserve">   银行账号：</w:t>
      </w:r>
      <w:r>
        <w:rPr>
          <w:rFonts w:hint="eastAsia" w:hAnsi="宋体"/>
          <w:color w:val="auto"/>
          <w:sz w:val="24"/>
          <w:highlight w:val="none"/>
          <w:u w:val="single"/>
        </w:rPr>
        <w:t xml:space="preserve">                    </w:t>
      </w:r>
      <w:r>
        <w:rPr>
          <w:rFonts w:hint="eastAsia" w:hAnsi="宋体"/>
          <w:color w:val="auto"/>
          <w:sz w:val="24"/>
          <w:highlight w:val="none"/>
        </w:rPr>
        <w:t xml:space="preserve"> </w:t>
      </w:r>
    </w:p>
    <w:p w14:paraId="778DE45E">
      <w:pPr>
        <w:ind w:firstLine="480"/>
        <w:rPr>
          <w:rFonts w:hAnsi="宋体"/>
          <w:color w:val="auto"/>
          <w:sz w:val="24"/>
          <w:highlight w:val="none"/>
        </w:rPr>
      </w:pPr>
      <w:r>
        <w:rPr>
          <w:rFonts w:hint="eastAsia" w:hAnsi="宋体"/>
          <w:color w:val="auto"/>
          <w:sz w:val="24"/>
          <w:highlight w:val="none"/>
        </w:rPr>
        <w:t>10.我方承诺，根据中小企业划型标准规定（工信部联企业</w:t>
      </w:r>
      <w:r>
        <w:rPr>
          <w:rFonts w:hint="eastAsia" w:hAnsi="宋体"/>
          <w:color w:val="auto"/>
          <w:sz w:val="24"/>
          <w:highlight w:val="none"/>
          <w:lang w:eastAsia="zh-CN"/>
        </w:rPr>
        <w:t>〔2011〕300号</w:t>
      </w:r>
      <w:r>
        <w:rPr>
          <w:rFonts w:hint="eastAsia" w:hAnsi="宋体"/>
          <w:color w:val="auto"/>
          <w:sz w:val="24"/>
          <w:highlight w:val="none"/>
        </w:rPr>
        <w:t>），我方属于</w:t>
      </w:r>
      <w:r>
        <w:rPr>
          <w:rFonts w:hint="eastAsia" w:hAnsi="宋体"/>
          <w:color w:val="auto"/>
          <w:sz w:val="24"/>
          <w:highlight w:val="none"/>
          <w:u w:val="single"/>
        </w:rPr>
        <w:t xml:space="preserve">         </w:t>
      </w:r>
      <w:r>
        <w:rPr>
          <w:rFonts w:hint="eastAsia" w:hAnsi="宋体"/>
          <w:color w:val="auto"/>
          <w:sz w:val="24"/>
          <w:highlight w:val="none"/>
        </w:rPr>
        <w:t>。（根据实际填写大型企业或中型企业或小型企业或微型企业）。</w:t>
      </w:r>
    </w:p>
    <w:p w14:paraId="197ED021">
      <w:pPr>
        <w:spacing w:line="600" w:lineRule="auto"/>
        <w:jc w:val="right"/>
        <w:rPr>
          <w:rFonts w:hAnsi="宋体"/>
          <w:color w:val="auto"/>
          <w:sz w:val="24"/>
          <w:highlight w:val="none"/>
        </w:rPr>
      </w:pPr>
      <w:r>
        <w:rPr>
          <w:rFonts w:hint="eastAsia" w:hAnsi="宋体"/>
          <w:color w:val="auto"/>
          <w:sz w:val="24"/>
          <w:highlight w:val="none"/>
        </w:rPr>
        <w:t xml:space="preserve">           法定代表人或者委托代理人（</w:t>
      </w:r>
      <w:r>
        <w:rPr>
          <w:rFonts w:hint="eastAsia" w:hAnsi="宋体"/>
          <w:b/>
          <w:bCs/>
          <w:color w:val="auto"/>
          <w:sz w:val="24"/>
          <w:highlight w:val="none"/>
        </w:rPr>
        <w:t>签字或者电子签名</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31033DB5">
      <w:pPr>
        <w:pStyle w:val="23"/>
        <w:spacing w:line="600" w:lineRule="auto"/>
        <w:jc w:val="right"/>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646319AD">
      <w:pPr>
        <w:pStyle w:val="23"/>
        <w:spacing w:line="600" w:lineRule="auto"/>
        <w:jc w:val="right"/>
        <w:rPr>
          <w:rFonts w:hAnsi="宋体"/>
          <w:color w:val="auto"/>
          <w:sz w:val="24"/>
          <w:szCs w:val="24"/>
          <w:highlight w:val="none"/>
        </w:rPr>
        <w:sectPr>
          <w:pgSz w:w="11906" w:h="16838"/>
          <w:pgMar w:top="1701" w:right="1701" w:bottom="1418" w:left="1701" w:header="851" w:footer="992" w:gutter="0"/>
          <w:pgNumType w:fmt="decimal"/>
          <w:cols w:space="1701" w:num="1"/>
          <w:titlePg/>
        </w:sect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48DCE248">
      <w:pPr>
        <w:pStyle w:val="4"/>
        <w:numPr>
          <w:ilvl w:val="0"/>
          <w:numId w:val="7"/>
        </w:numPr>
        <w:rPr>
          <w:color w:val="auto"/>
          <w:highlight w:val="none"/>
        </w:rPr>
      </w:pPr>
      <w:r>
        <w:rPr>
          <w:rFonts w:hint="eastAsia"/>
          <w:color w:val="auto"/>
          <w:highlight w:val="none"/>
        </w:rPr>
        <w:t>开标一览表格式</w:t>
      </w:r>
    </w:p>
    <w:p w14:paraId="3D55F1C1">
      <w:pPr>
        <w:snapToGrid w:val="0"/>
        <w:jc w:val="center"/>
        <w:rPr>
          <w:rFonts w:hAnsi="宋体"/>
          <w:b/>
          <w:color w:val="auto"/>
          <w:sz w:val="44"/>
          <w:szCs w:val="44"/>
          <w:highlight w:val="none"/>
        </w:rPr>
      </w:pPr>
      <w:r>
        <w:rPr>
          <w:rFonts w:hint="eastAsia" w:hAnsi="宋体"/>
          <w:b/>
          <w:color w:val="auto"/>
          <w:sz w:val="44"/>
          <w:szCs w:val="44"/>
          <w:highlight w:val="none"/>
        </w:rPr>
        <w:t>开标一览表</w:t>
      </w:r>
    </w:p>
    <w:p w14:paraId="13AE8D2C">
      <w:pPr>
        <w:snapToGrid w:val="0"/>
        <w:ind w:firstLine="480" w:firstLineChars="200"/>
        <w:rPr>
          <w:rFonts w:hAnsi="宋体"/>
          <w:color w:val="auto"/>
          <w:sz w:val="24"/>
          <w:highlight w:val="none"/>
        </w:rPr>
      </w:pPr>
      <w:r>
        <w:rPr>
          <w:rFonts w:hint="eastAsia" w:hAnsi="宋体"/>
          <w:color w:val="auto"/>
          <w:sz w:val="24"/>
          <w:highlight w:val="none"/>
        </w:rPr>
        <w:t>标项号：                                        单位</w:t>
      </w:r>
      <w:r>
        <w:rPr>
          <w:rFonts w:hAnsi="宋体"/>
          <w:color w:val="auto"/>
          <w:sz w:val="24"/>
          <w:highlight w:val="none"/>
        </w:rPr>
        <w:t>：人民币（</w:t>
      </w:r>
      <w:r>
        <w:rPr>
          <w:rFonts w:hint="eastAsia" w:hAnsi="宋体"/>
          <w:color w:val="auto"/>
          <w:sz w:val="24"/>
          <w:highlight w:val="none"/>
        </w:rPr>
        <w:t>元</w:t>
      </w:r>
      <w:r>
        <w:rPr>
          <w:rFonts w:hAnsi="宋体"/>
          <w:color w:val="auto"/>
          <w:sz w:val="24"/>
          <w:highlight w:val="none"/>
        </w:rPr>
        <w:t>）</w:t>
      </w:r>
    </w:p>
    <w:p w14:paraId="051882EF">
      <w:pPr>
        <w:rPr>
          <w:color w:val="auto"/>
          <w:highlight w:val="none"/>
        </w:rPr>
      </w:pPr>
    </w:p>
    <w:tbl>
      <w:tblPr>
        <w:tblStyle w:val="47"/>
        <w:tblW w:w="8615" w:type="dxa"/>
        <w:tblInd w:w="-138" w:type="dxa"/>
        <w:tblLayout w:type="fixed"/>
        <w:tblCellMar>
          <w:top w:w="0" w:type="dxa"/>
          <w:left w:w="108" w:type="dxa"/>
          <w:bottom w:w="0" w:type="dxa"/>
          <w:right w:w="108" w:type="dxa"/>
        </w:tblCellMar>
      </w:tblPr>
      <w:tblGrid>
        <w:gridCol w:w="429"/>
        <w:gridCol w:w="552"/>
        <w:gridCol w:w="712"/>
        <w:gridCol w:w="684"/>
        <w:gridCol w:w="684"/>
        <w:gridCol w:w="797"/>
        <w:gridCol w:w="908"/>
        <w:gridCol w:w="889"/>
        <w:gridCol w:w="1246"/>
        <w:gridCol w:w="1714"/>
      </w:tblGrid>
      <w:tr w14:paraId="559F5284">
        <w:tblPrEx>
          <w:tblCellMar>
            <w:top w:w="0" w:type="dxa"/>
            <w:left w:w="108" w:type="dxa"/>
            <w:bottom w:w="0" w:type="dxa"/>
            <w:right w:w="108" w:type="dxa"/>
          </w:tblCellMar>
        </w:tblPrEx>
        <w:trPr>
          <w:trHeight w:val="1072" w:hRule="atLeast"/>
        </w:trPr>
        <w:tc>
          <w:tcPr>
            <w:tcW w:w="429" w:type="dxa"/>
            <w:tcBorders>
              <w:top w:val="single" w:color="000000" w:sz="4" w:space="0"/>
              <w:left w:val="single" w:color="000000" w:sz="4" w:space="0"/>
              <w:right w:val="single" w:color="000000" w:sz="4" w:space="0"/>
            </w:tcBorders>
            <w:vAlign w:val="center"/>
          </w:tcPr>
          <w:p w14:paraId="5F7E9EA4">
            <w:pPr>
              <w:widowControl/>
              <w:spacing w:line="240" w:lineRule="auto"/>
              <w:jc w:val="center"/>
              <w:textAlignment w:val="center"/>
              <w:rPr>
                <w:rFonts w:hAnsi="宋体" w:cs="宋体"/>
                <w:b/>
                <w:bCs/>
                <w:color w:val="auto"/>
                <w:szCs w:val="21"/>
                <w:highlight w:val="none"/>
              </w:rPr>
            </w:pPr>
            <w:r>
              <w:rPr>
                <w:rFonts w:hint="eastAsia" w:hAnsi="宋体" w:cs="宋体"/>
                <w:b/>
                <w:bCs/>
                <w:color w:val="auto"/>
                <w:szCs w:val="21"/>
                <w:highlight w:val="none"/>
                <w:lang w:bidi="ar"/>
              </w:rPr>
              <w:t>序号</w:t>
            </w:r>
          </w:p>
        </w:tc>
        <w:tc>
          <w:tcPr>
            <w:tcW w:w="552" w:type="dxa"/>
            <w:tcBorders>
              <w:top w:val="single" w:color="000000" w:sz="4" w:space="0"/>
              <w:left w:val="single" w:color="000000" w:sz="4" w:space="0"/>
              <w:right w:val="single" w:color="000000" w:sz="4" w:space="0"/>
            </w:tcBorders>
            <w:vAlign w:val="center"/>
          </w:tcPr>
          <w:p w14:paraId="695EB9EC">
            <w:pPr>
              <w:widowControl/>
              <w:spacing w:line="240" w:lineRule="auto"/>
              <w:jc w:val="center"/>
              <w:textAlignment w:val="center"/>
              <w:rPr>
                <w:rFonts w:hAnsi="宋体" w:cs="宋体"/>
                <w:b/>
                <w:bCs/>
                <w:color w:val="auto"/>
                <w:szCs w:val="21"/>
                <w:highlight w:val="none"/>
              </w:rPr>
            </w:pPr>
            <w:r>
              <w:rPr>
                <w:rFonts w:hint="eastAsia" w:hAnsi="宋体" w:cs="宋体"/>
                <w:b/>
                <w:bCs/>
                <w:color w:val="auto"/>
                <w:szCs w:val="21"/>
                <w:highlight w:val="none"/>
                <w:lang w:bidi="ar"/>
              </w:rPr>
              <w:t>类别</w:t>
            </w:r>
          </w:p>
        </w:tc>
        <w:tc>
          <w:tcPr>
            <w:tcW w:w="712" w:type="dxa"/>
            <w:tcBorders>
              <w:top w:val="single" w:color="000000" w:sz="4" w:space="0"/>
              <w:left w:val="single" w:color="000000" w:sz="4" w:space="0"/>
              <w:right w:val="single" w:color="000000" w:sz="4" w:space="0"/>
            </w:tcBorders>
            <w:vAlign w:val="center"/>
          </w:tcPr>
          <w:p w14:paraId="127101C4">
            <w:pPr>
              <w:widowControl/>
              <w:spacing w:line="240" w:lineRule="auto"/>
              <w:jc w:val="center"/>
              <w:textAlignment w:val="center"/>
              <w:rPr>
                <w:rFonts w:hAnsi="宋体" w:cs="宋体"/>
                <w:b/>
                <w:bCs/>
                <w:color w:val="auto"/>
                <w:szCs w:val="21"/>
                <w:highlight w:val="none"/>
                <w:lang w:bidi="ar"/>
              </w:rPr>
            </w:pPr>
            <w:r>
              <w:rPr>
                <w:rFonts w:hint="eastAsia" w:hAnsi="宋体" w:cs="宋体"/>
                <w:b/>
                <w:bCs/>
                <w:color w:val="auto"/>
                <w:szCs w:val="21"/>
                <w:highlight w:val="none"/>
                <w:lang w:bidi="ar"/>
              </w:rPr>
              <w:t>标的名称</w:t>
            </w:r>
          </w:p>
        </w:tc>
        <w:tc>
          <w:tcPr>
            <w:tcW w:w="684" w:type="dxa"/>
            <w:tcBorders>
              <w:top w:val="single" w:color="000000" w:sz="4" w:space="0"/>
              <w:left w:val="single" w:color="000000" w:sz="4" w:space="0"/>
              <w:right w:val="single" w:color="000000" w:sz="4" w:space="0"/>
            </w:tcBorders>
            <w:vAlign w:val="center"/>
          </w:tcPr>
          <w:p w14:paraId="72D4E27D">
            <w:pPr>
              <w:widowControl/>
              <w:spacing w:line="240" w:lineRule="auto"/>
              <w:jc w:val="center"/>
              <w:textAlignment w:val="center"/>
              <w:rPr>
                <w:rFonts w:hAnsi="宋体" w:cs="宋体"/>
                <w:b/>
                <w:bCs/>
                <w:color w:val="auto"/>
                <w:szCs w:val="21"/>
                <w:highlight w:val="none"/>
                <w:lang w:bidi="ar"/>
              </w:rPr>
            </w:pPr>
            <w:r>
              <w:rPr>
                <w:rFonts w:hint="eastAsia" w:hAnsi="宋体" w:cs="宋体"/>
                <w:b/>
                <w:bCs/>
                <w:color w:val="auto"/>
                <w:szCs w:val="21"/>
                <w:highlight w:val="none"/>
                <w:lang w:bidi="ar"/>
              </w:rPr>
              <w:t>供货产品名称</w:t>
            </w:r>
          </w:p>
        </w:tc>
        <w:tc>
          <w:tcPr>
            <w:tcW w:w="684" w:type="dxa"/>
            <w:tcBorders>
              <w:top w:val="single" w:color="000000" w:sz="4" w:space="0"/>
              <w:left w:val="single" w:color="000000" w:sz="4" w:space="0"/>
              <w:right w:val="single" w:color="000000" w:sz="4" w:space="0"/>
            </w:tcBorders>
            <w:vAlign w:val="center"/>
          </w:tcPr>
          <w:p w14:paraId="20DA6CE2">
            <w:pPr>
              <w:spacing w:line="280" w:lineRule="exact"/>
              <w:jc w:val="center"/>
              <w:rPr>
                <w:rFonts w:hAnsi="宋体" w:cs="宋体"/>
                <w:b/>
                <w:bCs/>
                <w:color w:val="auto"/>
                <w:szCs w:val="21"/>
                <w:highlight w:val="none"/>
              </w:rPr>
            </w:pPr>
            <w:r>
              <w:rPr>
                <w:rFonts w:ascii="Arial" w:hAnsi="Arial" w:cs="Arial"/>
                <w:b/>
                <w:bCs/>
                <w:color w:val="auto"/>
                <w:szCs w:val="21"/>
                <w:highlight w:val="none"/>
              </w:rPr>
              <w:t>商标品牌</w:t>
            </w:r>
          </w:p>
        </w:tc>
        <w:tc>
          <w:tcPr>
            <w:tcW w:w="797" w:type="dxa"/>
            <w:tcBorders>
              <w:top w:val="single" w:color="000000" w:sz="4" w:space="0"/>
              <w:left w:val="single" w:color="000000" w:sz="4" w:space="0"/>
              <w:right w:val="single" w:color="000000" w:sz="4" w:space="0"/>
            </w:tcBorders>
            <w:vAlign w:val="center"/>
          </w:tcPr>
          <w:p w14:paraId="590E9735">
            <w:pPr>
              <w:spacing w:line="280" w:lineRule="exact"/>
              <w:jc w:val="center"/>
              <w:rPr>
                <w:rFonts w:hint="eastAsia" w:hAnsi="宋体" w:eastAsia="宋体" w:cs="宋体"/>
                <w:b/>
                <w:bCs/>
                <w:color w:val="auto"/>
                <w:szCs w:val="21"/>
                <w:highlight w:val="none"/>
                <w:lang w:val="en-US" w:eastAsia="zh-CN"/>
              </w:rPr>
            </w:pPr>
            <w:r>
              <w:rPr>
                <w:rFonts w:ascii="Arial" w:hAnsi="Arial" w:cs="Arial"/>
                <w:b/>
                <w:bCs/>
                <w:color w:val="auto"/>
                <w:szCs w:val="21"/>
                <w:highlight w:val="none"/>
              </w:rPr>
              <w:t>规格</w:t>
            </w:r>
            <w:r>
              <w:rPr>
                <w:rFonts w:hint="eastAsia" w:ascii="Arial" w:hAnsi="Arial" w:cs="Arial"/>
                <w:b/>
                <w:bCs/>
                <w:color w:val="auto"/>
                <w:szCs w:val="21"/>
                <w:highlight w:val="none"/>
                <w:lang w:val="en-US" w:eastAsia="zh-CN"/>
              </w:rPr>
              <w:t>型号</w:t>
            </w:r>
          </w:p>
        </w:tc>
        <w:tc>
          <w:tcPr>
            <w:tcW w:w="908" w:type="dxa"/>
            <w:tcBorders>
              <w:top w:val="single" w:color="000000" w:sz="4" w:space="0"/>
              <w:left w:val="single" w:color="000000" w:sz="4" w:space="0"/>
              <w:right w:val="single" w:color="000000" w:sz="4" w:space="0"/>
            </w:tcBorders>
            <w:vAlign w:val="center"/>
          </w:tcPr>
          <w:p w14:paraId="7FD3B5B4">
            <w:pPr>
              <w:spacing w:line="280" w:lineRule="exact"/>
              <w:jc w:val="center"/>
              <w:rPr>
                <w:rFonts w:hAnsi="宋体" w:cs="宋体"/>
                <w:b/>
                <w:bCs/>
                <w:color w:val="auto"/>
                <w:szCs w:val="21"/>
                <w:highlight w:val="none"/>
              </w:rPr>
            </w:pPr>
            <w:r>
              <w:rPr>
                <w:rFonts w:ascii="Arial" w:hAnsi="Arial" w:cs="Arial"/>
                <w:b/>
                <w:bCs/>
                <w:color w:val="auto"/>
                <w:szCs w:val="21"/>
                <w:highlight w:val="none"/>
              </w:rPr>
              <w:t>生产厂家</w:t>
            </w:r>
          </w:p>
        </w:tc>
        <w:tc>
          <w:tcPr>
            <w:tcW w:w="889" w:type="dxa"/>
            <w:tcBorders>
              <w:top w:val="single" w:color="000000" w:sz="4" w:space="0"/>
              <w:left w:val="single" w:color="000000" w:sz="4" w:space="0"/>
              <w:right w:val="single" w:color="000000" w:sz="4" w:space="0"/>
            </w:tcBorders>
            <w:vAlign w:val="center"/>
          </w:tcPr>
          <w:p w14:paraId="4EAE4449">
            <w:pPr>
              <w:spacing w:line="280" w:lineRule="exact"/>
              <w:jc w:val="center"/>
              <w:rPr>
                <w:rFonts w:hAnsi="宋体" w:cs="宋体"/>
                <w:b/>
                <w:bCs/>
                <w:color w:val="auto"/>
                <w:szCs w:val="21"/>
                <w:highlight w:val="none"/>
                <w:lang w:bidi="ar"/>
              </w:rPr>
            </w:pPr>
            <w:r>
              <w:rPr>
                <w:rFonts w:ascii="Arial" w:hAnsi="Arial" w:cs="Arial"/>
                <w:b/>
                <w:bCs/>
                <w:color w:val="auto"/>
                <w:szCs w:val="21"/>
                <w:highlight w:val="none"/>
              </w:rPr>
              <w:t>数量</w:t>
            </w:r>
          </w:p>
        </w:tc>
        <w:tc>
          <w:tcPr>
            <w:tcW w:w="1246" w:type="dxa"/>
            <w:tcBorders>
              <w:top w:val="single" w:color="000000" w:sz="4" w:space="0"/>
              <w:left w:val="single" w:color="000000" w:sz="4" w:space="0"/>
              <w:right w:val="single" w:color="000000" w:sz="4" w:space="0"/>
            </w:tcBorders>
            <w:vAlign w:val="center"/>
          </w:tcPr>
          <w:p w14:paraId="2BBC0127">
            <w:pPr>
              <w:spacing w:line="280" w:lineRule="exact"/>
              <w:jc w:val="center"/>
              <w:rPr>
                <w:rFonts w:hAnsi="宋体" w:cs="宋体"/>
                <w:b/>
                <w:bCs/>
                <w:color w:val="auto"/>
                <w:szCs w:val="21"/>
                <w:highlight w:val="none"/>
                <w:lang w:bidi="ar"/>
              </w:rPr>
            </w:pPr>
            <w:r>
              <w:rPr>
                <w:rFonts w:ascii="Arial" w:hAnsi="Arial" w:cs="Arial"/>
                <w:b/>
                <w:bCs/>
                <w:color w:val="auto"/>
                <w:szCs w:val="21"/>
                <w:highlight w:val="none"/>
              </w:rPr>
              <w:t>单位</w:t>
            </w:r>
          </w:p>
        </w:tc>
        <w:tc>
          <w:tcPr>
            <w:tcW w:w="1714" w:type="dxa"/>
            <w:tcBorders>
              <w:top w:val="single" w:color="000000" w:sz="4" w:space="0"/>
              <w:left w:val="single" w:color="000000" w:sz="4" w:space="0"/>
              <w:bottom w:val="single" w:color="000000" w:sz="4" w:space="0"/>
              <w:right w:val="single" w:color="000000" w:sz="4" w:space="0"/>
            </w:tcBorders>
            <w:vAlign w:val="center"/>
          </w:tcPr>
          <w:p w14:paraId="734BC9F5">
            <w:pPr>
              <w:spacing w:line="280" w:lineRule="exact"/>
              <w:jc w:val="center"/>
              <w:rPr>
                <w:rFonts w:ascii="Arial" w:hAnsi="Arial" w:cs="Arial"/>
                <w:b/>
                <w:bCs/>
                <w:color w:val="auto"/>
                <w:szCs w:val="21"/>
                <w:highlight w:val="none"/>
              </w:rPr>
            </w:pPr>
            <w:r>
              <w:rPr>
                <w:rFonts w:hint="eastAsia" w:ascii="Arial" w:hAnsi="Arial" w:cs="Arial"/>
                <w:b/>
                <w:bCs/>
                <w:color w:val="auto"/>
                <w:szCs w:val="21"/>
                <w:highlight w:val="none"/>
                <w:lang w:eastAsia="zh-CN"/>
              </w:rPr>
              <w:t>单价预控价（</w:t>
            </w:r>
            <w:r>
              <w:rPr>
                <w:rFonts w:ascii="Arial" w:hAnsi="Arial" w:cs="Arial"/>
                <w:b/>
                <w:bCs/>
                <w:color w:val="auto"/>
                <w:szCs w:val="21"/>
                <w:highlight w:val="none"/>
              </w:rPr>
              <w:t>元</w:t>
            </w:r>
            <w:r>
              <w:rPr>
                <w:rFonts w:hint="eastAsia" w:ascii="Arial" w:hAnsi="Arial" w:cs="Arial"/>
                <w:b/>
                <w:bCs/>
                <w:color w:val="auto"/>
                <w:szCs w:val="21"/>
                <w:highlight w:val="none"/>
                <w:lang w:eastAsia="zh-CN"/>
              </w:rPr>
              <w:t>）</w:t>
            </w:r>
          </w:p>
        </w:tc>
      </w:tr>
      <w:tr w14:paraId="23AE698A">
        <w:tblPrEx>
          <w:tblCellMar>
            <w:top w:w="0" w:type="dxa"/>
            <w:left w:w="108" w:type="dxa"/>
            <w:bottom w:w="0" w:type="dxa"/>
            <w:right w:w="108" w:type="dxa"/>
          </w:tblCellMar>
        </w:tblPrEx>
        <w:trPr>
          <w:trHeight w:val="469"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202A9C1B">
            <w:pPr>
              <w:widowControl/>
              <w:spacing w:line="240" w:lineRule="auto"/>
              <w:jc w:val="center"/>
              <w:textAlignment w:val="center"/>
              <w:rPr>
                <w:rFonts w:hAnsi="宋体" w:cs="宋体"/>
                <w:b/>
                <w:bCs/>
                <w:color w:val="auto"/>
                <w:szCs w:val="21"/>
                <w:highlight w:val="none"/>
                <w:lang w:bidi="ar"/>
              </w:rPr>
            </w:pPr>
            <w:r>
              <w:rPr>
                <w:rFonts w:hint="eastAsia" w:hAnsi="宋体" w:cs="宋体"/>
                <w:b/>
                <w:bCs/>
                <w:color w:val="auto"/>
                <w:szCs w:val="21"/>
                <w:highlight w:val="none"/>
                <w:lang w:bidi="ar"/>
              </w:rPr>
              <w:t>1</w:t>
            </w:r>
          </w:p>
        </w:tc>
        <w:tc>
          <w:tcPr>
            <w:tcW w:w="552" w:type="dxa"/>
            <w:tcBorders>
              <w:top w:val="single" w:color="000000" w:sz="4" w:space="0"/>
              <w:left w:val="single" w:color="000000" w:sz="4" w:space="0"/>
              <w:bottom w:val="single" w:color="000000" w:sz="4" w:space="0"/>
              <w:right w:val="single" w:color="000000" w:sz="4" w:space="0"/>
            </w:tcBorders>
            <w:vAlign w:val="center"/>
          </w:tcPr>
          <w:p w14:paraId="7C5FB94F">
            <w:pPr>
              <w:widowControl/>
              <w:spacing w:line="240" w:lineRule="auto"/>
              <w:jc w:val="center"/>
              <w:textAlignment w:val="center"/>
              <w:rPr>
                <w:rFonts w:hAnsi="宋体" w:cs="宋体"/>
                <w:b/>
                <w:bCs/>
                <w:color w:val="auto"/>
                <w:szCs w:val="21"/>
                <w:highlight w:val="none"/>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73A5AF9">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442A9D58">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5194F1D3">
            <w:pPr>
              <w:widowControl/>
              <w:spacing w:line="240" w:lineRule="auto"/>
              <w:jc w:val="center"/>
              <w:textAlignment w:val="center"/>
              <w:rPr>
                <w:rFonts w:hAnsi="宋体" w:cs="宋体"/>
                <w:b/>
                <w:bCs/>
                <w:color w:val="auto"/>
                <w:szCs w:val="21"/>
                <w:highlight w:val="none"/>
                <w:lang w:bidi="ar"/>
              </w:rPr>
            </w:pPr>
          </w:p>
        </w:tc>
        <w:tc>
          <w:tcPr>
            <w:tcW w:w="797" w:type="dxa"/>
            <w:tcBorders>
              <w:top w:val="single" w:color="000000" w:sz="4" w:space="0"/>
              <w:left w:val="single" w:color="000000" w:sz="4" w:space="0"/>
              <w:bottom w:val="single" w:color="000000" w:sz="4" w:space="0"/>
              <w:right w:val="single" w:color="000000" w:sz="4" w:space="0"/>
            </w:tcBorders>
            <w:vAlign w:val="center"/>
          </w:tcPr>
          <w:p w14:paraId="17444B47">
            <w:pPr>
              <w:widowControl/>
              <w:spacing w:line="240" w:lineRule="auto"/>
              <w:jc w:val="center"/>
              <w:textAlignment w:val="center"/>
              <w:rPr>
                <w:rFonts w:hAnsi="宋体" w:cs="宋体"/>
                <w:b/>
                <w:bCs/>
                <w:color w:val="auto"/>
                <w:szCs w:val="21"/>
                <w:highlight w:val="none"/>
                <w:lang w:bidi="ar"/>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7831AAD0">
            <w:pPr>
              <w:widowControl/>
              <w:spacing w:line="240" w:lineRule="auto"/>
              <w:jc w:val="center"/>
              <w:textAlignment w:val="center"/>
              <w:rPr>
                <w:rFonts w:hAnsi="宋体" w:cs="宋体"/>
                <w:b/>
                <w:bCs/>
                <w:color w:val="auto"/>
                <w:szCs w:val="21"/>
                <w:highlight w:val="none"/>
                <w:lang w:bidi="ar"/>
              </w:rPr>
            </w:pPr>
          </w:p>
        </w:tc>
        <w:tc>
          <w:tcPr>
            <w:tcW w:w="889" w:type="dxa"/>
            <w:tcBorders>
              <w:top w:val="single" w:color="000000" w:sz="4" w:space="0"/>
              <w:left w:val="single" w:color="000000" w:sz="4" w:space="0"/>
              <w:bottom w:val="single" w:color="000000" w:sz="4" w:space="0"/>
              <w:right w:val="single" w:color="000000" w:sz="4" w:space="0"/>
            </w:tcBorders>
            <w:vAlign w:val="center"/>
          </w:tcPr>
          <w:p w14:paraId="3DA65B81">
            <w:pPr>
              <w:widowControl/>
              <w:spacing w:line="240" w:lineRule="auto"/>
              <w:jc w:val="center"/>
              <w:textAlignment w:val="center"/>
              <w:rPr>
                <w:rFonts w:hAnsi="宋体" w:cs="宋体"/>
                <w:b/>
                <w:bCs/>
                <w:color w:val="auto"/>
                <w:szCs w:val="21"/>
                <w:highlight w:val="none"/>
                <w:lang w:bidi="ar"/>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0A7523A">
            <w:pPr>
              <w:widowControl/>
              <w:spacing w:line="240" w:lineRule="auto"/>
              <w:jc w:val="center"/>
              <w:textAlignment w:val="center"/>
              <w:rPr>
                <w:rFonts w:hAnsi="宋体" w:cs="宋体"/>
                <w:b/>
                <w:bCs/>
                <w:color w:val="auto"/>
                <w:szCs w:val="21"/>
                <w:highlight w:val="none"/>
                <w:lang w:bidi="ar"/>
              </w:rPr>
            </w:pPr>
          </w:p>
        </w:tc>
        <w:tc>
          <w:tcPr>
            <w:tcW w:w="1714" w:type="dxa"/>
            <w:tcBorders>
              <w:top w:val="single" w:color="000000" w:sz="4" w:space="0"/>
              <w:left w:val="single" w:color="000000" w:sz="4" w:space="0"/>
              <w:bottom w:val="single" w:color="000000" w:sz="4" w:space="0"/>
              <w:right w:val="single" w:color="000000" w:sz="4" w:space="0"/>
            </w:tcBorders>
            <w:vAlign w:val="center"/>
          </w:tcPr>
          <w:p w14:paraId="3D1D815E">
            <w:pPr>
              <w:widowControl/>
              <w:spacing w:line="240" w:lineRule="auto"/>
              <w:jc w:val="center"/>
              <w:textAlignment w:val="center"/>
              <w:rPr>
                <w:rFonts w:hAnsi="宋体" w:cs="宋体"/>
                <w:b/>
                <w:bCs/>
                <w:color w:val="auto"/>
                <w:szCs w:val="21"/>
                <w:highlight w:val="none"/>
                <w:lang w:bidi="ar"/>
              </w:rPr>
            </w:pPr>
          </w:p>
        </w:tc>
      </w:tr>
      <w:tr w14:paraId="1761A90B">
        <w:tblPrEx>
          <w:tblCellMar>
            <w:top w:w="0" w:type="dxa"/>
            <w:left w:w="108" w:type="dxa"/>
            <w:bottom w:w="0" w:type="dxa"/>
            <w:right w:w="108" w:type="dxa"/>
          </w:tblCellMar>
        </w:tblPrEx>
        <w:trPr>
          <w:trHeight w:val="469"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66CDF1C9">
            <w:pPr>
              <w:widowControl/>
              <w:spacing w:line="240" w:lineRule="auto"/>
              <w:jc w:val="center"/>
              <w:textAlignment w:val="center"/>
              <w:rPr>
                <w:rFonts w:hAnsi="宋体" w:cs="宋体"/>
                <w:b/>
                <w:bCs/>
                <w:color w:val="auto"/>
                <w:szCs w:val="21"/>
                <w:highlight w:val="none"/>
                <w:lang w:bidi="ar"/>
              </w:rPr>
            </w:pPr>
            <w:r>
              <w:rPr>
                <w:rFonts w:hint="eastAsia" w:hAnsi="宋体" w:cs="宋体"/>
                <w:b/>
                <w:bCs/>
                <w:color w:val="auto"/>
                <w:szCs w:val="21"/>
                <w:highlight w:val="none"/>
                <w:lang w:bidi="ar"/>
              </w:rPr>
              <w:t>2</w:t>
            </w:r>
          </w:p>
        </w:tc>
        <w:tc>
          <w:tcPr>
            <w:tcW w:w="552" w:type="dxa"/>
            <w:tcBorders>
              <w:top w:val="single" w:color="000000" w:sz="4" w:space="0"/>
              <w:left w:val="single" w:color="000000" w:sz="4" w:space="0"/>
              <w:bottom w:val="single" w:color="000000" w:sz="4" w:space="0"/>
              <w:right w:val="single" w:color="000000" w:sz="4" w:space="0"/>
            </w:tcBorders>
            <w:vAlign w:val="center"/>
          </w:tcPr>
          <w:p w14:paraId="01EBAB0F">
            <w:pPr>
              <w:widowControl/>
              <w:spacing w:line="240" w:lineRule="auto"/>
              <w:jc w:val="center"/>
              <w:textAlignment w:val="center"/>
              <w:rPr>
                <w:rFonts w:hAnsi="宋体" w:cs="宋体"/>
                <w:b/>
                <w:bCs/>
                <w:color w:val="auto"/>
                <w:szCs w:val="21"/>
                <w:highlight w:val="none"/>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06D349B">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04E1C8C4">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6CD4F821">
            <w:pPr>
              <w:widowControl/>
              <w:spacing w:line="240" w:lineRule="auto"/>
              <w:jc w:val="center"/>
              <w:textAlignment w:val="center"/>
              <w:rPr>
                <w:rFonts w:hAnsi="宋体" w:cs="宋体"/>
                <w:b/>
                <w:bCs/>
                <w:color w:val="auto"/>
                <w:szCs w:val="21"/>
                <w:highlight w:val="none"/>
                <w:lang w:bidi="ar"/>
              </w:rPr>
            </w:pPr>
          </w:p>
        </w:tc>
        <w:tc>
          <w:tcPr>
            <w:tcW w:w="797" w:type="dxa"/>
            <w:tcBorders>
              <w:top w:val="single" w:color="000000" w:sz="4" w:space="0"/>
              <w:left w:val="single" w:color="000000" w:sz="4" w:space="0"/>
              <w:bottom w:val="single" w:color="000000" w:sz="4" w:space="0"/>
              <w:right w:val="single" w:color="000000" w:sz="4" w:space="0"/>
            </w:tcBorders>
            <w:vAlign w:val="center"/>
          </w:tcPr>
          <w:p w14:paraId="1DEEEEDC">
            <w:pPr>
              <w:widowControl/>
              <w:spacing w:line="240" w:lineRule="auto"/>
              <w:jc w:val="center"/>
              <w:textAlignment w:val="center"/>
              <w:rPr>
                <w:rFonts w:hAnsi="宋体" w:cs="宋体"/>
                <w:b/>
                <w:bCs/>
                <w:color w:val="auto"/>
                <w:szCs w:val="21"/>
                <w:highlight w:val="none"/>
                <w:lang w:bidi="ar"/>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61195E52">
            <w:pPr>
              <w:widowControl/>
              <w:spacing w:line="240" w:lineRule="auto"/>
              <w:jc w:val="center"/>
              <w:textAlignment w:val="center"/>
              <w:rPr>
                <w:rFonts w:hAnsi="宋体" w:cs="宋体"/>
                <w:b/>
                <w:bCs/>
                <w:color w:val="auto"/>
                <w:szCs w:val="21"/>
                <w:highlight w:val="none"/>
                <w:lang w:bidi="ar"/>
              </w:rPr>
            </w:pPr>
          </w:p>
        </w:tc>
        <w:tc>
          <w:tcPr>
            <w:tcW w:w="889" w:type="dxa"/>
            <w:tcBorders>
              <w:top w:val="single" w:color="000000" w:sz="4" w:space="0"/>
              <w:left w:val="single" w:color="000000" w:sz="4" w:space="0"/>
              <w:bottom w:val="single" w:color="000000" w:sz="4" w:space="0"/>
              <w:right w:val="single" w:color="000000" w:sz="4" w:space="0"/>
            </w:tcBorders>
            <w:vAlign w:val="center"/>
          </w:tcPr>
          <w:p w14:paraId="059906EA">
            <w:pPr>
              <w:widowControl/>
              <w:spacing w:line="240" w:lineRule="auto"/>
              <w:jc w:val="center"/>
              <w:textAlignment w:val="center"/>
              <w:rPr>
                <w:rFonts w:hAnsi="宋体" w:cs="宋体"/>
                <w:b/>
                <w:bCs/>
                <w:color w:val="auto"/>
                <w:szCs w:val="21"/>
                <w:highlight w:val="none"/>
                <w:lang w:bidi="ar"/>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7BE47775">
            <w:pPr>
              <w:widowControl/>
              <w:spacing w:line="240" w:lineRule="auto"/>
              <w:jc w:val="center"/>
              <w:textAlignment w:val="center"/>
              <w:rPr>
                <w:rFonts w:hAnsi="宋体" w:cs="宋体"/>
                <w:b/>
                <w:bCs/>
                <w:color w:val="auto"/>
                <w:szCs w:val="21"/>
                <w:highlight w:val="none"/>
                <w:lang w:bidi="ar"/>
              </w:rPr>
            </w:pPr>
          </w:p>
        </w:tc>
        <w:tc>
          <w:tcPr>
            <w:tcW w:w="1714" w:type="dxa"/>
            <w:tcBorders>
              <w:top w:val="single" w:color="000000" w:sz="4" w:space="0"/>
              <w:left w:val="single" w:color="000000" w:sz="4" w:space="0"/>
              <w:bottom w:val="single" w:color="000000" w:sz="4" w:space="0"/>
              <w:right w:val="single" w:color="000000" w:sz="4" w:space="0"/>
            </w:tcBorders>
            <w:vAlign w:val="center"/>
          </w:tcPr>
          <w:p w14:paraId="665B2486">
            <w:pPr>
              <w:widowControl/>
              <w:spacing w:line="240" w:lineRule="auto"/>
              <w:jc w:val="center"/>
              <w:textAlignment w:val="center"/>
              <w:rPr>
                <w:rFonts w:hAnsi="宋体" w:cs="宋体"/>
                <w:b/>
                <w:bCs/>
                <w:color w:val="auto"/>
                <w:szCs w:val="21"/>
                <w:highlight w:val="none"/>
                <w:lang w:bidi="ar"/>
              </w:rPr>
            </w:pPr>
          </w:p>
        </w:tc>
      </w:tr>
      <w:tr w14:paraId="42176CA4">
        <w:tblPrEx>
          <w:tblCellMar>
            <w:top w:w="0" w:type="dxa"/>
            <w:left w:w="108" w:type="dxa"/>
            <w:bottom w:w="0" w:type="dxa"/>
            <w:right w:w="108" w:type="dxa"/>
          </w:tblCellMar>
        </w:tblPrEx>
        <w:trPr>
          <w:trHeight w:val="469"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60EB8573">
            <w:pPr>
              <w:widowControl/>
              <w:spacing w:line="240" w:lineRule="auto"/>
              <w:jc w:val="center"/>
              <w:textAlignment w:val="center"/>
              <w:rPr>
                <w:rFonts w:hAnsi="宋体" w:cs="宋体"/>
                <w:b/>
                <w:bCs/>
                <w:color w:val="auto"/>
                <w:szCs w:val="21"/>
                <w:highlight w:val="none"/>
                <w:lang w:bidi="ar"/>
              </w:rPr>
            </w:pPr>
            <w:r>
              <w:rPr>
                <w:rFonts w:hint="eastAsia" w:hAnsi="宋体" w:cs="宋体"/>
                <w:b/>
                <w:bCs/>
                <w:color w:val="auto"/>
                <w:szCs w:val="21"/>
                <w:highlight w:val="none"/>
                <w:lang w:bidi="ar"/>
              </w:rPr>
              <w:t>3</w:t>
            </w:r>
          </w:p>
        </w:tc>
        <w:tc>
          <w:tcPr>
            <w:tcW w:w="552" w:type="dxa"/>
            <w:tcBorders>
              <w:top w:val="single" w:color="000000" w:sz="4" w:space="0"/>
              <w:left w:val="single" w:color="000000" w:sz="4" w:space="0"/>
              <w:bottom w:val="single" w:color="000000" w:sz="4" w:space="0"/>
              <w:right w:val="single" w:color="000000" w:sz="4" w:space="0"/>
            </w:tcBorders>
            <w:vAlign w:val="center"/>
          </w:tcPr>
          <w:p w14:paraId="30687E04">
            <w:pPr>
              <w:widowControl/>
              <w:spacing w:line="240" w:lineRule="auto"/>
              <w:jc w:val="center"/>
              <w:textAlignment w:val="center"/>
              <w:rPr>
                <w:rFonts w:hAnsi="宋体" w:cs="宋体"/>
                <w:b/>
                <w:bCs/>
                <w:color w:val="auto"/>
                <w:szCs w:val="21"/>
                <w:highlight w:val="none"/>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2AE24E5">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5B199CE1">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26A03136">
            <w:pPr>
              <w:widowControl/>
              <w:spacing w:line="240" w:lineRule="auto"/>
              <w:jc w:val="center"/>
              <w:textAlignment w:val="center"/>
              <w:rPr>
                <w:rFonts w:hAnsi="宋体" w:cs="宋体"/>
                <w:b/>
                <w:bCs/>
                <w:color w:val="auto"/>
                <w:szCs w:val="21"/>
                <w:highlight w:val="none"/>
                <w:lang w:bidi="ar"/>
              </w:rPr>
            </w:pPr>
          </w:p>
        </w:tc>
        <w:tc>
          <w:tcPr>
            <w:tcW w:w="797" w:type="dxa"/>
            <w:tcBorders>
              <w:top w:val="single" w:color="000000" w:sz="4" w:space="0"/>
              <w:left w:val="single" w:color="000000" w:sz="4" w:space="0"/>
              <w:bottom w:val="single" w:color="000000" w:sz="4" w:space="0"/>
              <w:right w:val="single" w:color="000000" w:sz="4" w:space="0"/>
            </w:tcBorders>
            <w:vAlign w:val="center"/>
          </w:tcPr>
          <w:p w14:paraId="32EC96B2">
            <w:pPr>
              <w:widowControl/>
              <w:spacing w:line="240" w:lineRule="auto"/>
              <w:jc w:val="center"/>
              <w:textAlignment w:val="center"/>
              <w:rPr>
                <w:rFonts w:hAnsi="宋体" w:cs="宋体"/>
                <w:b/>
                <w:bCs/>
                <w:color w:val="auto"/>
                <w:szCs w:val="21"/>
                <w:highlight w:val="none"/>
                <w:lang w:bidi="ar"/>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046BFF7A">
            <w:pPr>
              <w:widowControl/>
              <w:spacing w:line="240" w:lineRule="auto"/>
              <w:jc w:val="center"/>
              <w:textAlignment w:val="center"/>
              <w:rPr>
                <w:rFonts w:hAnsi="宋体" w:cs="宋体"/>
                <w:b/>
                <w:bCs/>
                <w:color w:val="auto"/>
                <w:szCs w:val="21"/>
                <w:highlight w:val="none"/>
                <w:lang w:bidi="ar"/>
              </w:rPr>
            </w:pPr>
          </w:p>
        </w:tc>
        <w:tc>
          <w:tcPr>
            <w:tcW w:w="889" w:type="dxa"/>
            <w:tcBorders>
              <w:top w:val="single" w:color="000000" w:sz="4" w:space="0"/>
              <w:left w:val="single" w:color="000000" w:sz="4" w:space="0"/>
              <w:bottom w:val="single" w:color="000000" w:sz="4" w:space="0"/>
              <w:right w:val="single" w:color="000000" w:sz="4" w:space="0"/>
            </w:tcBorders>
            <w:vAlign w:val="center"/>
          </w:tcPr>
          <w:p w14:paraId="1DAAB2E3">
            <w:pPr>
              <w:widowControl/>
              <w:spacing w:line="240" w:lineRule="auto"/>
              <w:jc w:val="center"/>
              <w:textAlignment w:val="center"/>
              <w:rPr>
                <w:rFonts w:hAnsi="宋体" w:cs="宋体"/>
                <w:b/>
                <w:bCs/>
                <w:color w:val="auto"/>
                <w:szCs w:val="21"/>
                <w:highlight w:val="none"/>
                <w:lang w:bidi="ar"/>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9C93B06">
            <w:pPr>
              <w:widowControl/>
              <w:spacing w:line="240" w:lineRule="auto"/>
              <w:jc w:val="center"/>
              <w:textAlignment w:val="center"/>
              <w:rPr>
                <w:rFonts w:hAnsi="宋体" w:cs="宋体"/>
                <w:b/>
                <w:bCs/>
                <w:color w:val="auto"/>
                <w:szCs w:val="21"/>
                <w:highlight w:val="none"/>
                <w:lang w:bidi="ar"/>
              </w:rPr>
            </w:pPr>
          </w:p>
        </w:tc>
        <w:tc>
          <w:tcPr>
            <w:tcW w:w="1714" w:type="dxa"/>
            <w:tcBorders>
              <w:top w:val="single" w:color="000000" w:sz="4" w:space="0"/>
              <w:left w:val="single" w:color="000000" w:sz="4" w:space="0"/>
              <w:bottom w:val="single" w:color="000000" w:sz="4" w:space="0"/>
              <w:right w:val="single" w:color="000000" w:sz="4" w:space="0"/>
            </w:tcBorders>
            <w:vAlign w:val="center"/>
          </w:tcPr>
          <w:p w14:paraId="219D6498">
            <w:pPr>
              <w:widowControl/>
              <w:spacing w:line="240" w:lineRule="auto"/>
              <w:jc w:val="center"/>
              <w:textAlignment w:val="center"/>
              <w:rPr>
                <w:rFonts w:hAnsi="宋体" w:cs="宋体"/>
                <w:b/>
                <w:bCs/>
                <w:color w:val="auto"/>
                <w:szCs w:val="21"/>
                <w:highlight w:val="none"/>
                <w:lang w:bidi="ar"/>
              </w:rPr>
            </w:pPr>
          </w:p>
        </w:tc>
      </w:tr>
      <w:tr w14:paraId="16B1978F">
        <w:tblPrEx>
          <w:tblCellMar>
            <w:top w:w="0" w:type="dxa"/>
            <w:left w:w="108" w:type="dxa"/>
            <w:bottom w:w="0" w:type="dxa"/>
            <w:right w:w="108" w:type="dxa"/>
          </w:tblCellMar>
        </w:tblPrEx>
        <w:trPr>
          <w:trHeight w:val="469"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7BC0614D">
            <w:pPr>
              <w:widowControl/>
              <w:spacing w:line="240" w:lineRule="auto"/>
              <w:jc w:val="center"/>
              <w:textAlignment w:val="center"/>
              <w:rPr>
                <w:rFonts w:hAnsi="宋体" w:cs="宋体"/>
                <w:b/>
                <w:bCs/>
                <w:color w:val="auto"/>
                <w:szCs w:val="21"/>
                <w:highlight w:val="none"/>
                <w:lang w:bidi="ar"/>
              </w:rPr>
            </w:pPr>
            <w:r>
              <w:rPr>
                <w:rFonts w:ascii="Arial" w:hAnsi="Arial" w:cs="Arial"/>
                <w:b/>
                <w:bCs/>
                <w:color w:val="auto"/>
                <w:szCs w:val="21"/>
                <w:highlight w:val="none"/>
                <w:lang w:bidi="ar"/>
              </w:rPr>
              <w:t>…</w:t>
            </w:r>
          </w:p>
        </w:tc>
        <w:tc>
          <w:tcPr>
            <w:tcW w:w="552" w:type="dxa"/>
            <w:tcBorders>
              <w:top w:val="single" w:color="000000" w:sz="4" w:space="0"/>
              <w:left w:val="single" w:color="000000" w:sz="4" w:space="0"/>
              <w:bottom w:val="single" w:color="000000" w:sz="4" w:space="0"/>
              <w:right w:val="single" w:color="000000" w:sz="4" w:space="0"/>
            </w:tcBorders>
            <w:vAlign w:val="center"/>
          </w:tcPr>
          <w:p w14:paraId="76693840">
            <w:pPr>
              <w:widowControl/>
              <w:spacing w:line="240" w:lineRule="auto"/>
              <w:jc w:val="center"/>
              <w:textAlignment w:val="center"/>
              <w:rPr>
                <w:rFonts w:hAnsi="宋体" w:cs="宋体"/>
                <w:b/>
                <w:bCs/>
                <w:color w:val="auto"/>
                <w:szCs w:val="21"/>
                <w:highlight w:val="none"/>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EC3C80D">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1A6FC6B6">
            <w:pPr>
              <w:widowControl/>
              <w:spacing w:line="240" w:lineRule="auto"/>
              <w:jc w:val="center"/>
              <w:textAlignment w:val="center"/>
              <w:rPr>
                <w:rFonts w:hAnsi="宋体" w:cs="宋体"/>
                <w:b/>
                <w:bCs/>
                <w:color w:val="auto"/>
                <w:szCs w:val="21"/>
                <w:highlight w:val="none"/>
                <w:lang w:bidi="ar"/>
              </w:rPr>
            </w:pPr>
          </w:p>
        </w:tc>
        <w:tc>
          <w:tcPr>
            <w:tcW w:w="684" w:type="dxa"/>
            <w:tcBorders>
              <w:top w:val="single" w:color="000000" w:sz="4" w:space="0"/>
              <w:left w:val="single" w:color="000000" w:sz="4" w:space="0"/>
              <w:bottom w:val="single" w:color="000000" w:sz="4" w:space="0"/>
              <w:right w:val="single" w:color="000000" w:sz="4" w:space="0"/>
            </w:tcBorders>
            <w:vAlign w:val="center"/>
          </w:tcPr>
          <w:p w14:paraId="0B095124">
            <w:pPr>
              <w:widowControl/>
              <w:spacing w:line="240" w:lineRule="auto"/>
              <w:jc w:val="center"/>
              <w:textAlignment w:val="center"/>
              <w:rPr>
                <w:rFonts w:hAnsi="宋体" w:cs="宋体"/>
                <w:b/>
                <w:bCs/>
                <w:color w:val="auto"/>
                <w:szCs w:val="21"/>
                <w:highlight w:val="none"/>
                <w:lang w:bidi="ar"/>
              </w:rPr>
            </w:pPr>
          </w:p>
        </w:tc>
        <w:tc>
          <w:tcPr>
            <w:tcW w:w="797" w:type="dxa"/>
            <w:tcBorders>
              <w:top w:val="single" w:color="000000" w:sz="4" w:space="0"/>
              <w:left w:val="single" w:color="000000" w:sz="4" w:space="0"/>
              <w:bottom w:val="single" w:color="000000" w:sz="4" w:space="0"/>
              <w:right w:val="single" w:color="000000" w:sz="4" w:space="0"/>
            </w:tcBorders>
            <w:vAlign w:val="center"/>
          </w:tcPr>
          <w:p w14:paraId="5407F52A">
            <w:pPr>
              <w:widowControl/>
              <w:spacing w:line="240" w:lineRule="auto"/>
              <w:jc w:val="center"/>
              <w:textAlignment w:val="center"/>
              <w:rPr>
                <w:rFonts w:hAnsi="宋体" w:cs="宋体"/>
                <w:b/>
                <w:bCs/>
                <w:color w:val="auto"/>
                <w:szCs w:val="21"/>
                <w:highlight w:val="none"/>
                <w:lang w:bidi="ar"/>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57162637">
            <w:pPr>
              <w:widowControl/>
              <w:spacing w:line="240" w:lineRule="auto"/>
              <w:jc w:val="center"/>
              <w:textAlignment w:val="center"/>
              <w:rPr>
                <w:rFonts w:hAnsi="宋体" w:cs="宋体"/>
                <w:b/>
                <w:bCs/>
                <w:color w:val="auto"/>
                <w:szCs w:val="21"/>
                <w:highlight w:val="none"/>
                <w:lang w:bidi="ar"/>
              </w:rPr>
            </w:pPr>
          </w:p>
        </w:tc>
        <w:tc>
          <w:tcPr>
            <w:tcW w:w="889" w:type="dxa"/>
            <w:tcBorders>
              <w:top w:val="single" w:color="000000" w:sz="4" w:space="0"/>
              <w:left w:val="single" w:color="000000" w:sz="4" w:space="0"/>
              <w:bottom w:val="single" w:color="000000" w:sz="4" w:space="0"/>
              <w:right w:val="single" w:color="000000" w:sz="4" w:space="0"/>
            </w:tcBorders>
            <w:vAlign w:val="center"/>
          </w:tcPr>
          <w:p w14:paraId="483107AB">
            <w:pPr>
              <w:widowControl/>
              <w:spacing w:line="240" w:lineRule="auto"/>
              <w:jc w:val="center"/>
              <w:textAlignment w:val="center"/>
              <w:rPr>
                <w:rFonts w:hAnsi="宋体" w:cs="宋体"/>
                <w:b/>
                <w:bCs/>
                <w:color w:val="auto"/>
                <w:szCs w:val="21"/>
                <w:highlight w:val="none"/>
                <w:lang w:bidi="ar"/>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89B968F">
            <w:pPr>
              <w:widowControl/>
              <w:spacing w:line="240" w:lineRule="auto"/>
              <w:jc w:val="center"/>
              <w:textAlignment w:val="center"/>
              <w:rPr>
                <w:rFonts w:hAnsi="宋体" w:cs="宋体"/>
                <w:b/>
                <w:bCs/>
                <w:color w:val="auto"/>
                <w:szCs w:val="21"/>
                <w:highlight w:val="none"/>
                <w:lang w:bidi="ar"/>
              </w:rPr>
            </w:pPr>
          </w:p>
        </w:tc>
        <w:tc>
          <w:tcPr>
            <w:tcW w:w="1714" w:type="dxa"/>
            <w:tcBorders>
              <w:top w:val="single" w:color="000000" w:sz="4" w:space="0"/>
              <w:left w:val="single" w:color="000000" w:sz="4" w:space="0"/>
              <w:bottom w:val="single" w:color="000000" w:sz="4" w:space="0"/>
              <w:right w:val="single" w:color="000000" w:sz="4" w:space="0"/>
            </w:tcBorders>
            <w:vAlign w:val="center"/>
          </w:tcPr>
          <w:p w14:paraId="1973C8F6">
            <w:pPr>
              <w:widowControl/>
              <w:spacing w:line="240" w:lineRule="auto"/>
              <w:jc w:val="center"/>
              <w:textAlignment w:val="center"/>
              <w:rPr>
                <w:rFonts w:hAnsi="宋体" w:cs="宋体"/>
                <w:b/>
                <w:bCs/>
                <w:color w:val="auto"/>
                <w:szCs w:val="21"/>
                <w:highlight w:val="none"/>
                <w:lang w:bidi="ar"/>
              </w:rPr>
            </w:pPr>
          </w:p>
        </w:tc>
      </w:tr>
      <w:tr w14:paraId="067B04E8">
        <w:tblPrEx>
          <w:tblCellMar>
            <w:top w:w="0" w:type="dxa"/>
            <w:left w:w="108" w:type="dxa"/>
            <w:bottom w:w="0" w:type="dxa"/>
            <w:right w:w="108" w:type="dxa"/>
          </w:tblCellMar>
        </w:tblPrEx>
        <w:trPr>
          <w:trHeight w:val="596" w:hRule="atLeast"/>
        </w:trPr>
        <w:tc>
          <w:tcPr>
            <w:tcW w:w="8615" w:type="dxa"/>
            <w:gridSpan w:val="10"/>
            <w:tcBorders>
              <w:top w:val="single" w:color="000000" w:sz="4" w:space="0"/>
              <w:left w:val="single" w:color="000000" w:sz="4" w:space="0"/>
              <w:bottom w:val="single" w:color="000000" w:sz="4" w:space="0"/>
              <w:right w:val="single" w:color="000000" w:sz="4" w:space="0"/>
            </w:tcBorders>
            <w:vAlign w:val="center"/>
          </w:tcPr>
          <w:p w14:paraId="3B31029B">
            <w:pPr>
              <w:adjustRightInd w:val="0"/>
              <w:snapToGrid w:val="0"/>
              <w:spacing w:line="300" w:lineRule="auto"/>
              <w:rPr>
                <w:rFonts w:ascii="Arial" w:hAnsi="Arial" w:cs="Arial"/>
                <w:color w:val="auto"/>
                <w:szCs w:val="21"/>
                <w:highlight w:val="none"/>
              </w:rPr>
            </w:pPr>
            <w:r>
              <w:rPr>
                <w:rFonts w:hint="eastAsia" w:ascii="Arial" w:hAnsi="Arial" w:cs="Arial"/>
                <w:b/>
                <w:bCs/>
                <w:color w:val="auto"/>
                <w:szCs w:val="21"/>
                <w:highlight w:val="none"/>
              </w:rPr>
              <w:t>投标总折扣率：</w:t>
            </w:r>
            <w:r>
              <w:rPr>
                <w:rFonts w:hint="eastAsia" w:ascii="Arial" w:hAnsi="Arial" w:cs="Arial"/>
                <w:b/>
                <w:bCs/>
                <w:color w:val="auto"/>
                <w:szCs w:val="21"/>
                <w:highlight w:val="none"/>
                <w:u w:val="single"/>
              </w:rPr>
              <w:t xml:space="preserve">     </w:t>
            </w:r>
            <w:r>
              <w:rPr>
                <w:rFonts w:hint="eastAsia" w:ascii="Arial" w:hAnsi="Arial" w:cs="Arial"/>
                <w:b/>
                <w:bCs/>
                <w:color w:val="auto"/>
                <w:szCs w:val="21"/>
                <w:highlight w:val="none"/>
              </w:rPr>
              <w:t>%</w:t>
            </w:r>
          </w:p>
          <w:p w14:paraId="1CD8A5CC">
            <w:pPr>
              <w:widowControl/>
              <w:spacing w:line="240" w:lineRule="auto"/>
              <w:textAlignment w:val="center"/>
              <w:rPr>
                <w:rFonts w:ascii="Arial" w:hAnsi="Arial" w:cs="Arial"/>
                <w:color w:val="auto"/>
                <w:szCs w:val="21"/>
                <w:highlight w:val="none"/>
              </w:rPr>
            </w:pPr>
            <w:r>
              <w:rPr>
                <w:rFonts w:hint="eastAsia" w:ascii="Arial" w:hAnsi="Arial" w:cs="Arial"/>
                <w:color w:val="auto"/>
                <w:szCs w:val="21"/>
                <w:highlight w:val="none"/>
              </w:rPr>
              <w:t>（在“广西政府采购云平台”填写“投标总折扣率”时，只需填写数值，</w:t>
            </w:r>
            <w:r>
              <w:rPr>
                <w:rFonts w:hint="eastAsia" w:ascii="Arial" w:hAnsi="Arial" w:cs="Arial"/>
                <w:b/>
                <w:bCs/>
                <w:color w:val="auto"/>
                <w:szCs w:val="21"/>
                <w:highlight w:val="none"/>
              </w:rPr>
              <w:t>无需填写“%”号</w:t>
            </w:r>
            <w:r>
              <w:rPr>
                <w:rFonts w:hint="eastAsia" w:ascii="Arial" w:hAnsi="Arial" w:cs="Arial"/>
                <w:color w:val="auto"/>
                <w:szCs w:val="21"/>
                <w:highlight w:val="none"/>
              </w:rPr>
              <w:t>）</w:t>
            </w:r>
          </w:p>
        </w:tc>
      </w:tr>
      <w:tr w14:paraId="66CF8584">
        <w:tblPrEx>
          <w:tblCellMar>
            <w:top w:w="0" w:type="dxa"/>
            <w:left w:w="108" w:type="dxa"/>
            <w:bottom w:w="0" w:type="dxa"/>
            <w:right w:w="108" w:type="dxa"/>
          </w:tblCellMar>
        </w:tblPrEx>
        <w:trPr>
          <w:trHeight w:val="1574" w:hRule="atLeast"/>
        </w:trPr>
        <w:tc>
          <w:tcPr>
            <w:tcW w:w="8615" w:type="dxa"/>
            <w:gridSpan w:val="10"/>
            <w:tcBorders>
              <w:top w:val="single" w:color="000000" w:sz="4" w:space="0"/>
              <w:left w:val="single" w:color="000000" w:sz="4" w:space="0"/>
              <w:bottom w:val="single" w:color="000000" w:sz="4" w:space="0"/>
              <w:right w:val="single" w:color="000000" w:sz="4" w:space="0"/>
            </w:tcBorders>
            <w:vAlign w:val="center"/>
          </w:tcPr>
          <w:p w14:paraId="30A256A2">
            <w:pPr>
              <w:spacing w:line="360" w:lineRule="exact"/>
              <w:rPr>
                <w:rFonts w:ascii="Arial" w:hAnsi="Arial" w:cs="Arial"/>
                <w:b/>
                <w:color w:val="auto"/>
                <w:szCs w:val="21"/>
                <w:highlight w:val="none"/>
              </w:rPr>
            </w:pPr>
            <w:r>
              <w:rPr>
                <w:rFonts w:ascii="Arial" w:hAnsi="Arial" w:cs="Arial"/>
                <w:b/>
                <w:color w:val="auto"/>
                <w:szCs w:val="21"/>
                <w:highlight w:val="none"/>
              </w:rPr>
              <w:t>说明：</w:t>
            </w:r>
          </w:p>
          <w:p w14:paraId="2C9364CA">
            <w:pPr>
              <w:spacing w:line="360" w:lineRule="exact"/>
              <w:rPr>
                <w:rFonts w:ascii="Arial" w:hAnsi="Arial" w:cs="Arial"/>
                <w:b/>
                <w:color w:val="auto"/>
                <w:szCs w:val="21"/>
                <w:highlight w:val="none"/>
              </w:rPr>
            </w:pPr>
            <w:r>
              <w:rPr>
                <w:rFonts w:hint="eastAsia" w:ascii="Arial" w:hAnsi="Arial" w:cs="Arial"/>
                <w:b/>
                <w:color w:val="auto"/>
                <w:szCs w:val="21"/>
                <w:highlight w:val="none"/>
              </w:rPr>
              <w:t>1.</w:t>
            </w:r>
            <w:r>
              <w:rPr>
                <w:rFonts w:hint="eastAsia" w:hAnsi="宋体"/>
                <w:b/>
                <w:bCs/>
                <w:color w:val="auto"/>
                <w:szCs w:val="21"/>
                <w:highlight w:val="none"/>
              </w:rPr>
              <w:t>合同单价=基准单价（</w:t>
            </w:r>
            <w:r>
              <w:rPr>
                <w:rFonts w:hint="eastAsia" w:hAnsi="宋体"/>
                <w:b/>
                <w:bCs/>
                <w:color w:val="auto"/>
                <w:szCs w:val="21"/>
                <w:highlight w:val="none"/>
                <w:lang w:eastAsia="zh-CN"/>
              </w:rPr>
              <w:t>单价预控价</w:t>
            </w:r>
            <w:r>
              <w:rPr>
                <w:rFonts w:hint="eastAsia" w:hAnsi="宋体"/>
                <w:b/>
                <w:bCs/>
                <w:color w:val="auto"/>
                <w:szCs w:val="21"/>
                <w:highlight w:val="none"/>
              </w:rPr>
              <w:t>）×总折扣率（合同单价取整到小数点后2位）</w:t>
            </w:r>
          </w:p>
          <w:p w14:paraId="4B55F065">
            <w:pPr>
              <w:spacing w:line="360" w:lineRule="exact"/>
              <w:rPr>
                <w:rFonts w:ascii="Arial" w:hAnsi="Arial" w:cs="Arial"/>
                <w:b/>
                <w:color w:val="auto"/>
                <w:szCs w:val="21"/>
                <w:highlight w:val="none"/>
              </w:rPr>
            </w:pPr>
            <w:r>
              <w:rPr>
                <w:rFonts w:hint="eastAsia" w:ascii="Arial" w:hAnsi="Arial" w:cs="Arial"/>
                <w:b/>
                <w:color w:val="auto"/>
                <w:szCs w:val="21"/>
                <w:highlight w:val="none"/>
              </w:rPr>
              <w:t>例：某镜架/镜片的</w:t>
            </w:r>
            <w:r>
              <w:rPr>
                <w:rFonts w:hint="eastAsia" w:ascii="Arial" w:hAnsi="Arial" w:cs="Arial"/>
                <w:b/>
                <w:color w:val="auto"/>
                <w:szCs w:val="21"/>
                <w:highlight w:val="none"/>
                <w:lang w:eastAsia="zh-CN"/>
              </w:rPr>
              <w:t>单价预控价</w:t>
            </w:r>
            <w:r>
              <w:rPr>
                <w:rFonts w:hint="eastAsia" w:ascii="Arial" w:hAnsi="Arial" w:cs="Arial"/>
                <w:b/>
                <w:color w:val="auto"/>
                <w:szCs w:val="21"/>
                <w:highlight w:val="none"/>
              </w:rPr>
              <w:t>为100元，投标总折扣率为90%，则合同单价=100×90%=90元。</w:t>
            </w:r>
          </w:p>
          <w:p w14:paraId="6524A28E">
            <w:pPr>
              <w:widowControl/>
              <w:spacing w:line="240" w:lineRule="auto"/>
              <w:textAlignment w:val="center"/>
              <w:rPr>
                <w:rFonts w:ascii="Arial" w:hAnsi="Arial" w:cs="Arial"/>
                <w:b/>
                <w:color w:val="auto"/>
                <w:szCs w:val="21"/>
                <w:highlight w:val="none"/>
              </w:rPr>
            </w:pPr>
            <w:r>
              <w:rPr>
                <w:rFonts w:hint="eastAsia" w:ascii="Arial" w:hAnsi="Arial" w:cs="Arial"/>
                <w:b/>
                <w:color w:val="auto"/>
                <w:szCs w:val="21"/>
                <w:highlight w:val="none"/>
              </w:rPr>
              <w:t>2.须将标项内所有标的名称产品（包含镜片和镜架）全部填写，漏项报价、有选择报价或有条件的报价，按投标无效处理。</w:t>
            </w:r>
          </w:p>
        </w:tc>
      </w:tr>
    </w:tbl>
    <w:p w14:paraId="283336BA">
      <w:pPr>
        <w:snapToGrid w:val="0"/>
        <w:rPr>
          <w:rFonts w:hAnsi="宋体"/>
          <w:color w:val="auto"/>
          <w:sz w:val="24"/>
          <w:highlight w:val="none"/>
        </w:rPr>
      </w:pPr>
      <w:r>
        <w:rPr>
          <w:rFonts w:hint="eastAsia" w:hAnsi="宋体"/>
          <w:color w:val="auto"/>
          <w:sz w:val="24"/>
          <w:highlight w:val="none"/>
        </w:rPr>
        <w:t>注</w:t>
      </w:r>
      <w:r>
        <w:rPr>
          <w:rFonts w:hint="eastAsia" w:hAnsi="宋体"/>
          <w:color w:val="auto"/>
          <w:sz w:val="24"/>
          <w:highlight w:val="none"/>
          <w:lang w:eastAsia="zh-CN"/>
        </w:rPr>
        <w:t>：</w:t>
      </w:r>
      <w:r>
        <w:rPr>
          <w:rFonts w:hint="eastAsia" w:hAnsi="宋体"/>
          <w:color w:val="auto"/>
          <w:sz w:val="24"/>
          <w:highlight w:val="none"/>
        </w:rPr>
        <w:t xml:space="preserve"> </w:t>
      </w:r>
    </w:p>
    <w:p w14:paraId="40C47477">
      <w:pPr>
        <w:snapToGrid w:val="0"/>
        <w:ind w:firstLine="420" w:firstLineChars="200"/>
        <w:rPr>
          <w:rFonts w:hAnsi="宋体"/>
          <w:b/>
          <w:bCs/>
          <w:color w:val="auto"/>
          <w:sz w:val="24"/>
          <w:highlight w:val="none"/>
        </w:rPr>
      </w:pPr>
      <w:r>
        <w:rPr>
          <w:rFonts w:hint="eastAsia" w:ascii="Arial" w:hAnsi="Arial" w:cs="Arial"/>
          <w:color w:val="auto"/>
          <w:szCs w:val="21"/>
          <w:highlight w:val="none"/>
        </w:rPr>
        <w:t>1.</w:t>
      </w:r>
      <w:r>
        <w:rPr>
          <w:rFonts w:hint="eastAsia" w:ascii="Arial" w:hAnsi="Arial" w:cs="Arial"/>
          <w:b/>
          <w:bCs/>
          <w:color w:val="auto"/>
          <w:sz w:val="24"/>
          <w:highlight w:val="none"/>
        </w:rPr>
        <w:t>以上表格中，“标的</w:t>
      </w:r>
      <w:r>
        <w:rPr>
          <w:rFonts w:ascii="Arial" w:hAnsi="Arial" w:cs="Arial"/>
          <w:b/>
          <w:bCs/>
          <w:color w:val="auto"/>
          <w:sz w:val="24"/>
          <w:highlight w:val="none"/>
        </w:rPr>
        <w:t>名称</w:t>
      </w:r>
      <w:r>
        <w:rPr>
          <w:rFonts w:hint="eastAsia" w:ascii="Arial" w:hAnsi="Arial" w:cs="Arial"/>
          <w:b/>
          <w:bCs/>
          <w:color w:val="auto"/>
          <w:sz w:val="24"/>
          <w:highlight w:val="none"/>
          <w:lang w:eastAsia="zh-CN"/>
        </w:rPr>
        <w:t>”“</w:t>
      </w:r>
      <w:r>
        <w:rPr>
          <w:rFonts w:hint="eastAsia" w:ascii="Arial" w:hAnsi="Arial" w:cs="Arial"/>
          <w:b/>
          <w:bCs/>
          <w:color w:val="auto"/>
          <w:sz w:val="24"/>
          <w:highlight w:val="none"/>
        </w:rPr>
        <w:t>规格”、</w:t>
      </w:r>
      <w:r>
        <w:rPr>
          <w:rFonts w:hint="eastAsia" w:ascii="Arial" w:hAnsi="Arial" w:cs="Arial"/>
          <w:b/>
          <w:bCs/>
          <w:color w:val="auto"/>
          <w:sz w:val="24"/>
          <w:highlight w:val="none"/>
          <w:lang w:eastAsia="zh-CN"/>
        </w:rPr>
        <w:t>“单价预控价”</w:t>
      </w:r>
      <w:r>
        <w:rPr>
          <w:rFonts w:hint="eastAsia" w:ascii="Arial" w:hAnsi="Arial" w:cs="Arial"/>
          <w:b/>
          <w:bCs/>
          <w:color w:val="auto"/>
          <w:sz w:val="24"/>
          <w:highlight w:val="none"/>
        </w:rPr>
        <w:t>等内容填写时须与采购需求内容一致，</w:t>
      </w:r>
      <w:r>
        <w:rPr>
          <w:rFonts w:hint="eastAsia" w:hAnsi="宋体"/>
          <w:b/>
          <w:color w:val="auto"/>
          <w:sz w:val="24"/>
          <w:highlight w:val="none"/>
        </w:rPr>
        <w:t>否则其投标作无效标处理</w:t>
      </w:r>
      <w:r>
        <w:rPr>
          <w:rFonts w:hint="eastAsia" w:hAnsi="宋体"/>
          <w:color w:val="auto"/>
          <w:sz w:val="24"/>
          <w:highlight w:val="none"/>
        </w:rPr>
        <w:t>。</w:t>
      </w:r>
    </w:p>
    <w:p w14:paraId="2BCFE73D">
      <w:pPr>
        <w:snapToGrid w:val="0"/>
        <w:ind w:firstLine="480" w:firstLineChars="200"/>
        <w:rPr>
          <w:rFonts w:hAnsi="宋体"/>
          <w:color w:val="auto"/>
          <w:sz w:val="24"/>
          <w:highlight w:val="none"/>
        </w:rPr>
      </w:pPr>
      <w:r>
        <w:rPr>
          <w:rFonts w:hint="eastAsia" w:hAnsi="宋体"/>
          <w:color w:val="auto"/>
          <w:sz w:val="24"/>
          <w:highlight w:val="none"/>
        </w:rPr>
        <w:t>2.投标人的开标一览表必须加盖投标人电子签章并由</w:t>
      </w:r>
      <w:r>
        <w:rPr>
          <w:rFonts w:hAnsi="宋体"/>
          <w:color w:val="auto"/>
          <w:sz w:val="24"/>
          <w:highlight w:val="none"/>
        </w:rPr>
        <w:t>法定代表人或者委托代理人</w:t>
      </w:r>
      <w:r>
        <w:rPr>
          <w:rFonts w:hint="eastAsia" w:hAnsi="宋体"/>
          <w:color w:val="auto"/>
          <w:sz w:val="24"/>
          <w:highlight w:val="none"/>
        </w:rPr>
        <w:t>签字或者电子签名，</w:t>
      </w:r>
      <w:r>
        <w:rPr>
          <w:rFonts w:hint="eastAsia" w:hAnsi="宋体"/>
          <w:b/>
          <w:color w:val="auto"/>
          <w:sz w:val="24"/>
          <w:highlight w:val="none"/>
        </w:rPr>
        <w:t>否则其投标作无效标处理</w:t>
      </w:r>
      <w:r>
        <w:rPr>
          <w:rFonts w:hint="eastAsia" w:hAnsi="宋体"/>
          <w:color w:val="auto"/>
          <w:sz w:val="24"/>
          <w:highlight w:val="none"/>
        </w:rPr>
        <w:t>。</w:t>
      </w:r>
    </w:p>
    <w:p w14:paraId="1CFBA9E5">
      <w:pPr>
        <w:snapToGrid w:val="0"/>
        <w:ind w:firstLine="480" w:firstLineChars="200"/>
        <w:rPr>
          <w:rFonts w:hAnsi="宋体"/>
          <w:b/>
          <w:color w:val="auto"/>
          <w:sz w:val="24"/>
          <w:highlight w:val="none"/>
        </w:rPr>
      </w:pPr>
      <w:r>
        <w:rPr>
          <w:rFonts w:hint="eastAsia" w:hAnsi="宋体"/>
          <w:bCs/>
          <w:color w:val="auto"/>
          <w:sz w:val="24"/>
          <w:highlight w:val="none"/>
        </w:rPr>
        <w:t>3.</w:t>
      </w:r>
      <w:r>
        <w:rPr>
          <w:rFonts w:hint="eastAsia" w:hAnsi="宋体"/>
          <w:color w:val="auto"/>
          <w:sz w:val="24"/>
          <w:highlight w:val="none"/>
        </w:rPr>
        <w:t>报价一经涂改，应在涂改处加盖投标人公章</w:t>
      </w:r>
      <w:r>
        <w:rPr>
          <w:rFonts w:hint="eastAsia" w:hAnsi="宋体" w:cs="仿宋_GB2312"/>
          <w:color w:val="auto"/>
          <w:sz w:val="24"/>
          <w:highlight w:val="none"/>
        </w:rPr>
        <w:t>或者加盖电子签章</w:t>
      </w:r>
      <w:r>
        <w:rPr>
          <w:rFonts w:hint="eastAsia" w:hAnsi="宋体"/>
          <w:color w:val="auto"/>
          <w:sz w:val="24"/>
          <w:highlight w:val="none"/>
        </w:rPr>
        <w:t>或者由法定代表人或者委托代理人签字（或者电子签名）</w:t>
      </w:r>
      <w:r>
        <w:rPr>
          <w:rFonts w:hint="eastAsia" w:hAnsi="宋体"/>
          <w:b/>
          <w:color w:val="auto"/>
          <w:sz w:val="24"/>
          <w:highlight w:val="none"/>
        </w:rPr>
        <w:t>，否则其投标作无效标处理。</w:t>
      </w:r>
    </w:p>
    <w:p w14:paraId="6F35B75C">
      <w:pPr>
        <w:snapToGrid w:val="0"/>
        <w:ind w:firstLine="1200" w:firstLineChars="500"/>
        <w:jc w:val="both"/>
        <w:rPr>
          <w:rFonts w:hAnsi="宋体"/>
          <w:color w:val="auto"/>
          <w:sz w:val="24"/>
          <w:highlight w:val="none"/>
        </w:rPr>
      </w:pPr>
      <w:r>
        <w:rPr>
          <w:rFonts w:hint="eastAsia" w:hAnsi="宋体"/>
          <w:color w:val="auto"/>
          <w:sz w:val="24"/>
          <w:highlight w:val="none"/>
        </w:rPr>
        <w:t>法定代表人或者委托代理人（</w:t>
      </w:r>
      <w:r>
        <w:rPr>
          <w:rFonts w:hint="eastAsia" w:hAnsi="宋体"/>
          <w:b/>
          <w:bCs/>
          <w:color w:val="auto"/>
          <w:sz w:val="24"/>
          <w:highlight w:val="none"/>
        </w:rPr>
        <w:t>签字或者电子签名</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0E0C52BE">
      <w:pPr>
        <w:pStyle w:val="23"/>
        <w:wordWrap w:val="0"/>
        <w:snapToGrid w:val="0"/>
        <w:jc w:val="right"/>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25903700">
      <w:pPr>
        <w:pStyle w:val="23"/>
        <w:wordWrap w:val="0"/>
        <w:snapToGrid w:val="0"/>
        <w:jc w:val="right"/>
        <w:rPr>
          <w:rFonts w:hAnsi="宋体"/>
          <w:color w:val="auto"/>
          <w:sz w:val="24"/>
          <w:szCs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11353E24">
      <w:pPr>
        <w:rPr>
          <w:color w:val="auto"/>
          <w:highlight w:val="none"/>
        </w:rPr>
      </w:pPr>
    </w:p>
    <w:p w14:paraId="20C03E30">
      <w:pPr>
        <w:pStyle w:val="4"/>
        <w:rPr>
          <w:color w:val="auto"/>
          <w:highlight w:val="none"/>
        </w:rPr>
        <w:sectPr>
          <w:footerReference r:id="rId13" w:type="default"/>
          <w:pgSz w:w="11906" w:h="16838"/>
          <w:pgMar w:top="1701" w:right="1701" w:bottom="1418" w:left="1701" w:header="851" w:footer="992" w:gutter="0"/>
          <w:pgNumType w:fmt="decimal"/>
          <w:cols w:space="1701" w:num="1"/>
          <w:titlePg/>
        </w:sectPr>
      </w:pPr>
    </w:p>
    <w:p w14:paraId="0523DA5D">
      <w:pPr>
        <w:pStyle w:val="4"/>
        <w:rPr>
          <w:color w:val="auto"/>
          <w:highlight w:val="none"/>
        </w:rPr>
      </w:pPr>
      <w:r>
        <w:rPr>
          <w:rFonts w:hint="eastAsia"/>
          <w:color w:val="auto"/>
          <w:highlight w:val="none"/>
        </w:rPr>
        <w:t>5.中小企业声明函格式</w:t>
      </w:r>
    </w:p>
    <w:p w14:paraId="4B7CD82F">
      <w:pPr>
        <w:rPr>
          <w:color w:val="auto"/>
          <w:highlight w:val="none"/>
        </w:rPr>
      </w:pPr>
    </w:p>
    <w:p w14:paraId="0F7E57F9">
      <w:pPr>
        <w:jc w:val="center"/>
        <w:rPr>
          <w:rFonts w:hAnsi="宋体"/>
          <w:b/>
          <w:color w:val="auto"/>
          <w:sz w:val="44"/>
          <w:szCs w:val="44"/>
          <w:highlight w:val="none"/>
        </w:rPr>
      </w:pPr>
      <w:r>
        <w:rPr>
          <w:rFonts w:hint="eastAsia" w:hAnsi="宋体"/>
          <w:b/>
          <w:color w:val="auto"/>
          <w:sz w:val="44"/>
          <w:szCs w:val="44"/>
          <w:highlight w:val="none"/>
        </w:rPr>
        <w:t>中小企业声明函（货物）</w:t>
      </w:r>
    </w:p>
    <w:p w14:paraId="7D019736">
      <w:pPr>
        <w:spacing w:before="2" w:line="500" w:lineRule="exact"/>
        <w:rPr>
          <w:rFonts w:hAnsi="宋体" w:cs="宋体"/>
          <w:b/>
          <w:bCs/>
          <w:color w:val="auto"/>
          <w:sz w:val="24"/>
          <w:highlight w:val="none"/>
        </w:rPr>
      </w:pPr>
    </w:p>
    <w:p w14:paraId="4112F5D1">
      <w:pPr>
        <w:pStyle w:val="17"/>
        <w:spacing w:line="500" w:lineRule="exact"/>
        <w:ind w:firstLine="480"/>
        <w:rPr>
          <w:rFonts w:hAnsi="宋体"/>
          <w:color w:val="auto"/>
          <w:highlight w:val="none"/>
        </w:rPr>
      </w:pPr>
      <w:r>
        <w:rPr>
          <w:rFonts w:hAnsi="宋体"/>
          <w:color w:val="auto"/>
          <w:highlight w:val="none"/>
        </w:rPr>
        <w:t>本公司（联合体）郑重声明，根据《政府采购促进中小企业发展管理办法》（财库﹝2020﹞46号）的规定，本公司（联合体）参加</w:t>
      </w:r>
      <w:r>
        <w:rPr>
          <w:rFonts w:hAnsi="宋体"/>
          <w:color w:val="auto"/>
          <w:highlight w:val="none"/>
          <w:u w:val="single"/>
        </w:rPr>
        <w:t>（单位名称）</w:t>
      </w:r>
      <w:r>
        <w:rPr>
          <w:rFonts w:hAnsi="宋体"/>
          <w:color w:val="auto"/>
          <w:highlight w:val="none"/>
        </w:rPr>
        <w:t>的</w:t>
      </w:r>
      <w:r>
        <w:rPr>
          <w:rFonts w:hAnsi="宋体"/>
          <w:color w:val="auto"/>
          <w:highlight w:val="none"/>
          <w:u w:val="single"/>
        </w:rPr>
        <w:t>（项目名称）</w:t>
      </w:r>
      <w:r>
        <w:rPr>
          <w:rFonts w:hAnsi="宋体"/>
          <w:color w:val="auto"/>
          <w:highlight w:val="none"/>
        </w:rPr>
        <w:t>采购活动，提供的货物全部由符合政策要求的中小企业制造。相关企业（含联合体中的中小企业、签订分包意向协议的中小企业）的具体情况如下</w:t>
      </w:r>
      <w:r>
        <w:rPr>
          <w:rFonts w:hint="eastAsia" w:hAnsi="宋体"/>
          <w:color w:val="auto"/>
          <w:highlight w:val="none"/>
        </w:rPr>
        <w:t>：</w:t>
      </w:r>
    </w:p>
    <w:p w14:paraId="0F6D2EDE">
      <w:pPr>
        <w:numPr>
          <w:ilvl w:val="0"/>
          <w:numId w:val="8"/>
        </w:numPr>
        <w:spacing w:line="500" w:lineRule="exact"/>
        <w:ind w:firstLine="480"/>
        <w:rPr>
          <w:rFonts w:hAnsi="宋体"/>
          <w:color w:val="auto"/>
          <w:sz w:val="24"/>
          <w:highlight w:val="none"/>
        </w:rPr>
      </w:pPr>
      <w:r>
        <w:rPr>
          <w:rFonts w:hint="eastAsia" w:hAnsi="宋体"/>
          <w:color w:val="auto"/>
          <w:sz w:val="24"/>
          <w:highlight w:val="none"/>
          <w:u w:val="single"/>
        </w:rPr>
        <w:t>（标的名称）</w:t>
      </w:r>
      <w:r>
        <w:rPr>
          <w:rFonts w:hAnsi="宋体"/>
          <w:color w:val="auto"/>
          <w:sz w:val="24"/>
          <w:highlight w:val="none"/>
        </w:rPr>
        <w:t>，属于</w:t>
      </w:r>
      <w:r>
        <w:rPr>
          <w:rFonts w:hint="eastAsia" w:hAnsi="宋体"/>
          <w:color w:val="auto"/>
          <w:sz w:val="24"/>
          <w:highlight w:val="none"/>
          <w:u w:val="single"/>
        </w:rPr>
        <w:t xml:space="preserve"> 工业</w:t>
      </w:r>
      <w:r>
        <w:rPr>
          <w:rFonts w:hAnsi="宋体"/>
          <w:color w:val="auto"/>
          <w:sz w:val="24"/>
          <w:highlight w:val="none"/>
          <w:u w:val="single"/>
        </w:rPr>
        <w:t xml:space="preserve"> </w:t>
      </w:r>
      <w:r>
        <w:rPr>
          <w:rFonts w:hAnsi="宋体"/>
          <w:color w:val="auto"/>
          <w:sz w:val="24"/>
          <w:highlight w:val="none"/>
        </w:rPr>
        <w:t>行业；</w:t>
      </w:r>
      <w:r>
        <w:rPr>
          <w:rFonts w:hAnsi="宋体"/>
          <w:b/>
          <w:color w:val="auto"/>
          <w:sz w:val="24"/>
          <w:highlight w:val="none"/>
        </w:rPr>
        <w:t>制造商</w:t>
      </w:r>
      <w:r>
        <w:rPr>
          <w:rFonts w:hAnsi="宋体"/>
          <w:color w:val="auto"/>
          <w:sz w:val="24"/>
          <w:highlight w:val="none"/>
        </w:rPr>
        <w:t>为</w:t>
      </w:r>
      <w:r>
        <w:rPr>
          <w:rFonts w:hAnsi="宋体"/>
          <w:color w:val="auto"/>
          <w:sz w:val="24"/>
          <w:highlight w:val="none"/>
          <w:u w:val="single"/>
        </w:rPr>
        <w:t>（企业名称）</w:t>
      </w:r>
      <w:r>
        <w:rPr>
          <w:rFonts w:hAnsi="宋体"/>
          <w:color w:val="auto"/>
          <w:sz w:val="24"/>
          <w:highlight w:val="none"/>
        </w:rPr>
        <w:t>，从业人员</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Ansi="宋体"/>
          <w:color w:val="auto"/>
          <w:sz w:val="24"/>
          <w:highlight w:val="none"/>
        </w:rPr>
        <w:t>人，营业收入为</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Ansi="宋体"/>
          <w:color w:val="auto"/>
          <w:sz w:val="24"/>
          <w:highlight w:val="none"/>
        </w:rPr>
        <w:t>万元，资产总额为</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Ansi="宋体"/>
          <w:color w:val="auto"/>
          <w:sz w:val="24"/>
          <w:highlight w:val="none"/>
        </w:rPr>
        <w:t>万元，属于</w:t>
      </w:r>
      <w:r>
        <w:rPr>
          <w:rFonts w:hint="eastAsia" w:hAnsi="宋体"/>
          <w:color w:val="auto"/>
          <w:sz w:val="24"/>
          <w:highlight w:val="none"/>
          <w:u w:val="single"/>
        </w:rPr>
        <w:t xml:space="preserve">   </w:t>
      </w:r>
      <w:r>
        <w:rPr>
          <w:rFonts w:hAnsi="宋体"/>
          <w:color w:val="auto"/>
          <w:sz w:val="24"/>
          <w:highlight w:val="none"/>
          <w:u w:val="single"/>
        </w:rPr>
        <w:t>（中型企业、小型企业、微型企业）</w:t>
      </w:r>
      <w:r>
        <w:rPr>
          <w:rFonts w:hint="eastAsia" w:hAnsi="宋体"/>
          <w:color w:val="auto"/>
          <w:sz w:val="24"/>
          <w:highlight w:val="none"/>
        </w:rPr>
        <w:t>；</w:t>
      </w:r>
    </w:p>
    <w:p w14:paraId="6AABA940">
      <w:pPr>
        <w:pStyle w:val="17"/>
        <w:spacing w:before="34" w:line="500" w:lineRule="exact"/>
        <w:ind w:right="142" w:firstLine="480"/>
        <w:rPr>
          <w:rFonts w:hAnsi="宋体"/>
          <w:color w:val="auto"/>
          <w:highlight w:val="none"/>
        </w:rPr>
      </w:pPr>
      <w:r>
        <w:rPr>
          <w:rFonts w:hint="eastAsia" w:hAnsi="宋体"/>
          <w:color w:val="auto"/>
          <w:highlight w:val="none"/>
        </w:rPr>
        <w:t>2.</w:t>
      </w:r>
      <w:r>
        <w:rPr>
          <w:rFonts w:hint="eastAsia" w:hAnsi="宋体"/>
          <w:color w:val="auto"/>
          <w:highlight w:val="none"/>
          <w:u w:val="single"/>
        </w:rPr>
        <w:t>（标的名称）</w:t>
      </w:r>
      <w:r>
        <w:rPr>
          <w:rFonts w:hAnsi="宋体"/>
          <w:color w:val="auto"/>
          <w:highlight w:val="none"/>
        </w:rPr>
        <w:t>，属于</w:t>
      </w:r>
      <w:r>
        <w:rPr>
          <w:rFonts w:hint="eastAsia" w:hAnsi="宋体"/>
          <w:color w:val="auto"/>
          <w:highlight w:val="none"/>
          <w:u w:val="single"/>
        </w:rPr>
        <w:t xml:space="preserve"> 工业</w:t>
      </w:r>
      <w:r>
        <w:rPr>
          <w:rFonts w:hAnsi="宋体"/>
          <w:color w:val="auto"/>
          <w:highlight w:val="none"/>
          <w:u w:val="single"/>
        </w:rPr>
        <w:t xml:space="preserve"> </w:t>
      </w:r>
      <w:r>
        <w:rPr>
          <w:rFonts w:hAnsi="宋体"/>
          <w:color w:val="auto"/>
          <w:highlight w:val="none"/>
        </w:rPr>
        <w:t>行业；</w:t>
      </w:r>
      <w:r>
        <w:rPr>
          <w:rFonts w:hAnsi="宋体"/>
          <w:b/>
          <w:color w:val="auto"/>
          <w:highlight w:val="none"/>
        </w:rPr>
        <w:t>制造商</w:t>
      </w:r>
      <w:r>
        <w:rPr>
          <w:rFonts w:hAnsi="宋体"/>
          <w:color w:val="auto"/>
          <w:highlight w:val="none"/>
        </w:rPr>
        <w:t>为</w:t>
      </w:r>
      <w:r>
        <w:rPr>
          <w:rFonts w:hAnsi="宋体"/>
          <w:color w:val="auto"/>
          <w:highlight w:val="none"/>
          <w:u w:val="single"/>
        </w:rPr>
        <w:t>（企业名称）</w:t>
      </w:r>
      <w:r>
        <w:rPr>
          <w:rFonts w:hAnsi="宋体"/>
          <w:color w:val="auto"/>
          <w:highlight w:val="none"/>
        </w:rPr>
        <w:t>，从业人员</w:t>
      </w:r>
      <w:r>
        <w:rPr>
          <w:rFonts w:hint="eastAsia" w:hAnsi="宋体"/>
          <w:color w:val="auto"/>
          <w:highlight w:val="none"/>
          <w:u w:val="single"/>
        </w:rPr>
        <w:t xml:space="preserve"> </w:t>
      </w:r>
      <w:r>
        <w:rPr>
          <w:rFonts w:hAnsi="宋体"/>
          <w:color w:val="auto"/>
          <w:highlight w:val="none"/>
          <w:u w:val="single"/>
        </w:rPr>
        <w:t xml:space="preserve">     </w:t>
      </w:r>
      <w:r>
        <w:rPr>
          <w:rFonts w:hAnsi="宋体"/>
          <w:color w:val="auto"/>
          <w:highlight w:val="none"/>
        </w:rPr>
        <w:t>人，营业收入为</w:t>
      </w:r>
      <w:r>
        <w:rPr>
          <w:rFonts w:hint="eastAsia" w:hAnsi="宋体"/>
          <w:color w:val="auto"/>
          <w:highlight w:val="none"/>
          <w:u w:val="single"/>
        </w:rPr>
        <w:t xml:space="preserve"> </w:t>
      </w:r>
      <w:r>
        <w:rPr>
          <w:rFonts w:hAnsi="宋体"/>
          <w:color w:val="auto"/>
          <w:highlight w:val="none"/>
          <w:u w:val="single"/>
        </w:rPr>
        <w:t xml:space="preserve">     </w:t>
      </w:r>
      <w:r>
        <w:rPr>
          <w:rFonts w:hAnsi="宋体"/>
          <w:color w:val="auto"/>
          <w:highlight w:val="none"/>
        </w:rPr>
        <w:t>万元，资产总额为</w:t>
      </w:r>
      <w:r>
        <w:rPr>
          <w:rFonts w:hint="eastAsia" w:hAnsi="宋体"/>
          <w:color w:val="auto"/>
          <w:highlight w:val="none"/>
          <w:u w:val="single"/>
        </w:rPr>
        <w:t xml:space="preserve"> </w:t>
      </w:r>
      <w:r>
        <w:rPr>
          <w:rFonts w:hAnsi="宋体"/>
          <w:color w:val="auto"/>
          <w:highlight w:val="none"/>
          <w:u w:val="single"/>
        </w:rPr>
        <w:t xml:space="preserve">     </w:t>
      </w:r>
      <w:r>
        <w:rPr>
          <w:rFonts w:hAnsi="宋体"/>
          <w:color w:val="auto"/>
          <w:highlight w:val="none"/>
        </w:rPr>
        <w:t>万元，属于</w:t>
      </w:r>
      <w:r>
        <w:rPr>
          <w:rFonts w:hint="eastAsia" w:hAnsi="宋体"/>
          <w:color w:val="auto"/>
          <w:highlight w:val="none"/>
          <w:u w:val="single"/>
        </w:rPr>
        <w:t xml:space="preserve">   </w:t>
      </w:r>
      <w:r>
        <w:rPr>
          <w:rFonts w:hAnsi="宋体"/>
          <w:color w:val="auto"/>
          <w:highlight w:val="none"/>
          <w:u w:val="single"/>
        </w:rPr>
        <w:t>（中型企业、小型企业、微型企业）</w:t>
      </w:r>
    </w:p>
    <w:p w14:paraId="5688FBB4">
      <w:pPr>
        <w:pStyle w:val="17"/>
        <w:spacing w:before="34" w:line="500" w:lineRule="exact"/>
        <w:ind w:right="142" w:firstLine="480"/>
        <w:rPr>
          <w:rFonts w:hAnsi="宋体"/>
          <w:color w:val="auto"/>
          <w:highlight w:val="none"/>
        </w:rPr>
      </w:pPr>
      <w:r>
        <w:rPr>
          <w:rFonts w:hint="eastAsia" w:hAnsi="宋体"/>
          <w:color w:val="auto"/>
          <w:highlight w:val="none"/>
          <w:lang w:eastAsia="zh-CN"/>
        </w:rPr>
        <w:t>……</w:t>
      </w:r>
    </w:p>
    <w:p w14:paraId="602D011B">
      <w:pPr>
        <w:pStyle w:val="17"/>
        <w:spacing w:before="34" w:line="500" w:lineRule="exact"/>
        <w:ind w:right="142" w:firstLine="482"/>
        <w:rPr>
          <w:rFonts w:hAnsi="宋体"/>
          <w:b/>
          <w:bCs/>
          <w:color w:val="auto"/>
          <w:highlight w:val="none"/>
        </w:rPr>
      </w:pPr>
      <w:r>
        <w:rPr>
          <w:rFonts w:hAnsi="宋体"/>
          <w:b/>
          <w:bCs/>
          <w:color w:val="auto"/>
          <w:highlight w:val="none"/>
        </w:rPr>
        <w:t>以上企业，不属于大企业的分支机构，不存在控股股东为大企业的情形，也不存在与大企业的负责人为同一人的情形。</w:t>
      </w:r>
    </w:p>
    <w:p w14:paraId="3990450C">
      <w:pPr>
        <w:pStyle w:val="17"/>
        <w:spacing w:before="34" w:line="500" w:lineRule="exact"/>
        <w:ind w:right="142" w:firstLine="482"/>
        <w:rPr>
          <w:rFonts w:hAnsi="宋体"/>
          <w:b/>
          <w:bCs/>
          <w:color w:val="auto"/>
          <w:highlight w:val="none"/>
        </w:rPr>
      </w:pPr>
      <w:r>
        <w:rPr>
          <w:rFonts w:hAnsi="宋体"/>
          <w:b/>
          <w:bCs/>
          <w:color w:val="auto"/>
          <w:highlight w:val="none"/>
        </w:rPr>
        <w:t>本企业对上述声明内容的真实性负责。如有虚假，将依法承担相应责任。</w:t>
      </w:r>
    </w:p>
    <w:p w14:paraId="6EB5A7D6">
      <w:pPr>
        <w:pStyle w:val="17"/>
        <w:spacing w:before="56" w:line="500" w:lineRule="exact"/>
        <w:ind w:left="3960" w:right="1808"/>
        <w:rPr>
          <w:rFonts w:hAnsi="宋体"/>
          <w:color w:val="auto"/>
          <w:highlight w:val="none"/>
        </w:rPr>
      </w:pPr>
      <w:r>
        <w:rPr>
          <w:rFonts w:hAnsi="宋体"/>
          <w:color w:val="auto"/>
          <w:highlight w:val="none"/>
        </w:rPr>
        <w:t>企业名称（</w:t>
      </w:r>
      <w:r>
        <w:rPr>
          <w:rFonts w:hint="eastAsia" w:hAnsi="宋体"/>
          <w:color w:val="auto"/>
          <w:highlight w:val="none"/>
        </w:rPr>
        <w:t>电子签章</w:t>
      </w:r>
      <w:r>
        <w:rPr>
          <w:rFonts w:hAnsi="宋体"/>
          <w:color w:val="auto"/>
          <w:highlight w:val="none"/>
        </w:rPr>
        <w:t xml:space="preserve">）： </w:t>
      </w:r>
    </w:p>
    <w:p w14:paraId="49F4ABB6">
      <w:pPr>
        <w:pStyle w:val="17"/>
        <w:spacing w:before="56" w:line="500" w:lineRule="exact"/>
        <w:ind w:left="3960" w:right="1808"/>
        <w:rPr>
          <w:rFonts w:hAnsi="宋体"/>
          <w:color w:val="auto"/>
          <w:highlight w:val="none"/>
        </w:rPr>
      </w:pPr>
      <w:r>
        <w:rPr>
          <w:rFonts w:hAnsi="宋体"/>
          <w:color w:val="auto"/>
          <w:highlight w:val="none"/>
        </w:rPr>
        <w:t>日 期：</w:t>
      </w:r>
    </w:p>
    <w:p w14:paraId="4A6C3F68">
      <w:pPr>
        <w:rPr>
          <w:rFonts w:hAnsi="宋体"/>
          <w:color w:val="auto"/>
          <w:sz w:val="24"/>
          <w:highlight w:val="none"/>
        </w:rPr>
      </w:pPr>
      <w:r>
        <w:rPr>
          <w:rFonts w:hint="eastAsia" w:hAnsi="宋体"/>
          <w:color w:val="auto"/>
          <w:spacing w:val="6"/>
          <w:sz w:val="24"/>
          <w:highlight w:val="none"/>
        </w:rPr>
        <w:t xml:space="preserve"> </w:t>
      </w:r>
    </w:p>
    <w:p w14:paraId="4E412298">
      <w:pPr>
        <w:rPr>
          <w:rFonts w:hint="default" w:hAnsi="宋体" w:eastAsia="宋体"/>
          <w:b/>
          <w:bCs/>
          <w:color w:val="auto"/>
          <w:sz w:val="24"/>
          <w:highlight w:val="none"/>
          <w:lang w:val="en-US" w:eastAsia="zh-CN"/>
        </w:rPr>
      </w:pPr>
      <w:r>
        <w:rPr>
          <w:rFonts w:hint="eastAsia" w:hAnsi="宋体"/>
          <w:color w:val="auto"/>
          <w:sz w:val="24"/>
          <w:highlight w:val="none"/>
        </w:rPr>
        <w:t>注：</w:t>
      </w:r>
      <w:r>
        <w:rPr>
          <w:rFonts w:hint="eastAsia" w:hAnsi="宋体"/>
          <w:b/>
          <w:bCs/>
          <w:color w:val="auto"/>
          <w:sz w:val="24"/>
          <w:highlight w:val="none"/>
          <w:lang w:val="en-US" w:eastAsia="zh-CN"/>
        </w:rPr>
        <w:t>所有镜架及镜片的标的名称必须全部体现。</w:t>
      </w:r>
    </w:p>
    <w:p w14:paraId="06BE5796">
      <w:pPr>
        <w:rPr>
          <w:rFonts w:hAnsi="宋体"/>
          <w:color w:val="auto"/>
          <w:sz w:val="24"/>
          <w:highlight w:val="none"/>
        </w:rPr>
      </w:pPr>
      <w:r>
        <w:rPr>
          <w:rFonts w:hint="eastAsia" w:hAnsi="宋体"/>
          <w:color w:val="auto"/>
          <w:sz w:val="24"/>
          <w:highlight w:val="none"/>
        </w:rPr>
        <w:t>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4F32BF9A">
      <w:pPr>
        <w:pStyle w:val="4"/>
        <w:rPr>
          <w:rFonts w:hAnsi="宋体"/>
          <w:color w:val="auto"/>
          <w:highlight w:val="none"/>
        </w:rPr>
      </w:pPr>
      <w:r>
        <w:rPr>
          <w:rFonts w:hint="eastAsia"/>
          <w:color w:val="auto"/>
          <w:highlight w:val="none"/>
        </w:rPr>
        <w:t>6.残疾人福利性单位声明函格式</w:t>
      </w:r>
    </w:p>
    <w:p w14:paraId="68ED53EE">
      <w:pPr>
        <w:spacing w:line="588" w:lineRule="exact"/>
        <w:jc w:val="center"/>
        <w:rPr>
          <w:rFonts w:ascii="方正仿宋_GB2312" w:eastAsia="方正仿宋_GB2312"/>
          <w:b/>
          <w:color w:val="auto"/>
          <w:spacing w:val="6"/>
          <w:sz w:val="32"/>
          <w:szCs w:val="32"/>
          <w:highlight w:val="none"/>
        </w:rPr>
      </w:pPr>
    </w:p>
    <w:p w14:paraId="73B9BB42">
      <w:pPr>
        <w:jc w:val="center"/>
        <w:rPr>
          <w:rFonts w:hAnsi="宋体"/>
          <w:b/>
          <w:color w:val="auto"/>
          <w:sz w:val="44"/>
          <w:szCs w:val="44"/>
          <w:highlight w:val="none"/>
        </w:rPr>
      </w:pPr>
      <w:r>
        <w:rPr>
          <w:rFonts w:hint="eastAsia" w:hAnsi="宋体"/>
          <w:b/>
          <w:color w:val="auto"/>
          <w:sz w:val="44"/>
          <w:szCs w:val="44"/>
          <w:highlight w:val="none"/>
        </w:rPr>
        <w:t>残疾人福利性单位声明函</w:t>
      </w:r>
    </w:p>
    <w:p w14:paraId="3751BF19">
      <w:pPr>
        <w:spacing w:line="588" w:lineRule="exact"/>
        <w:rPr>
          <w:rFonts w:ascii="方正仿宋_GB2312" w:eastAsia="方正仿宋_GB2312"/>
          <w:b/>
          <w:color w:val="auto"/>
          <w:spacing w:val="6"/>
          <w:sz w:val="30"/>
          <w:szCs w:val="30"/>
          <w:highlight w:val="none"/>
        </w:rPr>
      </w:pPr>
    </w:p>
    <w:p w14:paraId="561D001E">
      <w:pPr>
        <w:ind w:firstLine="504"/>
        <w:contextualSpacing/>
        <w:rPr>
          <w:rFonts w:hAnsi="宋体"/>
          <w:color w:val="auto"/>
          <w:spacing w:val="6"/>
          <w:sz w:val="24"/>
          <w:highlight w:val="none"/>
        </w:rPr>
      </w:pPr>
      <w:r>
        <w:rPr>
          <w:rFonts w:hint="eastAsia" w:hAnsi="宋体"/>
          <w:color w:val="auto"/>
          <w:spacing w:val="6"/>
          <w:sz w:val="24"/>
          <w:highlight w:val="none"/>
        </w:rPr>
        <w:t>本单位郑重声明，根据《财政部 民政部 中国残疾人联合会关于促进残疾人就业政府采购政策的通知》（财库</w:t>
      </w:r>
      <w:r>
        <w:rPr>
          <w:rFonts w:hint="eastAsia" w:hAnsi="宋体"/>
          <w:color w:val="auto"/>
          <w:spacing w:val="6"/>
          <w:sz w:val="24"/>
          <w:highlight w:val="none"/>
          <w:lang w:eastAsia="zh-CN"/>
        </w:rPr>
        <w:t>〔2017〕141号</w:t>
      </w:r>
      <w:r>
        <w:rPr>
          <w:rFonts w:hint="eastAsia" w:hAnsi="宋体"/>
          <w:color w:val="auto"/>
          <w:spacing w:val="6"/>
          <w:sz w:val="24"/>
          <w:highlight w:val="none"/>
        </w:rPr>
        <w:t>）的规定，本单位为符合条件的残疾人福利性单位，且本单位参加______单位的______项目采购活动提供本单位制造的货物（由本单位承担工程/提供服务），或者提供其他残</w:t>
      </w:r>
      <w:r>
        <w:rPr>
          <w:rFonts w:hint="eastAsia" w:hAnsi="宋体"/>
          <w:color w:val="auto"/>
          <w:spacing w:val="-6"/>
          <w:sz w:val="24"/>
          <w:highlight w:val="none"/>
        </w:rPr>
        <w:t>疾人福利性单位制造的货物（不包括使用非残疾人福利性单位注册商标的货物）。</w:t>
      </w:r>
    </w:p>
    <w:p w14:paraId="090EBF0D">
      <w:pPr>
        <w:ind w:firstLine="504"/>
        <w:contextualSpacing/>
        <w:rPr>
          <w:rFonts w:hAnsi="宋体"/>
          <w:color w:val="auto"/>
          <w:spacing w:val="6"/>
          <w:sz w:val="24"/>
          <w:highlight w:val="none"/>
        </w:rPr>
      </w:pPr>
      <w:r>
        <w:rPr>
          <w:rFonts w:hint="eastAsia" w:hAnsi="宋体"/>
          <w:color w:val="auto"/>
          <w:spacing w:val="6"/>
          <w:sz w:val="24"/>
          <w:highlight w:val="none"/>
        </w:rPr>
        <w:t>本单位对上述声明的真实性负责。如有虚假，将依法承担相应责任。</w:t>
      </w:r>
    </w:p>
    <w:p w14:paraId="15C41291">
      <w:pPr>
        <w:ind w:firstLine="504"/>
        <w:contextualSpacing/>
        <w:rPr>
          <w:rFonts w:hAnsi="宋体"/>
          <w:color w:val="auto"/>
          <w:spacing w:val="6"/>
          <w:sz w:val="24"/>
          <w:highlight w:val="none"/>
        </w:rPr>
      </w:pPr>
    </w:p>
    <w:p w14:paraId="1E090B09">
      <w:pPr>
        <w:ind w:firstLine="504"/>
        <w:contextualSpacing/>
        <w:rPr>
          <w:rFonts w:hAnsi="宋体"/>
          <w:color w:val="auto"/>
          <w:spacing w:val="6"/>
          <w:sz w:val="24"/>
          <w:highlight w:val="none"/>
        </w:rPr>
      </w:pPr>
    </w:p>
    <w:p w14:paraId="5BF92140">
      <w:pPr>
        <w:ind w:right="1560" w:firstLine="504"/>
        <w:contextualSpacing/>
        <w:jc w:val="center"/>
        <w:rPr>
          <w:rFonts w:hAnsi="宋体"/>
          <w:color w:val="auto"/>
          <w:spacing w:val="6"/>
          <w:sz w:val="24"/>
          <w:highlight w:val="none"/>
        </w:rPr>
      </w:pPr>
      <w:r>
        <w:rPr>
          <w:rFonts w:hint="eastAsia" w:hAnsi="宋体"/>
          <w:color w:val="auto"/>
          <w:spacing w:val="6"/>
          <w:sz w:val="24"/>
          <w:highlight w:val="none"/>
        </w:rPr>
        <w:t>单位名称（电子签章）：</w:t>
      </w:r>
    </w:p>
    <w:p w14:paraId="7F7D6AF0">
      <w:pPr>
        <w:ind w:right="1560" w:firstLine="504"/>
        <w:contextualSpacing/>
        <w:jc w:val="center"/>
        <w:rPr>
          <w:rFonts w:hAnsi="宋体"/>
          <w:color w:val="auto"/>
          <w:spacing w:val="6"/>
          <w:sz w:val="24"/>
          <w:highlight w:val="none"/>
        </w:rPr>
      </w:pPr>
      <w:r>
        <w:rPr>
          <w:rFonts w:hint="eastAsia" w:hAnsi="宋体"/>
          <w:color w:val="auto"/>
          <w:spacing w:val="6"/>
          <w:sz w:val="24"/>
          <w:highlight w:val="none"/>
        </w:rPr>
        <w:t>日  期：</w:t>
      </w:r>
    </w:p>
    <w:p w14:paraId="097C7F76">
      <w:pPr>
        <w:contextualSpacing/>
        <w:rPr>
          <w:rFonts w:hAnsi="宋体"/>
          <w:color w:val="auto"/>
          <w:sz w:val="24"/>
          <w:highlight w:val="none"/>
        </w:rPr>
      </w:pPr>
    </w:p>
    <w:p w14:paraId="08329887">
      <w:pPr>
        <w:contextualSpacing/>
        <w:rPr>
          <w:rFonts w:hAnsi="宋体"/>
          <w:color w:val="auto"/>
          <w:sz w:val="24"/>
          <w:highlight w:val="none"/>
        </w:rPr>
      </w:pPr>
    </w:p>
    <w:p w14:paraId="18123189">
      <w:pPr>
        <w:contextualSpacing/>
        <w:rPr>
          <w:rFonts w:hAnsi="宋体"/>
          <w:color w:val="auto"/>
          <w:sz w:val="24"/>
          <w:highlight w:val="none"/>
        </w:rPr>
      </w:pPr>
    </w:p>
    <w:p w14:paraId="0D031AFB">
      <w:pPr>
        <w:contextualSpacing/>
        <w:rPr>
          <w:rFonts w:hAnsi="宋体"/>
          <w:color w:val="auto"/>
          <w:sz w:val="24"/>
          <w:highlight w:val="none"/>
        </w:rPr>
      </w:pPr>
      <w:r>
        <w:rPr>
          <w:rFonts w:hint="eastAsia"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B2ECA3A">
      <w:pPr>
        <w:pStyle w:val="4"/>
        <w:rPr>
          <w:color w:val="auto"/>
          <w:highlight w:val="none"/>
        </w:rPr>
        <w:sectPr>
          <w:pgSz w:w="11906" w:h="16838"/>
          <w:pgMar w:top="1701" w:right="1701" w:bottom="1418" w:left="1701" w:header="851" w:footer="992" w:gutter="0"/>
          <w:pgNumType w:fmt="decimal"/>
          <w:cols w:space="1701" w:num="1"/>
          <w:titlePg/>
        </w:sectPr>
      </w:pPr>
    </w:p>
    <w:p w14:paraId="5D10F201">
      <w:pPr>
        <w:pStyle w:val="4"/>
        <w:rPr>
          <w:color w:val="auto"/>
          <w:highlight w:val="none"/>
        </w:rPr>
      </w:pPr>
      <w:r>
        <w:rPr>
          <w:rFonts w:hint="eastAsia"/>
          <w:color w:val="auto"/>
          <w:highlight w:val="none"/>
        </w:rPr>
        <w:t>7.关于符合本国产品标准的声明函格式</w:t>
      </w:r>
    </w:p>
    <w:p w14:paraId="6E20EF85">
      <w:pPr>
        <w:pStyle w:val="42"/>
        <w:spacing w:before="300" w:beforeAutospacing="0" w:after="300" w:afterAutospacing="0" w:line="525" w:lineRule="atLeast"/>
        <w:jc w:val="center"/>
        <w:rPr>
          <w:rFonts w:ascii="微软雅黑" w:hAnsi="微软雅黑" w:eastAsia="微软雅黑" w:cs="微软雅黑"/>
          <w:b/>
          <w:bCs/>
          <w:color w:val="auto"/>
          <w:sz w:val="27"/>
          <w:szCs w:val="27"/>
          <w:highlight w:val="none"/>
        </w:rPr>
      </w:pPr>
      <w:r>
        <w:rPr>
          <w:rFonts w:hint="eastAsia" w:ascii="微软雅黑" w:hAnsi="微软雅黑" w:eastAsia="微软雅黑" w:cs="微软雅黑"/>
          <w:b/>
          <w:bCs/>
          <w:color w:val="auto"/>
          <w:sz w:val="27"/>
          <w:szCs w:val="27"/>
          <w:highlight w:val="none"/>
        </w:rPr>
        <w:t>关于符合本国产品标准的声明函</w:t>
      </w:r>
    </w:p>
    <w:p w14:paraId="0091B562">
      <w:pPr>
        <w:pStyle w:val="42"/>
        <w:spacing w:before="300" w:beforeAutospacing="0" w:after="300" w:afterAutospacing="0" w:line="525" w:lineRule="atLeast"/>
        <w:ind w:firstLine="420"/>
        <w:rPr>
          <w:rFonts w:cs="宋体"/>
          <w:color w:val="auto"/>
          <w:highlight w:val="none"/>
        </w:rPr>
      </w:pPr>
      <w:r>
        <w:rPr>
          <w:rFonts w:hint="eastAsia" w:cs="宋体"/>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16D38CE3">
      <w:pPr>
        <w:pStyle w:val="42"/>
        <w:spacing w:before="300" w:beforeAutospacing="0" w:after="300" w:afterAutospacing="0" w:line="525" w:lineRule="atLeast"/>
        <w:ind w:firstLine="420"/>
        <w:rPr>
          <w:rFonts w:cs="宋体"/>
          <w:color w:val="auto"/>
          <w:highlight w:val="none"/>
        </w:rPr>
      </w:pPr>
      <w:r>
        <w:rPr>
          <w:rFonts w:hint="eastAsia" w:cs="宋体"/>
          <w:color w:val="auto"/>
          <w:highlight w:val="none"/>
        </w:rPr>
        <w:t>1.</w:t>
      </w:r>
      <w:r>
        <w:rPr>
          <w:rFonts w:hint="eastAsia" w:cs="宋体"/>
          <w:color w:val="auto"/>
          <w:highlight w:val="none"/>
          <w:u w:val="single"/>
        </w:rPr>
        <w:t>（产品名称1）1</w:t>
      </w:r>
      <w:r>
        <w:rPr>
          <w:rFonts w:hint="eastAsia" w:cs="宋体"/>
          <w:color w:val="auto"/>
          <w:highlight w:val="none"/>
        </w:rPr>
        <w:t>，生产厂为</w:t>
      </w:r>
      <w:r>
        <w:rPr>
          <w:rFonts w:hint="eastAsia" w:cs="宋体"/>
          <w:color w:val="auto"/>
          <w:highlight w:val="none"/>
          <w:u w:val="single"/>
        </w:rPr>
        <w:t>（厂名）2</w:t>
      </w:r>
      <w:r>
        <w:rPr>
          <w:rFonts w:hint="eastAsia" w:cs="宋体"/>
          <w:color w:val="auto"/>
          <w:highlight w:val="none"/>
        </w:rPr>
        <w:t>，厂址为</w:t>
      </w:r>
      <w:r>
        <w:rPr>
          <w:rFonts w:hint="eastAsia" w:cs="宋体"/>
          <w:color w:val="auto"/>
          <w:highlight w:val="none"/>
          <w:u w:val="single"/>
        </w:rPr>
        <w:t>（生产厂址）</w:t>
      </w:r>
      <w:r>
        <w:rPr>
          <w:rFonts w:hint="eastAsia" w:cs="宋体"/>
          <w:color w:val="auto"/>
          <w:highlight w:val="none"/>
        </w:rPr>
        <w:t>。</w:t>
      </w:r>
      <w:r>
        <w:rPr>
          <w:rFonts w:hint="eastAsia" w:cs="宋体"/>
          <w:color w:val="auto"/>
          <w:highlight w:val="none"/>
          <w:u w:val="single"/>
        </w:rPr>
        <w:t>（产品名称1）</w:t>
      </w:r>
      <w:r>
        <w:rPr>
          <w:rFonts w:hint="eastAsia" w:cs="宋体"/>
          <w:color w:val="auto"/>
          <w:highlight w:val="none"/>
        </w:rPr>
        <w:t>的中国境内生产的组件成本占比≥</w:t>
      </w:r>
      <w:r>
        <w:rPr>
          <w:rFonts w:hint="eastAsia" w:cs="宋体"/>
          <w:color w:val="auto"/>
          <w:highlight w:val="none"/>
          <w:u w:val="single"/>
        </w:rPr>
        <w:t>（规定比例）3</w:t>
      </w:r>
      <w:r>
        <w:rPr>
          <w:rFonts w:hint="eastAsia" w:cs="宋体"/>
          <w:color w:val="auto"/>
          <w:highlight w:val="none"/>
        </w:rPr>
        <w:t>。</w:t>
      </w:r>
      <w:r>
        <w:rPr>
          <w:rFonts w:hint="eastAsia" w:cs="宋体"/>
          <w:color w:val="auto"/>
          <w:highlight w:val="none"/>
          <w:u w:val="single"/>
        </w:rPr>
        <w:t>（产品名称1）</w:t>
      </w:r>
      <w:r>
        <w:rPr>
          <w:rFonts w:hint="eastAsia" w:cs="宋体"/>
          <w:color w:val="auto"/>
          <w:highlight w:val="none"/>
        </w:rPr>
        <w:t>的</w:t>
      </w:r>
      <w:r>
        <w:rPr>
          <w:rFonts w:hint="eastAsia" w:cs="宋体"/>
          <w:color w:val="auto"/>
          <w:highlight w:val="none"/>
          <w:u w:val="single"/>
        </w:rPr>
        <w:t>（关键组件）4</w:t>
      </w:r>
      <w:r>
        <w:rPr>
          <w:rFonts w:hint="eastAsia" w:cs="宋体"/>
          <w:color w:val="auto"/>
          <w:highlight w:val="none"/>
        </w:rPr>
        <w:t>在中国境内生产。</w:t>
      </w:r>
      <w:r>
        <w:rPr>
          <w:rFonts w:hint="eastAsia" w:cs="宋体"/>
          <w:color w:val="auto"/>
          <w:highlight w:val="none"/>
          <w:u w:val="single"/>
        </w:rPr>
        <w:t>（产品名称1）</w:t>
      </w:r>
      <w:r>
        <w:rPr>
          <w:rFonts w:hint="eastAsia" w:cs="宋体"/>
          <w:color w:val="auto"/>
          <w:highlight w:val="none"/>
        </w:rPr>
        <w:t>的</w:t>
      </w:r>
      <w:r>
        <w:rPr>
          <w:rFonts w:hint="eastAsia" w:cs="宋体"/>
          <w:color w:val="auto"/>
          <w:highlight w:val="none"/>
          <w:u w:val="single"/>
        </w:rPr>
        <w:t>（关键工序）5</w:t>
      </w:r>
      <w:r>
        <w:rPr>
          <w:rFonts w:hint="eastAsia" w:cs="宋体"/>
          <w:color w:val="auto"/>
          <w:highlight w:val="none"/>
        </w:rPr>
        <w:t>在中国境内完成。</w:t>
      </w:r>
    </w:p>
    <w:p w14:paraId="4CD09FC7">
      <w:pPr>
        <w:pStyle w:val="42"/>
        <w:spacing w:before="300" w:beforeAutospacing="0" w:after="300" w:afterAutospacing="0" w:line="525" w:lineRule="atLeast"/>
        <w:ind w:firstLine="420"/>
        <w:rPr>
          <w:rFonts w:cs="宋体"/>
          <w:color w:val="auto"/>
          <w:highlight w:val="none"/>
        </w:rPr>
      </w:pPr>
      <w:r>
        <w:rPr>
          <w:rFonts w:hint="eastAsia" w:cs="宋体"/>
          <w:color w:val="auto"/>
          <w:highlight w:val="none"/>
        </w:rPr>
        <w:t>2.</w:t>
      </w:r>
      <w:r>
        <w:rPr>
          <w:rFonts w:hint="eastAsia" w:cs="宋体"/>
          <w:color w:val="auto"/>
          <w:highlight w:val="none"/>
          <w:u w:val="single"/>
        </w:rPr>
        <w:t>（产品名称2）</w:t>
      </w:r>
      <w:r>
        <w:rPr>
          <w:rFonts w:hint="eastAsia" w:cs="宋体"/>
          <w:color w:val="auto"/>
          <w:highlight w:val="none"/>
        </w:rPr>
        <w:t>，生产厂为</w:t>
      </w:r>
      <w:r>
        <w:rPr>
          <w:rFonts w:hint="eastAsia" w:cs="宋体"/>
          <w:color w:val="auto"/>
          <w:highlight w:val="none"/>
          <w:u w:val="single"/>
        </w:rPr>
        <w:t>（厂名）</w:t>
      </w:r>
      <w:r>
        <w:rPr>
          <w:rFonts w:hint="eastAsia" w:cs="宋体"/>
          <w:color w:val="auto"/>
          <w:highlight w:val="none"/>
        </w:rPr>
        <w:t>，厂址为</w:t>
      </w:r>
      <w:r>
        <w:rPr>
          <w:rFonts w:hint="eastAsia" w:cs="宋体"/>
          <w:color w:val="auto"/>
          <w:highlight w:val="none"/>
          <w:u w:val="single"/>
        </w:rPr>
        <w:t>（生产厂址）</w:t>
      </w:r>
      <w:r>
        <w:rPr>
          <w:rFonts w:hint="eastAsia" w:cs="宋体"/>
          <w:color w:val="auto"/>
          <w:highlight w:val="none"/>
        </w:rPr>
        <w:t>。</w:t>
      </w:r>
      <w:r>
        <w:rPr>
          <w:rFonts w:hint="eastAsia" w:cs="宋体"/>
          <w:color w:val="auto"/>
          <w:highlight w:val="none"/>
          <w:u w:val="single"/>
        </w:rPr>
        <w:t>（产品名称2）</w:t>
      </w:r>
      <w:r>
        <w:rPr>
          <w:rFonts w:hint="eastAsia" w:cs="宋体"/>
          <w:color w:val="auto"/>
          <w:highlight w:val="none"/>
        </w:rPr>
        <w:t>的中国境内生产的组件成本占比≥</w:t>
      </w:r>
      <w:r>
        <w:rPr>
          <w:rFonts w:hint="eastAsia" w:cs="宋体"/>
          <w:color w:val="auto"/>
          <w:highlight w:val="none"/>
          <w:u w:val="single"/>
        </w:rPr>
        <w:t>（规定比例）</w:t>
      </w:r>
      <w:r>
        <w:rPr>
          <w:rFonts w:hint="eastAsia" w:cs="宋体"/>
          <w:color w:val="auto"/>
          <w:highlight w:val="none"/>
        </w:rPr>
        <w:t>。</w:t>
      </w:r>
      <w:r>
        <w:rPr>
          <w:rFonts w:hint="eastAsia" w:cs="宋体"/>
          <w:color w:val="auto"/>
          <w:highlight w:val="none"/>
          <w:u w:val="single"/>
        </w:rPr>
        <w:t>（产品名称2）</w:t>
      </w:r>
      <w:r>
        <w:rPr>
          <w:rFonts w:hint="eastAsia" w:cs="宋体"/>
          <w:color w:val="auto"/>
          <w:highlight w:val="none"/>
        </w:rPr>
        <w:t>的</w:t>
      </w:r>
      <w:r>
        <w:rPr>
          <w:rFonts w:hint="eastAsia" w:cs="宋体"/>
          <w:color w:val="auto"/>
          <w:highlight w:val="none"/>
          <w:u w:val="single"/>
        </w:rPr>
        <w:t>（关键组件）</w:t>
      </w:r>
      <w:r>
        <w:rPr>
          <w:rFonts w:hint="eastAsia" w:cs="宋体"/>
          <w:color w:val="auto"/>
          <w:highlight w:val="none"/>
        </w:rPr>
        <w:t>在中国境内生产。</w:t>
      </w:r>
      <w:r>
        <w:rPr>
          <w:rFonts w:hint="eastAsia" w:cs="宋体"/>
          <w:color w:val="auto"/>
          <w:highlight w:val="none"/>
          <w:u w:val="single"/>
        </w:rPr>
        <w:t>（产品名称2）</w:t>
      </w:r>
      <w:r>
        <w:rPr>
          <w:rFonts w:hint="eastAsia" w:cs="宋体"/>
          <w:color w:val="auto"/>
          <w:highlight w:val="none"/>
        </w:rPr>
        <w:t>的</w:t>
      </w:r>
      <w:r>
        <w:rPr>
          <w:rFonts w:hint="eastAsia" w:cs="宋体"/>
          <w:color w:val="auto"/>
          <w:highlight w:val="none"/>
          <w:u w:val="single"/>
        </w:rPr>
        <w:t>（关键工序）</w:t>
      </w:r>
      <w:r>
        <w:rPr>
          <w:rFonts w:hint="eastAsia" w:cs="宋体"/>
          <w:color w:val="auto"/>
          <w:highlight w:val="none"/>
        </w:rPr>
        <w:t>在中国境内完成。</w:t>
      </w:r>
    </w:p>
    <w:p w14:paraId="7A8E81C9">
      <w:pPr>
        <w:pStyle w:val="42"/>
        <w:spacing w:before="300" w:beforeAutospacing="0" w:after="300" w:afterAutospacing="0" w:line="525" w:lineRule="atLeast"/>
        <w:ind w:firstLine="420"/>
        <w:rPr>
          <w:rFonts w:cs="宋体"/>
          <w:color w:val="auto"/>
          <w:highlight w:val="none"/>
        </w:rPr>
      </w:pPr>
      <w:r>
        <w:rPr>
          <w:rFonts w:hint="eastAsia" w:cs="宋体"/>
          <w:color w:val="auto"/>
          <w:highlight w:val="none"/>
        </w:rPr>
        <w:t>……</w:t>
      </w:r>
    </w:p>
    <w:p w14:paraId="4815FCD2">
      <w:pPr>
        <w:pStyle w:val="42"/>
        <w:spacing w:before="300" w:beforeAutospacing="0" w:after="300" w:afterAutospacing="0" w:line="525" w:lineRule="atLeast"/>
        <w:ind w:firstLine="420"/>
        <w:rPr>
          <w:rFonts w:cs="宋体"/>
          <w:color w:val="auto"/>
          <w:highlight w:val="none"/>
        </w:rPr>
      </w:pPr>
      <w:r>
        <w:rPr>
          <w:rFonts w:hint="eastAsia" w:cs="宋体"/>
          <w:color w:val="auto"/>
          <w:highlight w:val="none"/>
        </w:rPr>
        <w:t>本公司（单位）对上述声明内容的真实性负责。如有虚假，愿承担相应法律责任。</w:t>
      </w:r>
    </w:p>
    <w:p w14:paraId="0E90E76C">
      <w:pPr>
        <w:pStyle w:val="42"/>
        <w:spacing w:before="300" w:beforeAutospacing="0" w:after="300" w:afterAutospacing="0" w:line="525" w:lineRule="atLeast"/>
        <w:jc w:val="right"/>
        <w:rPr>
          <w:rFonts w:cs="宋体"/>
          <w:color w:val="auto"/>
          <w:highlight w:val="none"/>
        </w:rPr>
      </w:pPr>
      <w:r>
        <w:rPr>
          <w:rFonts w:hint="eastAsia" w:cs="宋体"/>
          <w:color w:val="auto"/>
          <w:highlight w:val="none"/>
        </w:rPr>
        <w:t>公司（单位）名称</w:t>
      </w:r>
      <w:r>
        <w:rPr>
          <w:rFonts w:hint="eastAsia"/>
          <w:color w:val="auto"/>
          <w:highlight w:val="none"/>
        </w:rPr>
        <w:t>（</w:t>
      </w:r>
      <w:r>
        <w:rPr>
          <w:rFonts w:hint="eastAsia"/>
          <w:b/>
          <w:bCs/>
          <w:color w:val="auto"/>
          <w:highlight w:val="none"/>
        </w:rPr>
        <w:t>电子签章</w:t>
      </w:r>
      <w:r>
        <w:rPr>
          <w:rFonts w:hint="eastAsia"/>
          <w:color w:val="auto"/>
          <w:highlight w:val="none"/>
        </w:rPr>
        <w:t>）</w:t>
      </w:r>
      <w:r>
        <w:rPr>
          <w:rFonts w:hint="eastAsia" w:cs="宋体"/>
          <w:color w:val="auto"/>
          <w:highlight w:val="none"/>
        </w:rPr>
        <w:t>：　        </w:t>
      </w:r>
    </w:p>
    <w:p w14:paraId="680AD99F">
      <w:pPr>
        <w:pStyle w:val="42"/>
        <w:spacing w:before="300" w:beforeAutospacing="0" w:after="300" w:afterAutospacing="0" w:line="525" w:lineRule="atLeast"/>
        <w:jc w:val="right"/>
        <w:rPr>
          <w:rFonts w:cs="宋体"/>
          <w:color w:val="auto"/>
          <w:highlight w:val="none"/>
        </w:rPr>
      </w:pPr>
      <w:r>
        <w:rPr>
          <w:rFonts w:hint="eastAsia" w:cs="宋体"/>
          <w:color w:val="auto"/>
          <w:highlight w:val="none"/>
        </w:rPr>
        <w:t>日期：　     年　  月　  日         </w:t>
      </w:r>
    </w:p>
    <w:p w14:paraId="034B9C3B">
      <w:pPr>
        <w:pStyle w:val="42"/>
        <w:spacing w:before="300" w:beforeAutospacing="0" w:after="300" w:afterAutospacing="0" w:line="525" w:lineRule="atLeast"/>
        <w:ind w:firstLine="420"/>
        <w:rPr>
          <w:rFonts w:cs="宋体"/>
          <w:color w:val="auto"/>
          <w:highlight w:val="none"/>
        </w:rPr>
      </w:pPr>
      <w:r>
        <w:rPr>
          <w:rFonts w:hint="eastAsia" w:cs="宋体"/>
          <w:color w:val="auto"/>
          <w:highlight w:val="none"/>
        </w:rPr>
        <w:t>__________________</w:t>
      </w:r>
    </w:p>
    <w:p w14:paraId="06B53364">
      <w:pPr>
        <w:pStyle w:val="42"/>
        <w:spacing w:before="0" w:beforeAutospacing="0" w:after="0" w:afterAutospacing="0" w:line="240" w:lineRule="auto"/>
        <w:ind w:firstLine="420"/>
        <w:rPr>
          <w:rFonts w:cs="宋体"/>
          <w:color w:val="auto"/>
          <w:sz w:val="21"/>
          <w:szCs w:val="21"/>
          <w:highlight w:val="none"/>
        </w:rPr>
      </w:pPr>
      <w:r>
        <w:rPr>
          <w:rFonts w:hint="eastAsia" w:cs="宋体"/>
          <w:color w:val="auto"/>
          <w:sz w:val="21"/>
          <w:szCs w:val="21"/>
          <w:highlight w:val="none"/>
        </w:rPr>
        <w:t>1.产品如有型号，请在“产品名称”栏一并填写。</w:t>
      </w:r>
    </w:p>
    <w:p w14:paraId="70814065">
      <w:pPr>
        <w:pStyle w:val="42"/>
        <w:spacing w:before="0" w:beforeAutospacing="0" w:after="0" w:afterAutospacing="0" w:line="240" w:lineRule="auto"/>
        <w:ind w:firstLine="420"/>
        <w:rPr>
          <w:rFonts w:cs="宋体"/>
          <w:color w:val="auto"/>
          <w:sz w:val="21"/>
          <w:szCs w:val="21"/>
          <w:highlight w:val="none"/>
        </w:rPr>
      </w:pPr>
      <w:r>
        <w:rPr>
          <w:rFonts w:hint="eastAsia" w:cs="宋体"/>
          <w:color w:val="auto"/>
          <w:sz w:val="21"/>
          <w:szCs w:val="21"/>
          <w:highlight w:val="none"/>
        </w:rPr>
        <w:t>2.生产厂名与厂址应与生产厂营业执照载明的相关信息保持一致。</w:t>
      </w:r>
    </w:p>
    <w:p w14:paraId="299054F3">
      <w:pPr>
        <w:pStyle w:val="42"/>
        <w:spacing w:before="0" w:beforeAutospacing="0" w:after="0" w:afterAutospacing="0" w:line="240" w:lineRule="auto"/>
        <w:ind w:firstLine="420"/>
        <w:rPr>
          <w:rFonts w:cs="宋体"/>
          <w:color w:val="auto"/>
          <w:sz w:val="21"/>
          <w:szCs w:val="21"/>
          <w:highlight w:val="none"/>
        </w:rPr>
      </w:pPr>
      <w:r>
        <w:rPr>
          <w:rFonts w:hint="eastAsia" w:cs="宋体"/>
          <w:color w:val="auto"/>
          <w:sz w:val="21"/>
          <w:szCs w:val="21"/>
          <w:highlight w:val="none"/>
        </w:rPr>
        <w:t>3.该产品的中国境内生产的组件成本占比相关要求实施前，“规定比例”栏可不填，下同。</w:t>
      </w:r>
    </w:p>
    <w:p w14:paraId="2117B8FC">
      <w:pPr>
        <w:pStyle w:val="42"/>
        <w:spacing w:before="0" w:beforeAutospacing="0" w:after="0" w:afterAutospacing="0" w:line="240" w:lineRule="auto"/>
        <w:ind w:firstLine="420"/>
        <w:rPr>
          <w:rFonts w:cs="宋体"/>
          <w:color w:val="auto"/>
          <w:sz w:val="21"/>
          <w:szCs w:val="21"/>
          <w:highlight w:val="none"/>
        </w:rPr>
      </w:pPr>
      <w:r>
        <w:rPr>
          <w:rFonts w:hint="eastAsia" w:cs="宋体"/>
          <w:color w:val="auto"/>
          <w:sz w:val="21"/>
          <w:szCs w:val="21"/>
          <w:highlight w:val="none"/>
        </w:rPr>
        <w:t>4.该产品的关键组件要求实施前，“关键组件”栏可不填，下同。</w:t>
      </w:r>
    </w:p>
    <w:p w14:paraId="262052B2">
      <w:pPr>
        <w:pStyle w:val="258"/>
        <w:ind w:firstLine="420"/>
        <w:rPr>
          <w:color w:val="auto"/>
          <w:highlight w:val="none"/>
        </w:rPr>
      </w:pPr>
      <w:r>
        <w:rPr>
          <w:rFonts w:hint="eastAsia"/>
          <w:color w:val="auto"/>
          <w:sz w:val="21"/>
          <w:szCs w:val="21"/>
          <w:highlight w:val="none"/>
        </w:rPr>
        <w:t>5.该产品的关键工序要求实施前，“关键工序”栏可不填，下同。</w:t>
      </w:r>
    </w:p>
    <w:p w14:paraId="41114484">
      <w:pPr>
        <w:pStyle w:val="279"/>
        <w:rPr>
          <w:color w:val="auto"/>
          <w:highlight w:val="none"/>
        </w:rPr>
      </w:pPr>
      <w:r>
        <w:rPr>
          <w:rFonts w:hint="eastAsia"/>
          <w:color w:val="auto"/>
          <w:highlight w:val="none"/>
        </w:rPr>
        <w:t>二、资格证明文件格式</w:t>
      </w:r>
    </w:p>
    <w:p w14:paraId="4E7E4B3A">
      <w:pPr>
        <w:pStyle w:val="4"/>
        <w:rPr>
          <w:color w:val="auto"/>
          <w:highlight w:val="none"/>
        </w:rPr>
      </w:pPr>
      <w:r>
        <w:rPr>
          <w:color w:val="auto"/>
          <w:highlight w:val="none"/>
        </w:rPr>
        <w:t>1.</w:t>
      </w:r>
      <w:r>
        <w:rPr>
          <w:rFonts w:hint="eastAsia"/>
          <w:color w:val="auto"/>
          <w:highlight w:val="none"/>
        </w:rPr>
        <w:t>资格证明文件封面格式</w:t>
      </w:r>
    </w:p>
    <w:p w14:paraId="5E18D0A7">
      <w:pPr>
        <w:spacing w:before="120" w:after="50"/>
        <w:jc w:val="center"/>
        <w:rPr>
          <w:rFonts w:hAnsi="宋体" w:eastAsia="方正小标宋简体"/>
          <w:bCs/>
          <w:color w:val="auto"/>
          <w:sz w:val="48"/>
          <w:szCs w:val="48"/>
          <w:highlight w:val="none"/>
        </w:rPr>
      </w:pPr>
      <w:r>
        <w:rPr>
          <w:rFonts w:hint="eastAsia" w:hAnsi="宋体" w:cs="宋体"/>
          <w:bCs/>
          <w:color w:val="auto"/>
          <w:sz w:val="48"/>
          <w:szCs w:val="48"/>
          <w:highlight w:val="none"/>
        </w:rPr>
        <w:t>电子投标文件</w:t>
      </w:r>
    </w:p>
    <w:p w14:paraId="790975AD">
      <w:pPr>
        <w:rPr>
          <w:color w:val="auto"/>
          <w:highlight w:val="none"/>
        </w:rPr>
      </w:pPr>
      <w:r>
        <w:rPr>
          <w:rFonts w:hint="eastAsia"/>
          <w:color w:val="auto"/>
          <w:highlight w:val="none"/>
        </w:rPr>
        <w:t xml:space="preserve">                 </w:t>
      </w:r>
    </w:p>
    <w:p w14:paraId="7AF453F9">
      <w:pPr>
        <w:rPr>
          <w:color w:val="auto"/>
          <w:szCs w:val="20"/>
          <w:highlight w:val="none"/>
        </w:rPr>
      </w:pPr>
    </w:p>
    <w:p w14:paraId="0A46677A">
      <w:pPr>
        <w:spacing w:before="120" w:after="50" w:line="400" w:lineRule="exact"/>
        <w:jc w:val="center"/>
        <w:rPr>
          <w:rFonts w:hAnsi="宋体"/>
          <w:b/>
          <w:bCs/>
          <w:color w:val="auto"/>
          <w:sz w:val="44"/>
          <w:szCs w:val="44"/>
          <w:highlight w:val="none"/>
        </w:rPr>
      </w:pPr>
      <w:r>
        <w:rPr>
          <w:rFonts w:hint="eastAsia" w:hAnsi="宋体"/>
          <w:b/>
          <w:bCs/>
          <w:color w:val="auto"/>
          <w:sz w:val="44"/>
          <w:szCs w:val="44"/>
          <w:highlight w:val="none"/>
        </w:rPr>
        <w:t>资格证明文件</w:t>
      </w:r>
    </w:p>
    <w:p w14:paraId="49FC7C13">
      <w:pPr>
        <w:rPr>
          <w:color w:val="auto"/>
          <w:highlight w:val="none"/>
        </w:rPr>
      </w:pPr>
    </w:p>
    <w:p w14:paraId="7630CD0D">
      <w:pPr>
        <w:rPr>
          <w:color w:val="auto"/>
          <w:highlight w:val="none"/>
        </w:rPr>
      </w:pPr>
    </w:p>
    <w:p w14:paraId="493757FE">
      <w:pPr>
        <w:rPr>
          <w:color w:val="auto"/>
          <w:highlight w:val="none"/>
        </w:rPr>
      </w:pPr>
    </w:p>
    <w:p w14:paraId="6B37973E">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 xml:space="preserve">项目名称： </w:t>
      </w:r>
    </w:p>
    <w:p w14:paraId="4EB21BE9">
      <w:pPr>
        <w:spacing w:before="120" w:after="50" w:line="400" w:lineRule="exact"/>
        <w:ind w:firstLine="640"/>
        <w:rPr>
          <w:rFonts w:hAnsi="宋体"/>
          <w:bCs/>
          <w:color w:val="auto"/>
          <w:sz w:val="32"/>
          <w:szCs w:val="32"/>
          <w:highlight w:val="none"/>
        </w:rPr>
      </w:pPr>
    </w:p>
    <w:p w14:paraId="21E59330">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 xml:space="preserve">项目编号： </w:t>
      </w:r>
    </w:p>
    <w:p w14:paraId="7F4C4E3C">
      <w:pPr>
        <w:spacing w:before="120" w:after="50" w:line="400" w:lineRule="exact"/>
        <w:ind w:firstLine="640"/>
        <w:rPr>
          <w:rFonts w:hAnsi="宋体"/>
          <w:bCs/>
          <w:color w:val="auto"/>
          <w:sz w:val="32"/>
          <w:szCs w:val="32"/>
          <w:highlight w:val="none"/>
        </w:rPr>
      </w:pPr>
    </w:p>
    <w:p w14:paraId="2D623DAC">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投标人名称：</w:t>
      </w:r>
    </w:p>
    <w:p w14:paraId="2CE4BC4A">
      <w:pPr>
        <w:spacing w:before="120" w:after="50" w:line="400" w:lineRule="exact"/>
        <w:ind w:firstLine="640"/>
        <w:rPr>
          <w:rFonts w:hAnsi="宋体"/>
          <w:bCs/>
          <w:color w:val="auto"/>
          <w:sz w:val="32"/>
          <w:szCs w:val="32"/>
          <w:highlight w:val="none"/>
        </w:rPr>
      </w:pPr>
    </w:p>
    <w:p w14:paraId="5E181D53">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投标人地址：</w:t>
      </w:r>
    </w:p>
    <w:p w14:paraId="5E29ED11">
      <w:pPr>
        <w:pStyle w:val="7"/>
        <w:spacing w:before="50" w:after="50" w:line="400" w:lineRule="exact"/>
        <w:ind w:firstLine="1280"/>
        <w:rPr>
          <w:rFonts w:hAnsi="宋体"/>
          <w:bCs/>
          <w:color w:val="auto"/>
          <w:sz w:val="32"/>
          <w:szCs w:val="32"/>
          <w:highlight w:val="none"/>
        </w:rPr>
      </w:pPr>
    </w:p>
    <w:p w14:paraId="09787EF2">
      <w:pPr>
        <w:spacing w:before="120" w:after="50" w:line="400" w:lineRule="exact"/>
        <w:rPr>
          <w:rFonts w:hAnsi="宋体"/>
          <w:color w:val="auto"/>
          <w:sz w:val="32"/>
          <w:szCs w:val="32"/>
          <w:highlight w:val="none"/>
        </w:rPr>
      </w:pPr>
      <w:r>
        <w:rPr>
          <w:rFonts w:hint="eastAsia" w:hAnsi="宋体"/>
          <w:color w:val="auto"/>
          <w:sz w:val="32"/>
          <w:szCs w:val="32"/>
          <w:highlight w:val="none"/>
        </w:rPr>
        <w:t xml:space="preserve">                                   年  月  日</w:t>
      </w:r>
    </w:p>
    <w:p w14:paraId="6EAAAE40">
      <w:pPr>
        <w:rPr>
          <w:color w:val="auto"/>
          <w:highlight w:val="none"/>
        </w:rPr>
      </w:pPr>
    </w:p>
    <w:p w14:paraId="24EBD120">
      <w:pPr>
        <w:rPr>
          <w:color w:val="auto"/>
          <w:highlight w:val="none"/>
        </w:rPr>
      </w:pPr>
    </w:p>
    <w:p w14:paraId="05C2867B">
      <w:pPr>
        <w:pStyle w:val="4"/>
        <w:rPr>
          <w:color w:val="auto"/>
          <w:highlight w:val="none"/>
        </w:rPr>
      </w:pPr>
      <w:r>
        <w:rPr>
          <w:color w:val="auto"/>
          <w:highlight w:val="none"/>
        </w:rPr>
        <w:br w:type="page" w:clear="all"/>
      </w:r>
      <w:r>
        <w:rPr>
          <w:color w:val="auto"/>
          <w:highlight w:val="none"/>
        </w:rPr>
        <w:t>2.</w:t>
      </w:r>
      <w:r>
        <w:rPr>
          <w:rFonts w:hint="eastAsia"/>
          <w:color w:val="auto"/>
          <w:highlight w:val="none"/>
        </w:rPr>
        <w:t>资格证明文件目录</w:t>
      </w:r>
    </w:p>
    <w:p w14:paraId="12ADC599">
      <w:pPr>
        <w:ind w:firstLine="643"/>
        <w:rPr>
          <w:rFonts w:hAnsi="宋体"/>
          <w:b/>
          <w:bCs/>
          <w:color w:val="auto"/>
          <w:sz w:val="32"/>
          <w:szCs w:val="32"/>
          <w:highlight w:val="none"/>
        </w:rPr>
      </w:pPr>
      <w:r>
        <w:rPr>
          <w:rFonts w:hint="eastAsia" w:hAnsi="宋体"/>
          <w:b/>
          <w:bCs/>
          <w:color w:val="auto"/>
          <w:sz w:val="32"/>
          <w:szCs w:val="32"/>
          <w:highlight w:val="none"/>
        </w:rPr>
        <w:t>根据招标文件规定及投标人提供的材料自行编写目录。</w:t>
      </w:r>
    </w:p>
    <w:p w14:paraId="2F8238CD">
      <w:pPr>
        <w:spacing w:before="50" w:after="120"/>
        <w:rPr>
          <w:rFonts w:hAnsi="宋体"/>
          <w:color w:val="auto"/>
          <w:sz w:val="24"/>
          <w:highlight w:val="none"/>
        </w:rPr>
      </w:pPr>
    </w:p>
    <w:p w14:paraId="31C9EF7C">
      <w:pPr>
        <w:contextualSpacing/>
        <w:rPr>
          <w:color w:val="auto"/>
          <w:szCs w:val="20"/>
          <w:highlight w:val="none"/>
        </w:rPr>
      </w:pPr>
      <w:r>
        <w:rPr>
          <w:color w:val="auto"/>
          <w:highlight w:val="none"/>
        </w:rPr>
        <w:br w:type="page" w:clear="all"/>
      </w:r>
      <w:r>
        <w:rPr>
          <w:rFonts w:hint="eastAsia"/>
          <w:b/>
          <w:bCs/>
          <w:color w:val="auto"/>
          <w:highlight w:val="none"/>
        </w:rPr>
        <w:t>3</w:t>
      </w:r>
      <w:r>
        <w:rPr>
          <w:b/>
          <w:bCs/>
          <w:color w:val="auto"/>
          <w:highlight w:val="none"/>
        </w:rPr>
        <w:t>.</w:t>
      </w:r>
      <w:r>
        <w:rPr>
          <w:rFonts w:hint="eastAsia"/>
          <w:b/>
          <w:bCs/>
          <w:color w:val="auto"/>
          <w:highlight w:val="none"/>
        </w:rPr>
        <w:t>政府采购供应商资格信用承诺函格式</w:t>
      </w:r>
    </w:p>
    <w:p w14:paraId="2AF527D0">
      <w:pPr>
        <w:spacing w:line="240" w:lineRule="auto"/>
        <w:jc w:val="center"/>
        <w:rPr>
          <w:rFonts w:ascii="黑体" w:hAnsi="黑体" w:eastAsia="黑体" w:cs="黑体"/>
          <w:b/>
          <w:bCs/>
          <w:color w:val="auto"/>
          <w:sz w:val="44"/>
          <w:szCs w:val="44"/>
          <w:highlight w:val="none"/>
        </w:rPr>
      </w:pPr>
      <w:r>
        <w:rPr>
          <w:rFonts w:hint="eastAsia" w:ascii="黑体" w:hAnsi="黑体" w:eastAsia="黑体" w:cs="黑体"/>
          <w:b/>
          <w:bCs/>
          <w:color w:val="auto"/>
          <w:sz w:val="44"/>
          <w:szCs w:val="44"/>
          <w:highlight w:val="none"/>
        </w:rPr>
        <w:t>政府采购供应商资格信用承诺函</w:t>
      </w:r>
    </w:p>
    <w:p w14:paraId="1A052025">
      <w:pPr>
        <w:rPr>
          <w:color w:val="auto"/>
          <w:highlight w:val="none"/>
        </w:rPr>
      </w:pPr>
    </w:p>
    <w:p w14:paraId="51AEED27">
      <w:pPr>
        <w:rPr>
          <w:rFonts w:hAnsi="宋体"/>
          <w:b/>
          <w:bCs/>
          <w:color w:val="auto"/>
          <w:sz w:val="24"/>
          <w:highlight w:val="none"/>
        </w:rPr>
      </w:pPr>
      <w:r>
        <w:rPr>
          <w:rFonts w:hint="eastAsia" w:hAnsi="宋体"/>
          <w:b/>
          <w:bCs/>
          <w:color w:val="auto"/>
          <w:sz w:val="24"/>
          <w:highlight w:val="none"/>
        </w:rPr>
        <w:t>致：</w:t>
      </w:r>
      <w:r>
        <w:rPr>
          <w:rFonts w:hint="eastAsia" w:hAnsi="宋体"/>
          <w:b/>
          <w:bCs/>
          <w:color w:val="auto"/>
          <w:sz w:val="24"/>
          <w:highlight w:val="none"/>
          <w:u w:val="single"/>
        </w:rPr>
        <w:t>（采购人名称）、（代理机构名称）</w:t>
      </w:r>
      <w:r>
        <w:rPr>
          <w:rFonts w:hint="eastAsia" w:hAnsi="宋体"/>
          <w:b/>
          <w:bCs/>
          <w:color w:val="auto"/>
          <w:sz w:val="24"/>
          <w:highlight w:val="none"/>
        </w:rPr>
        <w:t>：</w:t>
      </w:r>
    </w:p>
    <w:p w14:paraId="3ECCD679">
      <w:pPr>
        <w:ind w:firstLine="480"/>
        <w:jc w:val="both"/>
        <w:rPr>
          <w:rFonts w:hAnsi="宋体"/>
          <w:color w:val="auto"/>
          <w:sz w:val="24"/>
          <w:highlight w:val="none"/>
        </w:rPr>
      </w:pPr>
      <w:r>
        <w:rPr>
          <w:rFonts w:hint="eastAsia" w:hAnsi="宋体"/>
          <w:color w:val="auto"/>
          <w:sz w:val="24"/>
          <w:highlight w:val="none"/>
        </w:rPr>
        <w:t>我方自愿参加</w:t>
      </w:r>
      <w:r>
        <w:rPr>
          <w:rFonts w:hint="eastAsia" w:hAnsi="宋体"/>
          <w:color w:val="auto"/>
          <w:sz w:val="24"/>
          <w:highlight w:val="none"/>
          <w:u w:val="single"/>
        </w:rPr>
        <w:t xml:space="preserve">                </w:t>
      </w:r>
      <w:r>
        <w:rPr>
          <w:rFonts w:hint="eastAsia" w:hAnsi="宋体"/>
          <w:color w:val="auto"/>
          <w:sz w:val="24"/>
          <w:highlight w:val="none"/>
        </w:rPr>
        <w:t>项目（项目编号：</w:t>
      </w:r>
      <w:r>
        <w:rPr>
          <w:rFonts w:hint="eastAsia" w:hAnsi="宋体"/>
          <w:color w:val="auto"/>
          <w:sz w:val="24"/>
          <w:highlight w:val="none"/>
          <w:u w:val="single"/>
        </w:rPr>
        <w:t xml:space="preserve">                      </w:t>
      </w:r>
      <w:r>
        <w:rPr>
          <w:rFonts w:hint="eastAsia" w:hAnsi="宋体"/>
          <w:color w:val="auto"/>
          <w:sz w:val="24"/>
          <w:highlight w:val="none"/>
        </w:rPr>
        <w:t xml:space="preserve">）的政府采购活动，并郑重承诺我方符合《中华人民共和国政府采购法》第二十二条规定的条件： </w:t>
      </w:r>
    </w:p>
    <w:p w14:paraId="534CA99C">
      <w:pPr>
        <w:ind w:firstLine="480"/>
        <w:jc w:val="both"/>
        <w:rPr>
          <w:rFonts w:hAnsi="宋体"/>
          <w:color w:val="auto"/>
          <w:sz w:val="24"/>
          <w:highlight w:val="none"/>
        </w:rPr>
      </w:pPr>
      <w:r>
        <w:rPr>
          <w:rFonts w:hint="eastAsia" w:hAnsi="宋体"/>
          <w:color w:val="auto"/>
          <w:sz w:val="24"/>
          <w:highlight w:val="none"/>
        </w:rPr>
        <w:t xml:space="preserve">（一）具有独立承担民事责任的能力； </w:t>
      </w:r>
    </w:p>
    <w:p w14:paraId="3F13B4B7">
      <w:pPr>
        <w:ind w:firstLine="480"/>
        <w:jc w:val="both"/>
        <w:rPr>
          <w:rFonts w:hAnsi="宋体"/>
          <w:color w:val="auto"/>
          <w:sz w:val="24"/>
          <w:highlight w:val="none"/>
        </w:rPr>
      </w:pPr>
      <w:r>
        <w:rPr>
          <w:rFonts w:hint="eastAsia" w:hAnsi="宋体"/>
          <w:color w:val="auto"/>
          <w:sz w:val="24"/>
          <w:highlight w:val="none"/>
        </w:rPr>
        <w:t xml:space="preserve">（二）具有良好的商业信誉和健全的财务会计制度； </w:t>
      </w:r>
    </w:p>
    <w:p w14:paraId="7208B1A9">
      <w:pPr>
        <w:ind w:firstLine="480"/>
        <w:jc w:val="both"/>
        <w:rPr>
          <w:rFonts w:hAnsi="宋体"/>
          <w:color w:val="auto"/>
          <w:sz w:val="24"/>
          <w:highlight w:val="none"/>
        </w:rPr>
      </w:pPr>
      <w:r>
        <w:rPr>
          <w:rFonts w:hint="eastAsia" w:hAnsi="宋体"/>
          <w:color w:val="auto"/>
          <w:sz w:val="24"/>
          <w:highlight w:val="none"/>
        </w:rPr>
        <w:t xml:space="preserve">（三）具有履行合同所必需的设备和专业技术能力； </w:t>
      </w:r>
    </w:p>
    <w:p w14:paraId="529490C9">
      <w:pPr>
        <w:ind w:firstLine="480"/>
        <w:jc w:val="both"/>
        <w:rPr>
          <w:rFonts w:hAnsi="宋体"/>
          <w:color w:val="auto"/>
          <w:sz w:val="24"/>
          <w:highlight w:val="none"/>
        </w:rPr>
      </w:pPr>
      <w:r>
        <w:rPr>
          <w:rFonts w:hint="eastAsia" w:hAnsi="宋体"/>
          <w:color w:val="auto"/>
          <w:sz w:val="24"/>
          <w:highlight w:val="none"/>
        </w:rPr>
        <w:t xml:space="preserve">（四）有依法缴纳税收和社会保障资金的良好记录； </w:t>
      </w:r>
    </w:p>
    <w:p w14:paraId="28835A8B">
      <w:pPr>
        <w:ind w:firstLine="480"/>
        <w:jc w:val="both"/>
        <w:rPr>
          <w:rFonts w:hAnsi="宋体"/>
          <w:color w:val="auto"/>
          <w:sz w:val="24"/>
          <w:highlight w:val="none"/>
        </w:rPr>
      </w:pPr>
      <w:r>
        <w:rPr>
          <w:rFonts w:hint="eastAsia" w:hAnsi="宋体"/>
          <w:color w:val="auto"/>
          <w:sz w:val="24"/>
          <w:highlight w:val="none"/>
        </w:rPr>
        <w:t xml:space="preserve">（五）参加政府采购活动前三年内，在经营活动中没有重大违法记录； </w:t>
      </w:r>
    </w:p>
    <w:p w14:paraId="52355312">
      <w:pPr>
        <w:ind w:firstLine="480"/>
        <w:jc w:val="both"/>
        <w:rPr>
          <w:rFonts w:hAnsi="宋体"/>
          <w:color w:val="auto"/>
          <w:sz w:val="24"/>
          <w:highlight w:val="none"/>
        </w:rPr>
      </w:pPr>
      <w:r>
        <w:rPr>
          <w:rFonts w:hint="eastAsia" w:hAnsi="宋体"/>
          <w:color w:val="auto"/>
          <w:sz w:val="24"/>
          <w:highlight w:val="none"/>
        </w:rPr>
        <w:t xml:space="preserve">（六）法律、行政法规规定的其他条件。 </w:t>
      </w:r>
    </w:p>
    <w:p w14:paraId="62C0CBCE">
      <w:pPr>
        <w:ind w:firstLine="480"/>
        <w:jc w:val="both"/>
        <w:rPr>
          <w:rFonts w:hAnsi="宋体"/>
          <w:color w:val="auto"/>
          <w:sz w:val="24"/>
          <w:highlight w:val="none"/>
        </w:rPr>
      </w:pPr>
      <w:r>
        <w:rPr>
          <w:rFonts w:hint="eastAsia" w:hAnsi="宋体"/>
          <w:color w:val="auto"/>
          <w:sz w:val="24"/>
          <w:highlight w:val="none"/>
        </w:rPr>
        <w:t xml:space="preserve">我方保证上述承诺事项的真实性，如有弄虚作假或其他违法违规行为，愿意承担一切法律责任，并承担因此所造成的一切损失。 </w:t>
      </w:r>
    </w:p>
    <w:p w14:paraId="195777C1">
      <w:pPr>
        <w:ind w:firstLine="482"/>
        <w:jc w:val="both"/>
        <w:rPr>
          <w:rFonts w:hAnsi="宋体"/>
          <w:b/>
          <w:bCs/>
          <w:color w:val="auto"/>
          <w:sz w:val="24"/>
          <w:highlight w:val="none"/>
        </w:rPr>
      </w:pPr>
      <w:r>
        <w:rPr>
          <w:rFonts w:hint="eastAsia" w:hAnsi="宋体"/>
          <w:b/>
          <w:bCs/>
          <w:color w:val="auto"/>
          <w:sz w:val="24"/>
          <w:highlight w:val="none"/>
        </w:rPr>
        <w:t xml:space="preserve">特此声明！ </w:t>
      </w:r>
    </w:p>
    <w:p w14:paraId="4B99D964">
      <w:pPr>
        <w:rPr>
          <w:color w:val="auto"/>
          <w:highlight w:val="none"/>
        </w:rPr>
      </w:pPr>
    </w:p>
    <w:p w14:paraId="6835A698">
      <w:pPr>
        <w:rPr>
          <w:color w:val="auto"/>
          <w:highlight w:val="none"/>
        </w:rPr>
      </w:pPr>
    </w:p>
    <w:p w14:paraId="6D450A2E">
      <w:pPr>
        <w:tabs>
          <w:tab w:val="left" w:pos="2426"/>
          <w:tab w:val="right" w:pos="10183"/>
        </w:tabs>
        <w:ind w:firstLine="1200"/>
        <w:rPr>
          <w:rFonts w:hAnsi="宋体"/>
          <w:color w:val="auto"/>
          <w:sz w:val="24"/>
          <w:highlight w:val="none"/>
        </w:rPr>
      </w:pPr>
      <w:r>
        <w:rPr>
          <w:rFonts w:hint="eastAsia" w:hAnsi="宋体"/>
          <w:color w:val="auto"/>
          <w:sz w:val="24"/>
          <w:highlight w:val="none"/>
        </w:rPr>
        <w:t>法定代表人或者委托代理人（</w:t>
      </w:r>
      <w:r>
        <w:rPr>
          <w:rFonts w:hint="eastAsia" w:hAnsi="宋体"/>
          <w:b/>
          <w:bCs/>
          <w:color w:val="auto"/>
          <w:sz w:val="24"/>
          <w:highlight w:val="none"/>
        </w:rPr>
        <w:t>签字或者电子签名</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0CA4754F">
      <w:pPr>
        <w:pStyle w:val="23"/>
        <w:jc w:val="center"/>
        <w:rPr>
          <w:rFonts w:hAnsi="宋体"/>
          <w:color w:val="auto"/>
          <w:sz w:val="24"/>
          <w:szCs w:val="24"/>
          <w:highlight w:val="none"/>
          <w:u w:val="single"/>
        </w:rPr>
      </w:pPr>
      <w:r>
        <w:rPr>
          <w:rFonts w:hint="eastAsia" w:hAnsi="宋体"/>
          <w:color w:val="auto"/>
          <w:sz w:val="24"/>
          <w:highlight w:val="none"/>
        </w:rPr>
        <w:t xml:space="preserve">                  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1C350F13">
      <w:pPr>
        <w:pStyle w:val="23"/>
        <w:jc w:val="right"/>
        <w:rPr>
          <w:rFonts w:hAnsi="宋体"/>
          <w:color w:val="auto"/>
          <w:sz w:val="24"/>
          <w:szCs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3A90084C">
      <w:pPr>
        <w:rPr>
          <w:color w:val="auto"/>
          <w:highlight w:val="none"/>
        </w:rPr>
      </w:pPr>
    </w:p>
    <w:p w14:paraId="429B0E85">
      <w:pPr>
        <w:pStyle w:val="4"/>
        <w:rPr>
          <w:color w:val="auto"/>
          <w:highlight w:val="none"/>
        </w:rPr>
      </w:pPr>
      <w:r>
        <w:rPr>
          <w:color w:val="auto"/>
          <w:highlight w:val="none"/>
        </w:rPr>
        <w:br w:type="page" w:clear="all"/>
      </w:r>
      <w:r>
        <w:rPr>
          <w:rFonts w:hint="eastAsia"/>
          <w:color w:val="auto"/>
          <w:highlight w:val="none"/>
        </w:rPr>
        <w:t>4</w:t>
      </w:r>
      <w:r>
        <w:rPr>
          <w:color w:val="auto"/>
          <w:highlight w:val="none"/>
        </w:rPr>
        <w:t>.</w:t>
      </w:r>
      <w:r>
        <w:rPr>
          <w:rFonts w:hint="eastAsia"/>
          <w:color w:val="auto"/>
          <w:highlight w:val="none"/>
        </w:rPr>
        <w:t>投标人直接控股股东信息表格式</w:t>
      </w:r>
    </w:p>
    <w:p w14:paraId="5188E606">
      <w:pPr>
        <w:jc w:val="center"/>
        <w:rPr>
          <w:rFonts w:hAnsi="宋体"/>
          <w:b/>
          <w:color w:val="auto"/>
          <w:sz w:val="44"/>
          <w:szCs w:val="44"/>
          <w:highlight w:val="none"/>
        </w:rPr>
      </w:pPr>
      <w:r>
        <w:rPr>
          <w:rFonts w:hint="eastAsia" w:hAnsi="宋体"/>
          <w:b/>
          <w:color w:val="auto"/>
          <w:sz w:val="44"/>
          <w:szCs w:val="44"/>
          <w:highlight w:val="none"/>
        </w:rPr>
        <w:t>投标人直接控股股东信息表</w:t>
      </w:r>
    </w:p>
    <w:p w14:paraId="0BED48A1">
      <w:pPr>
        <w:rPr>
          <w:color w:val="auto"/>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778"/>
        <w:gridCol w:w="2177"/>
        <w:gridCol w:w="1276"/>
        <w:gridCol w:w="3969"/>
        <w:gridCol w:w="544"/>
      </w:tblGrid>
      <w:tr w14:paraId="3BD4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blHeader/>
          <w:jc w:val="center"/>
        </w:trPr>
        <w:tc>
          <w:tcPr>
            <w:tcW w:w="77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907F0CD">
            <w:pPr>
              <w:jc w:val="center"/>
              <w:rPr>
                <w:rFonts w:hAnsi="宋体" w:cs="宋体"/>
                <w:b/>
                <w:bCs/>
                <w:color w:val="auto"/>
                <w:sz w:val="24"/>
                <w:highlight w:val="none"/>
              </w:rPr>
            </w:pPr>
            <w:r>
              <w:rPr>
                <w:rFonts w:hint="eastAsia" w:hAnsi="宋体" w:cs="宋体"/>
                <w:b/>
                <w:bCs/>
                <w:color w:val="auto"/>
                <w:sz w:val="24"/>
                <w:highlight w:val="none"/>
              </w:rPr>
              <w:t>序号</w:t>
            </w:r>
          </w:p>
        </w:tc>
        <w:tc>
          <w:tcPr>
            <w:tcW w:w="217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ADB7AC">
            <w:pPr>
              <w:jc w:val="center"/>
              <w:rPr>
                <w:rFonts w:hAnsi="宋体" w:cs="宋体"/>
                <w:b/>
                <w:bCs/>
                <w:color w:val="auto"/>
                <w:sz w:val="24"/>
                <w:highlight w:val="none"/>
              </w:rPr>
            </w:pPr>
            <w:r>
              <w:rPr>
                <w:rFonts w:hint="eastAsia" w:hAnsi="宋体" w:cs="宋体"/>
                <w:b/>
                <w:bCs/>
                <w:color w:val="auto"/>
                <w:sz w:val="24"/>
                <w:highlight w:val="none"/>
              </w:rPr>
              <w:t>直接控股股东名称</w:t>
            </w:r>
          </w:p>
        </w:tc>
        <w:tc>
          <w:tcPr>
            <w:tcW w:w="127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6C1B1A">
            <w:pPr>
              <w:jc w:val="center"/>
              <w:rPr>
                <w:rFonts w:hAnsi="宋体" w:cs="宋体"/>
                <w:b/>
                <w:bCs/>
                <w:color w:val="auto"/>
                <w:sz w:val="24"/>
                <w:highlight w:val="none"/>
              </w:rPr>
            </w:pPr>
            <w:r>
              <w:rPr>
                <w:rFonts w:hint="eastAsia" w:hAnsi="宋体" w:cs="宋体"/>
                <w:b/>
                <w:bCs/>
                <w:color w:val="auto"/>
                <w:sz w:val="24"/>
                <w:highlight w:val="none"/>
              </w:rPr>
              <w:t>出资比例</w:t>
            </w:r>
          </w:p>
        </w:tc>
        <w:tc>
          <w:tcPr>
            <w:tcW w:w="39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5587137">
            <w:pPr>
              <w:jc w:val="center"/>
              <w:rPr>
                <w:rFonts w:hAnsi="宋体" w:cs="宋体"/>
                <w:b/>
                <w:bCs/>
                <w:color w:val="auto"/>
                <w:sz w:val="24"/>
                <w:highlight w:val="none"/>
              </w:rPr>
            </w:pPr>
            <w:r>
              <w:rPr>
                <w:rFonts w:hint="eastAsia" w:hAnsi="宋体" w:cs="宋体"/>
                <w:b/>
                <w:bCs/>
                <w:color w:val="auto"/>
                <w:sz w:val="24"/>
                <w:highlight w:val="none"/>
              </w:rPr>
              <w:t>身份证号码或者统一社会信用代码</w:t>
            </w:r>
          </w:p>
        </w:tc>
        <w:tc>
          <w:tcPr>
            <w:tcW w:w="54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FC0A5F">
            <w:pPr>
              <w:jc w:val="center"/>
              <w:rPr>
                <w:rFonts w:hAnsi="宋体" w:cs="宋体"/>
                <w:b/>
                <w:bCs/>
                <w:color w:val="auto"/>
                <w:sz w:val="24"/>
                <w:highlight w:val="none"/>
              </w:rPr>
            </w:pPr>
            <w:r>
              <w:rPr>
                <w:rFonts w:hint="eastAsia" w:hAnsi="宋体" w:cs="宋体"/>
                <w:b/>
                <w:bCs/>
                <w:color w:val="auto"/>
                <w:sz w:val="24"/>
                <w:highlight w:val="none"/>
              </w:rPr>
              <w:t>备注</w:t>
            </w:r>
          </w:p>
        </w:tc>
      </w:tr>
      <w:tr w14:paraId="63A4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7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2927C5A">
            <w:pPr>
              <w:jc w:val="center"/>
              <w:rPr>
                <w:rFonts w:hAnsi="宋体" w:cs="宋体"/>
                <w:color w:val="auto"/>
                <w:sz w:val="24"/>
                <w:highlight w:val="none"/>
              </w:rPr>
            </w:pPr>
            <w:r>
              <w:rPr>
                <w:rFonts w:hint="eastAsia" w:hAnsi="宋体" w:cs="宋体"/>
                <w:color w:val="auto"/>
                <w:sz w:val="24"/>
                <w:highlight w:val="none"/>
              </w:rPr>
              <w:t>1</w:t>
            </w:r>
          </w:p>
        </w:tc>
        <w:tc>
          <w:tcPr>
            <w:tcW w:w="217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8B96C21">
            <w:pPr>
              <w:jc w:val="center"/>
              <w:rPr>
                <w:rFonts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75E2E3">
            <w:pPr>
              <w:jc w:val="center"/>
              <w:rPr>
                <w:rFonts w:hAnsi="宋体" w:cs="宋体"/>
                <w:color w:val="auto"/>
                <w:sz w:val="24"/>
                <w:highlight w:val="none"/>
              </w:rPr>
            </w:pPr>
          </w:p>
        </w:tc>
        <w:tc>
          <w:tcPr>
            <w:tcW w:w="39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8E0172">
            <w:pPr>
              <w:jc w:val="center"/>
              <w:rPr>
                <w:rFonts w:hAnsi="宋体" w:cs="宋体"/>
                <w:color w:val="auto"/>
                <w:sz w:val="24"/>
                <w:highlight w:val="none"/>
              </w:rPr>
            </w:pPr>
          </w:p>
        </w:tc>
        <w:tc>
          <w:tcPr>
            <w:tcW w:w="54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DA4A3B">
            <w:pPr>
              <w:jc w:val="center"/>
              <w:rPr>
                <w:rFonts w:hAnsi="宋体" w:cs="宋体"/>
                <w:color w:val="auto"/>
                <w:sz w:val="24"/>
                <w:highlight w:val="none"/>
              </w:rPr>
            </w:pPr>
          </w:p>
        </w:tc>
      </w:tr>
      <w:tr w14:paraId="2AE6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7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A983DDD">
            <w:pPr>
              <w:jc w:val="center"/>
              <w:rPr>
                <w:rFonts w:hAnsi="宋体" w:cs="宋体"/>
                <w:color w:val="auto"/>
                <w:sz w:val="24"/>
                <w:highlight w:val="none"/>
              </w:rPr>
            </w:pPr>
            <w:r>
              <w:rPr>
                <w:rFonts w:hint="eastAsia" w:hAnsi="宋体" w:cs="宋体"/>
                <w:color w:val="auto"/>
                <w:sz w:val="24"/>
                <w:highlight w:val="none"/>
              </w:rPr>
              <w:t>2</w:t>
            </w:r>
          </w:p>
        </w:tc>
        <w:tc>
          <w:tcPr>
            <w:tcW w:w="217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D8A0B66">
            <w:pPr>
              <w:jc w:val="center"/>
              <w:rPr>
                <w:rFonts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E3FFCE">
            <w:pPr>
              <w:jc w:val="center"/>
              <w:rPr>
                <w:rFonts w:hAnsi="宋体" w:cs="宋体"/>
                <w:color w:val="auto"/>
                <w:sz w:val="24"/>
                <w:highlight w:val="none"/>
              </w:rPr>
            </w:pPr>
          </w:p>
        </w:tc>
        <w:tc>
          <w:tcPr>
            <w:tcW w:w="39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CD93AB5">
            <w:pPr>
              <w:jc w:val="center"/>
              <w:rPr>
                <w:rFonts w:hAnsi="宋体" w:cs="宋体"/>
                <w:color w:val="auto"/>
                <w:sz w:val="24"/>
                <w:highlight w:val="none"/>
              </w:rPr>
            </w:pPr>
          </w:p>
        </w:tc>
        <w:tc>
          <w:tcPr>
            <w:tcW w:w="54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4AE066D">
            <w:pPr>
              <w:jc w:val="center"/>
              <w:rPr>
                <w:rFonts w:hAnsi="宋体" w:cs="宋体"/>
                <w:color w:val="auto"/>
                <w:sz w:val="24"/>
                <w:highlight w:val="none"/>
              </w:rPr>
            </w:pPr>
          </w:p>
        </w:tc>
      </w:tr>
      <w:tr w14:paraId="7869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7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7854C2">
            <w:pPr>
              <w:jc w:val="center"/>
              <w:rPr>
                <w:rFonts w:hAnsi="宋体" w:cs="宋体"/>
                <w:color w:val="auto"/>
                <w:sz w:val="24"/>
                <w:highlight w:val="none"/>
              </w:rPr>
            </w:pPr>
            <w:r>
              <w:rPr>
                <w:rFonts w:hint="eastAsia" w:hAnsi="宋体" w:cs="宋体"/>
                <w:color w:val="auto"/>
                <w:sz w:val="24"/>
                <w:highlight w:val="none"/>
              </w:rPr>
              <w:t>3</w:t>
            </w:r>
          </w:p>
        </w:tc>
        <w:tc>
          <w:tcPr>
            <w:tcW w:w="217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589795">
            <w:pPr>
              <w:jc w:val="center"/>
              <w:rPr>
                <w:rFonts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EBBE168">
            <w:pPr>
              <w:jc w:val="center"/>
              <w:rPr>
                <w:rFonts w:hAnsi="宋体" w:cs="宋体"/>
                <w:color w:val="auto"/>
                <w:sz w:val="24"/>
                <w:highlight w:val="none"/>
              </w:rPr>
            </w:pPr>
          </w:p>
        </w:tc>
        <w:tc>
          <w:tcPr>
            <w:tcW w:w="39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C3280D">
            <w:pPr>
              <w:jc w:val="center"/>
              <w:rPr>
                <w:rFonts w:hAnsi="宋体" w:cs="宋体"/>
                <w:color w:val="auto"/>
                <w:sz w:val="24"/>
                <w:highlight w:val="none"/>
              </w:rPr>
            </w:pPr>
          </w:p>
        </w:tc>
        <w:tc>
          <w:tcPr>
            <w:tcW w:w="54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E454CA">
            <w:pPr>
              <w:jc w:val="center"/>
              <w:rPr>
                <w:rFonts w:hAnsi="宋体" w:cs="宋体"/>
                <w:color w:val="auto"/>
                <w:sz w:val="24"/>
                <w:highlight w:val="none"/>
              </w:rPr>
            </w:pPr>
          </w:p>
        </w:tc>
      </w:tr>
      <w:tr w14:paraId="7459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77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6CC7F9D">
            <w:pPr>
              <w:jc w:val="center"/>
              <w:rPr>
                <w:rFonts w:hAnsi="宋体" w:cs="宋体"/>
                <w:color w:val="auto"/>
                <w:sz w:val="24"/>
                <w:highlight w:val="none"/>
              </w:rPr>
            </w:pPr>
            <w:r>
              <w:rPr>
                <w:rFonts w:hint="eastAsia" w:hAnsi="宋体" w:cs="宋体"/>
                <w:color w:val="auto"/>
                <w:sz w:val="24"/>
                <w:highlight w:val="none"/>
              </w:rPr>
              <w:t>……</w:t>
            </w:r>
          </w:p>
        </w:tc>
        <w:tc>
          <w:tcPr>
            <w:tcW w:w="2177"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E486A06">
            <w:pPr>
              <w:jc w:val="center"/>
              <w:rPr>
                <w:rFonts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B1846A9">
            <w:pPr>
              <w:jc w:val="center"/>
              <w:rPr>
                <w:rFonts w:hAnsi="宋体" w:cs="宋体"/>
                <w:color w:val="auto"/>
                <w:sz w:val="24"/>
                <w:highlight w:val="none"/>
              </w:rPr>
            </w:pPr>
          </w:p>
        </w:tc>
        <w:tc>
          <w:tcPr>
            <w:tcW w:w="39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D5BC378">
            <w:pPr>
              <w:jc w:val="center"/>
              <w:rPr>
                <w:rFonts w:hAnsi="宋体" w:cs="宋体"/>
                <w:color w:val="auto"/>
                <w:sz w:val="24"/>
                <w:highlight w:val="none"/>
              </w:rPr>
            </w:pPr>
          </w:p>
        </w:tc>
        <w:tc>
          <w:tcPr>
            <w:tcW w:w="54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66B905">
            <w:pPr>
              <w:jc w:val="center"/>
              <w:rPr>
                <w:rFonts w:hAnsi="宋体" w:cs="宋体"/>
                <w:color w:val="auto"/>
                <w:sz w:val="24"/>
                <w:highlight w:val="none"/>
              </w:rPr>
            </w:pPr>
          </w:p>
        </w:tc>
      </w:tr>
    </w:tbl>
    <w:p w14:paraId="37C9409B">
      <w:pPr>
        <w:rPr>
          <w:rFonts w:hAnsi="宋体"/>
          <w:color w:val="auto"/>
          <w:sz w:val="24"/>
          <w:highlight w:val="none"/>
        </w:rPr>
      </w:pPr>
      <w:r>
        <w:rPr>
          <w:rFonts w:hint="eastAsia" w:hAnsi="宋体"/>
          <w:color w:val="auto"/>
          <w:sz w:val="24"/>
          <w:highlight w:val="none"/>
        </w:rPr>
        <w:t>注：</w:t>
      </w:r>
    </w:p>
    <w:p w14:paraId="3EC03D98">
      <w:pPr>
        <w:ind w:firstLine="480"/>
        <w:rPr>
          <w:rFonts w:hAnsi="宋体"/>
          <w:color w:val="auto"/>
          <w:sz w:val="24"/>
          <w:highlight w:val="none"/>
        </w:rPr>
      </w:pPr>
      <w:r>
        <w:rPr>
          <w:rFonts w:hint="eastAsia"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eastAsia" w:hAnsi="宋体"/>
          <w:color w:val="auto"/>
          <w:sz w:val="24"/>
          <w:highlight w:val="none"/>
          <w:lang w:eastAsia="zh-CN"/>
        </w:rPr>
        <w:t>股东会</w:t>
      </w:r>
      <w:r>
        <w:rPr>
          <w:rFonts w:hint="eastAsia" w:hAnsi="宋体"/>
          <w:color w:val="auto"/>
          <w:sz w:val="24"/>
          <w:highlight w:val="none"/>
        </w:rPr>
        <w:t>的决议产生重大影响的股东。</w:t>
      </w:r>
    </w:p>
    <w:p w14:paraId="7007CE67">
      <w:pPr>
        <w:ind w:firstLine="480"/>
        <w:rPr>
          <w:rFonts w:hAnsi="宋体"/>
          <w:color w:val="auto"/>
          <w:sz w:val="24"/>
          <w:highlight w:val="none"/>
        </w:rPr>
      </w:pPr>
      <w:r>
        <w:rPr>
          <w:rFonts w:hint="eastAsia" w:hAnsi="宋体"/>
          <w:color w:val="auto"/>
          <w:sz w:val="24"/>
          <w:highlight w:val="none"/>
        </w:rPr>
        <w:t>2.本表所指的控股关系仅限于直接控股关系，不包括间接的控股关系。公司实际控制人与公司之间的关系不属于本表所指的直接控股关系。</w:t>
      </w:r>
    </w:p>
    <w:p w14:paraId="76862B9E">
      <w:pPr>
        <w:ind w:firstLine="482"/>
        <w:rPr>
          <w:rFonts w:hAnsi="宋体"/>
          <w:b/>
          <w:bCs/>
          <w:color w:val="auto"/>
          <w:sz w:val="24"/>
          <w:highlight w:val="none"/>
        </w:rPr>
      </w:pPr>
      <w:r>
        <w:rPr>
          <w:rFonts w:hint="eastAsia" w:hAnsi="宋体"/>
          <w:b/>
          <w:bCs/>
          <w:color w:val="auto"/>
          <w:sz w:val="24"/>
          <w:highlight w:val="none"/>
        </w:rPr>
        <w:t>3.供应商不存在直接控股股东的，则在“</w:t>
      </w:r>
      <w:r>
        <w:rPr>
          <w:rFonts w:hint="eastAsia" w:hAnsi="宋体" w:cs="宋体"/>
          <w:b/>
          <w:bCs/>
          <w:color w:val="auto"/>
          <w:sz w:val="24"/>
          <w:highlight w:val="none"/>
        </w:rPr>
        <w:t>直接控股股东名称</w:t>
      </w:r>
      <w:r>
        <w:rPr>
          <w:rFonts w:hint="eastAsia" w:hAnsi="宋体"/>
          <w:b/>
          <w:bCs/>
          <w:color w:val="auto"/>
          <w:sz w:val="24"/>
          <w:highlight w:val="none"/>
        </w:rPr>
        <w:t>”中填“无”。</w:t>
      </w:r>
    </w:p>
    <w:p w14:paraId="14444350">
      <w:pPr>
        <w:spacing w:line="600" w:lineRule="auto"/>
        <w:jc w:val="right"/>
        <w:rPr>
          <w:rFonts w:hAnsi="宋体"/>
          <w:color w:val="auto"/>
          <w:sz w:val="24"/>
          <w:highlight w:val="none"/>
        </w:rPr>
      </w:pPr>
    </w:p>
    <w:p w14:paraId="19D711BB">
      <w:pPr>
        <w:spacing w:line="600" w:lineRule="auto"/>
        <w:jc w:val="center"/>
        <w:rPr>
          <w:rFonts w:hAnsi="宋体"/>
          <w:color w:val="auto"/>
          <w:sz w:val="24"/>
          <w:highlight w:val="none"/>
        </w:rPr>
      </w:pPr>
      <w:r>
        <w:rPr>
          <w:rFonts w:hint="eastAsia" w:hAnsi="宋体"/>
          <w:color w:val="auto"/>
          <w:sz w:val="24"/>
          <w:highlight w:val="none"/>
        </w:rPr>
        <w:t>法定代表人或者委托代理人（</w:t>
      </w:r>
      <w:r>
        <w:rPr>
          <w:rFonts w:hint="eastAsia" w:hAnsi="宋体"/>
          <w:b/>
          <w:bCs/>
          <w:color w:val="auto"/>
          <w:sz w:val="24"/>
          <w:highlight w:val="none"/>
        </w:rPr>
        <w:t>签字或者电子签名</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6ACFF937">
      <w:pPr>
        <w:pStyle w:val="23"/>
        <w:spacing w:line="600" w:lineRule="auto"/>
        <w:jc w:val="right"/>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47989B5B">
      <w:pPr>
        <w:pStyle w:val="23"/>
        <w:spacing w:line="600" w:lineRule="auto"/>
        <w:jc w:val="right"/>
        <w:rPr>
          <w:rFonts w:hAnsi="宋体"/>
          <w:b/>
          <w:color w:val="auto"/>
          <w:sz w:val="28"/>
          <w:szCs w:val="28"/>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448CCCF2">
      <w:pPr>
        <w:pStyle w:val="4"/>
        <w:rPr>
          <w:color w:val="auto"/>
          <w:highlight w:val="none"/>
        </w:rPr>
      </w:pPr>
      <w:r>
        <w:rPr>
          <w:rFonts w:hint="eastAsia"/>
          <w:color w:val="auto"/>
          <w:highlight w:val="none"/>
        </w:rPr>
        <w:t>5.投标</w:t>
      </w:r>
      <w:r>
        <w:rPr>
          <w:color w:val="auto"/>
          <w:highlight w:val="none"/>
        </w:rPr>
        <w:t>人直接</w:t>
      </w:r>
      <w:r>
        <w:rPr>
          <w:rFonts w:hint="eastAsia"/>
          <w:color w:val="auto"/>
          <w:highlight w:val="none"/>
        </w:rPr>
        <w:t>管理关系信息表格式</w:t>
      </w:r>
    </w:p>
    <w:p w14:paraId="689F466A">
      <w:pPr>
        <w:jc w:val="center"/>
        <w:rPr>
          <w:rFonts w:hAnsi="宋体"/>
          <w:b/>
          <w:color w:val="auto"/>
          <w:sz w:val="44"/>
          <w:szCs w:val="44"/>
          <w:highlight w:val="none"/>
        </w:rPr>
      </w:pPr>
      <w:r>
        <w:rPr>
          <w:rFonts w:hint="eastAsia" w:hAnsi="宋体"/>
          <w:b/>
          <w:color w:val="auto"/>
          <w:sz w:val="44"/>
          <w:szCs w:val="44"/>
          <w:highlight w:val="none"/>
        </w:rPr>
        <w:t>投标人直接管理关系信息表</w:t>
      </w:r>
    </w:p>
    <w:p w14:paraId="415D3CEE">
      <w:pPr>
        <w:rPr>
          <w:color w:val="auto"/>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926"/>
        <w:gridCol w:w="2738"/>
        <w:gridCol w:w="3206"/>
        <w:gridCol w:w="1874"/>
      </w:tblGrid>
      <w:tr w14:paraId="16A6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blHeader/>
          <w:jc w:val="center"/>
        </w:trPr>
        <w:tc>
          <w:tcPr>
            <w:tcW w:w="92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F749EF">
            <w:pPr>
              <w:jc w:val="center"/>
              <w:rPr>
                <w:rFonts w:hAnsi="宋体" w:cs="宋体"/>
                <w:b/>
                <w:bCs/>
                <w:color w:val="auto"/>
                <w:sz w:val="24"/>
                <w:highlight w:val="none"/>
              </w:rPr>
            </w:pPr>
            <w:r>
              <w:rPr>
                <w:rFonts w:hint="eastAsia" w:hAnsi="宋体" w:cs="宋体"/>
                <w:b/>
                <w:bCs/>
                <w:color w:val="auto"/>
                <w:sz w:val="24"/>
                <w:highlight w:val="none"/>
              </w:rPr>
              <w:t>序号</w:t>
            </w:r>
          </w:p>
        </w:tc>
        <w:tc>
          <w:tcPr>
            <w:tcW w:w="273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9DC16A4">
            <w:pPr>
              <w:jc w:val="center"/>
              <w:rPr>
                <w:rFonts w:hAnsi="宋体" w:cs="宋体"/>
                <w:b/>
                <w:bCs/>
                <w:color w:val="auto"/>
                <w:sz w:val="24"/>
                <w:highlight w:val="none"/>
              </w:rPr>
            </w:pPr>
            <w:r>
              <w:rPr>
                <w:rFonts w:hint="eastAsia" w:hAnsi="宋体" w:cs="宋体"/>
                <w:b/>
                <w:bCs/>
                <w:color w:val="auto"/>
                <w:sz w:val="24"/>
                <w:highlight w:val="none"/>
              </w:rPr>
              <w:t>直接管理关系单位名称</w:t>
            </w:r>
          </w:p>
        </w:tc>
        <w:tc>
          <w:tcPr>
            <w:tcW w:w="32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5D49A0">
            <w:pPr>
              <w:jc w:val="center"/>
              <w:rPr>
                <w:rFonts w:hAnsi="宋体" w:cs="宋体"/>
                <w:b/>
                <w:bCs/>
                <w:color w:val="auto"/>
                <w:sz w:val="24"/>
                <w:highlight w:val="none"/>
              </w:rPr>
            </w:pPr>
            <w:r>
              <w:rPr>
                <w:rFonts w:hint="eastAsia" w:hAnsi="宋体" w:cs="宋体"/>
                <w:b/>
                <w:bCs/>
                <w:color w:val="auto"/>
                <w:sz w:val="24"/>
                <w:highlight w:val="none"/>
              </w:rPr>
              <w:t>统一社会信用代码</w:t>
            </w:r>
          </w:p>
        </w:tc>
        <w:tc>
          <w:tcPr>
            <w:tcW w:w="187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DE53DF">
            <w:pPr>
              <w:jc w:val="center"/>
              <w:rPr>
                <w:rFonts w:hAnsi="宋体" w:cs="宋体"/>
                <w:b/>
                <w:bCs/>
                <w:color w:val="auto"/>
                <w:sz w:val="24"/>
                <w:highlight w:val="none"/>
              </w:rPr>
            </w:pPr>
            <w:r>
              <w:rPr>
                <w:rFonts w:hint="eastAsia" w:hAnsi="宋体" w:cs="宋体"/>
                <w:b/>
                <w:bCs/>
                <w:color w:val="auto"/>
                <w:sz w:val="24"/>
                <w:highlight w:val="none"/>
              </w:rPr>
              <w:t>备注</w:t>
            </w:r>
          </w:p>
        </w:tc>
      </w:tr>
      <w:tr w14:paraId="01BB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92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ABA13D">
            <w:pPr>
              <w:jc w:val="center"/>
              <w:rPr>
                <w:rFonts w:hAnsi="宋体" w:cs="宋体"/>
                <w:color w:val="auto"/>
                <w:sz w:val="24"/>
                <w:highlight w:val="none"/>
              </w:rPr>
            </w:pPr>
            <w:r>
              <w:rPr>
                <w:rFonts w:hint="eastAsia" w:hAnsi="宋体" w:cs="宋体"/>
                <w:color w:val="auto"/>
                <w:sz w:val="24"/>
                <w:highlight w:val="none"/>
              </w:rPr>
              <w:t>1</w:t>
            </w:r>
          </w:p>
        </w:tc>
        <w:tc>
          <w:tcPr>
            <w:tcW w:w="273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55A2A4">
            <w:pPr>
              <w:jc w:val="center"/>
              <w:rPr>
                <w:rFonts w:hAnsi="宋体" w:cs="宋体"/>
                <w:color w:val="auto"/>
                <w:sz w:val="24"/>
                <w:highlight w:val="none"/>
              </w:rPr>
            </w:pPr>
          </w:p>
        </w:tc>
        <w:tc>
          <w:tcPr>
            <w:tcW w:w="32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F4D1C42">
            <w:pPr>
              <w:jc w:val="center"/>
              <w:rPr>
                <w:rFonts w:hAnsi="宋体" w:cs="宋体"/>
                <w:color w:val="auto"/>
                <w:sz w:val="24"/>
                <w:highlight w:val="none"/>
              </w:rPr>
            </w:pPr>
          </w:p>
        </w:tc>
        <w:tc>
          <w:tcPr>
            <w:tcW w:w="187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C41F00A">
            <w:pPr>
              <w:jc w:val="center"/>
              <w:rPr>
                <w:rFonts w:hAnsi="宋体" w:cs="宋体"/>
                <w:color w:val="auto"/>
                <w:sz w:val="24"/>
                <w:highlight w:val="none"/>
              </w:rPr>
            </w:pPr>
          </w:p>
        </w:tc>
      </w:tr>
      <w:tr w14:paraId="1B49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92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F7C3E5">
            <w:pPr>
              <w:jc w:val="center"/>
              <w:rPr>
                <w:rFonts w:hAnsi="宋体" w:cs="宋体"/>
                <w:color w:val="auto"/>
                <w:sz w:val="24"/>
                <w:highlight w:val="none"/>
              </w:rPr>
            </w:pPr>
            <w:r>
              <w:rPr>
                <w:rFonts w:hint="eastAsia" w:hAnsi="宋体" w:cs="宋体"/>
                <w:color w:val="auto"/>
                <w:sz w:val="24"/>
                <w:highlight w:val="none"/>
              </w:rPr>
              <w:t>2</w:t>
            </w:r>
          </w:p>
        </w:tc>
        <w:tc>
          <w:tcPr>
            <w:tcW w:w="273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231583">
            <w:pPr>
              <w:jc w:val="center"/>
              <w:rPr>
                <w:rFonts w:hAnsi="宋体" w:cs="宋体"/>
                <w:color w:val="auto"/>
                <w:sz w:val="24"/>
                <w:highlight w:val="none"/>
              </w:rPr>
            </w:pPr>
          </w:p>
        </w:tc>
        <w:tc>
          <w:tcPr>
            <w:tcW w:w="32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7FD1CF5">
            <w:pPr>
              <w:jc w:val="center"/>
              <w:rPr>
                <w:rFonts w:hAnsi="宋体" w:cs="宋体"/>
                <w:color w:val="auto"/>
                <w:sz w:val="24"/>
                <w:highlight w:val="none"/>
              </w:rPr>
            </w:pPr>
          </w:p>
        </w:tc>
        <w:tc>
          <w:tcPr>
            <w:tcW w:w="187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44C98BB">
            <w:pPr>
              <w:jc w:val="center"/>
              <w:rPr>
                <w:rFonts w:hAnsi="宋体" w:cs="宋体"/>
                <w:color w:val="auto"/>
                <w:sz w:val="24"/>
                <w:highlight w:val="none"/>
              </w:rPr>
            </w:pPr>
          </w:p>
        </w:tc>
      </w:tr>
      <w:tr w14:paraId="5AFA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92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14EB2A">
            <w:pPr>
              <w:jc w:val="center"/>
              <w:rPr>
                <w:rFonts w:hAnsi="宋体" w:cs="宋体"/>
                <w:color w:val="auto"/>
                <w:sz w:val="24"/>
                <w:highlight w:val="none"/>
              </w:rPr>
            </w:pPr>
            <w:r>
              <w:rPr>
                <w:rFonts w:hint="eastAsia" w:hAnsi="宋体" w:cs="宋体"/>
                <w:color w:val="auto"/>
                <w:sz w:val="24"/>
                <w:highlight w:val="none"/>
              </w:rPr>
              <w:t>3</w:t>
            </w:r>
          </w:p>
        </w:tc>
        <w:tc>
          <w:tcPr>
            <w:tcW w:w="273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F8EAA16">
            <w:pPr>
              <w:jc w:val="center"/>
              <w:rPr>
                <w:rFonts w:hAnsi="宋体" w:cs="宋体"/>
                <w:color w:val="auto"/>
                <w:sz w:val="24"/>
                <w:highlight w:val="none"/>
              </w:rPr>
            </w:pPr>
          </w:p>
        </w:tc>
        <w:tc>
          <w:tcPr>
            <w:tcW w:w="32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1FE32F">
            <w:pPr>
              <w:jc w:val="center"/>
              <w:rPr>
                <w:rFonts w:hAnsi="宋体" w:cs="宋体"/>
                <w:color w:val="auto"/>
                <w:sz w:val="24"/>
                <w:highlight w:val="none"/>
              </w:rPr>
            </w:pPr>
          </w:p>
        </w:tc>
        <w:tc>
          <w:tcPr>
            <w:tcW w:w="187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55B7011">
            <w:pPr>
              <w:jc w:val="center"/>
              <w:rPr>
                <w:rFonts w:hAnsi="宋体" w:cs="宋体"/>
                <w:color w:val="auto"/>
                <w:sz w:val="24"/>
                <w:highlight w:val="none"/>
              </w:rPr>
            </w:pPr>
          </w:p>
        </w:tc>
      </w:tr>
      <w:tr w14:paraId="61BD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92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FEBE30">
            <w:pPr>
              <w:jc w:val="center"/>
              <w:rPr>
                <w:rFonts w:hAnsi="宋体" w:cs="宋体"/>
                <w:color w:val="auto"/>
                <w:sz w:val="24"/>
                <w:highlight w:val="none"/>
              </w:rPr>
            </w:pPr>
            <w:r>
              <w:rPr>
                <w:rFonts w:hint="eastAsia" w:hAnsi="宋体" w:cs="宋体"/>
                <w:color w:val="auto"/>
                <w:sz w:val="24"/>
                <w:highlight w:val="none"/>
              </w:rPr>
              <w:t>……</w:t>
            </w:r>
          </w:p>
        </w:tc>
        <w:tc>
          <w:tcPr>
            <w:tcW w:w="273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D31DDD">
            <w:pPr>
              <w:jc w:val="center"/>
              <w:rPr>
                <w:rFonts w:hAnsi="宋体" w:cs="宋体"/>
                <w:color w:val="auto"/>
                <w:sz w:val="24"/>
                <w:highlight w:val="none"/>
              </w:rPr>
            </w:pPr>
          </w:p>
        </w:tc>
        <w:tc>
          <w:tcPr>
            <w:tcW w:w="3206"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B2D8CBC">
            <w:pPr>
              <w:jc w:val="center"/>
              <w:rPr>
                <w:rFonts w:hAnsi="宋体" w:cs="宋体"/>
                <w:color w:val="auto"/>
                <w:sz w:val="24"/>
                <w:highlight w:val="none"/>
              </w:rPr>
            </w:pPr>
          </w:p>
        </w:tc>
        <w:tc>
          <w:tcPr>
            <w:tcW w:w="187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7D0641">
            <w:pPr>
              <w:jc w:val="center"/>
              <w:rPr>
                <w:rFonts w:hAnsi="宋体" w:cs="宋体"/>
                <w:color w:val="auto"/>
                <w:sz w:val="24"/>
                <w:highlight w:val="none"/>
              </w:rPr>
            </w:pPr>
          </w:p>
        </w:tc>
      </w:tr>
    </w:tbl>
    <w:p w14:paraId="37893087">
      <w:pPr>
        <w:rPr>
          <w:rFonts w:hAnsi="宋体"/>
          <w:color w:val="auto"/>
          <w:sz w:val="24"/>
          <w:highlight w:val="none"/>
        </w:rPr>
      </w:pPr>
      <w:r>
        <w:rPr>
          <w:rFonts w:hint="eastAsia" w:hAnsi="宋体"/>
          <w:color w:val="auto"/>
          <w:sz w:val="24"/>
          <w:highlight w:val="none"/>
        </w:rPr>
        <w:t>注：</w:t>
      </w:r>
    </w:p>
    <w:p w14:paraId="251769E9">
      <w:pPr>
        <w:ind w:firstLine="480"/>
        <w:rPr>
          <w:rFonts w:hAnsi="宋体"/>
          <w:color w:val="auto"/>
          <w:sz w:val="24"/>
          <w:highlight w:val="none"/>
        </w:rPr>
      </w:pPr>
      <w:r>
        <w:rPr>
          <w:rFonts w:hint="eastAsia" w:hAnsi="宋体"/>
          <w:color w:val="auto"/>
          <w:sz w:val="24"/>
          <w:highlight w:val="none"/>
        </w:rPr>
        <w:t>1.管理关系：是指不具有出资持股关系的其他单位之间存在的管理与被管理关系，如一些上下级关系的事业单位和团体组织。</w:t>
      </w:r>
    </w:p>
    <w:p w14:paraId="0E46D256">
      <w:pPr>
        <w:ind w:firstLine="480"/>
        <w:rPr>
          <w:rFonts w:hAnsi="宋体"/>
          <w:color w:val="auto"/>
          <w:sz w:val="24"/>
          <w:highlight w:val="none"/>
        </w:rPr>
      </w:pPr>
      <w:r>
        <w:rPr>
          <w:rFonts w:hint="eastAsia" w:hAnsi="宋体"/>
          <w:color w:val="auto"/>
          <w:sz w:val="24"/>
          <w:highlight w:val="none"/>
        </w:rPr>
        <w:t>2.</w:t>
      </w:r>
      <w:r>
        <w:rPr>
          <w:rFonts w:hint="eastAsia" w:hAnsi="宋体"/>
          <w:color w:val="auto"/>
          <w:spacing w:val="-6"/>
          <w:sz w:val="24"/>
          <w:highlight w:val="none"/>
        </w:rPr>
        <w:t>本表所指的管理关系仅限于直接管理关系，不包括间接的管理关系。</w:t>
      </w:r>
    </w:p>
    <w:p w14:paraId="4DFFD3AE">
      <w:pPr>
        <w:ind w:firstLine="482"/>
        <w:rPr>
          <w:rFonts w:hAnsi="宋体"/>
          <w:b/>
          <w:bCs/>
          <w:color w:val="auto"/>
          <w:sz w:val="24"/>
          <w:highlight w:val="none"/>
        </w:rPr>
      </w:pPr>
      <w:r>
        <w:rPr>
          <w:rFonts w:hint="eastAsia" w:hAnsi="宋体"/>
          <w:b/>
          <w:bCs/>
          <w:color w:val="auto"/>
          <w:sz w:val="24"/>
          <w:highlight w:val="none"/>
        </w:rPr>
        <w:t>3.供应商不存在直接管理关系的，则在“</w:t>
      </w:r>
      <w:r>
        <w:rPr>
          <w:rFonts w:hint="eastAsia" w:hAnsi="宋体" w:cs="宋体"/>
          <w:b/>
          <w:bCs/>
          <w:color w:val="auto"/>
          <w:sz w:val="24"/>
          <w:highlight w:val="none"/>
        </w:rPr>
        <w:t>直接管理关系单位名称</w:t>
      </w:r>
      <w:r>
        <w:rPr>
          <w:rFonts w:hint="eastAsia" w:hAnsi="宋体"/>
          <w:b/>
          <w:bCs/>
          <w:color w:val="auto"/>
          <w:sz w:val="24"/>
          <w:highlight w:val="none"/>
        </w:rPr>
        <w:t>”中填“无”。</w:t>
      </w:r>
    </w:p>
    <w:p w14:paraId="6A689B04">
      <w:pPr>
        <w:ind w:firstLine="480"/>
        <w:rPr>
          <w:rFonts w:hAnsi="宋体"/>
          <w:color w:val="auto"/>
          <w:sz w:val="24"/>
          <w:highlight w:val="none"/>
        </w:rPr>
      </w:pPr>
    </w:p>
    <w:p w14:paraId="4A0FDC5E">
      <w:pPr>
        <w:rPr>
          <w:rFonts w:hAnsi="宋体"/>
          <w:color w:val="auto"/>
          <w:sz w:val="24"/>
          <w:highlight w:val="none"/>
        </w:rPr>
      </w:pPr>
    </w:p>
    <w:p w14:paraId="5D85DBE9">
      <w:pPr>
        <w:spacing w:line="600" w:lineRule="auto"/>
        <w:jc w:val="right"/>
        <w:rPr>
          <w:rFonts w:hAnsi="宋体"/>
          <w:color w:val="auto"/>
          <w:sz w:val="24"/>
          <w:highlight w:val="none"/>
        </w:rPr>
      </w:pPr>
    </w:p>
    <w:p w14:paraId="73526AB5">
      <w:pPr>
        <w:spacing w:line="600" w:lineRule="auto"/>
        <w:jc w:val="center"/>
        <w:rPr>
          <w:rFonts w:hAnsi="宋体"/>
          <w:color w:val="auto"/>
          <w:sz w:val="24"/>
          <w:highlight w:val="none"/>
        </w:rPr>
      </w:pPr>
      <w:r>
        <w:rPr>
          <w:rFonts w:hint="eastAsia" w:hAnsi="宋体"/>
          <w:color w:val="auto"/>
          <w:sz w:val="24"/>
          <w:highlight w:val="none"/>
        </w:rPr>
        <w:t>法定代表人或者委托代理人（</w:t>
      </w:r>
      <w:r>
        <w:rPr>
          <w:rFonts w:hint="eastAsia" w:hAnsi="宋体"/>
          <w:b/>
          <w:bCs/>
          <w:color w:val="auto"/>
          <w:sz w:val="24"/>
          <w:highlight w:val="none"/>
        </w:rPr>
        <w:t>签字或者电子签名</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3BD4A5A1">
      <w:pPr>
        <w:pStyle w:val="23"/>
        <w:spacing w:line="600" w:lineRule="auto"/>
        <w:jc w:val="right"/>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67E2DF56">
      <w:pPr>
        <w:pStyle w:val="23"/>
        <w:spacing w:line="600" w:lineRule="auto"/>
        <w:jc w:val="right"/>
        <w:rPr>
          <w:rFonts w:hAnsi="宋体"/>
          <w:color w:val="auto"/>
          <w:sz w:val="24"/>
          <w:szCs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59EDBE2">
      <w:pPr>
        <w:rPr>
          <w:color w:val="auto"/>
          <w:highlight w:val="none"/>
        </w:rPr>
      </w:pPr>
    </w:p>
    <w:p w14:paraId="3A662752">
      <w:pPr>
        <w:pStyle w:val="279"/>
        <w:rPr>
          <w:color w:val="auto"/>
          <w:highlight w:val="none"/>
        </w:rPr>
      </w:pPr>
      <w:r>
        <w:rPr>
          <w:color w:val="auto"/>
          <w:highlight w:val="none"/>
        </w:rPr>
        <w:br w:type="page" w:clear="all"/>
      </w:r>
      <w:r>
        <w:rPr>
          <w:rFonts w:hint="eastAsia"/>
          <w:color w:val="auto"/>
          <w:highlight w:val="none"/>
        </w:rPr>
        <w:t>三、商务及</w:t>
      </w:r>
      <w:r>
        <w:rPr>
          <w:color w:val="auto"/>
          <w:highlight w:val="none"/>
        </w:rPr>
        <w:t>技术</w:t>
      </w:r>
      <w:r>
        <w:rPr>
          <w:rFonts w:hint="eastAsia"/>
          <w:color w:val="auto"/>
          <w:highlight w:val="none"/>
        </w:rPr>
        <w:t>文件格式</w:t>
      </w:r>
    </w:p>
    <w:p w14:paraId="7BFF53CB">
      <w:pPr>
        <w:pStyle w:val="4"/>
        <w:rPr>
          <w:color w:val="auto"/>
          <w:highlight w:val="none"/>
        </w:rPr>
      </w:pPr>
      <w:r>
        <w:rPr>
          <w:rFonts w:hint="eastAsia"/>
          <w:color w:val="auto"/>
          <w:highlight w:val="none"/>
        </w:rPr>
        <w:t>1.商务及</w:t>
      </w:r>
      <w:r>
        <w:rPr>
          <w:color w:val="auto"/>
          <w:highlight w:val="none"/>
        </w:rPr>
        <w:t>技术</w:t>
      </w:r>
      <w:r>
        <w:rPr>
          <w:rFonts w:hint="eastAsia"/>
          <w:color w:val="auto"/>
          <w:highlight w:val="none"/>
        </w:rPr>
        <w:t>文件封面格式</w:t>
      </w:r>
    </w:p>
    <w:p w14:paraId="0D3E9F3D">
      <w:pPr>
        <w:spacing w:before="120" w:after="50"/>
        <w:jc w:val="center"/>
        <w:rPr>
          <w:rFonts w:hAnsi="宋体" w:eastAsia="方正小标宋简体"/>
          <w:bCs/>
          <w:color w:val="auto"/>
          <w:sz w:val="48"/>
          <w:szCs w:val="48"/>
          <w:highlight w:val="none"/>
        </w:rPr>
      </w:pPr>
      <w:r>
        <w:rPr>
          <w:rFonts w:hint="eastAsia" w:hAnsi="宋体" w:cs="宋体"/>
          <w:bCs/>
          <w:color w:val="auto"/>
          <w:sz w:val="48"/>
          <w:szCs w:val="48"/>
          <w:highlight w:val="none"/>
        </w:rPr>
        <w:t>电子投标文件</w:t>
      </w:r>
    </w:p>
    <w:p w14:paraId="366FB0D1">
      <w:pPr>
        <w:rPr>
          <w:color w:val="auto"/>
          <w:highlight w:val="none"/>
        </w:rPr>
      </w:pPr>
    </w:p>
    <w:p w14:paraId="75DF0A9A">
      <w:pPr>
        <w:rPr>
          <w:color w:val="auto"/>
          <w:highlight w:val="none"/>
        </w:rPr>
      </w:pPr>
    </w:p>
    <w:p w14:paraId="08A6BD7F">
      <w:pPr>
        <w:spacing w:before="120" w:after="50" w:line="400" w:lineRule="exact"/>
        <w:jc w:val="center"/>
        <w:rPr>
          <w:rFonts w:hAnsi="宋体"/>
          <w:b/>
          <w:bCs/>
          <w:color w:val="auto"/>
          <w:sz w:val="44"/>
          <w:szCs w:val="44"/>
          <w:highlight w:val="none"/>
        </w:rPr>
      </w:pPr>
      <w:r>
        <w:rPr>
          <w:rFonts w:hint="eastAsia" w:hAnsi="宋体"/>
          <w:b/>
          <w:bCs/>
          <w:color w:val="auto"/>
          <w:sz w:val="44"/>
          <w:szCs w:val="44"/>
          <w:highlight w:val="none"/>
        </w:rPr>
        <w:t>商务及</w:t>
      </w:r>
      <w:r>
        <w:rPr>
          <w:rFonts w:hAnsi="宋体"/>
          <w:b/>
          <w:bCs/>
          <w:color w:val="auto"/>
          <w:sz w:val="44"/>
          <w:szCs w:val="44"/>
          <w:highlight w:val="none"/>
        </w:rPr>
        <w:t>技术</w:t>
      </w:r>
      <w:r>
        <w:rPr>
          <w:rFonts w:hint="eastAsia" w:hAnsi="宋体"/>
          <w:b/>
          <w:bCs/>
          <w:color w:val="auto"/>
          <w:sz w:val="44"/>
          <w:szCs w:val="44"/>
          <w:highlight w:val="none"/>
        </w:rPr>
        <w:t>文件</w:t>
      </w:r>
    </w:p>
    <w:p w14:paraId="7FC054E0">
      <w:pPr>
        <w:rPr>
          <w:color w:val="auto"/>
          <w:highlight w:val="none"/>
        </w:rPr>
      </w:pPr>
    </w:p>
    <w:p w14:paraId="108507DE">
      <w:pPr>
        <w:rPr>
          <w:color w:val="auto"/>
          <w:highlight w:val="none"/>
        </w:rPr>
      </w:pPr>
    </w:p>
    <w:p w14:paraId="5A8B981A">
      <w:pPr>
        <w:rPr>
          <w:color w:val="auto"/>
          <w:highlight w:val="none"/>
        </w:rPr>
      </w:pPr>
    </w:p>
    <w:p w14:paraId="38571016">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 xml:space="preserve">项目名称： </w:t>
      </w:r>
    </w:p>
    <w:p w14:paraId="7F10F262">
      <w:pPr>
        <w:spacing w:before="120" w:after="50" w:line="400" w:lineRule="exact"/>
        <w:ind w:firstLine="640"/>
        <w:rPr>
          <w:rFonts w:hAnsi="宋体"/>
          <w:bCs/>
          <w:color w:val="auto"/>
          <w:sz w:val="32"/>
          <w:szCs w:val="32"/>
          <w:highlight w:val="none"/>
        </w:rPr>
      </w:pPr>
    </w:p>
    <w:p w14:paraId="482F8400">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项目编号：</w:t>
      </w:r>
    </w:p>
    <w:p w14:paraId="61E7CB24">
      <w:pPr>
        <w:spacing w:before="120" w:after="50" w:line="400" w:lineRule="exact"/>
        <w:ind w:firstLine="640"/>
        <w:rPr>
          <w:rFonts w:hAnsi="宋体"/>
          <w:bCs/>
          <w:color w:val="auto"/>
          <w:sz w:val="32"/>
          <w:szCs w:val="32"/>
          <w:highlight w:val="none"/>
        </w:rPr>
      </w:pPr>
    </w:p>
    <w:p w14:paraId="14690770">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投标人名称：</w:t>
      </w:r>
    </w:p>
    <w:p w14:paraId="1C4F019F">
      <w:pPr>
        <w:spacing w:before="120" w:after="50" w:line="400" w:lineRule="exact"/>
        <w:ind w:firstLine="640"/>
        <w:rPr>
          <w:rFonts w:hAnsi="宋体"/>
          <w:bCs/>
          <w:color w:val="auto"/>
          <w:sz w:val="32"/>
          <w:szCs w:val="32"/>
          <w:highlight w:val="none"/>
        </w:rPr>
      </w:pPr>
    </w:p>
    <w:p w14:paraId="1DFDF181">
      <w:pPr>
        <w:spacing w:before="120" w:after="50" w:line="400" w:lineRule="exact"/>
        <w:ind w:firstLine="640"/>
        <w:rPr>
          <w:rFonts w:hAnsi="宋体"/>
          <w:bCs/>
          <w:color w:val="auto"/>
          <w:sz w:val="32"/>
          <w:szCs w:val="32"/>
          <w:highlight w:val="none"/>
        </w:rPr>
      </w:pPr>
      <w:r>
        <w:rPr>
          <w:rFonts w:hint="eastAsia" w:hAnsi="宋体"/>
          <w:bCs/>
          <w:color w:val="auto"/>
          <w:sz w:val="32"/>
          <w:szCs w:val="32"/>
          <w:highlight w:val="none"/>
        </w:rPr>
        <w:t>投标人地址：</w:t>
      </w:r>
    </w:p>
    <w:p w14:paraId="322692F1">
      <w:pPr>
        <w:pStyle w:val="7"/>
        <w:spacing w:before="50" w:after="50" w:line="400" w:lineRule="exact"/>
        <w:ind w:firstLine="1280"/>
        <w:rPr>
          <w:rFonts w:hAnsi="宋体"/>
          <w:bCs/>
          <w:color w:val="auto"/>
          <w:sz w:val="32"/>
          <w:szCs w:val="32"/>
          <w:highlight w:val="none"/>
        </w:rPr>
      </w:pPr>
    </w:p>
    <w:p w14:paraId="0CE0006B">
      <w:pPr>
        <w:spacing w:before="120" w:after="50" w:line="400" w:lineRule="exact"/>
        <w:rPr>
          <w:rFonts w:hAnsi="宋体"/>
          <w:color w:val="auto"/>
          <w:sz w:val="36"/>
          <w:szCs w:val="22"/>
          <w:highlight w:val="none"/>
        </w:rPr>
      </w:pPr>
      <w:r>
        <w:rPr>
          <w:rFonts w:hint="eastAsia" w:hAnsi="宋体"/>
          <w:color w:val="auto"/>
          <w:sz w:val="32"/>
          <w:szCs w:val="32"/>
          <w:highlight w:val="none"/>
        </w:rPr>
        <w:t xml:space="preserve">                                   年  月  日</w:t>
      </w:r>
    </w:p>
    <w:p w14:paraId="087CCCAF">
      <w:pPr>
        <w:spacing w:before="120" w:after="50"/>
        <w:rPr>
          <w:rFonts w:hAnsi="宋体"/>
          <w:color w:val="auto"/>
          <w:sz w:val="24"/>
          <w:szCs w:val="20"/>
          <w:highlight w:val="none"/>
        </w:rPr>
      </w:pPr>
      <w:r>
        <w:rPr>
          <w:rFonts w:hAnsi="宋体"/>
          <w:color w:val="auto"/>
          <w:sz w:val="24"/>
          <w:szCs w:val="20"/>
          <w:highlight w:val="none"/>
        </w:rPr>
        <w:t xml:space="preserve"> </w:t>
      </w:r>
    </w:p>
    <w:p w14:paraId="36C517D0">
      <w:pPr>
        <w:pStyle w:val="4"/>
        <w:rPr>
          <w:color w:val="auto"/>
          <w:highlight w:val="none"/>
        </w:rPr>
      </w:pPr>
      <w:r>
        <w:rPr>
          <w:color w:val="auto"/>
          <w:szCs w:val="20"/>
          <w:highlight w:val="none"/>
        </w:rPr>
        <w:br w:type="page" w:clear="all"/>
      </w:r>
      <w:r>
        <w:rPr>
          <w:rFonts w:hint="eastAsia"/>
          <w:color w:val="auto"/>
          <w:highlight w:val="none"/>
        </w:rPr>
        <w:t>2.商务及</w:t>
      </w:r>
      <w:r>
        <w:rPr>
          <w:color w:val="auto"/>
          <w:highlight w:val="none"/>
        </w:rPr>
        <w:t>技术</w:t>
      </w:r>
      <w:r>
        <w:rPr>
          <w:rFonts w:hint="eastAsia"/>
          <w:color w:val="auto"/>
          <w:highlight w:val="none"/>
        </w:rPr>
        <w:t>文件目录</w:t>
      </w:r>
    </w:p>
    <w:p w14:paraId="422F4FEB">
      <w:pPr>
        <w:ind w:firstLine="643"/>
        <w:rPr>
          <w:rFonts w:hAnsi="宋体"/>
          <w:b/>
          <w:bCs/>
          <w:color w:val="auto"/>
          <w:sz w:val="32"/>
          <w:szCs w:val="32"/>
          <w:highlight w:val="none"/>
        </w:rPr>
      </w:pPr>
      <w:r>
        <w:rPr>
          <w:rFonts w:hint="eastAsia" w:hAnsi="宋体"/>
          <w:b/>
          <w:bCs/>
          <w:color w:val="auto"/>
          <w:sz w:val="32"/>
          <w:szCs w:val="32"/>
          <w:highlight w:val="none"/>
        </w:rPr>
        <w:t>根据招标文件规定及投标人提供的材料自行编写目录。</w:t>
      </w:r>
    </w:p>
    <w:p w14:paraId="2C19BD8B">
      <w:pPr>
        <w:ind w:firstLine="643"/>
        <w:rPr>
          <w:rFonts w:hAnsi="宋体"/>
          <w:b/>
          <w:bCs/>
          <w:color w:val="auto"/>
          <w:sz w:val="32"/>
          <w:szCs w:val="32"/>
          <w:highlight w:val="none"/>
        </w:rPr>
      </w:pPr>
    </w:p>
    <w:p w14:paraId="728948CC">
      <w:pPr>
        <w:pStyle w:val="4"/>
        <w:rPr>
          <w:color w:val="auto"/>
          <w:highlight w:val="none"/>
        </w:rPr>
      </w:pPr>
      <w:r>
        <w:rPr>
          <w:color w:val="auto"/>
          <w:highlight w:val="none"/>
        </w:rPr>
        <w:br w:type="page" w:clear="all"/>
      </w:r>
      <w:r>
        <w:rPr>
          <w:rFonts w:hint="eastAsia"/>
          <w:color w:val="auto"/>
          <w:highlight w:val="none"/>
        </w:rPr>
        <w:t>3.投标人参加本项目无围标串标行为的承诺格式</w:t>
      </w:r>
    </w:p>
    <w:p w14:paraId="17BAA902">
      <w:pPr>
        <w:jc w:val="center"/>
        <w:rPr>
          <w:rFonts w:hAnsi="宋体"/>
          <w:b/>
          <w:color w:val="auto"/>
          <w:sz w:val="44"/>
          <w:szCs w:val="44"/>
          <w:highlight w:val="none"/>
        </w:rPr>
      </w:pPr>
      <w:r>
        <w:rPr>
          <w:rFonts w:hint="eastAsia" w:hAnsi="宋体"/>
          <w:b/>
          <w:color w:val="auto"/>
          <w:sz w:val="44"/>
          <w:szCs w:val="44"/>
          <w:highlight w:val="none"/>
        </w:rPr>
        <w:t>投标人参加本项目无围标串标行为的承诺函</w:t>
      </w:r>
    </w:p>
    <w:p w14:paraId="6EF25E9B">
      <w:pPr>
        <w:contextualSpacing/>
        <w:rPr>
          <w:rFonts w:hAnsi="宋体"/>
          <w:b/>
          <w:color w:val="auto"/>
          <w:sz w:val="24"/>
          <w:highlight w:val="none"/>
        </w:rPr>
      </w:pPr>
      <w:r>
        <w:rPr>
          <w:rFonts w:hint="eastAsia" w:hAnsi="宋体"/>
          <w:b/>
          <w:color w:val="auto"/>
          <w:sz w:val="24"/>
          <w:highlight w:val="none"/>
        </w:rPr>
        <w:t>一、我方承诺无下列相互串通投标的情形：</w:t>
      </w:r>
    </w:p>
    <w:p w14:paraId="632458F1">
      <w:pPr>
        <w:ind w:firstLine="470"/>
        <w:contextualSpacing/>
        <w:rPr>
          <w:rFonts w:hAnsi="宋体"/>
          <w:color w:val="auto"/>
          <w:sz w:val="24"/>
          <w:highlight w:val="none"/>
        </w:rPr>
      </w:pPr>
      <w:r>
        <w:rPr>
          <w:rFonts w:hint="eastAsia" w:hAnsi="宋体"/>
          <w:color w:val="auto"/>
          <w:sz w:val="24"/>
          <w:highlight w:val="none"/>
        </w:rPr>
        <w:t xml:space="preserve">1.不同投标人的投标文件由同一单位或者个人编制； </w:t>
      </w:r>
    </w:p>
    <w:p w14:paraId="0475007A">
      <w:pPr>
        <w:ind w:firstLine="470"/>
        <w:contextualSpacing/>
        <w:rPr>
          <w:rFonts w:hAnsi="宋体"/>
          <w:color w:val="auto"/>
          <w:sz w:val="24"/>
          <w:highlight w:val="none"/>
        </w:rPr>
      </w:pPr>
      <w:r>
        <w:rPr>
          <w:rFonts w:hint="eastAsia" w:hAnsi="宋体"/>
          <w:color w:val="auto"/>
          <w:sz w:val="24"/>
          <w:highlight w:val="none"/>
        </w:rPr>
        <w:t>2.不同投标人委托同一单位或者个人办理投标事宜；</w:t>
      </w:r>
    </w:p>
    <w:p w14:paraId="17A00384">
      <w:pPr>
        <w:ind w:firstLine="470"/>
        <w:contextualSpacing/>
        <w:rPr>
          <w:rFonts w:hAnsi="宋体"/>
          <w:color w:val="auto"/>
          <w:sz w:val="24"/>
          <w:highlight w:val="none"/>
        </w:rPr>
      </w:pPr>
      <w:r>
        <w:rPr>
          <w:rFonts w:hint="eastAsia" w:hAnsi="宋体"/>
          <w:color w:val="auto"/>
          <w:sz w:val="24"/>
          <w:highlight w:val="none"/>
        </w:rPr>
        <w:t>3.不同的投标人的投标文件载明的项目管理员为同一个人；</w:t>
      </w:r>
    </w:p>
    <w:p w14:paraId="70B3A575">
      <w:pPr>
        <w:ind w:firstLine="470"/>
        <w:contextualSpacing/>
        <w:rPr>
          <w:rFonts w:hAnsi="宋体"/>
          <w:color w:val="auto"/>
          <w:sz w:val="24"/>
          <w:highlight w:val="none"/>
        </w:rPr>
      </w:pPr>
      <w:r>
        <w:rPr>
          <w:rFonts w:hint="eastAsia" w:hAnsi="宋体"/>
          <w:color w:val="auto"/>
          <w:sz w:val="24"/>
          <w:highlight w:val="none"/>
        </w:rPr>
        <w:t>4.不同投标人的投标文件异常一致或者投标报价呈规律性差异；</w:t>
      </w:r>
    </w:p>
    <w:p w14:paraId="36DF76C9">
      <w:pPr>
        <w:ind w:firstLine="470"/>
        <w:contextualSpacing/>
        <w:rPr>
          <w:rFonts w:hAnsi="宋体"/>
          <w:color w:val="auto"/>
          <w:sz w:val="24"/>
          <w:highlight w:val="none"/>
        </w:rPr>
      </w:pPr>
      <w:r>
        <w:rPr>
          <w:rFonts w:hint="eastAsia" w:hAnsi="宋体"/>
          <w:color w:val="auto"/>
          <w:sz w:val="24"/>
          <w:highlight w:val="none"/>
        </w:rPr>
        <w:t>5.不同投标人的投标文件相互混装；</w:t>
      </w:r>
    </w:p>
    <w:p w14:paraId="35DCCB78">
      <w:pPr>
        <w:ind w:firstLine="470"/>
        <w:contextualSpacing/>
        <w:rPr>
          <w:rFonts w:hAnsi="宋体"/>
          <w:color w:val="auto"/>
          <w:sz w:val="24"/>
          <w:highlight w:val="none"/>
        </w:rPr>
      </w:pPr>
      <w:r>
        <w:rPr>
          <w:rFonts w:hint="eastAsia" w:hAnsi="宋体"/>
          <w:color w:val="auto"/>
          <w:sz w:val="24"/>
          <w:highlight w:val="none"/>
        </w:rPr>
        <w:t>6.不同投标人的投标保证金从同一单位或者个人账户转出。</w:t>
      </w:r>
    </w:p>
    <w:p w14:paraId="4B2ECC3A">
      <w:pPr>
        <w:contextualSpacing/>
        <w:rPr>
          <w:rFonts w:hAnsi="宋体"/>
          <w:color w:val="auto"/>
          <w:sz w:val="24"/>
          <w:highlight w:val="none"/>
        </w:rPr>
      </w:pPr>
      <w:r>
        <w:rPr>
          <w:rFonts w:hint="eastAsia" w:hAnsi="宋体"/>
          <w:b/>
          <w:color w:val="auto"/>
          <w:sz w:val="24"/>
          <w:highlight w:val="none"/>
        </w:rPr>
        <w:t>二、我方承诺无下列恶意串通的情形：</w:t>
      </w:r>
    </w:p>
    <w:p w14:paraId="5D5DAF26">
      <w:pPr>
        <w:ind w:firstLine="470"/>
        <w:contextualSpacing/>
        <w:rPr>
          <w:rFonts w:hAnsi="宋体"/>
          <w:color w:val="auto"/>
          <w:sz w:val="24"/>
          <w:highlight w:val="none"/>
        </w:rPr>
      </w:pPr>
      <w:r>
        <w:rPr>
          <w:rFonts w:hint="eastAsia" w:hAnsi="宋体"/>
          <w:color w:val="auto"/>
          <w:sz w:val="24"/>
          <w:highlight w:val="none"/>
        </w:rPr>
        <w:t>1.投标人直接或者间接从采购人或者采购代理机构处获得其他投标人的相关信息并修改其投标文件或者响应文件；</w:t>
      </w:r>
    </w:p>
    <w:p w14:paraId="6E153C17">
      <w:pPr>
        <w:ind w:firstLine="470"/>
        <w:contextualSpacing/>
        <w:rPr>
          <w:rFonts w:hAnsi="宋体"/>
          <w:color w:val="auto"/>
          <w:sz w:val="24"/>
          <w:highlight w:val="none"/>
        </w:rPr>
      </w:pPr>
      <w:r>
        <w:rPr>
          <w:rFonts w:hint="eastAsia" w:hAnsi="宋体"/>
          <w:color w:val="auto"/>
          <w:sz w:val="24"/>
          <w:highlight w:val="none"/>
        </w:rPr>
        <w:t>2.投标人按照采购人或者采购代理机构的授意撤换、修改投标文件或者响应文件；</w:t>
      </w:r>
    </w:p>
    <w:p w14:paraId="3FAF1ECA">
      <w:pPr>
        <w:ind w:firstLine="470"/>
        <w:contextualSpacing/>
        <w:rPr>
          <w:rFonts w:hAnsi="宋体"/>
          <w:color w:val="auto"/>
          <w:sz w:val="24"/>
          <w:highlight w:val="none"/>
        </w:rPr>
      </w:pPr>
      <w:r>
        <w:rPr>
          <w:rFonts w:hint="eastAsia" w:hAnsi="宋体"/>
          <w:color w:val="auto"/>
          <w:sz w:val="24"/>
          <w:highlight w:val="none"/>
        </w:rPr>
        <w:t>3.投标人之间协商报价、技术方案等投标文件或者响应文件的实质性内容；</w:t>
      </w:r>
    </w:p>
    <w:p w14:paraId="3C3CFC88">
      <w:pPr>
        <w:ind w:firstLine="470"/>
        <w:contextualSpacing/>
        <w:rPr>
          <w:rFonts w:hAnsi="宋体"/>
          <w:color w:val="auto"/>
          <w:sz w:val="24"/>
          <w:highlight w:val="none"/>
        </w:rPr>
      </w:pPr>
      <w:r>
        <w:rPr>
          <w:rFonts w:hint="eastAsia" w:hAnsi="宋体"/>
          <w:color w:val="auto"/>
          <w:sz w:val="24"/>
          <w:highlight w:val="none"/>
        </w:rPr>
        <w:t>4.属于同一集团、协会、商会等组织成员的投标人按照该组织要求协同参加政府采购活动；</w:t>
      </w:r>
    </w:p>
    <w:p w14:paraId="0AB0BC62">
      <w:pPr>
        <w:ind w:firstLine="470"/>
        <w:contextualSpacing/>
        <w:rPr>
          <w:rFonts w:hAnsi="宋体"/>
          <w:color w:val="auto"/>
          <w:sz w:val="24"/>
          <w:highlight w:val="none"/>
        </w:rPr>
      </w:pPr>
      <w:r>
        <w:rPr>
          <w:rFonts w:hint="eastAsia"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937C050">
      <w:pPr>
        <w:ind w:firstLine="470"/>
        <w:contextualSpacing/>
        <w:rPr>
          <w:rFonts w:hAnsi="宋体"/>
          <w:color w:val="auto"/>
          <w:sz w:val="24"/>
          <w:highlight w:val="none"/>
        </w:rPr>
      </w:pPr>
      <w:r>
        <w:rPr>
          <w:rFonts w:hint="eastAsia" w:hAnsi="宋体"/>
          <w:color w:val="auto"/>
          <w:sz w:val="24"/>
          <w:highlight w:val="none"/>
        </w:rPr>
        <w:t>6.投标人之间商定部分投标人放弃参加政府采购活动或者放弃中标；</w:t>
      </w:r>
    </w:p>
    <w:p w14:paraId="2AD98632">
      <w:pPr>
        <w:ind w:firstLine="470"/>
        <w:contextualSpacing/>
        <w:rPr>
          <w:rFonts w:hAnsi="宋体"/>
          <w:color w:val="auto"/>
          <w:sz w:val="24"/>
          <w:highlight w:val="none"/>
        </w:rPr>
      </w:pPr>
      <w:r>
        <w:rPr>
          <w:rFonts w:hint="eastAsia" w:hAnsi="宋体"/>
          <w:color w:val="auto"/>
          <w:sz w:val="24"/>
          <w:highlight w:val="none"/>
        </w:rPr>
        <w:t>7.投标人与采购人或者采购代理机构之间、投标人相互之间，为谋求特定投标人中标或者排斥其他投标人的其他串通行为。</w:t>
      </w:r>
    </w:p>
    <w:p w14:paraId="75FDEA6D">
      <w:pPr>
        <w:ind w:firstLine="472"/>
        <w:contextualSpacing/>
        <w:rPr>
          <w:rFonts w:hAnsi="宋体"/>
          <w:b/>
          <w:color w:val="auto"/>
          <w:sz w:val="24"/>
          <w:highlight w:val="none"/>
        </w:rPr>
      </w:pPr>
      <w:r>
        <w:rPr>
          <w:rFonts w:hint="eastAsia" w:hAnsi="宋体"/>
          <w:b/>
          <w:color w:val="auto"/>
          <w:sz w:val="24"/>
          <w:highlight w:val="none"/>
        </w:rPr>
        <w:t>以上情形一经核查属实，我方愿意承担一切后果，并不再寻求任何旨在减轻或者免除法律责任的辩解。</w:t>
      </w:r>
    </w:p>
    <w:p w14:paraId="291755A1">
      <w:pPr>
        <w:pStyle w:val="23"/>
        <w:jc w:val="center"/>
        <w:rPr>
          <w:rFonts w:hAnsi="宋体"/>
          <w:color w:val="auto"/>
          <w:sz w:val="24"/>
          <w:szCs w:val="24"/>
          <w:highlight w:val="none"/>
          <w:u w:val="single"/>
        </w:rPr>
      </w:pPr>
      <w:r>
        <w:rPr>
          <w:rFonts w:hint="eastAsia" w:hAnsi="宋体"/>
          <w:color w:val="auto"/>
          <w:sz w:val="24"/>
          <w:highlight w:val="none"/>
        </w:rPr>
        <w:t xml:space="preserve">                 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7F3CC90B">
      <w:pPr>
        <w:pStyle w:val="23"/>
        <w:jc w:val="right"/>
        <w:rPr>
          <w:rFonts w:hAnsi="宋体"/>
          <w:color w:val="auto"/>
          <w:sz w:val="24"/>
          <w:szCs w:val="24"/>
          <w:highlight w:val="none"/>
        </w:rPr>
      </w:pP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59F996BE">
      <w:pPr>
        <w:pStyle w:val="4"/>
        <w:rPr>
          <w:color w:val="auto"/>
          <w:szCs w:val="20"/>
          <w:highlight w:val="none"/>
        </w:rPr>
      </w:pPr>
      <w:r>
        <w:rPr>
          <w:color w:val="auto"/>
          <w:highlight w:val="none"/>
        </w:rPr>
        <w:br w:type="page" w:clear="all"/>
      </w:r>
      <w:r>
        <w:rPr>
          <w:rFonts w:hint="eastAsia"/>
          <w:color w:val="auto"/>
          <w:highlight w:val="none"/>
        </w:rPr>
        <w:t>4.法定代表人身份证明</w:t>
      </w:r>
    </w:p>
    <w:p w14:paraId="5718D8A7">
      <w:pPr>
        <w:jc w:val="center"/>
        <w:rPr>
          <w:rFonts w:hAnsi="宋体"/>
          <w:b/>
          <w:color w:val="auto"/>
          <w:sz w:val="44"/>
          <w:szCs w:val="44"/>
          <w:highlight w:val="none"/>
        </w:rPr>
      </w:pPr>
      <w:r>
        <w:rPr>
          <w:rFonts w:hint="eastAsia" w:hAnsi="宋体"/>
          <w:b/>
          <w:color w:val="auto"/>
          <w:sz w:val="44"/>
          <w:szCs w:val="44"/>
          <w:highlight w:val="none"/>
        </w:rPr>
        <w:t>法定代表人身份证明</w:t>
      </w:r>
    </w:p>
    <w:p w14:paraId="6F3C7281">
      <w:pPr>
        <w:spacing w:line="500" w:lineRule="exact"/>
        <w:ind w:left="540"/>
        <w:rPr>
          <w:rFonts w:hAnsi="宋体"/>
          <w:color w:val="auto"/>
          <w:sz w:val="24"/>
          <w:highlight w:val="none"/>
        </w:rPr>
      </w:pPr>
      <w:r>
        <w:rPr>
          <w:rFonts w:hint="eastAsia" w:hAnsi="宋体"/>
          <w:color w:val="auto"/>
          <w:sz w:val="24"/>
          <w:highlight w:val="none"/>
        </w:rPr>
        <w:t>投 标 人：</w:t>
      </w:r>
      <w:r>
        <w:rPr>
          <w:rFonts w:hint="eastAsia" w:hAnsi="宋体"/>
          <w:color w:val="auto"/>
          <w:sz w:val="24"/>
          <w:highlight w:val="none"/>
          <w:u w:val="single"/>
        </w:rPr>
        <w:t xml:space="preserve">                                                        </w:t>
      </w:r>
    </w:p>
    <w:p w14:paraId="7D01B805">
      <w:pPr>
        <w:spacing w:line="500" w:lineRule="exact"/>
        <w:ind w:left="540"/>
        <w:rPr>
          <w:rFonts w:hAnsi="宋体"/>
          <w:color w:val="auto"/>
          <w:sz w:val="24"/>
          <w:highlight w:val="none"/>
        </w:rPr>
      </w:pPr>
      <w:r>
        <w:rPr>
          <w:rFonts w:hint="eastAsia" w:hAnsi="宋体"/>
          <w:color w:val="auto"/>
          <w:sz w:val="24"/>
          <w:highlight w:val="none"/>
        </w:rPr>
        <w:t>地    址：</w:t>
      </w:r>
      <w:r>
        <w:rPr>
          <w:rFonts w:hint="eastAsia" w:hAnsi="宋体"/>
          <w:color w:val="auto"/>
          <w:sz w:val="24"/>
          <w:highlight w:val="none"/>
          <w:u w:val="single"/>
        </w:rPr>
        <w:t xml:space="preserve">                                                        </w:t>
      </w:r>
    </w:p>
    <w:p w14:paraId="45FD8D14">
      <w:pPr>
        <w:spacing w:line="500" w:lineRule="exact"/>
        <w:ind w:left="540"/>
        <w:rPr>
          <w:rFonts w:hAnsi="宋体"/>
          <w:color w:val="auto"/>
          <w:sz w:val="24"/>
          <w:highlight w:val="none"/>
        </w:rPr>
      </w:pPr>
      <w:r>
        <w:rPr>
          <w:rFonts w:hint="eastAsia" w:hAnsi="宋体"/>
          <w:color w:val="auto"/>
          <w:sz w:val="24"/>
          <w:highlight w:val="none"/>
        </w:rPr>
        <w:t>姓    名：</w:t>
      </w:r>
      <w:r>
        <w:rPr>
          <w:rFonts w:hint="eastAsia" w:hAnsi="宋体"/>
          <w:color w:val="auto"/>
          <w:sz w:val="24"/>
          <w:highlight w:val="none"/>
          <w:u w:val="single"/>
        </w:rPr>
        <w:t xml:space="preserve">                          </w:t>
      </w:r>
      <w:r>
        <w:rPr>
          <w:rFonts w:hint="eastAsia" w:hAnsi="宋体"/>
          <w:color w:val="auto"/>
          <w:sz w:val="24"/>
          <w:highlight w:val="none"/>
        </w:rPr>
        <w:t>性      别：</w:t>
      </w:r>
      <w:r>
        <w:rPr>
          <w:rFonts w:hint="eastAsia" w:hAnsi="宋体"/>
          <w:color w:val="auto"/>
          <w:sz w:val="24"/>
          <w:highlight w:val="none"/>
          <w:u w:val="single"/>
        </w:rPr>
        <w:t xml:space="preserve">                </w:t>
      </w:r>
    </w:p>
    <w:p w14:paraId="2B1A1C72">
      <w:pPr>
        <w:spacing w:line="500" w:lineRule="exact"/>
        <w:ind w:left="540"/>
        <w:rPr>
          <w:rFonts w:hAnsi="宋体"/>
          <w:color w:val="auto"/>
          <w:sz w:val="24"/>
          <w:highlight w:val="none"/>
          <w:u w:val="single"/>
        </w:rPr>
      </w:pPr>
      <w:r>
        <w:rPr>
          <w:rFonts w:hint="eastAsia" w:hAnsi="宋体"/>
          <w:color w:val="auto"/>
          <w:sz w:val="24"/>
          <w:highlight w:val="none"/>
        </w:rPr>
        <w:t>年    龄：</w:t>
      </w:r>
      <w:r>
        <w:rPr>
          <w:rFonts w:hint="eastAsia" w:hAnsi="宋体"/>
          <w:color w:val="auto"/>
          <w:sz w:val="24"/>
          <w:highlight w:val="none"/>
          <w:u w:val="single"/>
        </w:rPr>
        <w:t xml:space="preserve">                          </w:t>
      </w:r>
      <w:r>
        <w:rPr>
          <w:rFonts w:hint="eastAsia" w:hAnsi="宋体"/>
          <w:color w:val="auto"/>
          <w:sz w:val="24"/>
          <w:highlight w:val="none"/>
        </w:rPr>
        <w:t>职      务：</w:t>
      </w:r>
      <w:r>
        <w:rPr>
          <w:rFonts w:hint="eastAsia" w:hAnsi="宋体"/>
          <w:color w:val="auto"/>
          <w:sz w:val="24"/>
          <w:highlight w:val="none"/>
          <w:u w:val="single"/>
        </w:rPr>
        <w:t xml:space="preserve">                </w:t>
      </w:r>
    </w:p>
    <w:p w14:paraId="23C215A3">
      <w:pPr>
        <w:spacing w:line="500" w:lineRule="exact"/>
        <w:ind w:left="540"/>
        <w:rPr>
          <w:rFonts w:hAnsi="宋体"/>
          <w:color w:val="auto"/>
          <w:sz w:val="24"/>
          <w:highlight w:val="none"/>
        </w:rPr>
      </w:pPr>
      <w:r>
        <w:rPr>
          <w:rFonts w:hint="eastAsia"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67C4C7FC">
      <w:pPr>
        <w:spacing w:line="500" w:lineRule="exact"/>
        <w:ind w:left="540"/>
        <w:rPr>
          <w:rFonts w:hAnsi="宋体"/>
          <w:color w:val="auto"/>
          <w:sz w:val="24"/>
          <w:highlight w:val="none"/>
        </w:rPr>
      </w:pPr>
      <w:r>
        <w:rPr>
          <w:rFonts w:hint="eastAsia" w:hAnsi="宋体"/>
          <w:color w:val="auto"/>
          <w:sz w:val="24"/>
          <w:highlight w:val="none"/>
        </w:rPr>
        <w:t>系</w:t>
      </w:r>
      <w:r>
        <w:rPr>
          <w:rFonts w:hint="eastAsia" w:hAnsi="宋体"/>
          <w:color w:val="auto"/>
          <w:sz w:val="24"/>
          <w:highlight w:val="none"/>
          <w:u w:val="single"/>
        </w:rPr>
        <w:t xml:space="preserve">            （投标人名称）              </w:t>
      </w:r>
      <w:r>
        <w:rPr>
          <w:rFonts w:hint="eastAsia" w:hAnsi="宋体"/>
          <w:color w:val="auto"/>
          <w:sz w:val="24"/>
          <w:highlight w:val="none"/>
        </w:rPr>
        <w:t>的法定代表人。</w:t>
      </w:r>
    </w:p>
    <w:p w14:paraId="0338EA1D">
      <w:pPr>
        <w:spacing w:line="500" w:lineRule="exact"/>
        <w:ind w:left="540"/>
        <w:rPr>
          <w:rFonts w:hAnsi="宋体"/>
          <w:color w:val="auto"/>
          <w:sz w:val="24"/>
          <w:highlight w:val="none"/>
        </w:rPr>
      </w:pPr>
      <w:r>
        <w:rPr>
          <w:rFonts w:hint="eastAsia" w:hAnsi="宋体"/>
          <w:color w:val="auto"/>
          <w:sz w:val="24"/>
          <w:highlight w:val="none"/>
        </w:rPr>
        <w:t>特此证明。</w:t>
      </w:r>
    </w:p>
    <w:p w14:paraId="397A0CAA">
      <w:pPr>
        <w:spacing w:line="500" w:lineRule="exact"/>
        <w:ind w:left="540"/>
        <w:rPr>
          <w:rFonts w:hAnsi="宋体"/>
          <w:color w:val="auto"/>
          <w:sz w:val="24"/>
          <w:highlight w:val="none"/>
        </w:rPr>
      </w:pPr>
    </w:p>
    <w:p w14:paraId="1A449D18">
      <w:pPr>
        <w:spacing w:line="500" w:lineRule="exact"/>
        <w:ind w:left="540"/>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附件：法定代表人有效身份证正反面复印件</w:t>
      </w:r>
    </w:p>
    <w:p w14:paraId="554B6933">
      <w:pPr>
        <w:spacing w:line="500" w:lineRule="exact"/>
        <w:ind w:left="540"/>
        <w:rPr>
          <w:rFonts w:hAnsi="宋体"/>
          <w:color w:val="auto"/>
          <w:sz w:val="24"/>
          <w:highlight w:val="none"/>
        </w:rPr>
      </w:pPr>
    </w:p>
    <w:p w14:paraId="490FAE4E">
      <w:pPr>
        <w:pStyle w:val="23"/>
        <w:spacing w:line="600" w:lineRule="auto"/>
        <w:jc w:val="center"/>
        <w:rPr>
          <w:rFonts w:hAnsi="宋体"/>
          <w:color w:val="auto"/>
          <w:sz w:val="24"/>
          <w:szCs w:val="24"/>
          <w:highlight w:val="none"/>
          <w:u w:val="single"/>
        </w:rPr>
      </w:pP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799ECBEF">
      <w:pPr>
        <w:pStyle w:val="23"/>
        <w:spacing w:line="600" w:lineRule="auto"/>
        <w:jc w:val="right"/>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5C029BB7">
      <w:pPr>
        <w:spacing w:before="120" w:after="50"/>
        <w:jc w:val="center"/>
        <w:rPr>
          <w:rFonts w:hAnsi="宋体"/>
          <w:b/>
          <w:color w:val="auto"/>
          <w:sz w:val="24"/>
          <w:highlight w:val="none"/>
        </w:rPr>
      </w:pPr>
    </w:p>
    <w:p w14:paraId="6B1C9A1D">
      <w:pPr>
        <w:spacing w:before="120" w:after="50"/>
        <w:rPr>
          <w:rFonts w:hAnsi="宋体"/>
          <w:b/>
          <w:color w:val="auto"/>
          <w:sz w:val="24"/>
          <w:szCs w:val="20"/>
          <w:highlight w:val="none"/>
        </w:rPr>
      </w:pPr>
      <w:r>
        <w:rPr>
          <w:rFonts w:hint="eastAsia" w:hAnsi="宋体"/>
          <w:color w:val="auto"/>
          <w:sz w:val="24"/>
          <w:highlight w:val="none"/>
        </w:rPr>
        <w:t>注：自然人投标的无需提供</w:t>
      </w:r>
    </w:p>
    <w:p w14:paraId="4351342F">
      <w:pPr>
        <w:pStyle w:val="4"/>
        <w:rPr>
          <w:color w:val="auto"/>
          <w:szCs w:val="20"/>
          <w:highlight w:val="none"/>
        </w:rPr>
      </w:pPr>
      <w:r>
        <w:rPr>
          <w:color w:val="auto"/>
          <w:highlight w:val="none"/>
        </w:rPr>
        <w:br w:type="page" w:clear="all"/>
      </w:r>
      <w:r>
        <w:rPr>
          <w:rFonts w:hint="eastAsia"/>
          <w:color w:val="auto"/>
          <w:highlight w:val="none"/>
        </w:rPr>
        <w:t>5.授权委托书格式</w:t>
      </w:r>
    </w:p>
    <w:p w14:paraId="1D4BCD69">
      <w:pPr>
        <w:jc w:val="center"/>
        <w:rPr>
          <w:rFonts w:hAnsi="宋体"/>
          <w:b/>
          <w:color w:val="auto"/>
          <w:sz w:val="44"/>
          <w:szCs w:val="44"/>
          <w:highlight w:val="none"/>
        </w:rPr>
      </w:pPr>
      <w:r>
        <w:rPr>
          <w:rFonts w:hint="eastAsia" w:hAnsi="宋体"/>
          <w:b/>
          <w:color w:val="auto"/>
          <w:sz w:val="44"/>
          <w:szCs w:val="44"/>
          <w:highlight w:val="none"/>
        </w:rPr>
        <w:t>授权委托书</w:t>
      </w:r>
    </w:p>
    <w:p w14:paraId="001402ED">
      <w:pPr>
        <w:spacing w:before="120" w:after="50" w:line="276" w:lineRule="auto"/>
        <w:jc w:val="center"/>
        <w:rPr>
          <w:rFonts w:hAnsi="宋体"/>
          <w:b/>
          <w:color w:val="auto"/>
          <w:sz w:val="32"/>
          <w:szCs w:val="32"/>
          <w:highlight w:val="none"/>
        </w:rPr>
      </w:pPr>
      <w:r>
        <w:rPr>
          <w:rFonts w:hint="eastAsia" w:hAnsi="宋体"/>
          <w:b/>
          <w:color w:val="auto"/>
          <w:sz w:val="32"/>
          <w:szCs w:val="32"/>
          <w:highlight w:val="none"/>
        </w:rPr>
        <w:t>（非联合体投标格式）</w:t>
      </w:r>
    </w:p>
    <w:p w14:paraId="1AC0E00B">
      <w:pPr>
        <w:spacing w:before="120" w:after="50" w:line="276" w:lineRule="auto"/>
        <w:jc w:val="center"/>
        <w:rPr>
          <w:rFonts w:hAnsi="宋体"/>
          <w:b/>
          <w:color w:val="auto"/>
          <w:sz w:val="24"/>
          <w:highlight w:val="none"/>
        </w:rPr>
      </w:pPr>
      <w:r>
        <w:rPr>
          <w:rFonts w:hint="eastAsia" w:hAnsi="宋体"/>
          <w:b/>
          <w:color w:val="auto"/>
          <w:sz w:val="32"/>
          <w:szCs w:val="32"/>
          <w:highlight w:val="none"/>
        </w:rPr>
        <w:t>（如有委托时）</w:t>
      </w:r>
    </w:p>
    <w:p w14:paraId="745FC456">
      <w:pPr>
        <w:contextualSpacing/>
        <w:rPr>
          <w:rFonts w:hAnsi="宋体"/>
          <w:b/>
          <w:bCs/>
          <w:color w:val="auto"/>
          <w:sz w:val="24"/>
          <w:highlight w:val="none"/>
        </w:rPr>
      </w:pPr>
      <w:r>
        <w:rPr>
          <w:rFonts w:hint="eastAsia" w:hAnsi="宋体"/>
          <w:bCs/>
          <w:color w:val="auto"/>
          <w:sz w:val="24"/>
          <w:highlight w:val="none"/>
        </w:rPr>
        <w:t>致：</w:t>
      </w:r>
      <w:r>
        <w:rPr>
          <w:rFonts w:hint="eastAsia" w:hAnsi="宋体"/>
          <w:color w:val="auto"/>
          <w:sz w:val="24"/>
          <w:highlight w:val="none"/>
          <w:u w:val="single"/>
        </w:rPr>
        <w:t>采购人名称</w:t>
      </w:r>
      <w:r>
        <w:rPr>
          <w:rFonts w:hint="eastAsia" w:hAnsi="宋体"/>
          <w:color w:val="auto"/>
          <w:sz w:val="24"/>
          <w:highlight w:val="none"/>
        </w:rPr>
        <w:t>：</w:t>
      </w:r>
    </w:p>
    <w:p w14:paraId="18FC0384">
      <w:pPr>
        <w:ind w:firstLine="566"/>
        <w:contextualSpacing/>
        <w:rPr>
          <w:rFonts w:hAnsi="宋体"/>
          <w:color w:val="auto"/>
          <w:sz w:val="24"/>
          <w:highlight w:val="none"/>
        </w:rPr>
      </w:pPr>
      <w:r>
        <w:rPr>
          <w:rFonts w:hint="eastAsia" w:hAnsi="宋体"/>
          <w:color w:val="auto"/>
          <w:sz w:val="24"/>
          <w:highlight w:val="none"/>
        </w:rPr>
        <w:t>我</w:t>
      </w:r>
      <w:r>
        <w:rPr>
          <w:rFonts w:hint="eastAsia" w:hAnsi="宋体"/>
          <w:color w:val="auto"/>
          <w:sz w:val="24"/>
          <w:highlight w:val="none"/>
          <w:u w:val="single"/>
        </w:rPr>
        <w:t xml:space="preserve">       </w:t>
      </w:r>
      <w:r>
        <w:rPr>
          <w:rFonts w:hint="eastAsia" w:hAnsi="宋体"/>
          <w:color w:val="auto"/>
          <w:sz w:val="24"/>
          <w:highlight w:val="none"/>
        </w:rPr>
        <w:t>（姓名）系</w:t>
      </w:r>
      <w:r>
        <w:rPr>
          <w:rFonts w:hint="eastAsia" w:hAnsi="宋体"/>
          <w:color w:val="auto"/>
          <w:sz w:val="24"/>
          <w:highlight w:val="none"/>
          <w:u w:val="single"/>
        </w:rPr>
        <w:t xml:space="preserve">      </w:t>
      </w:r>
      <w:r>
        <w:rPr>
          <w:rFonts w:hint="eastAsia" w:hAnsi="宋体"/>
          <w:color w:val="auto"/>
          <w:sz w:val="24"/>
          <w:highlight w:val="none"/>
        </w:rPr>
        <w:t>（投标人名称）的法定代表人，现授权委托</w:t>
      </w:r>
      <w:r>
        <w:rPr>
          <w:rFonts w:hint="eastAsia" w:hAnsi="宋体"/>
          <w:color w:val="auto"/>
          <w:sz w:val="24"/>
          <w:highlight w:val="none"/>
          <w:u w:val="single"/>
        </w:rPr>
        <w:t xml:space="preserve">              （姓名）</w:t>
      </w:r>
      <w:r>
        <w:rPr>
          <w:rFonts w:hint="eastAsia" w:hAnsi="宋体"/>
          <w:color w:val="auto"/>
          <w:sz w:val="24"/>
          <w:highlight w:val="none"/>
        </w:rPr>
        <w:t>以我方的名义参加</w:t>
      </w:r>
      <w:r>
        <w:rPr>
          <w:rFonts w:hint="eastAsia" w:hAnsi="宋体"/>
          <w:color w:val="auto"/>
          <w:sz w:val="24"/>
          <w:highlight w:val="none"/>
          <w:u w:val="single"/>
        </w:rPr>
        <w:t xml:space="preserve">              </w:t>
      </w:r>
      <w:r>
        <w:rPr>
          <w:rFonts w:hint="eastAsia" w:hAnsi="宋体"/>
          <w:color w:val="auto"/>
          <w:sz w:val="24"/>
          <w:highlight w:val="none"/>
        </w:rPr>
        <w:t>项目的投标活动，并代表我方全权办理针对上述项目的所有采购程序和环节的具体事务和签署相关文件。</w:t>
      </w:r>
    </w:p>
    <w:p w14:paraId="171FA490">
      <w:pPr>
        <w:contextualSpacing/>
        <w:rPr>
          <w:rFonts w:hAnsi="宋体"/>
          <w:color w:val="auto"/>
          <w:sz w:val="24"/>
          <w:highlight w:val="none"/>
        </w:rPr>
      </w:pPr>
      <w:r>
        <w:rPr>
          <w:rFonts w:hint="eastAsia" w:hAnsi="宋体"/>
          <w:color w:val="auto"/>
          <w:sz w:val="24"/>
          <w:highlight w:val="none"/>
        </w:rPr>
        <w:t xml:space="preserve">    我方对委托代理人的签字或者电子签名事项负全部责任。</w:t>
      </w:r>
    </w:p>
    <w:p w14:paraId="33F8F856">
      <w:pPr>
        <w:ind w:firstLine="480"/>
        <w:contextualSpacing/>
        <w:rPr>
          <w:rFonts w:hAnsi="宋体"/>
          <w:color w:val="auto"/>
          <w:sz w:val="24"/>
          <w:highlight w:val="none"/>
        </w:rPr>
      </w:pPr>
      <w:r>
        <w:rPr>
          <w:rFonts w:hint="eastAsia"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715BD4C7">
      <w:pPr>
        <w:ind w:firstLine="480"/>
        <w:contextualSpacing/>
        <w:rPr>
          <w:rFonts w:hAnsi="宋体"/>
          <w:color w:val="auto"/>
          <w:sz w:val="24"/>
          <w:highlight w:val="none"/>
        </w:rPr>
      </w:pPr>
      <w:r>
        <w:rPr>
          <w:rFonts w:hint="eastAsia" w:hAnsi="宋体"/>
          <w:color w:val="auto"/>
          <w:sz w:val="24"/>
          <w:highlight w:val="none"/>
        </w:rPr>
        <w:t>委托代理人无转委托权，特此委托。</w:t>
      </w:r>
    </w:p>
    <w:p w14:paraId="6AFED8D1">
      <w:pPr>
        <w:widowControl/>
        <w:rPr>
          <w:rFonts w:hAnsi="宋体"/>
          <w:color w:val="auto"/>
          <w:sz w:val="24"/>
          <w:highlight w:val="none"/>
        </w:rPr>
      </w:pPr>
    </w:p>
    <w:p w14:paraId="4DD0B3F3">
      <w:pPr>
        <w:widowControl/>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附件：委托代理人有效身份证正反面复印件</w:t>
      </w:r>
    </w:p>
    <w:p w14:paraId="5A944C04">
      <w:pPr>
        <w:contextualSpacing/>
        <w:rPr>
          <w:rFonts w:hAnsi="宋体"/>
          <w:color w:val="auto"/>
          <w:sz w:val="24"/>
          <w:highlight w:val="none"/>
        </w:rPr>
      </w:pPr>
    </w:p>
    <w:p w14:paraId="06350E06">
      <w:pPr>
        <w:widowControl/>
        <w:spacing w:line="480" w:lineRule="auto"/>
        <w:ind w:firstLine="480"/>
        <w:rPr>
          <w:rFonts w:hAnsi="Calibri"/>
          <w:color w:val="auto"/>
          <w:sz w:val="24"/>
          <w:highlight w:val="none"/>
        </w:rPr>
      </w:pPr>
      <w:r>
        <w:rPr>
          <w:rFonts w:hint="eastAsia" w:hAnsi="Calibri"/>
          <w:color w:val="auto"/>
          <w:sz w:val="24"/>
          <w:highlight w:val="none"/>
        </w:rPr>
        <w:t>法定代表人（</w:t>
      </w:r>
      <w:r>
        <w:rPr>
          <w:rFonts w:hint="eastAsia" w:hAnsi="Calibri"/>
          <w:b/>
          <w:bCs/>
          <w:color w:val="auto"/>
          <w:sz w:val="24"/>
          <w:highlight w:val="none"/>
        </w:rPr>
        <w:t>签字或者盖章或者电子签名</w:t>
      </w:r>
      <w:r>
        <w:rPr>
          <w:rFonts w:hint="eastAsia" w:hAnsi="Calibri"/>
          <w:color w:val="auto"/>
          <w:sz w:val="24"/>
          <w:highlight w:val="none"/>
        </w:rPr>
        <w:t>）：</w:t>
      </w:r>
      <w:r>
        <w:rPr>
          <w:rFonts w:hint="eastAsia" w:hAnsi="Calibri"/>
          <w:color w:val="auto"/>
          <w:sz w:val="24"/>
          <w:highlight w:val="none"/>
          <w:u w:val="single"/>
        </w:rPr>
        <w:t xml:space="preserve"> </w:t>
      </w:r>
      <w:r>
        <w:rPr>
          <w:rFonts w:hAnsi="Calibri"/>
          <w:color w:val="auto"/>
          <w:sz w:val="24"/>
          <w:highlight w:val="none"/>
          <w:u w:val="single"/>
        </w:rPr>
        <w:t xml:space="preserve">                 </w:t>
      </w:r>
    </w:p>
    <w:p w14:paraId="3C67A41E">
      <w:pPr>
        <w:widowControl/>
        <w:spacing w:line="480" w:lineRule="auto"/>
        <w:ind w:firstLine="480"/>
        <w:rPr>
          <w:rFonts w:hAnsi="Calibri"/>
          <w:color w:val="auto"/>
          <w:sz w:val="24"/>
          <w:highlight w:val="none"/>
        </w:rPr>
      </w:pPr>
      <w:r>
        <w:rPr>
          <w:rFonts w:hint="eastAsia" w:hAnsi="Calibri"/>
          <w:color w:val="auto"/>
          <w:sz w:val="24"/>
          <w:highlight w:val="none"/>
        </w:rPr>
        <w:t>委托代理人（</w:t>
      </w:r>
      <w:r>
        <w:rPr>
          <w:rFonts w:hint="eastAsia" w:hAnsi="Calibri"/>
          <w:b/>
          <w:bCs/>
          <w:color w:val="auto"/>
          <w:sz w:val="24"/>
          <w:highlight w:val="none"/>
        </w:rPr>
        <w:t>签字或者电子签名</w:t>
      </w:r>
      <w:r>
        <w:rPr>
          <w:rFonts w:hint="eastAsia" w:hAnsi="Calibri"/>
          <w:color w:val="auto"/>
          <w:sz w:val="24"/>
          <w:highlight w:val="none"/>
        </w:rPr>
        <w:t>）：</w:t>
      </w:r>
      <w:r>
        <w:rPr>
          <w:rFonts w:hint="eastAsia" w:hAnsi="Calibri"/>
          <w:color w:val="auto"/>
          <w:sz w:val="24"/>
          <w:highlight w:val="none"/>
          <w:u w:val="single"/>
        </w:rPr>
        <w:t xml:space="preserve">    </w:t>
      </w:r>
      <w:r>
        <w:rPr>
          <w:rFonts w:hAnsi="Calibri"/>
          <w:color w:val="auto"/>
          <w:sz w:val="24"/>
          <w:highlight w:val="none"/>
          <w:u w:val="single"/>
        </w:rPr>
        <w:t xml:space="preserve">                    </w:t>
      </w:r>
      <w:r>
        <w:rPr>
          <w:rFonts w:hint="eastAsia" w:hAnsi="Calibri"/>
          <w:color w:val="auto"/>
          <w:sz w:val="24"/>
          <w:highlight w:val="none"/>
          <w:u w:val="single"/>
        </w:rPr>
        <w:t xml:space="preserve">  </w:t>
      </w:r>
      <w:r>
        <w:rPr>
          <w:rFonts w:hint="eastAsia" w:hAnsi="Calibri"/>
          <w:color w:val="auto"/>
          <w:sz w:val="24"/>
          <w:highlight w:val="none"/>
        </w:rPr>
        <w:t xml:space="preserve"> </w:t>
      </w:r>
    </w:p>
    <w:p w14:paraId="6F0FE59E">
      <w:pPr>
        <w:widowControl/>
        <w:spacing w:line="480" w:lineRule="auto"/>
        <w:ind w:firstLine="480"/>
        <w:rPr>
          <w:rFonts w:hAnsi="Calibri"/>
          <w:color w:val="auto"/>
          <w:sz w:val="24"/>
          <w:highlight w:val="none"/>
          <w:u w:val="single"/>
        </w:rPr>
      </w:pPr>
      <w:r>
        <w:rPr>
          <w:rFonts w:hint="eastAsia" w:hAnsi="Calibri"/>
          <w:color w:val="auto"/>
          <w:sz w:val="24"/>
          <w:highlight w:val="none"/>
        </w:rPr>
        <w:t>委托代理人身份证号码：</w:t>
      </w:r>
      <w:r>
        <w:rPr>
          <w:rFonts w:hint="eastAsia" w:hAnsi="Calibri"/>
          <w:color w:val="auto"/>
          <w:sz w:val="24"/>
          <w:highlight w:val="none"/>
          <w:u w:val="single"/>
        </w:rPr>
        <w:t xml:space="preserve">                       </w:t>
      </w:r>
      <w:r>
        <w:rPr>
          <w:rFonts w:hAnsi="Calibri"/>
          <w:color w:val="auto"/>
          <w:sz w:val="24"/>
          <w:highlight w:val="none"/>
          <w:u w:val="single"/>
        </w:rPr>
        <w:t xml:space="preserve">     </w:t>
      </w:r>
      <w:r>
        <w:rPr>
          <w:rFonts w:hint="eastAsia" w:hAnsi="Calibri"/>
          <w:color w:val="auto"/>
          <w:sz w:val="24"/>
          <w:highlight w:val="none"/>
          <w:u w:val="single"/>
        </w:rPr>
        <w:t xml:space="preserve">       </w:t>
      </w:r>
    </w:p>
    <w:p w14:paraId="4FE8CC9E">
      <w:pPr>
        <w:pStyle w:val="23"/>
        <w:spacing w:line="600" w:lineRule="auto"/>
        <w:jc w:val="center"/>
        <w:rPr>
          <w:rFonts w:hAnsi="宋体"/>
          <w:color w:val="auto"/>
          <w:sz w:val="24"/>
          <w:szCs w:val="24"/>
          <w:highlight w:val="none"/>
          <w:u w:val="single"/>
        </w:rPr>
      </w:pPr>
      <w:r>
        <w:rPr>
          <w:rFonts w:hint="eastAsia" w:hAnsi="宋体"/>
          <w:color w:val="auto"/>
          <w:sz w:val="24"/>
          <w:highlight w:val="none"/>
        </w:rPr>
        <w:t xml:space="preserve">                 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30FEAABB">
      <w:pPr>
        <w:pStyle w:val="23"/>
        <w:spacing w:line="600" w:lineRule="auto"/>
        <w:jc w:val="right"/>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34E89FE7">
      <w:pPr>
        <w:spacing w:line="440" w:lineRule="exact"/>
        <w:contextualSpacing/>
        <w:rPr>
          <w:rFonts w:hAnsi="宋体" w:cs="方正仿宋_GB2312"/>
          <w:color w:val="auto"/>
          <w:sz w:val="24"/>
          <w:highlight w:val="none"/>
        </w:rPr>
      </w:pPr>
      <w:r>
        <w:rPr>
          <w:rFonts w:hint="eastAsia" w:hAnsi="宋体" w:cs="方正仿宋_GB2312"/>
          <w:color w:val="auto"/>
          <w:sz w:val="24"/>
          <w:highlight w:val="none"/>
        </w:rPr>
        <w:t>注：1.法定代表人必须在授权委托书上签字或者盖章</w:t>
      </w:r>
      <w:r>
        <w:rPr>
          <w:rFonts w:hint="eastAsia" w:hAnsi="宋体"/>
          <w:color w:val="auto"/>
          <w:sz w:val="24"/>
          <w:highlight w:val="none"/>
        </w:rPr>
        <w:t>或者电子签名</w:t>
      </w:r>
      <w:r>
        <w:rPr>
          <w:rFonts w:hint="eastAsia" w:hAnsi="宋体" w:cs="方正仿宋_GB2312"/>
          <w:color w:val="auto"/>
          <w:sz w:val="24"/>
          <w:highlight w:val="none"/>
        </w:rPr>
        <w:t>，委托代理人必须在授权委托书上签字</w:t>
      </w:r>
      <w:r>
        <w:rPr>
          <w:rFonts w:hint="eastAsia" w:hAnsi="宋体"/>
          <w:color w:val="auto"/>
          <w:sz w:val="24"/>
          <w:highlight w:val="none"/>
        </w:rPr>
        <w:t>或者电子签名</w:t>
      </w:r>
      <w:r>
        <w:rPr>
          <w:rFonts w:hint="eastAsia" w:hAnsi="宋体" w:cs="方正仿宋_GB2312"/>
          <w:color w:val="auto"/>
          <w:sz w:val="24"/>
          <w:highlight w:val="none"/>
        </w:rPr>
        <w:t>，</w:t>
      </w:r>
      <w:r>
        <w:rPr>
          <w:rFonts w:hint="eastAsia" w:hAnsi="宋体" w:cs="方正仿宋_GB2312"/>
          <w:b/>
          <w:bCs/>
          <w:color w:val="auto"/>
          <w:sz w:val="24"/>
          <w:highlight w:val="none"/>
        </w:rPr>
        <w:t>否则按无效投标处理</w:t>
      </w:r>
      <w:r>
        <w:rPr>
          <w:rFonts w:hint="eastAsia" w:hAnsi="宋体" w:cs="方正仿宋_GB2312"/>
          <w:color w:val="auto"/>
          <w:sz w:val="24"/>
          <w:highlight w:val="none"/>
        </w:rPr>
        <w:t>；</w:t>
      </w:r>
    </w:p>
    <w:p w14:paraId="5B4B1DD5">
      <w:pPr>
        <w:spacing w:line="440" w:lineRule="exact"/>
        <w:ind w:firstLine="480"/>
        <w:contextualSpacing/>
        <w:rPr>
          <w:rFonts w:hAnsi="宋体"/>
          <w:color w:val="auto"/>
          <w:sz w:val="24"/>
          <w:highlight w:val="none"/>
        </w:rPr>
        <w:sectPr>
          <w:pgSz w:w="11906" w:h="16838"/>
          <w:pgMar w:top="1701" w:right="1701" w:bottom="1418" w:left="1701" w:header="851" w:footer="992" w:gutter="0"/>
          <w:pgNumType w:fmt="decimal"/>
          <w:cols w:space="1701" w:num="1"/>
          <w:titlePg/>
        </w:sectPr>
      </w:pPr>
      <w:r>
        <w:rPr>
          <w:rFonts w:hint="eastAsia" w:hAnsi="宋体" w:cs="方正仿宋_GB2312"/>
          <w:color w:val="auto"/>
          <w:sz w:val="24"/>
          <w:highlight w:val="none"/>
        </w:rPr>
        <w:t>2.法人、其他组织投标时“我方”是指“我单位”，自然人投标时“我方”是指“本人”。</w:t>
      </w:r>
      <w:r>
        <w:rPr>
          <w:rFonts w:hint="eastAsia" w:hAnsi="宋体"/>
          <w:color w:val="auto"/>
          <w:sz w:val="24"/>
          <w:highlight w:val="none"/>
        </w:rPr>
        <w:t xml:space="preserve"> </w:t>
      </w:r>
    </w:p>
    <w:p w14:paraId="6BC46811">
      <w:pPr>
        <w:pStyle w:val="4"/>
        <w:rPr>
          <w:color w:val="auto"/>
          <w:szCs w:val="20"/>
          <w:highlight w:val="none"/>
        </w:rPr>
      </w:pPr>
      <w:r>
        <w:rPr>
          <w:rFonts w:hint="eastAsia"/>
          <w:color w:val="auto"/>
          <w:highlight w:val="none"/>
        </w:rPr>
        <w:t>6.商务要求偏离表格式</w:t>
      </w:r>
    </w:p>
    <w:p w14:paraId="68D93F65">
      <w:pPr>
        <w:widowControl/>
        <w:spacing w:before="50" w:after="50"/>
        <w:jc w:val="center"/>
        <w:rPr>
          <w:rFonts w:hAnsi="宋体" w:cs="方正小标宋简体"/>
          <w:b/>
          <w:color w:val="auto"/>
          <w:sz w:val="44"/>
          <w:szCs w:val="44"/>
          <w:highlight w:val="none"/>
        </w:rPr>
      </w:pPr>
      <w:r>
        <w:rPr>
          <w:rFonts w:hint="eastAsia" w:hAnsi="宋体" w:cs="方正小标宋简体"/>
          <w:b/>
          <w:color w:val="auto"/>
          <w:sz w:val="44"/>
          <w:szCs w:val="44"/>
          <w:highlight w:val="none"/>
        </w:rPr>
        <w:t>商务要求偏离表</w:t>
      </w:r>
    </w:p>
    <w:tbl>
      <w:tblPr>
        <w:tblStyle w:val="47"/>
        <w:tblW w:w="90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29"/>
        <w:gridCol w:w="1429"/>
        <w:gridCol w:w="2583"/>
        <w:gridCol w:w="2460"/>
        <w:gridCol w:w="1137"/>
      </w:tblGrid>
      <w:tr w14:paraId="4B866D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429" w:type="dxa"/>
            <w:tcBorders>
              <w:top w:val="single" w:color="auto" w:sz="4" w:space="0"/>
              <w:left w:val="single" w:color="auto" w:sz="4" w:space="0"/>
              <w:bottom w:val="single" w:color="auto" w:sz="4" w:space="0"/>
              <w:right w:val="single" w:color="auto" w:sz="4" w:space="0"/>
            </w:tcBorders>
          </w:tcPr>
          <w:p w14:paraId="18990679">
            <w:pPr>
              <w:spacing w:before="120"/>
              <w:jc w:val="center"/>
              <w:rPr>
                <w:rFonts w:hAnsi="宋体"/>
                <w:b/>
                <w:bCs/>
                <w:color w:val="auto"/>
                <w:sz w:val="24"/>
                <w:highlight w:val="none"/>
              </w:rPr>
            </w:pPr>
            <w:r>
              <w:rPr>
                <w:rFonts w:hint="eastAsia" w:hAnsi="宋体"/>
                <w:b/>
                <w:bCs/>
                <w:color w:val="auto"/>
                <w:sz w:val="24"/>
                <w:highlight w:val="none"/>
              </w:rPr>
              <w:t>序号</w:t>
            </w:r>
          </w:p>
        </w:tc>
        <w:tc>
          <w:tcPr>
            <w:tcW w:w="1429" w:type="dxa"/>
            <w:tcBorders>
              <w:top w:val="single" w:color="auto" w:sz="4" w:space="0"/>
              <w:left w:val="single" w:color="auto" w:sz="4" w:space="0"/>
              <w:bottom w:val="single" w:color="auto" w:sz="4" w:space="0"/>
              <w:right w:val="single" w:color="auto" w:sz="4" w:space="0"/>
            </w:tcBorders>
          </w:tcPr>
          <w:p w14:paraId="71620332">
            <w:pPr>
              <w:spacing w:before="120"/>
              <w:jc w:val="center"/>
              <w:rPr>
                <w:rFonts w:hAnsi="宋体"/>
                <w:b/>
                <w:bCs/>
                <w:color w:val="auto"/>
                <w:sz w:val="24"/>
                <w:highlight w:val="none"/>
              </w:rPr>
            </w:pPr>
            <w:r>
              <w:rPr>
                <w:rFonts w:hint="eastAsia" w:hAnsi="宋体"/>
                <w:b/>
                <w:bCs/>
                <w:color w:val="auto"/>
                <w:sz w:val="24"/>
                <w:highlight w:val="none"/>
              </w:rPr>
              <w:t>项目</w:t>
            </w:r>
          </w:p>
        </w:tc>
        <w:tc>
          <w:tcPr>
            <w:tcW w:w="2583" w:type="dxa"/>
            <w:tcBorders>
              <w:top w:val="single" w:color="auto" w:sz="4" w:space="0"/>
              <w:left w:val="single" w:color="auto" w:sz="4" w:space="0"/>
              <w:bottom w:val="single" w:color="auto" w:sz="4" w:space="0"/>
              <w:right w:val="single" w:color="auto" w:sz="4" w:space="0"/>
            </w:tcBorders>
          </w:tcPr>
          <w:p w14:paraId="58217885">
            <w:pPr>
              <w:spacing w:before="120"/>
              <w:jc w:val="center"/>
              <w:rPr>
                <w:rFonts w:hAnsi="宋体"/>
                <w:b/>
                <w:bCs/>
                <w:color w:val="auto"/>
                <w:sz w:val="24"/>
                <w:highlight w:val="none"/>
              </w:rPr>
            </w:pPr>
            <w:r>
              <w:rPr>
                <w:rFonts w:hint="eastAsia" w:hAnsi="宋体"/>
                <w:b/>
                <w:bCs/>
                <w:color w:val="auto"/>
                <w:sz w:val="24"/>
                <w:highlight w:val="none"/>
              </w:rPr>
              <w:t>招标文件商务要求</w:t>
            </w:r>
          </w:p>
        </w:tc>
        <w:tc>
          <w:tcPr>
            <w:tcW w:w="2460" w:type="dxa"/>
            <w:tcBorders>
              <w:top w:val="single" w:color="auto" w:sz="4" w:space="0"/>
              <w:left w:val="single" w:color="auto" w:sz="4" w:space="0"/>
              <w:bottom w:val="single" w:color="auto" w:sz="4" w:space="0"/>
              <w:right w:val="single" w:color="auto" w:sz="4" w:space="0"/>
            </w:tcBorders>
          </w:tcPr>
          <w:p w14:paraId="17195AC3">
            <w:pPr>
              <w:spacing w:before="120"/>
              <w:jc w:val="center"/>
              <w:rPr>
                <w:rFonts w:hAnsi="宋体"/>
                <w:b/>
                <w:bCs/>
                <w:color w:val="auto"/>
                <w:sz w:val="24"/>
                <w:highlight w:val="none"/>
              </w:rPr>
            </w:pPr>
            <w:r>
              <w:rPr>
                <w:rFonts w:hint="eastAsia" w:hAnsi="宋体"/>
                <w:b/>
                <w:bCs/>
                <w:color w:val="auto"/>
                <w:sz w:val="24"/>
                <w:highlight w:val="none"/>
              </w:rPr>
              <w:t>投标人的承诺</w:t>
            </w:r>
          </w:p>
        </w:tc>
        <w:tc>
          <w:tcPr>
            <w:tcW w:w="1137" w:type="dxa"/>
            <w:tcBorders>
              <w:top w:val="single" w:color="auto" w:sz="4" w:space="0"/>
              <w:left w:val="single" w:color="auto" w:sz="4" w:space="0"/>
              <w:bottom w:val="single" w:color="auto" w:sz="4" w:space="0"/>
              <w:right w:val="single" w:color="auto" w:sz="4" w:space="0"/>
            </w:tcBorders>
          </w:tcPr>
          <w:p w14:paraId="42BBB984">
            <w:pPr>
              <w:spacing w:before="120"/>
              <w:jc w:val="center"/>
              <w:rPr>
                <w:rFonts w:hAnsi="宋体"/>
                <w:b/>
                <w:bCs/>
                <w:color w:val="auto"/>
                <w:sz w:val="24"/>
                <w:highlight w:val="none"/>
              </w:rPr>
            </w:pPr>
            <w:r>
              <w:rPr>
                <w:rFonts w:hint="eastAsia" w:hAnsi="宋体"/>
                <w:b/>
                <w:bCs/>
                <w:color w:val="auto"/>
                <w:sz w:val="24"/>
                <w:highlight w:val="none"/>
              </w:rPr>
              <w:t>偏离说明</w:t>
            </w:r>
          </w:p>
        </w:tc>
      </w:tr>
      <w:tr w14:paraId="7F166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504CCDC8">
            <w:pPr>
              <w:ind w:right="-16"/>
              <w:jc w:val="center"/>
              <w:rPr>
                <w:rFonts w:hAnsi="宋体" w:cs="仿宋"/>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2B344967">
            <w:pPr>
              <w:ind w:right="-16"/>
              <w:jc w:val="center"/>
              <w:rPr>
                <w:rFonts w:hAnsi="宋体" w:cs="仿宋"/>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tcPr>
          <w:p w14:paraId="2D7F54CA">
            <w:pPr>
              <w:spacing w:before="120" w:line="240" w:lineRule="auto"/>
              <w:jc w:val="center"/>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08E488C7">
            <w:pPr>
              <w:spacing w:before="120" w:line="240" w:lineRule="auto"/>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425FE108">
            <w:pPr>
              <w:spacing w:before="120" w:line="240" w:lineRule="auto"/>
              <w:jc w:val="center"/>
              <w:rPr>
                <w:rFonts w:hAnsi="宋体"/>
                <w:color w:val="auto"/>
                <w:sz w:val="24"/>
                <w:highlight w:val="none"/>
              </w:rPr>
            </w:pPr>
          </w:p>
        </w:tc>
      </w:tr>
      <w:tr w14:paraId="190E31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49E95C23">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34D2F1C4">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tcPr>
          <w:p w14:paraId="1880860E">
            <w:pPr>
              <w:spacing w:before="120" w:line="240" w:lineRule="auto"/>
              <w:jc w:val="center"/>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15A38AAD">
            <w:pPr>
              <w:spacing w:before="120" w:line="240" w:lineRule="auto"/>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3E0BBC2E">
            <w:pPr>
              <w:spacing w:before="120" w:line="240" w:lineRule="auto"/>
              <w:jc w:val="center"/>
              <w:rPr>
                <w:rFonts w:hAnsi="宋体"/>
                <w:color w:val="auto"/>
                <w:sz w:val="24"/>
                <w:highlight w:val="none"/>
              </w:rPr>
            </w:pPr>
          </w:p>
        </w:tc>
      </w:tr>
      <w:tr w14:paraId="509EE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03E67C03">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7C5B1D06">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tcPr>
          <w:p w14:paraId="3C302E98">
            <w:pPr>
              <w:spacing w:before="120" w:line="240" w:lineRule="auto"/>
              <w:jc w:val="center"/>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1F785D34">
            <w:pPr>
              <w:spacing w:before="120" w:line="240" w:lineRule="auto"/>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679C6184">
            <w:pPr>
              <w:spacing w:before="120" w:line="240" w:lineRule="auto"/>
              <w:jc w:val="center"/>
              <w:rPr>
                <w:rFonts w:hAnsi="宋体"/>
                <w:color w:val="auto"/>
                <w:sz w:val="24"/>
                <w:highlight w:val="none"/>
              </w:rPr>
            </w:pPr>
          </w:p>
        </w:tc>
      </w:tr>
      <w:tr w14:paraId="7B0B4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7B595784">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54D829FF">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tcPr>
          <w:p w14:paraId="2D7F675A">
            <w:pPr>
              <w:spacing w:before="120" w:line="240" w:lineRule="auto"/>
              <w:jc w:val="center"/>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0BACC00A">
            <w:pPr>
              <w:spacing w:before="120" w:line="240" w:lineRule="auto"/>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7D4FF906">
            <w:pPr>
              <w:spacing w:before="120" w:line="240" w:lineRule="auto"/>
              <w:jc w:val="center"/>
              <w:rPr>
                <w:rFonts w:hAnsi="宋体"/>
                <w:color w:val="auto"/>
                <w:sz w:val="24"/>
                <w:highlight w:val="none"/>
              </w:rPr>
            </w:pPr>
          </w:p>
        </w:tc>
      </w:tr>
      <w:tr w14:paraId="7A9CD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35B4C74C">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412BA7BD">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734E7B09">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24D2FA3D">
            <w:pPr>
              <w:spacing w:before="120" w:line="240" w:lineRule="auto"/>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4CD6B446">
            <w:pPr>
              <w:spacing w:before="120" w:line="240" w:lineRule="auto"/>
              <w:jc w:val="center"/>
              <w:rPr>
                <w:rFonts w:hAnsi="宋体"/>
                <w:color w:val="auto"/>
                <w:sz w:val="24"/>
                <w:highlight w:val="none"/>
              </w:rPr>
            </w:pPr>
          </w:p>
        </w:tc>
      </w:tr>
      <w:tr w14:paraId="6E414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1048D155">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11CFD435">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54936093">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34ECD82C">
            <w:pPr>
              <w:spacing w:before="120" w:line="240" w:lineRule="auto"/>
              <w:ind w:left="43"/>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7D2DD19E">
            <w:pPr>
              <w:spacing w:before="120" w:line="240" w:lineRule="auto"/>
              <w:ind w:left="43"/>
              <w:jc w:val="center"/>
              <w:rPr>
                <w:rFonts w:hAnsi="宋体"/>
                <w:color w:val="auto"/>
                <w:sz w:val="24"/>
                <w:highlight w:val="none"/>
              </w:rPr>
            </w:pPr>
          </w:p>
        </w:tc>
      </w:tr>
      <w:tr w14:paraId="5A7CBE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75174FEE">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77C98223">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1A62531A">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491AC6D0">
            <w:pPr>
              <w:spacing w:before="120" w:line="240" w:lineRule="auto"/>
              <w:ind w:left="43"/>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234A0683">
            <w:pPr>
              <w:spacing w:before="120" w:line="240" w:lineRule="auto"/>
              <w:ind w:left="43"/>
              <w:jc w:val="center"/>
              <w:rPr>
                <w:rFonts w:hAnsi="宋体"/>
                <w:color w:val="auto"/>
                <w:sz w:val="24"/>
                <w:highlight w:val="none"/>
              </w:rPr>
            </w:pPr>
          </w:p>
        </w:tc>
      </w:tr>
      <w:tr w14:paraId="7E92B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18942DDE">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598EDA66">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07B05852">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1338FDE2">
            <w:pPr>
              <w:spacing w:before="120" w:line="240" w:lineRule="auto"/>
              <w:ind w:left="43"/>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0C709482">
            <w:pPr>
              <w:spacing w:before="120" w:line="240" w:lineRule="auto"/>
              <w:ind w:left="43"/>
              <w:jc w:val="center"/>
              <w:rPr>
                <w:rFonts w:hAnsi="宋体"/>
                <w:color w:val="auto"/>
                <w:sz w:val="24"/>
                <w:highlight w:val="none"/>
              </w:rPr>
            </w:pPr>
          </w:p>
        </w:tc>
      </w:tr>
      <w:tr w14:paraId="5DB85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083B2D40">
            <w:pPr>
              <w:jc w:val="center"/>
              <w:rPr>
                <w:rFonts w:hAnsi="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0B4446CF">
            <w:pPr>
              <w:jc w:val="center"/>
              <w:rPr>
                <w:rFonts w:hAnsi="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6143A6A5">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7B5D0332">
            <w:pPr>
              <w:spacing w:before="120" w:line="240" w:lineRule="auto"/>
              <w:ind w:left="43"/>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3A508DA6">
            <w:pPr>
              <w:spacing w:before="120" w:line="240" w:lineRule="auto"/>
              <w:ind w:left="43"/>
              <w:jc w:val="center"/>
              <w:rPr>
                <w:rFonts w:hAnsi="宋体"/>
                <w:color w:val="auto"/>
                <w:sz w:val="24"/>
                <w:highlight w:val="none"/>
              </w:rPr>
            </w:pPr>
          </w:p>
        </w:tc>
      </w:tr>
      <w:tr w14:paraId="03EF6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062D9EF2">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2CA9B962">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1F37518E">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28406B6F">
            <w:pPr>
              <w:spacing w:before="120" w:line="240" w:lineRule="auto"/>
              <w:ind w:left="43"/>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4A6659AA">
            <w:pPr>
              <w:spacing w:before="120" w:line="240" w:lineRule="auto"/>
              <w:ind w:left="43"/>
              <w:jc w:val="center"/>
              <w:rPr>
                <w:rFonts w:hAnsi="宋体"/>
                <w:color w:val="auto"/>
                <w:sz w:val="24"/>
                <w:highlight w:val="none"/>
              </w:rPr>
            </w:pPr>
          </w:p>
        </w:tc>
      </w:tr>
      <w:tr w14:paraId="139CFC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429" w:type="dxa"/>
            <w:tcBorders>
              <w:top w:val="single" w:color="auto" w:sz="4" w:space="0"/>
              <w:left w:val="single" w:color="auto" w:sz="4" w:space="0"/>
              <w:bottom w:val="single" w:color="auto" w:sz="4" w:space="0"/>
              <w:right w:val="single" w:color="auto" w:sz="4" w:space="0"/>
            </w:tcBorders>
            <w:vAlign w:val="center"/>
          </w:tcPr>
          <w:p w14:paraId="0A55DD0A">
            <w:pPr>
              <w:jc w:val="center"/>
              <w:rPr>
                <w:rFonts w:hAnsi="宋体" w:cs="宋体"/>
                <w:color w:val="auto"/>
                <w:szCs w:val="21"/>
                <w:highlight w:val="none"/>
              </w:rPr>
            </w:pPr>
          </w:p>
        </w:tc>
        <w:tc>
          <w:tcPr>
            <w:tcW w:w="1429" w:type="dxa"/>
            <w:tcBorders>
              <w:top w:val="single" w:color="auto" w:sz="4" w:space="0"/>
              <w:left w:val="single" w:color="auto" w:sz="4" w:space="0"/>
              <w:bottom w:val="single" w:color="auto" w:sz="4" w:space="0"/>
              <w:right w:val="single" w:color="auto" w:sz="4" w:space="0"/>
            </w:tcBorders>
            <w:vAlign w:val="center"/>
          </w:tcPr>
          <w:p w14:paraId="5143DB73">
            <w:pPr>
              <w:jc w:val="center"/>
              <w:rPr>
                <w:rFonts w:hAnsi="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1B0D8F5E">
            <w:pPr>
              <w:spacing w:line="240" w:lineRule="auto"/>
              <w:rPr>
                <w:rFonts w:hAnsi="宋体"/>
                <w:color w:val="auto"/>
                <w:sz w:val="24"/>
                <w:highlight w:val="none"/>
              </w:rPr>
            </w:pPr>
          </w:p>
        </w:tc>
        <w:tc>
          <w:tcPr>
            <w:tcW w:w="2460" w:type="dxa"/>
            <w:tcBorders>
              <w:top w:val="single" w:color="auto" w:sz="4" w:space="0"/>
              <w:left w:val="single" w:color="auto" w:sz="4" w:space="0"/>
              <w:bottom w:val="single" w:color="auto" w:sz="4" w:space="0"/>
              <w:right w:val="single" w:color="auto" w:sz="4" w:space="0"/>
            </w:tcBorders>
          </w:tcPr>
          <w:p w14:paraId="7241CE9B">
            <w:pPr>
              <w:spacing w:before="120" w:line="240" w:lineRule="auto"/>
              <w:ind w:left="43"/>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619FF8C2">
            <w:pPr>
              <w:spacing w:before="120" w:line="240" w:lineRule="auto"/>
              <w:ind w:left="43"/>
              <w:jc w:val="center"/>
              <w:rPr>
                <w:rFonts w:hAnsi="宋体"/>
                <w:color w:val="auto"/>
                <w:sz w:val="24"/>
                <w:highlight w:val="none"/>
              </w:rPr>
            </w:pPr>
          </w:p>
        </w:tc>
      </w:tr>
      <w:tr w14:paraId="089AD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1429" w:type="dxa"/>
            <w:tcBorders>
              <w:top w:val="single" w:color="auto" w:sz="4" w:space="0"/>
              <w:left w:val="single" w:color="auto" w:sz="4" w:space="0"/>
              <w:bottom w:val="single" w:color="auto" w:sz="4" w:space="0"/>
              <w:right w:val="single" w:color="auto" w:sz="4" w:space="0"/>
            </w:tcBorders>
          </w:tcPr>
          <w:p w14:paraId="115DD2F7">
            <w:pPr>
              <w:jc w:val="center"/>
              <w:rPr>
                <w:rFonts w:hAnsi="宋体" w:cs="宋体"/>
                <w:bCs/>
                <w:color w:val="auto"/>
                <w:szCs w:val="21"/>
                <w:highlight w:val="none"/>
              </w:rPr>
            </w:pPr>
            <w:r>
              <w:rPr>
                <w:rFonts w:hint="eastAsia" w:hAnsi="宋体" w:cs="宋体"/>
                <w:bCs/>
                <w:color w:val="auto"/>
                <w:szCs w:val="21"/>
                <w:highlight w:val="none"/>
              </w:rPr>
              <w:t>/</w:t>
            </w:r>
          </w:p>
        </w:tc>
        <w:tc>
          <w:tcPr>
            <w:tcW w:w="1429" w:type="dxa"/>
            <w:tcBorders>
              <w:top w:val="single" w:color="auto" w:sz="4" w:space="0"/>
              <w:left w:val="single" w:color="auto" w:sz="4" w:space="0"/>
              <w:bottom w:val="single" w:color="auto" w:sz="4" w:space="0"/>
              <w:right w:val="single" w:color="auto" w:sz="4" w:space="0"/>
            </w:tcBorders>
          </w:tcPr>
          <w:p w14:paraId="7C43DB21">
            <w:pPr>
              <w:jc w:val="center"/>
              <w:rPr>
                <w:rFonts w:hAnsi="宋体"/>
                <w:color w:val="auto"/>
                <w:sz w:val="24"/>
                <w:highlight w:val="none"/>
              </w:rPr>
            </w:pPr>
            <w:r>
              <w:rPr>
                <w:rFonts w:hint="eastAsia" w:hAnsi="宋体" w:cs="宋体"/>
                <w:bCs/>
                <w:color w:val="auto"/>
                <w:szCs w:val="21"/>
                <w:highlight w:val="none"/>
              </w:rPr>
              <w:t>合同条款</w:t>
            </w:r>
          </w:p>
        </w:tc>
        <w:tc>
          <w:tcPr>
            <w:tcW w:w="2583" w:type="dxa"/>
            <w:tcBorders>
              <w:top w:val="single" w:color="auto" w:sz="4" w:space="0"/>
              <w:left w:val="single" w:color="auto" w:sz="4" w:space="0"/>
              <w:bottom w:val="single" w:color="auto" w:sz="4" w:space="0"/>
              <w:right w:val="single" w:color="auto" w:sz="4" w:space="0"/>
            </w:tcBorders>
          </w:tcPr>
          <w:p w14:paraId="523A69AA">
            <w:pPr>
              <w:spacing w:before="120" w:line="240" w:lineRule="auto"/>
              <w:jc w:val="center"/>
              <w:rPr>
                <w:rFonts w:hAnsi="宋体"/>
                <w:color w:val="auto"/>
                <w:sz w:val="24"/>
                <w:highlight w:val="none"/>
              </w:rPr>
            </w:pPr>
            <w:r>
              <w:rPr>
                <w:rFonts w:hint="eastAsia" w:hAnsi="宋体" w:cs="宋体"/>
                <w:bCs/>
                <w:color w:val="auto"/>
                <w:szCs w:val="21"/>
                <w:highlight w:val="none"/>
              </w:rPr>
              <w:t>具体</w:t>
            </w:r>
            <w:r>
              <w:rPr>
                <w:rFonts w:hAnsi="宋体" w:cs="宋体"/>
                <w:bCs/>
                <w:color w:val="auto"/>
                <w:szCs w:val="21"/>
                <w:highlight w:val="none"/>
              </w:rPr>
              <w:t>内容详见</w:t>
            </w:r>
            <w:r>
              <w:rPr>
                <w:rFonts w:hint="eastAsia" w:hAnsi="宋体" w:cs="宋体"/>
                <w:bCs/>
                <w:color w:val="auto"/>
                <w:szCs w:val="21"/>
                <w:highlight w:val="none"/>
              </w:rPr>
              <w:t>《第五章  拟签订的合同文本》内容</w:t>
            </w:r>
          </w:p>
        </w:tc>
        <w:tc>
          <w:tcPr>
            <w:tcW w:w="2460" w:type="dxa"/>
            <w:tcBorders>
              <w:top w:val="single" w:color="auto" w:sz="4" w:space="0"/>
              <w:left w:val="single" w:color="auto" w:sz="4" w:space="0"/>
              <w:bottom w:val="single" w:color="auto" w:sz="4" w:space="0"/>
              <w:right w:val="single" w:color="auto" w:sz="4" w:space="0"/>
            </w:tcBorders>
          </w:tcPr>
          <w:p w14:paraId="25F46F28">
            <w:pPr>
              <w:spacing w:before="120" w:line="240" w:lineRule="auto"/>
              <w:jc w:val="center"/>
              <w:rPr>
                <w:rFonts w:hAnsi="宋体"/>
                <w:color w:val="auto"/>
                <w:sz w:val="24"/>
                <w:highlight w:val="none"/>
              </w:rPr>
            </w:pPr>
          </w:p>
        </w:tc>
        <w:tc>
          <w:tcPr>
            <w:tcW w:w="1137" w:type="dxa"/>
            <w:tcBorders>
              <w:top w:val="single" w:color="auto" w:sz="4" w:space="0"/>
              <w:left w:val="single" w:color="auto" w:sz="4" w:space="0"/>
              <w:bottom w:val="single" w:color="auto" w:sz="4" w:space="0"/>
              <w:right w:val="single" w:color="auto" w:sz="4" w:space="0"/>
            </w:tcBorders>
          </w:tcPr>
          <w:p w14:paraId="2D59278D">
            <w:pPr>
              <w:spacing w:before="120" w:line="240" w:lineRule="auto"/>
              <w:jc w:val="center"/>
              <w:rPr>
                <w:rFonts w:hAnsi="宋体"/>
                <w:color w:val="auto"/>
                <w:sz w:val="24"/>
                <w:highlight w:val="none"/>
              </w:rPr>
            </w:pPr>
          </w:p>
        </w:tc>
      </w:tr>
    </w:tbl>
    <w:p w14:paraId="04B6A50B">
      <w:pPr>
        <w:pStyle w:val="16"/>
        <w:rPr>
          <w:rFonts w:hAnsi="宋体"/>
          <w:b w:val="0"/>
          <w:bCs w:val="0"/>
          <w:color w:val="auto"/>
          <w:highlight w:val="none"/>
        </w:rPr>
      </w:pPr>
      <w:r>
        <w:rPr>
          <w:rFonts w:hint="eastAsia" w:hAnsi="宋体"/>
          <w:b w:val="0"/>
          <w:bCs w:val="0"/>
          <w:color w:val="auto"/>
          <w:highlight w:val="none"/>
        </w:rPr>
        <w:t>注：</w:t>
      </w:r>
    </w:p>
    <w:p w14:paraId="6DE6521D">
      <w:pPr>
        <w:pStyle w:val="18"/>
        <w:spacing w:line="240" w:lineRule="auto"/>
        <w:ind w:firstLine="480"/>
        <w:rPr>
          <w:rFonts w:hAnsi="方正仿宋_GB2312" w:cs="方正仿宋_GB2312"/>
          <w:color w:val="auto"/>
          <w:szCs w:val="32"/>
          <w:highlight w:val="none"/>
        </w:rPr>
      </w:pPr>
      <w:r>
        <w:rPr>
          <w:rFonts w:hint="eastAsia" w:ascii="宋体" w:hAnsi="宋体" w:eastAsia="宋体"/>
          <w:color w:val="auto"/>
          <w:sz w:val="24"/>
          <w:szCs w:val="24"/>
          <w:highlight w:val="none"/>
        </w:rPr>
        <w:t>1.说明：应对照招标文件“第二章 采购需求”中的商务要求逐条作明确的投标响应，并作出偏离说明。</w:t>
      </w:r>
    </w:p>
    <w:p w14:paraId="37E90870">
      <w:pPr>
        <w:pStyle w:val="16"/>
        <w:spacing w:line="240" w:lineRule="auto"/>
        <w:ind w:firstLine="480"/>
        <w:rPr>
          <w:rFonts w:hAnsi="宋体"/>
          <w:b w:val="0"/>
          <w:bCs w:val="0"/>
          <w:color w:val="auto"/>
          <w:highlight w:val="none"/>
        </w:rPr>
      </w:pPr>
      <w:r>
        <w:rPr>
          <w:rFonts w:hAnsi="宋体"/>
          <w:b w:val="0"/>
          <w:bCs w:val="0"/>
          <w:color w:val="auto"/>
          <w:highlight w:val="none"/>
        </w:rPr>
        <w:t>2.</w:t>
      </w:r>
      <w:r>
        <w:rPr>
          <w:rFonts w:hint="eastAsia" w:hAnsi="宋体"/>
          <w:b w:val="0"/>
          <w:bCs w:val="0"/>
          <w:color w:val="auto"/>
          <w:highlight w:val="none"/>
        </w:rPr>
        <w:t>投标人应根据自身的承诺，对照招标文件要求在“偏离说明”中注明“</w:t>
      </w:r>
      <w:r>
        <w:rPr>
          <w:rFonts w:hint="eastAsia" w:hAnsi="宋体"/>
          <w:color w:val="auto"/>
          <w:highlight w:val="none"/>
        </w:rPr>
        <w:t>正偏离</w:t>
      </w:r>
      <w:r>
        <w:rPr>
          <w:rFonts w:hint="eastAsia" w:hAnsi="宋体"/>
          <w:color w:val="auto"/>
          <w:highlight w:val="none"/>
          <w:lang w:eastAsia="zh-CN"/>
        </w:rPr>
        <w:t>”“</w:t>
      </w:r>
      <w:r>
        <w:rPr>
          <w:rFonts w:hint="eastAsia" w:hAnsi="宋体"/>
          <w:color w:val="auto"/>
          <w:highlight w:val="none"/>
        </w:rPr>
        <w:t>负偏离</w:t>
      </w:r>
      <w:r>
        <w:rPr>
          <w:rFonts w:hint="eastAsia" w:hAnsi="宋体"/>
          <w:b w:val="0"/>
          <w:bCs w:val="0"/>
          <w:color w:val="auto"/>
          <w:highlight w:val="none"/>
        </w:rPr>
        <w:t>”或者“</w:t>
      </w:r>
      <w:r>
        <w:rPr>
          <w:rFonts w:hint="eastAsia" w:hAnsi="宋体"/>
          <w:color w:val="auto"/>
          <w:highlight w:val="none"/>
        </w:rPr>
        <w:t>无偏离</w:t>
      </w:r>
      <w:r>
        <w:rPr>
          <w:rFonts w:hint="eastAsia" w:hAnsi="宋体"/>
          <w:b w:val="0"/>
          <w:bCs w:val="0"/>
          <w:color w:val="auto"/>
          <w:highlight w:val="none"/>
        </w:rPr>
        <w:t>”。既不属于“</w:t>
      </w:r>
      <w:r>
        <w:rPr>
          <w:rFonts w:hint="eastAsia" w:hAnsi="宋体"/>
          <w:color w:val="auto"/>
          <w:highlight w:val="none"/>
        </w:rPr>
        <w:t>正偏离</w:t>
      </w:r>
      <w:r>
        <w:rPr>
          <w:rFonts w:hint="eastAsia" w:hAnsi="宋体"/>
          <w:b w:val="0"/>
          <w:bCs w:val="0"/>
          <w:color w:val="auto"/>
          <w:highlight w:val="none"/>
        </w:rPr>
        <w:t>”也不属于“</w:t>
      </w:r>
      <w:r>
        <w:rPr>
          <w:rFonts w:hint="eastAsia" w:hAnsi="宋体"/>
          <w:color w:val="auto"/>
          <w:highlight w:val="none"/>
        </w:rPr>
        <w:t>负偏离</w:t>
      </w:r>
      <w:r>
        <w:rPr>
          <w:rFonts w:hint="eastAsia" w:hAnsi="宋体"/>
          <w:b w:val="0"/>
          <w:bCs w:val="0"/>
          <w:color w:val="auto"/>
          <w:highlight w:val="none"/>
        </w:rPr>
        <w:t>”即为“</w:t>
      </w:r>
      <w:r>
        <w:rPr>
          <w:rFonts w:hint="eastAsia" w:hAnsi="宋体"/>
          <w:color w:val="auto"/>
          <w:highlight w:val="none"/>
        </w:rPr>
        <w:t>无偏离</w:t>
      </w:r>
      <w:r>
        <w:rPr>
          <w:rFonts w:hint="eastAsia" w:hAnsi="宋体"/>
          <w:b w:val="0"/>
          <w:bCs w:val="0"/>
          <w:color w:val="auto"/>
          <w:highlight w:val="none"/>
        </w:rPr>
        <w:t>”。</w:t>
      </w:r>
    </w:p>
    <w:p w14:paraId="01F58BBB">
      <w:pPr>
        <w:pStyle w:val="16"/>
        <w:spacing w:line="240" w:lineRule="auto"/>
        <w:ind w:firstLine="480"/>
        <w:rPr>
          <w:rFonts w:hAnsi="宋体"/>
          <w:bCs w:val="0"/>
          <w:color w:val="auto"/>
          <w:highlight w:val="none"/>
        </w:rPr>
      </w:pPr>
      <w:r>
        <w:rPr>
          <w:rFonts w:hint="eastAsia" w:hAnsi="宋体"/>
          <w:b w:val="0"/>
          <w:bCs w:val="0"/>
          <w:color w:val="auto"/>
          <w:highlight w:val="none"/>
        </w:rPr>
        <w:t>3.</w:t>
      </w:r>
      <w:r>
        <w:rPr>
          <w:rFonts w:hint="eastAsia" w:hAnsi="宋体"/>
          <w:bCs w:val="0"/>
          <w:color w:val="auto"/>
          <w:highlight w:val="none"/>
        </w:rPr>
        <w:t>招标文件商务要求</w:t>
      </w:r>
      <w:r>
        <w:rPr>
          <w:rFonts w:hAnsi="宋体"/>
          <w:bCs w:val="0"/>
          <w:color w:val="auto"/>
          <w:highlight w:val="none"/>
        </w:rPr>
        <w:t>为最低要求，若</w:t>
      </w:r>
      <w:r>
        <w:rPr>
          <w:rFonts w:hint="eastAsia" w:hAnsi="宋体"/>
          <w:bCs w:val="0"/>
          <w:color w:val="auto"/>
          <w:highlight w:val="none"/>
        </w:rPr>
        <w:t>投标文件中</w:t>
      </w:r>
      <w:r>
        <w:rPr>
          <w:rFonts w:hAnsi="宋体"/>
          <w:bCs w:val="0"/>
          <w:color w:val="auto"/>
          <w:highlight w:val="none"/>
        </w:rPr>
        <w:t>有</w:t>
      </w:r>
      <w:r>
        <w:rPr>
          <w:rFonts w:hint="eastAsia" w:hAnsi="宋体"/>
          <w:bCs w:val="0"/>
          <w:color w:val="auto"/>
          <w:highlight w:val="none"/>
        </w:rPr>
        <w:t>优于相关</w:t>
      </w:r>
      <w:r>
        <w:rPr>
          <w:rFonts w:hAnsi="宋体"/>
          <w:bCs w:val="0"/>
          <w:color w:val="auto"/>
          <w:highlight w:val="none"/>
        </w:rPr>
        <w:t>条款的</w:t>
      </w:r>
      <w:r>
        <w:rPr>
          <w:rFonts w:hint="eastAsia" w:hAnsi="宋体"/>
          <w:bCs w:val="0"/>
          <w:color w:val="auto"/>
          <w:highlight w:val="none"/>
        </w:rPr>
        <w:t>其他</w:t>
      </w:r>
      <w:r>
        <w:rPr>
          <w:rFonts w:hAnsi="宋体"/>
          <w:bCs w:val="0"/>
          <w:color w:val="auto"/>
          <w:highlight w:val="none"/>
        </w:rPr>
        <w:t>内容，以</w:t>
      </w:r>
      <w:r>
        <w:rPr>
          <w:rFonts w:hint="eastAsia" w:hAnsi="宋体"/>
          <w:bCs w:val="0"/>
          <w:color w:val="auto"/>
          <w:highlight w:val="none"/>
        </w:rPr>
        <w:t>最优内容为投标</w:t>
      </w:r>
      <w:r>
        <w:rPr>
          <w:rFonts w:hAnsi="宋体"/>
          <w:bCs w:val="0"/>
          <w:color w:val="auto"/>
          <w:highlight w:val="none"/>
        </w:rPr>
        <w:t>响应</w:t>
      </w:r>
      <w:r>
        <w:rPr>
          <w:rFonts w:hint="eastAsia" w:hAnsi="宋体"/>
          <w:bCs w:val="0"/>
          <w:color w:val="auto"/>
          <w:highlight w:val="none"/>
        </w:rPr>
        <w:t>。若为负偏离则作为投标无效处理。</w:t>
      </w:r>
    </w:p>
    <w:p w14:paraId="43FE2CA5">
      <w:pPr>
        <w:pStyle w:val="23"/>
        <w:spacing w:line="240" w:lineRule="auto"/>
        <w:jc w:val="center"/>
        <w:rPr>
          <w:rFonts w:hAnsi="宋体"/>
          <w:color w:val="auto"/>
          <w:sz w:val="24"/>
          <w:szCs w:val="24"/>
          <w:highlight w:val="none"/>
        </w:rPr>
      </w:pPr>
    </w:p>
    <w:p w14:paraId="09039A20">
      <w:pPr>
        <w:pStyle w:val="23"/>
        <w:spacing w:line="240" w:lineRule="auto"/>
        <w:jc w:val="center"/>
        <w:rPr>
          <w:rFonts w:hAnsi="宋体"/>
          <w:color w:val="auto"/>
          <w:sz w:val="24"/>
          <w:highlight w:val="none"/>
        </w:rPr>
      </w:pPr>
      <w:r>
        <w:rPr>
          <w:rFonts w:hint="eastAsia" w:hAnsi="宋体"/>
          <w:color w:val="auto"/>
          <w:sz w:val="24"/>
          <w:szCs w:val="24"/>
          <w:highlight w:val="none"/>
        </w:rPr>
        <w:t>法定代表人或者委托代理人（</w:t>
      </w:r>
      <w:r>
        <w:rPr>
          <w:rFonts w:hint="eastAsia" w:hAnsi="宋体"/>
          <w:b/>
          <w:bCs/>
          <w:color w:val="auto"/>
          <w:sz w:val="24"/>
          <w:szCs w:val="24"/>
          <w:highlight w:val="none"/>
        </w:rPr>
        <w:t>签字或者电子签名</w:t>
      </w: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highlight w:val="none"/>
        </w:rPr>
        <w:t xml:space="preserve">       </w:t>
      </w:r>
    </w:p>
    <w:p w14:paraId="6A3C827B">
      <w:pPr>
        <w:pStyle w:val="23"/>
        <w:spacing w:line="240" w:lineRule="auto"/>
        <w:jc w:val="center"/>
        <w:rPr>
          <w:rFonts w:hAnsi="宋体"/>
          <w:color w:val="auto"/>
          <w:sz w:val="24"/>
          <w:highlight w:val="none"/>
        </w:rPr>
      </w:pPr>
    </w:p>
    <w:p w14:paraId="2E66A61D">
      <w:pPr>
        <w:pStyle w:val="23"/>
        <w:spacing w:line="240" w:lineRule="auto"/>
        <w:jc w:val="center"/>
        <w:rPr>
          <w:rFonts w:hAnsi="宋体"/>
          <w:color w:val="auto"/>
          <w:sz w:val="24"/>
          <w:szCs w:val="24"/>
          <w:highlight w:val="none"/>
          <w:u w:val="single"/>
        </w:rPr>
      </w:pP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32FF82EC">
      <w:pPr>
        <w:pStyle w:val="23"/>
        <w:spacing w:line="240" w:lineRule="auto"/>
        <w:ind w:firstLine="480"/>
        <w:jc w:val="right"/>
        <w:rPr>
          <w:rFonts w:hAnsi="宋体"/>
          <w:color w:val="auto"/>
          <w:sz w:val="24"/>
          <w:szCs w:val="24"/>
          <w:highlight w:val="none"/>
        </w:rPr>
      </w:pP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F4E7027">
      <w:pPr>
        <w:pStyle w:val="23"/>
        <w:spacing w:line="240" w:lineRule="auto"/>
        <w:ind w:firstLine="480"/>
        <w:jc w:val="right"/>
        <w:rPr>
          <w:rFonts w:hAnsi="宋体"/>
          <w:color w:val="auto"/>
          <w:sz w:val="24"/>
          <w:szCs w:val="24"/>
          <w:highlight w:val="none"/>
        </w:rPr>
      </w:pPr>
    </w:p>
    <w:p w14:paraId="4F314888">
      <w:pPr>
        <w:pStyle w:val="23"/>
        <w:spacing w:line="240" w:lineRule="auto"/>
        <w:ind w:firstLine="480"/>
        <w:jc w:val="right"/>
        <w:rPr>
          <w:rFonts w:hAnsi="宋体"/>
          <w:color w:val="auto"/>
          <w:sz w:val="24"/>
          <w:szCs w:val="24"/>
          <w:highlight w:val="none"/>
        </w:rPr>
      </w:pPr>
    </w:p>
    <w:p w14:paraId="30B8645F">
      <w:pPr>
        <w:pStyle w:val="23"/>
        <w:spacing w:line="240" w:lineRule="auto"/>
        <w:ind w:firstLine="480"/>
        <w:jc w:val="right"/>
        <w:rPr>
          <w:rFonts w:hAnsi="宋体"/>
          <w:color w:val="auto"/>
          <w:sz w:val="24"/>
          <w:szCs w:val="24"/>
          <w:highlight w:val="none"/>
        </w:rPr>
      </w:pPr>
    </w:p>
    <w:p w14:paraId="2CEF579F">
      <w:pPr>
        <w:pStyle w:val="4"/>
        <w:rPr>
          <w:color w:val="auto"/>
          <w:highlight w:val="none"/>
        </w:rPr>
      </w:pPr>
      <w:r>
        <w:rPr>
          <w:rFonts w:hint="eastAsia"/>
          <w:color w:val="auto"/>
          <w:highlight w:val="none"/>
        </w:rPr>
        <w:t>7.业绩证明材料</w:t>
      </w:r>
    </w:p>
    <w:p w14:paraId="750130B2">
      <w:pPr>
        <w:widowControl/>
        <w:spacing w:before="50" w:after="50"/>
        <w:jc w:val="center"/>
        <w:rPr>
          <w:rFonts w:hAnsi="宋体" w:cs="方正小标宋简体"/>
          <w:b/>
          <w:color w:val="auto"/>
          <w:sz w:val="44"/>
          <w:szCs w:val="44"/>
          <w:highlight w:val="none"/>
        </w:rPr>
      </w:pPr>
      <w:r>
        <w:rPr>
          <w:rFonts w:hint="eastAsia" w:hAnsi="宋体" w:cs="方正小标宋简体"/>
          <w:b/>
          <w:color w:val="auto"/>
          <w:sz w:val="44"/>
          <w:szCs w:val="44"/>
          <w:highlight w:val="none"/>
        </w:rPr>
        <w:t>业绩情况一览表</w:t>
      </w:r>
    </w:p>
    <w:p w14:paraId="49B616DF">
      <w:pPr>
        <w:rPr>
          <w:color w:val="auto"/>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7"/>
        <w:gridCol w:w="1417"/>
        <w:gridCol w:w="1758"/>
        <w:gridCol w:w="1465"/>
        <w:gridCol w:w="2361"/>
      </w:tblGrid>
      <w:tr w14:paraId="385B62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3"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69984CBD">
            <w:pPr>
              <w:jc w:val="center"/>
              <w:rPr>
                <w:rFonts w:hAnsi="宋体"/>
                <w:b/>
                <w:bCs/>
                <w:color w:val="auto"/>
                <w:sz w:val="24"/>
                <w:highlight w:val="none"/>
              </w:rPr>
            </w:pPr>
            <w:r>
              <w:rPr>
                <w:rFonts w:hint="eastAsia" w:hAnsi="宋体"/>
                <w:b/>
                <w:bCs/>
                <w:color w:val="auto"/>
                <w:sz w:val="24"/>
                <w:highlight w:val="none"/>
              </w:rPr>
              <w:t>采购人名称</w:t>
            </w:r>
          </w:p>
        </w:tc>
        <w:tc>
          <w:tcPr>
            <w:tcW w:w="1417" w:type="dxa"/>
            <w:tcBorders>
              <w:top w:val="single" w:color="auto" w:sz="4" w:space="0"/>
              <w:left w:val="single" w:color="auto" w:sz="4" w:space="0"/>
              <w:bottom w:val="single" w:color="auto" w:sz="4" w:space="0"/>
              <w:right w:val="single" w:color="auto" w:sz="4" w:space="0"/>
            </w:tcBorders>
            <w:vAlign w:val="center"/>
          </w:tcPr>
          <w:p w14:paraId="12C4E5CD">
            <w:pPr>
              <w:jc w:val="center"/>
              <w:rPr>
                <w:rFonts w:hAnsi="宋体"/>
                <w:b/>
                <w:bCs/>
                <w:color w:val="auto"/>
                <w:sz w:val="24"/>
                <w:highlight w:val="none"/>
              </w:rPr>
            </w:pPr>
            <w:r>
              <w:rPr>
                <w:rFonts w:hint="eastAsia" w:hAnsi="宋体"/>
                <w:b/>
                <w:bCs/>
                <w:color w:val="auto"/>
                <w:sz w:val="24"/>
                <w:highlight w:val="none"/>
              </w:rPr>
              <w:t>项目名称</w:t>
            </w:r>
          </w:p>
        </w:tc>
        <w:tc>
          <w:tcPr>
            <w:tcW w:w="1758" w:type="dxa"/>
            <w:tcBorders>
              <w:top w:val="single" w:color="auto" w:sz="4" w:space="0"/>
              <w:left w:val="single" w:color="auto" w:sz="4" w:space="0"/>
              <w:bottom w:val="single" w:color="auto" w:sz="4" w:space="0"/>
              <w:right w:val="single" w:color="auto" w:sz="4" w:space="0"/>
            </w:tcBorders>
            <w:vAlign w:val="center"/>
          </w:tcPr>
          <w:p w14:paraId="26B0959B">
            <w:pPr>
              <w:jc w:val="center"/>
              <w:rPr>
                <w:rFonts w:hAnsi="宋体"/>
                <w:b/>
                <w:bCs/>
                <w:color w:val="auto"/>
                <w:sz w:val="24"/>
                <w:highlight w:val="none"/>
              </w:rPr>
            </w:pPr>
            <w:r>
              <w:rPr>
                <w:rFonts w:hint="eastAsia" w:hAnsi="宋体"/>
                <w:b/>
                <w:bCs/>
                <w:color w:val="auto"/>
                <w:sz w:val="24"/>
                <w:highlight w:val="none"/>
              </w:rPr>
              <w:t>合同标的内容</w:t>
            </w:r>
          </w:p>
        </w:tc>
        <w:tc>
          <w:tcPr>
            <w:tcW w:w="1465" w:type="dxa"/>
            <w:tcBorders>
              <w:top w:val="single" w:color="auto" w:sz="4" w:space="0"/>
              <w:left w:val="single" w:color="auto" w:sz="4" w:space="0"/>
              <w:bottom w:val="single" w:color="auto" w:sz="4" w:space="0"/>
              <w:right w:val="single" w:color="auto" w:sz="4" w:space="0"/>
            </w:tcBorders>
            <w:vAlign w:val="center"/>
          </w:tcPr>
          <w:p w14:paraId="5F68349F">
            <w:pPr>
              <w:jc w:val="center"/>
              <w:rPr>
                <w:rFonts w:hAnsi="宋体"/>
                <w:b/>
                <w:bCs/>
                <w:color w:val="auto"/>
                <w:sz w:val="24"/>
                <w:highlight w:val="none"/>
              </w:rPr>
            </w:pPr>
            <w:r>
              <w:rPr>
                <w:rFonts w:hint="eastAsia" w:hAnsi="宋体"/>
                <w:b/>
                <w:bCs/>
                <w:color w:val="auto"/>
                <w:sz w:val="24"/>
                <w:highlight w:val="none"/>
              </w:rPr>
              <w:t>合同金额</w:t>
            </w:r>
          </w:p>
          <w:p w14:paraId="3BB7A562">
            <w:pPr>
              <w:jc w:val="center"/>
              <w:rPr>
                <w:rFonts w:hAnsi="宋体"/>
                <w:b/>
                <w:bCs/>
                <w:color w:val="auto"/>
                <w:sz w:val="24"/>
                <w:highlight w:val="none"/>
              </w:rPr>
            </w:pPr>
            <w:r>
              <w:rPr>
                <w:rFonts w:hint="eastAsia" w:hAnsi="宋体"/>
                <w:b/>
                <w:bCs/>
                <w:color w:val="auto"/>
                <w:sz w:val="24"/>
                <w:highlight w:val="none"/>
              </w:rPr>
              <w:t>（万元）</w:t>
            </w:r>
          </w:p>
        </w:tc>
        <w:tc>
          <w:tcPr>
            <w:tcW w:w="2361" w:type="dxa"/>
            <w:tcBorders>
              <w:top w:val="single" w:color="auto" w:sz="4" w:space="0"/>
              <w:left w:val="single" w:color="auto" w:sz="4" w:space="0"/>
              <w:bottom w:val="single" w:color="auto" w:sz="4" w:space="0"/>
              <w:right w:val="single" w:color="auto" w:sz="4" w:space="0"/>
            </w:tcBorders>
            <w:vAlign w:val="center"/>
          </w:tcPr>
          <w:p w14:paraId="0F50707A">
            <w:pPr>
              <w:jc w:val="center"/>
              <w:rPr>
                <w:rFonts w:hAnsi="宋体"/>
                <w:b/>
                <w:bCs/>
                <w:color w:val="auto"/>
                <w:sz w:val="24"/>
                <w:highlight w:val="none"/>
              </w:rPr>
            </w:pPr>
            <w:r>
              <w:rPr>
                <w:rFonts w:hint="eastAsia" w:hAnsi="宋体"/>
                <w:b/>
                <w:bCs/>
                <w:color w:val="auto"/>
                <w:sz w:val="24"/>
                <w:highlight w:val="none"/>
              </w:rPr>
              <w:t>采购人联系人及</w:t>
            </w:r>
          </w:p>
          <w:p w14:paraId="1BF7C3ED">
            <w:pPr>
              <w:jc w:val="center"/>
              <w:rPr>
                <w:rFonts w:hAnsi="宋体"/>
                <w:b/>
                <w:bCs/>
                <w:color w:val="auto"/>
                <w:sz w:val="24"/>
                <w:highlight w:val="none"/>
              </w:rPr>
            </w:pPr>
            <w:r>
              <w:rPr>
                <w:rFonts w:hint="eastAsia" w:hAnsi="宋体"/>
                <w:b/>
                <w:bCs/>
                <w:color w:val="auto"/>
                <w:sz w:val="24"/>
                <w:highlight w:val="none"/>
              </w:rPr>
              <w:t>联系电话</w:t>
            </w:r>
          </w:p>
        </w:tc>
      </w:tr>
      <w:tr w14:paraId="24E4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527" w:type="dxa"/>
            <w:tcBorders>
              <w:top w:val="single" w:color="auto" w:sz="4" w:space="0"/>
              <w:left w:val="single" w:color="auto" w:sz="4" w:space="0"/>
              <w:bottom w:val="single" w:color="auto" w:sz="4" w:space="0"/>
              <w:right w:val="single" w:color="auto" w:sz="4" w:space="0"/>
            </w:tcBorders>
          </w:tcPr>
          <w:p w14:paraId="02E53CD8">
            <w:pPr>
              <w:rPr>
                <w:rFonts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2F5BD7E0">
            <w:pPr>
              <w:rPr>
                <w:rFonts w:hAnsi="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tcPr>
          <w:p w14:paraId="71758910">
            <w:pPr>
              <w:rPr>
                <w:rFonts w:hAnsi="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tcPr>
          <w:p w14:paraId="45180FBE">
            <w:pPr>
              <w:rPr>
                <w:rFonts w:hAnsi="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tcPr>
          <w:p w14:paraId="4720B946">
            <w:pPr>
              <w:rPr>
                <w:rFonts w:hAnsi="宋体"/>
                <w:color w:val="auto"/>
                <w:sz w:val="24"/>
                <w:highlight w:val="none"/>
              </w:rPr>
            </w:pPr>
          </w:p>
        </w:tc>
      </w:tr>
      <w:tr w14:paraId="79710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7" w:type="dxa"/>
            <w:tcBorders>
              <w:top w:val="single" w:color="auto" w:sz="4" w:space="0"/>
              <w:left w:val="single" w:color="auto" w:sz="4" w:space="0"/>
              <w:bottom w:val="single" w:color="auto" w:sz="4" w:space="0"/>
              <w:right w:val="single" w:color="auto" w:sz="4" w:space="0"/>
            </w:tcBorders>
          </w:tcPr>
          <w:p w14:paraId="735192C2">
            <w:pPr>
              <w:spacing w:before="50" w:after="120"/>
              <w:rPr>
                <w:rFonts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1B781EDB">
            <w:pPr>
              <w:spacing w:before="50" w:after="120"/>
              <w:rPr>
                <w:rFonts w:hAnsi="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tcPr>
          <w:p w14:paraId="6A446D21">
            <w:pPr>
              <w:spacing w:before="50" w:after="120"/>
              <w:rPr>
                <w:rFonts w:hAnsi="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tcPr>
          <w:p w14:paraId="5E1B8652">
            <w:pPr>
              <w:spacing w:before="50" w:after="120"/>
              <w:rPr>
                <w:rFonts w:hAnsi="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tcPr>
          <w:p w14:paraId="60FCD0E1">
            <w:pPr>
              <w:spacing w:before="50" w:after="120"/>
              <w:rPr>
                <w:rFonts w:hAnsi="宋体"/>
                <w:color w:val="auto"/>
                <w:sz w:val="24"/>
                <w:highlight w:val="none"/>
              </w:rPr>
            </w:pPr>
          </w:p>
        </w:tc>
      </w:tr>
      <w:tr w14:paraId="001F2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527" w:type="dxa"/>
            <w:tcBorders>
              <w:top w:val="single" w:color="auto" w:sz="4" w:space="0"/>
              <w:left w:val="single" w:color="auto" w:sz="4" w:space="0"/>
              <w:bottom w:val="single" w:color="auto" w:sz="4" w:space="0"/>
              <w:right w:val="single" w:color="auto" w:sz="4" w:space="0"/>
            </w:tcBorders>
          </w:tcPr>
          <w:p w14:paraId="6077DE60">
            <w:pPr>
              <w:spacing w:before="50" w:after="120"/>
              <w:rPr>
                <w:rFonts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719AF9B7">
            <w:pPr>
              <w:spacing w:before="50" w:after="120"/>
              <w:rPr>
                <w:rFonts w:hAnsi="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tcPr>
          <w:p w14:paraId="616AD073">
            <w:pPr>
              <w:spacing w:before="50" w:after="120"/>
              <w:rPr>
                <w:rFonts w:hAnsi="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tcPr>
          <w:p w14:paraId="59CBA611">
            <w:pPr>
              <w:spacing w:before="50" w:after="120"/>
              <w:rPr>
                <w:rFonts w:hAnsi="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tcPr>
          <w:p w14:paraId="74AEAF4B">
            <w:pPr>
              <w:spacing w:before="50" w:after="120"/>
              <w:rPr>
                <w:rFonts w:hAnsi="宋体"/>
                <w:color w:val="auto"/>
                <w:sz w:val="24"/>
                <w:highlight w:val="none"/>
              </w:rPr>
            </w:pPr>
          </w:p>
        </w:tc>
      </w:tr>
      <w:tr w14:paraId="460F9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7" w:type="dxa"/>
            <w:tcBorders>
              <w:top w:val="single" w:color="auto" w:sz="4" w:space="0"/>
              <w:left w:val="single" w:color="auto" w:sz="4" w:space="0"/>
              <w:bottom w:val="single" w:color="auto" w:sz="4" w:space="0"/>
              <w:right w:val="single" w:color="auto" w:sz="4" w:space="0"/>
            </w:tcBorders>
          </w:tcPr>
          <w:p w14:paraId="2D8EC8FB">
            <w:pPr>
              <w:spacing w:before="50" w:after="120"/>
              <w:rPr>
                <w:rFonts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59C102D9">
            <w:pPr>
              <w:spacing w:before="50" w:after="120"/>
              <w:rPr>
                <w:rFonts w:hAnsi="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tcPr>
          <w:p w14:paraId="5C972B7A">
            <w:pPr>
              <w:spacing w:before="50" w:after="120"/>
              <w:rPr>
                <w:rFonts w:hAnsi="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tcPr>
          <w:p w14:paraId="2E6BCFB2">
            <w:pPr>
              <w:spacing w:before="50" w:after="120"/>
              <w:rPr>
                <w:rFonts w:hAnsi="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tcPr>
          <w:p w14:paraId="790BBA79">
            <w:pPr>
              <w:spacing w:before="50" w:after="120"/>
              <w:rPr>
                <w:rFonts w:hAnsi="宋体"/>
                <w:color w:val="auto"/>
                <w:sz w:val="24"/>
                <w:highlight w:val="none"/>
              </w:rPr>
            </w:pPr>
          </w:p>
        </w:tc>
      </w:tr>
      <w:tr w14:paraId="6046D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7" w:type="dxa"/>
            <w:tcBorders>
              <w:top w:val="single" w:color="auto" w:sz="4" w:space="0"/>
              <w:left w:val="single" w:color="auto" w:sz="4" w:space="0"/>
              <w:bottom w:val="single" w:color="auto" w:sz="4" w:space="0"/>
              <w:right w:val="single" w:color="auto" w:sz="4" w:space="0"/>
            </w:tcBorders>
          </w:tcPr>
          <w:p w14:paraId="0DCFD0D1">
            <w:pPr>
              <w:spacing w:before="50" w:after="120"/>
              <w:rPr>
                <w:rFonts w:hAnsi="宋体"/>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788A95A0">
            <w:pPr>
              <w:spacing w:before="50" w:after="120"/>
              <w:rPr>
                <w:rFonts w:hAnsi="宋体"/>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tcPr>
          <w:p w14:paraId="779B01B3">
            <w:pPr>
              <w:spacing w:before="50" w:after="120"/>
              <w:rPr>
                <w:rFonts w:hAnsi="宋体"/>
                <w:color w:val="auto"/>
                <w:sz w:val="24"/>
                <w:highlight w:val="none"/>
              </w:rPr>
            </w:pPr>
          </w:p>
        </w:tc>
        <w:tc>
          <w:tcPr>
            <w:tcW w:w="1465" w:type="dxa"/>
            <w:tcBorders>
              <w:top w:val="single" w:color="auto" w:sz="4" w:space="0"/>
              <w:left w:val="single" w:color="auto" w:sz="4" w:space="0"/>
              <w:bottom w:val="single" w:color="auto" w:sz="4" w:space="0"/>
              <w:right w:val="single" w:color="auto" w:sz="4" w:space="0"/>
            </w:tcBorders>
          </w:tcPr>
          <w:p w14:paraId="109D237F">
            <w:pPr>
              <w:spacing w:before="50" w:after="120"/>
              <w:rPr>
                <w:rFonts w:hAnsi="宋体"/>
                <w:color w:val="auto"/>
                <w:sz w:val="24"/>
                <w:highlight w:val="none"/>
              </w:rPr>
            </w:pPr>
          </w:p>
        </w:tc>
        <w:tc>
          <w:tcPr>
            <w:tcW w:w="2361" w:type="dxa"/>
            <w:tcBorders>
              <w:top w:val="single" w:color="auto" w:sz="4" w:space="0"/>
              <w:left w:val="single" w:color="auto" w:sz="4" w:space="0"/>
              <w:bottom w:val="single" w:color="auto" w:sz="4" w:space="0"/>
              <w:right w:val="single" w:color="auto" w:sz="4" w:space="0"/>
            </w:tcBorders>
          </w:tcPr>
          <w:p w14:paraId="77676F2A">
            <w:pPr>
              <w:spacing w:before="50" w:after="120"/>
              <w:rPr>
                <w:rFonts w:hAnsi="宋体"/>
                <w:color w:val="auto"/>
                <w:sz w:val="24"/>
                <w:highlight w:val="none"/>
              </w:rPr>
            </w:pPr>
          </w:p>
        </w:tc>
      </w:tr>
    </w:tbl>
    <w:p w14:paraId="39276C2C">
      <w:pPr>
        <w:pStyle w:val="14"/>
        <w:spacing w:before="0" w:after="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eastAsia="宋体"/>
          <w:color w:val="auto"/>
          <w:sz w:val="24"/>
          <w:highlight w:val="none"/>
        </w:rPr>
        <w:t>投标人根据评标标准具体要求附业绩证明材料。</w:t>
      </w:r>
    </w:p>
    <w:p w14:paraId="386DB757">
      <w:pPr>
        <w:pStyle w:val="14"/>
        <w:spacing w:before="0" w:after="0"/>
        <w:ind w:firstLine="120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法定代表人或者委托代理人（</w:t>
      </w:r>
      <w:r>
        <w:rPr>
          <w:rFonts w:hint="eastAsia" w:ascii="宋体" w:hAnsi="宋体" w:eastAsia="宋体"/>
          <w:b/>
          <w:bCs/>
          <w:color w:val="auto"/>
          <w:sz w:val="24"/>
          <w:szCs w:val="24"/>
          <w:highlight w:val="none"/>
        </w:rPr>
        <w:t>签字或者电子签名</w:t>
      </w:r>
      <w:r>
        <w:rPr>
          <w:rFonts w:hint="eastAsia" w:ascii="宋体" w:hAnsi="宋体" w:eastAsia="宋体"/>
          <w:color w:val="auto"/>
          <w:sz w:val="24"/>
          <w:szCs w:val="24"/>
          <w:highlight w:val="none"/>
        </w:rPr>
        <w:t xml:space="preserve">）： </w:t>
      </w:r>
      <w:r>
        <w:rPr>
          <w:rFonts w:hint="eastAsia" w:ascii="宋体" w:hAnsi="宋体" w:eastAsia="宋体"/>
          <w:color w:val="auto"/>
          <w:sz w:val="24"/>
          <w:szCs w:val="24"/>
          <w:highlight w:val="none"/>
          <w:u w:val="single"/>
        </w:rPr>
        <w:t xml:space="preserve">      </w:t>
      </w:r>
    </w:p>
    <w:p w14:paraId="641F58E6">
      <w:pPr>
        <w:pStyle w:val="23"/>
        <w:spacing w:line="600" w:lineRule="auto"/>
        <w:jc w:val="right"/>
        <w:rPr>
          <w:rFonts w:hAnsi="宋体"/>
          <w:color w:val="auto"/>
          <w:sz w:val="24"/>
          <w:szCs w:val="24"/>
          <w:highlight w:val="none"/>
          <w:u w:val="single"/>
        </w:rPr>
      </w:pP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int="eastAsia" w:hAnsi="宋体"/>
          <w:color w:val="auto"/>
          <w:sz w:val="24"/>
          <w:highlight w:val="none"/>
          <w:u w:val="single"/>
        </w:rPr>
        <w:t>______</w:t>
      </w:r>
      <w:r>
        <w:rPr>
          <w:rFonts w:hAnsi="宋体"/>
          <w:color w:val="auto"/>
          <w:sz w:val="24"/>
          <w:highlight w:val="none"/>
          <w:u w:val="single"/>
        </w:rPr>
        <w:t xml:space="preserve">      </w:t>
      </w:r>
      <w:r>
        <w:rPr>
          <w:rFonts w:hint="eastAsia" w:hAnsi="宋体"/>
          <w:color w:val="auto"/>
          <w:sz w:val="24"/>
          <w:highlight w:val="none"/>
          <w:u w:val="single"/>
        </w:rPr>
        <w:t>_</w:t>
      </w:r>
    </w:p>
    <w:p w14:paraId="21A256A8">
      <w:pPr>
        <w:pStyle w:val="23"/>
        <w:spacing w:line="600" w:lineRule="auto"/>
        <w:jc w:val="right"/>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67290372">
      <w:pPr>
        <w:spacing w:before="120"/>
        <w:rPr>
          <w:rFonts w:hAnsi="宋体"/>
          <w:color w:val="auto"/>
          <w:sz w:val="24"/>
          <w:szCs w:val="20"/>
          <w:highlight w:val="none"/>
        </w:rPr>
        <w:sectPr>
          <w:headerReference r:id="rId14" w:type="default"/>
          <w:footerReference r:id="rId15" w:type="default"/>
          <w:pgSz w:w="11906" w:h="16838"/>
          <w:pgMar w:top="1440" w:right="1797" w:bottom="1440" w:left="1797" w:header="851" w:footer="992" w:gutter="0"/>
          <w:pgNumType w:fmt="decimal"/>
          <w:cols w:space="1701" w:num="1"/>
        </w:sectPr>
      </w:pPr>
    </w:p>
    <w:p w14:paraId="262AE875">
      <w:pPr>
        <w:pStyle w:val="4"/>
        <w:rPr>
          <w:color w:val="auto"/>
          <w:highlight w:val="none"/>
        </w:rPr>
      </w:pPr>
      <w:r>
        <w:rPr>
          <w:rFonts w:hint="eastAsia"/>
          <w:color w:val="auto"/>
          <w:highlight w:val="none"/>
        </w:rPr>
        <w:t>8.技术要求偏离表格式</w:t>
      </w:r>
    </w:p>
    <w:p w14:paraId="57249C68">
      <w:pPr>
        <w:widowControl/>
        <w:spacing w:before="50" w:after="50"/>
        <w:jc w:val="center"/>
        <w:rPr>
          <w:rFonts w:hAnsi="宋体" w:cs="方正小标宋简体"/>
          <w:b/>
          <w:color w:val="auto"/>
          <w:sz w:val="44"/>
          <w:szCs w:val="44"/>
          <w:highlight w:val="none"/>
        </w:rPr>
      </w:pPr>
      <w:r>
        <w:rPr>
          <w:rFonts w:hint="eastAsia" w:hAnsi="宋体" w:cs="方正小标宋简体"/>
          <w:b/>
          <w:color w:val="auto"/>
          <w:sz w:val="44"/>
          <w:szCs w:val="44"/>
          <w:highlight w:val="none"/>
        </w:rPr>
        <w:t>技术要求偏离表</w:t>
      </w:r>
    </w:p>
    <w:p w14:paraId="32911BB2">
      <w:pPr>
        <w:spacing w:before="120" w:after="50"/>
        <w:ind w:left="142"/>
        <w:jc w:val="center"/>
        <w:rPr>
          <w:rFonts w:hAnsi="宋体"/>
          <w:b/>
          <w:color w:val="auto"/>
          <w:sz w:val="32"/>
          <w:szCs w:val="32"/>
          <w:highlight w:val="none"/>
        </w:rPr>
      </w:pPr>
    </w:p>
    <w:tbl>
      <w:tblPr>
        <w:tblStyle w:val="47"/>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621"/>
        <w:gridCol w:w="1685"/>
        <w:gridCol w:w="1395"/>
        <w:gridCol w:w="1425"/>
        <w:gridCol w:w="1539"/>
      </w:tblGrid>
      <w:tr w14:paraId="53D8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14:paraId="0C859B1D">
            <w:pPr>
              <w:pStyle w:val="23"/>
              <w:jc w:val="center"/>
              <w:rPr>
                <w:rFonts w:hAnsi="宋体" w:cs="Courier New"/>
                <w:color w:val="auto"/>
                <w:sz w:val="24"/>
                <w:szCs w:val="24"/>
                <w:highlight w:val="none"/>
              </w:rPr>
            </w:pPr>
            <w:r>
              <w:rPr>
                <w:rFonts w:hint="eastAsia" w:hAnsi="宋体" w:cs="Courier New"/>
                <w:b/>
                <w:bCs/>
                <w:color w:val="auto"/>
                <w:sz w:val="24"/>
                <w:szCs w:val="24"/>
                <w:highlight w:val="none"/>
              </w:rPr>
              <w:t>项号</w:t>
            </w:r>
          </w:p>
        </w:tc>
        <w:tc>
          <w:tcPr>
            <w:tcW w:w="1621" w:type="dxa"/>
            <w:tcBorders>
              <w:top w:val="single" w:color="auto" w:sz="4" w:space="0"/>
              <w:left w:val="single" w:color="auto" w:sz="4" w:space="0"/>
              <w:bottom w:val="single" w:color="auto" w:sz="4" w:space="0"/>
              <w:right w:val="single" w:color="auto" w:sz="4" w:space="0"/>
            </w:tcBorders>
            <w:vAlign w:val="center"/>
          </w:tcPr>
          <w:p w14:paraId="7C9C55FD">
            <w:pPr>
              <w:pStyle w:val="23"/>
              <w:jc w:val="center"/>
              <w:rPr>
                <w:rFonts w:hAnsi="宋体"/>
                <w:color w:val="auto"/>
                <w:sz w:val="24"/>
                <w:highlight w:val="none"/>
              </w:rPr>
            </w:pPr>
            <w:r>
              <w:rPr>
                <w:rFonts w:hint="eastAsia" w:hAnsi="宋体" w:cs="Courier New"/>
                <w:b/>
                <w:bCs/>
                <w:color w:val="auto"/>
                <w:sz w:val="24"/>
                <w:szCs w:val="24"/>
                <w:highlight w:val="none"/>
              </w:rPr>
              <w:t>标的名称</w:t>
            </w:r>
          </w:p>
        </w:tc>
        <w:tc>
          <w:tcPr>
            <w:tcW w:w="1685" w:type="dxa"/>
            <w:tcBorders>
              <w:top w:val="single" w:color="auto" w:sz="4" w:space="0"/>
              <w:left w:val="single" w:color="auto" w:sz="4" w:space="0"/>
              <w:bottom w:val="single" w:color="auto" w:sz="4" w:space="0"/>
              <w:right w:val="single" w:color="auto" w:sz="4" w:space="0"/>
            </w:tcBorders>
            <w:vAlign w:val="center"/>
          </w:tcPr>
          <w:p w14:paraId="149BBC6E">
            <w:pPr>
              <w:pStyle w:val="23"/>
              <w:spacing w:line="600" w:lineRule="exact"/>
              <w:jc w:val="center"/>
              <w:rPr>
                <w:rFonts w:hAnsi="宋体" w:cs="Courier New"/>
                <w:color w:val="auto"/>
                <w:sz w:val="24"/>
                <w:szCs w:val="24"/>
                <w:highlight w:val="none"/>
              </w:rPr>
            </w:pPr>
            <w:r>
              <w:rPr>
                <w:rFonts w:hint="eastAsia" w:hAnsi="宋体" w:cs="宋体"/>
                <w:b/>
                <w:bCs/>
                <w:color w:val="auto"/>
                <w:highlight w:val="none"/>
                <w:lang w:bidi="ar"/>
              </w:rPr>
              <w:t>技术要求</w:t>
            </w:r>
          </w:p>
        </w:tc>
        <w:tc>
          <w:tcPr>
            <w:tcW w:w="1395" w:type="dxa"/>
            <w:tcBorders>
              <w:top w:val="single" w:color="auto" w:sz="4" w:space="0"/>
              <w:left w:val="single" w:color="auto" w:sz="4" w:space="0"/>
              <w:bottom w:val="single" w:color="auto" w:sz="4" w:space="0"/>
              <w:right w:val="single" w:color="auto" w:sz="4" w:space="0"/>
            </w:tcBorders>
            <w:vAlign w:val="center"/>
          </w:tcPr>
          <w:p w14:paraId="7FAEB415">
            <w:pPr>
              <w:pStyle w:val="23"/>
              <w:spacing w:line="600" w:lineRule="exact"/>
              <w:jc w:val="center"/>
              <w:rPr>
                <w:rFonts w:hAnsi="宋体" w:cs="Courier New"/>
                <w:color w:val="auto"/>
                <w:sz w:val="24"/>
                <w:szCs w:val="24"/>
                <w:highlight w:val="none"/>
              </w:rPr>
            </w:pPr>
            <w:r>
              <w:rPr>
                <w:rFonts w:hint="eastAsia" w:hAnsi="宋体" w:cs="Courier New"/>
                <w:b/>
                <w:bCs/>
                <w:color w:val="auto"/>
                <w:sz w:val="24"/>
                <w:szCs w:val="24"/>
                <w:highlight w:val="none"/>
              </w:rPr>
              <w:t>投标响应</w:t>
            </w:r>
          </w:p>
        </w:tc>
        <w:tc>
          <w:tcPr>
            <w:tcW w:w="1425" w:type="dxa"/>
            <w:tcBorders>
              <w:top w:val="single" w:color="auto" w:sz="4" w:space="0"/>
              <w:left w:val="single" w:color="auto" w:sz="4" w:space="0"/>
              <w:bottom w:val="single" w:color="auto" w:sz="4" w:space="0"/>
              <w:right w:val="single" w:color="auto" w:sz="4" w:space="0"/>
            </w:tcBorders>
            <w:vAlign w:val="center"/>
          </w:tcPr>
          <w:p w14:paraId="1D2683AC">
            <w:pPr>
              <w:pStyle w:val="23"/>
              <w:spacing w:line="600" w:lineRule="exact"/>
              <w:jc w:val="center"/>
              <w:rPr>
                <w:rFonts w:hAnsi="宋体" w:cs="Courier New"/>
                <w:color w:val="auto"/>
                <w:sz w:val="24"/>
                <w:szCs w:val="24"/>
                <w:highlight w:val="none"/>
              </w:rPr>
            </w:pPr>
            <w:r>
              <w:rPr>
                <w:rFonts w:hint="eastAsia" w:hAnsi="宋体" w:cs="Courier New"/>
                <w:b/>
                <w:bCs/>
                <w:color w:val="auto"/>
                <w:sz w:val="24"/>
                <w:szCs w:val="24"/>
                <w:highlight w:val="none"/>
              </w:rPr>
              <w:t>偏离说明</w:t>
            </w:r>
          </w:p>
        </w:tc>
        <w:tc>
          <w:tcPr>
            <w:tcW w:w="1539" w:type="dxa"/>
            <w:tcBorders>
              <w:top w:val="single" w:color="auto" w:sz="4" w:space="0"/>
              <w:left w:val="single" w:color="auto" w:sz="4" w:space="0"/>
              <w:bottom w:val="single" w:color="auto" w:sz="4" w:space="0"/>
              <w:right w:val="single" w:color="auto" w:sz="4" w:space="0"/>
            </w:tcBorders>
            <w:vAlign w:val="center"/>
          </w:tcPr>
          <w:p w14:paraId="6BF881B5">
            <w:pPr>
              <w:pStyle w:val="23"/>
              <w:spacing w:line="600" w:lineRule="exact"/>
              <w:jc w:val="center"/>
              <w:rPr>
                <w:rFonts w:hAnsi="宋体" w:cs="Courier New"/>
                <w:color w:val="auto"/>
                <w:sz w:val="24"/>
                <w:szCs w:val="24"/>
                <w:highlight w:val="none"/>
              </w:rPr>
            </w:pPr>
            <w:r>
              <w:rPr>
                <w:rFonts w:hint="eastAsia" w:hAnsi="宋体" w:cs="Courier New"/>
                <w:b/>
                <w:bCs/>
                <w:color w:val="auto"/>
                <w:sz w:val="24"/>
                <w:szCs w:val="24"/>
                <w:highlight w:val="none"/>
              </w:rPr>
              <w:t>佐证材料</w:t>
            </w:r>
            <w:r>
              <w:rPr>
                <w:rFonts w:hAnsi="宋体" w:cs="Courier New"/>
                <w:b/>
                <w:bCs/>
                <w:color w:val="auto"/>
                <w:sz w:val="24"/>
                <w:szCs w:val="24"/>
                <w:highlight w:val="none"/>
              </w:rPr>
              <w:t>所在页码</w:t>
            </w:r>
            <w:r>
              <w:rPr>
                <w:rFonts w:hint="eastAsia" w:hAnsi="宋体" w:cs="Courier New"/>
                <w:b/>
                <w:bCs/>
                <w:color w:val="auto"/>
                <w:sz w:val="24"/>
                <w:szCs w:val="24"/>
                <w:highlight w:val="none"/>
              </w:rPr>
              <w:t>（如有）</w:t>
            </w:r>
          </w:p>
        </w:tc>
      </w:tr>
      <w:tr w14:paraId="2F02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32" w:type="dxa"/>
            <w:tcBorders>
              <w:top w:val="single" w:color="auto" w:sz="4" w:space="0"/>
              <w:left w:val="single" w:color="auto" w:sz="4" w:space="0"/>
              <w:bottom w:val="single" w:color="auto" w:sz="4" w:space="0"/>
              <w:right w:val="single" w:color="auto" w:sz="4" w:space="0"/>
            </w:tcBorders>
          </w:tcPr>
          <w:p w14:paraId="1D963675">
            <w:pPr>
              <w:pStyle w:val="23"/>
              <w:spacing w:line="600" w:lineRule="exact"/>
              <w:jc w:val="center"/>
              <w:rPr>
                <w:rFonts w:hAnsi="宋体" w:cs="Courier New"/>
                <w:color w:val="auto"/>
                <w:sz w:val="24"/>
                <w:szCs w:val="24"/>
                <w:highlight w:val="none"/>
              </w:rPr>
            </w:pPr>
            <w:r>
              <w:rPr>
                <w:rFonts w:hint="eastAsia" w:hAnsi="宋体" w:cs="Courier New"/>
                <w:color w:val="auto"/>
                <w:sz w:val="24"/>
                <w:szCs w:val="24"/>
                <w:highlight w:val="none"/>
              </w:rPr>
              <w:t>1</w:t>
            </w:r>
          </w:p>
        </w:tc>
        <w:tc>
          <w:tcPr>
            <w:tcW w:w="1621" w:type="dxa"/>
            <w:tcBorders>
              <w:top w:val="single" w:color="auto" w:sz="4" w:space="0"/>
              <w:left w:val="single" w:color="auto" w:sz="4" w:space="0"/>
              <w:bottom w:val="single" w:color="auto" w:sz="4" w:space="0"/>
              <w:right w:val="single" w:color="auto" w:sz="4" w:space="0"/>
            </w:tcBorders>
            <w:vAlign w:val="center"/>
          </w:tcPr>
          <w:p w14:paraId="134047FB">
            <w:pPr>
              <w:spacing w:line="560" w:lineRule="exact"/>
              <w:jc w:val="center"/>
              <w:rPr>
                <w:rFonts w:hAnsi="宋体"/>
                <w:color w:val="auto"/>
                <w:sz w:val="24"/>
                <w:highlight w:val="none"/>
              </w:rPr>
            </w:pPr>
          </w:p>
        </w:tc>
        <w:tc>
          <w:tcPr>
            <w:tcW w:w="1685" w:type="dxa"/>
            <w:tcBorders>
              <w:top w:val="single" w:color="auto" w:sz="4" w:space="0"/>
              <w:left w:val="single" w:color="auto" w:sz="4" w:space="0"/>
              <w:bottom w:val="single" w:color="auto" w:sz="4" w:space="0"/>
              <w:right w:val="single" w:color="auto" w:sz="4" w:space="0"/>
            </w:tcBorders>
            <w:vAlign w:val="center"/>
          </w:tcPr>
          <w:p w14:paraId="61935B80">
            <w:pPr>
              <w:pStyle w:val="23"/>
              <w:spacing w:line="600" w:lineRule="exact"/>
              <w:jc w:val="center"/>
              <w:rPr>
                <w:rFonts w:hAnsi="宋体" w:cs="Courier New"/>
                <w:color w:val="auto"/>
                <w:sz w:val="24"/>
                <w:szCs w:val="24"/>
                <w:highlight w:val="none"/>
              </w:rPr>
            </w:pPr>
          </w:p>
        </w:tc>
        <w:tc>
          <w:tcPr>
            <w:tcW w:w="1395" w:type="dxa"/>
            <w:tcBorders>
              <w:top w:val="single" w:color="auto" w:sz="4" w:space="0"/>
              <w:left w:val="single" w:color="auto" w:sz="4" w:space="0"/>
              <w:bottom w:val="single" w:color="auto" w:sz="4" w:space="0"/>
              <w:right w:val="single" w:color="auto" w:sz="4" w:space="0"/>
            </w:tcBorders>
            <w:vAlign w:val="center"/>
          </w:tcPr>
          <w:p w14:paraId="1A105C30">
            <w:pPr>
              <w:pStyle w:val="23"/>
              <w:spacing w:line="600" w:lineRule="exact"/>
              <w:jc w:val="center"/>
              <w:rPr>
                <w:rFonts w:hAnsi="宋体" w:cs="Courier New"/>
                <w:color w:val="auto"/>
                <w:sz w:val="24"/>
                <w:szCs w:val="24"/>
                <w:highlight w:val="none"/>
              </w:rPr>
            </w:pPr>
          </w:p>
        </w:tc>
        <w:tc>
          <w:tcPr>
            <w:tcW w:w="1425" w:type="dxa"/>
            <w:tcBorders>
              <w:top w:val="single" w:color="auto" w:sz="4" w:space="0"/>
              <w:left w:val="single" w:color="auto" w:sz="4" w:space="0"/>
              <w:bottom w:val="single" w:color="auto" w:sz="4" w:space="0"/>
              <w:right w:val="single" w:color="auto" w:sz="4" w:space="0"/>
            </w:tcBorders>
            <w:vAlign w:val="center"/>
          </w:tcPr>
          <w:p w14:paraId="15FF760E">
            <w:pPr>
              <w:pStyle w:val="23"/>
              <w:spacing w:line="600" w:lineRule="exact"/>
              <w:jc w:val="center"/>
              <w:rPr>
                <w:rFonts w:hAnsi="宋体" w:cs="Courier New"/>
                <w:color w:val="auto"/>
                <w:sz w:val="24"/>
                <w:szCs w:val="24"/>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14:paraId="637425DA">
            <w:pPr>
              <w:pStyle w:val="23"/>
              <w:spacing w:line="600" w:lineRule="exact"/>
              <w:jc w:val="center"/>
              <w:rPr>
                <w:rFonts w:hAnsi="宋体" w:cs="Courier New"/>
                <w:color w:val="auto"/>
                <w:sz w:val="24"/>
                <w:szCs w:val="24"/>
                <w:highlight w:val="none"/>
              </w:rPr>
            </w:pPr>
          </w:p>
        </w:tc>
      </w:tr>
      <w:tr w14:paraId="4434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32" w:type="dxa"/>
            <w:tcBorders>
              <w:top w:val="single" w:color="auto" w:sz="4" w:space="0"/>
              <w:left w:val="single" w:color="auto" w:sz="4" w:space="0"/>
              <w:bottom w:val="single" w:color="auto" w:sz="4" w:space="0"/>
              <w:right w:val="single" w:color="auto" w:sz="4" w:space="0"/>
            </w:tcBorders>
          </w:tcPr>
          <w:p w14:paraId="5DCBE88F">
            <w:pPr>
              <w:pStyle w:val="23"/>
              <w:spacing w:line="600" w:lineRule="exact"/>
              <w:jc w:val="center"/>
              <w:rPr>
                <w:rFonts w:hAnsi="宋体" w:cs="Courier New"/>
                <w:color w:val="auto"/>
                <w:sz w:val="24"/>
                <w:szCs w:val="24"/>
                <w:highlight w:val="none"/>
              </w:rPr>
            </w:pPr>
            <w:r>
              <w:rPr>
                <w:rFonts w:hint="eastAsia" w:hAnsi="宋体" w:cs="Courier New"/>
                <w:color w:val="auto"/>
                <w:sz w:val="24"/>
                <w:szCs w:val="24"/>
                <w:highlight w:val="none"/>
              </w:rPr>
              <w:t>2</w:t>
            </w:r>
          </w:p>
        </w:tc>
        <w:tc>
          <w:tcPr>
            <w:tcW w:w="1621" w:type="dxa"/>
            <w:tcBorders>
              <w:top w:val="single" w:color="auto" w:sz="4" w:space="0"/>
              <w:left w:val="single" w:color="auto" w:sz="4" w:space="0"/>
              <w:bottom w:val="single" w:color="auto" w:sz="4" w:space="0"/>
              <w:right w:val="single" w:color="auto" w:sz="4" w:space="0"/>
            </w:tcBorders>
            <w:vAlign w:val="center"/>
          </w:tcPr>
          <w:p w14:paraId="72A592B5">
            <w:pPr>
              <w:spacing w:line="560" w:lineRule="exact"/>
              <w:jc w:val="center"/>
              <w:rPr>
                <w:rFonts w:hAnsi="宋体"/>
                <w:color w:val="auto"/>
                <w:sz w:val="24"/>
                <w:highlight w:val="none"/>
              </w:rPr>
            </w:pPr>
          </w:p>
        </w:tc>
        <w:tc>
          <w:tcPr>
            <w:tcW w:w="1685" w:type="dxa"/>
            <w:tcBorders>
              <w:top w:val="single" w:color="auto" w:sz="4" w:space="0"/>
              <w:left w:val="single" w:color="auto" w:sz="4" w:space="0"/>
              <w:bottom w:val="single" w:color="auto" w:sz="4" w:space="0"/>
              <w:right w:val="single" w:color="auto" w:sz="4" w:space="0"/>
            </w:tcBorders>
            <w:vAlign w:val="center"/>
          </w:tcPr>
          <w:p w14:paraId="54FA2503">
            <w:pPr>
              <w:pStyle w:val="23"/>
              <w:spacing w:line="600" w:lineRule="exact"/>
              <w:jc w:val="center"/>
              <w:rPr>
                <w:rFonts w:hAnsi="宋体" w:cs="Courier New"/>
                <w:color w:val="auto"/>
                <w:sz w:val="24"/>
                <w:szCs w:val="24"/>
                <w:highlight w:val="none"/>
              </w:rPr>
            </w:pPr>
          </w:p>
        </w:tc>
        <w:tc>
          <w:tcPr>
            <w:tcW w:w="1395" w:type="dxa"/>
            <w:tcBorders>
              <w:top w:val="single" w:color="auto" w:sz="4" w:space="0"/>
              <w:left w:val="single" w:color="auto" w:sz="4" w:space="0"/>
              <w:bottom w:val="single" w:color="auto" w:sz="4" w:space="0"/>
              <w:right w:val="single" w:color="auto" w:sz="4" w:space="0"/>
            </w:tcBorders>
            <w:vAlign w:val="center"/>
          </w:tcPr>
          <w:p w14:paraId="27ADE829">
            <w:pPr>
              <w:pStyle w:val="23"/>
              <w:spacing w:line="600" w:lineRule="exact"/>
              <w:jc w:val="center"/>
              <w:rPr>
                <w:rFonts w:hAnsi="宋体" w:cs="Courier New"/>
                <w:color w:val="auto"/>
                <w:sz w:val="24"/>
                <w:szCs w:val="24"/>
                <w:highlight w:val="none"/>
              </w:rPr>
            </w:pPr>
          </w:p>
        </w:tc>
        <w:tc>
          <w:tcPr>
            <w:tcW w:w="1425" w:type="dxa"/>
            <w:tcBorders>
              <w:top w:val="single" w:color="auto" w:sz="4" w:space="0"/>
              <w:left w:val="single" w:color="auto" w:sz="4" w:space="0"/>
              <w:bottom w:val="single" w:color="auto" w:sz="4" w:space="0"/>
              <w:right w:val="single" w:color="auto" w:sz="4" w:space="0"/>
            </w:tcBorders>
            <w:vAlign w:val="center"/>
          </w:tcPr>
          <w:p w14:paraId="30DC1CEB">
            <w:pPr>
              <w:pStyle w:val="23"/>
              <w:spacing w:line="600" w:lineRule="exact"/>
              <w:jc w:val="center"/>
              <w:rPr>
                <w:rFonts w:hAnsi="宋体" w:cs="Courier New"/>
                <w:color w:val="auto"/>
                <w:sz w:val="24"/>
                <w:szCs w:val="24"/>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14:paraId="12F56071">
            <w:pPr>
              <w:pStyle w:val="23"/>
              <w:spacing w:line="600" w:lineRule="exact"/>
              <w:jc w:val="center"/>
              <w:rPr>
                <w:rFonts w:hAnsi="宋体" w:cs="Courier New"/>
                <w:color w:val="auto"/>
                <w:sz w:val="24"/>
                <w:szCs w:val="24"/>
                <w:highlight w:val="none"/>
              </w:rPr>
            </w:pPr>
          </w:p>
        </w:tc>
      </w:tr>
      <w:tr w14:paraId="2C34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832" w:type="dxa"/>
            <w:tcBorders>
              <w:top w:val="single" w:color="auto" w:sz="4" w:space="0"/>
              <w:left w:val="single" w:color="auto" w:sz="4" w:space="0"/>
              <w:bottom w:val="single" w:color="auto" w:sz="4" w:space="0"/>
              <w:right w:val="single" w:color="auto" w:sz="4" w:space="0"/>
            </w:tcBorders>
          </w:tcPr>
          <w:p w14:paraId="558E505D">
            <w:pPr>
              <w:pStyle w:val="23"/>
              <w:spacing w:line="600" w:lineRule="exact"/>
              <w:jc w:val="center"/>
              <w:rPr>
                <w:rFonts w:hAnsi="宋体" w:cs="Courier New"/>
                <w:color w:val="auto"/>
                <w:sz w:val="24"/>
                <w:szCs w:val="24"/>
                <w:highlight w:val="none"/>
              </w:rPr>
            </w:pPr>
            <w:r>
              <w:rPr>
                <w:rFonts w:hint="eastAsia" w:hAnsi="宋体" w:cs="Courier New"/>
                <w:color w:val="auto"/>
                <w:sz w:val="24"/>
                <w:szCs w:val="24"/>
                <w:highlight w:val="none"/>
              </w:rPr>
              <w:t>……</w:t>
            </w:r>
          </w:p>
        </w:tc>
        <w:tc>
          <w:tcPr>
            <w:tcW w:w="1621" w:type="dxa"/>
            <w:tcBorders>
              <w:top w:val="single" w:color="auto" w:sz="4" w:space="0"/>
              <w:left w:val="single" w:color="auto" w:sz="4" w:space="0"/>
              <w:bottom w:val="single" w:color="auto" w:sz="4" w:space="0"/>
              <w:right w:val="single" w:color="auto" w:sz="4" w:space="0"/>
            </w:tcBorders>
            <w:vAlign w:val="center"/>
          </w:tcPr>
          <w:p w14:paraId="4FADE9E2">
            <w:pPr>
              <w:spacing w:line="560" w:lineRule="exact"/>
              <w:jc w:val="center"/>
              <w:rPr>
                <w:rFonts w:hAnsi="宋体"/>
                <w:color w:val="auto"/>
                <w:sz w:val="24"/>
                <w:highlight w:val="none"/>
              </w:rPr>
            </w:pPr>
          </w:p>
        </w:tc>
        <w:tc>
          <w:tcPr>
            <w:tcW w:w="1685" w:type="dxa"/>
            <w:tcBorders>
              <w:top w:val="single" w:color="auto" w:sz="4" w:space="0"/>
              <w:left w:val="single" w:color="auto" w:sz="4" w:space="0"/>
              <w:bottom w:val="single" w:color="auto" w:sz="4" w:space="0"/>
              <w:right w:val="single" w:color="auto" w:sz="4" w:space="0"/>
            </w:tcBorders>
            <w:vAlign w:val="center"/>
          </w:tcPr>
          <w:p w14:paraId="5DF264BB">
            <w:pPr>
              <w:pStyle w:val="23"/>
              <w:spacing w:line="600" w:lineRule="exact"/>
              <w:jc w:val="center"/>
              <w:rPr>
                <w:rFonts w:hAnsi="宋体" w:cs="Courier New"/>
                <w:color w:val="auto"/>
                <w:sz w:val="24"/>
                <w:szCs w:val="24"/>
                <w:highlight w:val="none"/>
              </w:rPr>
            </w:pPr>
          </w:p>
        </w:tc>
        <w:tc>
          <w:tcPr>
            <w:tcW w:w="1395" w:type="dxa"/>
            <w:tcBorders>
              <w:top w:val="single" w:color="auto" w:sz="4" w:space="0"/>
              <w:left w:val="single" w:color="auto" w:sz="4" w:space="0"/>
              <w:bottom w:val="single" w:color="auto" w:sz="4" w:space="0"/>
              <w:right w:val="single" w:color="auto" w:sz="4" w:space="0"/>
            </w:tcBorders>
            <w:vAlign w:val="center"/>
          </w:tcPr>
          <w:p w14:paraId="103AAA03">
            <w:pPr>
              <w:pStyle w:val="23"/>
              <w:spacing w:line="600" w:lineRule="exact"/>
              <w:jc w:val="center"/>
              <w:rPr>
                <w:rFonts w:hAnsi="宋体" w:cs="Courier New"/>
                <w:color w:val="auto"/>
                <w:sz w:val="24"/>
                <w:szCs w:val="24"/>
                <w:highlight w:val="none"/>
              </w:rPr>
            </w:pPr>
          </w:p>
        </w:tc>
        <w:tc>
          <w:tcPr>
            <w:tcW w:w="1425" w:type="dxa"/>
            <w:tcBorders>
              <w:top w:val="single" w:color="auto" w:sz="4" w:space="0"/>
              <w:left w:val="single" w:color="auto" w:sz="4" w:space="0"/>
              <w:bottom w:val="single" w:color="auto" w:sz="4" w:space="0"/>
              <w:right w:val="single" w:color="auto" w:sz="4" w:space="0"/>
            </w:tcBorders>
            <w:vAlign w:val="center"/>
          </w:tcPr>
          <w:p w14:paraId="3656C85F">
            <w:pPr>
              <w:pStyle w:val="23"/>
              <w:spacing w:line="600" w:lineRule="exact"/>
              <w:jc w:val="center"/>
              <w:rPr>
                <w:rFonts w:hAnsi="宋体" w:cs="Courier New"/>
                <w:color w:val="auto"/>
                <w:sz w:val="24"/>
                <w:szCs w:val="24"/>
                <w:highlight w:val="none"/>
              </w:rPr>
            </w:pPr>
          </w:p>
        </w:tc>
        <w:tc>
          <w:tcPr>
            <w:tcW w:w="1539" w:type="dxa"/>
            <w:tcBorders>
              <w:top w:val="single" w:color="auto" w:sz="4" w:space="0"/>
              <w:left w:val="single" w:color="auto" w:sz="4" w:space="0"/>
              <w:bottom w:val="single" w:color="auto" w:sz="4" w:space="0"/>
              <w:right w:val="single" w:color="auto" w:sz="4" w:space="0"/>
            </w:tcBorders>
            <w:vAlign w:val="center"/>
          </w:tcPr>
          <w:p w14:paraId="05A5268F">
            <w:pPr>
              <w:pStyle w:val="23"/>
              <w:spacing w:line="600" w:lineRule="exact"/>
              <w:jc w:val="center"/>
              <w:rPr>
                <w:rFonts w:hAnsi="宋体" w:cs="Courier New"/>
                <w:color w:val="auto"/>
                <w:sz w:val="24"/>
                <w:szCs w:val="24"/>
                <w:highlight w:val="none"/>
              </w:rPr>
            </w:pPr>
          </w:p>
        </w:tc>
      </w:tr>
    </w:tbl>
    <w:p w14:paraId="19562A64">
      <w:pPr>
        <w:pStyle w:val="16"/>
        <w:spacing w:line="360" w:lineRule="auto"/>
        <w:contextualSpacing/>
        <w:rPr>
          <w:rFonts w:hAnsi="宋体"/>
          <w:b w:val="0"/>
          <w:bCs w:val="0"/>
          <w:color w:val="auto"/>
          <w:highlight w:val="none"/>
        </w:rPr>
      </w:pPr>
      <w:r>
        <w:rPr>
          <w:rFonts w:hint="eastAsia" w:hAnsi="宋体"/>
          <w:b w:val="0"/>
          <w:bCs w:val="0"/>
          <w:color w:val="auto"/>
          <w:highlight w:val="none"/>
        </w:rPr>
        <w:t>注：</w:t>
      </w:r>
    </w:p>
    <w:p w14:paraId="19A4FBD9">
      <w:pPr>
        <w:pStyle w:val="18"/>
        <w:ind w:firstLine="480"/>
        <w:contextualSpacing/>
        <w:rPr>
          <w:rFonts w:hAnsi="方正仿宋_GB2312" w:cs="方正仿宋_GB2312"/>
          <w:color w:val="auto"/>
          <w:szCs w:val="32"/>
          <w:highlight w:val="none"/>
        </w:rPr>
      </w:pPr>
      <w:r>
        <w:rPr>
          <w:rFonts w:hint="eastAsia" w:ascii="宋体" w:hAnsi="宋体" w:eastAsia="宋体"/>
          <w:color w:val="auto"/>
          <w:sz w:val="24"/>
          <w:szCs w:val="24"/>
          <w:highlight w:val="none"/>
        </w:rPr>
        <w:t>1.说明：应对照招标文件“第二章 采购需求”中的技术要求</w:t>
      </w:r>
      <w:r>
        <w:rPr>
          <w:rFonts w:hint="eastAsia" w:ascii="宋体" w:hAnsi="宋体" w:eastAsia="宋体"/>
          <w:b/>
          <w:bCs/>
          <w:color w:val="auto"/>
          <w:sz w:val="24"/>
          <w:szCs w:val="24"/>
          <w:highlight w:val="none"/>
        </w:rPr>
        <w:t>逐条作明确的投标响应</w:t>
      </w:r>
      <w:r>
        <w:rPr>
          <w:rFonts w:hint="eastAsia" w:ascii="宋体" w:hAnsi="宋体" w:eastAsia="宋体"/>
          <w:color w:val="auto"/>
          <w:sz w:val="24"/>
          <w:szCs w:val="24"/>
          <w:highlight w:val="none"/>
        </w:rPr>
        <w:t>，并作出偏离说明。</w:t>
      </w:r>
    </w:p>
    <w:p w14:paraId="695E6C2D">
      <w:pPr>
        <w:pStyle w:val="16"/>
        <w:spacing w:line="360" w:lineRule="auto"/>
        <w:ind w:firstLine="480"/>
        <w:contextualSpacing/>
        <w:rPr>
          <w:rFonts w:hAnsi="宋体"/>
          <w:b w:val="0"/>
          <w:bCs w:val="0"/>
          <w:color w:val="auto"/>
          <w:highlight w:val="none"/>
        </w:rPr>
      </w:pPr>
      <w:r>
        <w:rPr>
          <w:rFonts w:hAnsi="宋体"/>
          <w:b w:val="0"/>
          <w:bCs w:val="0"/>
          <w:color w:val="auto"/>
          <w:highlight w:val="none"/>
        </w:rPr>
        <w:t>2.</w:t>
      </w:r>
      <w:r>
        <w:rPr>
          <w:rFonts w:hint="eastAsia" w:hAnsi="宋体"/>
          <w:b w:val="0"/>
          <w:bCs w:val="0"/>
          <w:color w:val="auto"/>
          <w:highlight w:val="none"/>
        </w:rPr>
        <w:t>投标人应根据自身的承诺，对照招标文件要求，在“偏离说明”中注明“</w:t>
      </w:r>
      <w:r>
        <w:rPr>
          <w:rFonts w:hint="eastAsia" w:hAnsi="宋体"/>
          <w:color w:val="auto"/>
          <w:highlight w:val="none"/>
        </w:rPr>
        <w:t>正偏离</w:t>
      </w:r>
      <w:r>
        <w:rPr>
          <w:rFonts w:hint="eastAsia" w:hAnsi="宋体"/>
          <w:color w:val="auto"/>
          <w:highlight w:val="none"/>
          <w:lang w:eastAsia="zh-CN"/>
        </w:rPr>
        <w:t>”“</w:t>
      </w:r>
      <w:r>
        <w:rPr>
          <w:rFonts w:hint="eastAsia" w:hAnsi="宋体"/>
          <w:color w:val="auto"/>
          <w:highlight w:val="none"/>
        </w:rPr>
        <w:t>负偏离</w:t>
      </w:r>
      <w:r>
        <w:rPr>
          <w:rFonts w:hint="eastAsia" w:hAnsi="宋体"/>
          <w:b w:val="0"/>
          <w:bCs w:val="0"/>
          <w:color w:val="auto"/>
          <w:highlight w:val="none"/>
        </w:rPr>
        <w:t>”或者“</w:t>
      </w:r>
      <w:r>
        <w:rPr>
          <w:rFonts w:hint="eastAsia" w:hAnsi="宋体"/>
          <w:color w:val="auto"/>
          <w:highlight w:val="none"/>
        </w:rPr>
        <w:t>无偏离</w:t>
      </w:r>
      <w:r>
        <w:rPr>
          <w:rFonts w:hint="eastAsia" w:hAnsi="宋体"/>
          <w:b w:val="0"/>
          <w:bCs w:val="0"/>
          <w:color w:val="auto"/>
          <w:highlight w:val="none"/>
        </w:rPr>
        <w:t>”。既不属于“</w:t>
      </w:r>
      <w:r>
        <w:rPr>
          <w:rFonts w:hint="eastAsia" w:hAnsi="宋体"/>
          <w:color w:val="auto"/>
          <w:highlight w:val="none"/>
        </w:rPr>
        <w:t>正偏离</w:t>
      </w:r>
      <w:r>
        <w:rPr>
          <w:rFonts w:hint="eastAsia" w:hAnsi="宋体"/>
          <w:b w:val="0"/>
          <w:bCs w:val="0"/>
          <w:color w:val="auto"/>
          <w:highlight w:val="none"/>
        </w:rPr>
        <w:t>”也不属于“</w:t>
      </w:r>
      <w:r>
        <w:rPr>
          <w:rFonts w:hint="eastAsia" w:hAnsi="宋体"/>
          <w:color w:val="auto"/>
          <w:highlight w:val="none"/>
        </w:rPr>
        <w:t>负偏离</w:t>
      </w:r>
      <w:r>
        <w:rPr>
          <w:rFonts w:hint="eastAsia" w:hAnsi="宋体"/>
          <w:b w:val="0"/>
          <w:bCs w:val="0"/>
          <w:color w:val="auto"/>
          <w:highlight w:val="none"/>
        </w:rPr>
        <w:t>”即为“</w:t>
      </w:r>
      <w:r>
        <w:rPr>
          <w:rFonts w:hint="eastAsia" w:hAnsi="宋体"/>
          <w:color w:val="auto"/>
          <w:highlight w:val="none"/>
        </w:rPr>
        <w:t>无偏离</w:t>
      </w:r>
      <w:r>
        <w:rPr>
          <w:rFonts w:hint="eastAsia" w:hAnsi="宋体"/>
          <w:b w:val="0"/>
          <w:bCs w:val="0"/>
          <w:color w:val="auto"/>
          <w:highlight w:val="none"/>
        </w:rPr>
        <w:t>”。</w:t>
      </w:r>
    </w:p>
    <w:p w14:paraId="6668EAF6">
      <w:pPr>
        <w:pStyle w:val="16"/>
        <w:spacing w:line="360" w:lineRule="auto"/>
        <w:ind w:firstLine="480"/>
        <w:contextualSpacing/>
        <w:rPr>
          <w:rFonts w:hAnsi="宋体"/>
          <w:color w:val="auto"/>
          <w:highlight w:val="none"/>
        </w:rPr>
      </w:pPr>
      <w:r>
        <w:rPr>
          <w:rFonts w:hint="eastAsia" w:hAnsi="宋体"/>
          <w:b w:val="0"/>
          <w:bCs w:val="0"/>
          <w:color w:val="auto"/>
          <w:highlight w:val="none"/>
        </w:rPr>
        <w:t>3</w:t>
      </w:r>
      <w:r>
        <w:rPr>
          <w:rFonts w:hAnsi="宋体"/>
          <w:b w:val="0"/>
          <w:bCs w:val="0"/>
          <w:color w:val="auto"/>
          <w:highlight w:val="none"/>
        </w:rPr>
        <w:t>.</w:t>
      </w:r>
      <w:r>
        <w:rPr>
          <w:rFonts w:hint="eastAsia" w:hAnsi="宋体"/>
          <w:color w:val="auto"/>
          <w:highlight w:val="none"/>
        </w:rPr>
        <w:t>凡在“技术参数”中表述为“标配”或“标准配置”的设备，投标人应在</w:t>
      </w:r>
      <w:r>
        <w:rPr>
          <w:rFonts w:hint="eastAsia"/>
          <w:color w:val="auto"/>
          <w:highlight w:val="none"/>
        </w:rPr>
        <w:t>技术要求偏离表</w:t>
      </w:r>
      <w:r>
        <w:rPr>
          <w:rFonts w:hint="eastAsia" w:hAnsi="宋体"/>
          <w:color w:val="auto"/>
          <w:highlight w:val="none"/>
        </w:rPr>
        <w:t>中将其标配参数详细列明，否则投标无效。</w:t>
      </w:r>
    </w:p>
    <w:p w14:paraId="56385552">
      <w:pPr>
        <w:pStyle w:val="16"/>
        <w:spacing w:line="360" w:lineRule="auto"/>
        <w:ind w:firstLine="720"/>
        <w:contextualSpacing/>
        <w:rPr>
          <w:rFonts w:hAnsi="宋体"/>
          <w:color w:val="auto"/>
          <w:spacing w:val="20"/>
          <w:highlight w:val="none"/>
        </w:rPr>
      </w:pPr>
      <w:r>
        <w:rPr>
          <w:rFonts w:hint="eastAsia" w:hAnsi="宋体"/>
          <w:b w:val="0"/>
          <w:bCs w:val="0"/>
          <w:color w:val="auto"/>
          <w:highlight w:val="none"/>
        </w:rPr>
        <w:t>法定代表人或者委托代理人</w:t>
      </w:r>
      <w:r>
        <w:rPr>
          <w:rFonts w:hint="eastAsia" w:hAnsi="宋体"/>
          <w:color w:val="auto"/>
          <w:highlight w:val="none"/>
        </w:rPr>
        <w:t>（签字或者电子签名）：</w:t>
      </w:r>
      <w:r>
        <w:rPr>
          <w:rFonts w:hint="eastAsia" w:hAnsi="宋体"/>
          <w:color w:val="auto"/>
          <w:highlight w:val="none"/>
          <w:u w:val="single"/>
        </w:rPr>
        <w:t xml:space="preserve">       </w:t>
      </w:r>
    </w:p>
    <w:p w14:paraId="4A2E1E2E">
      <w:pPr>
        <w:pStyle w:val="23"/>
        <w:spacing w:line="600" w:lineRule="auto"/>
        <w:jc w:val="center"/>
        <w:rPr>
          <w:rFonts w:hAnsi="宋体"/>
          <w:color w:val="auto"/>
          <w:sz w:val="24"/>
          <w:szCs w:val="24"/>
          <w:highlight w:val="none"/>
          <w:u w:val="single"/>
        </w:rPr>
      </w:pPr>
      <w:r>
        <w:rPr>
          <w:rFonts w:hint="eastAsia" w:hAnsi="宋体"/>
          <w:color w:val="auto"/>
          <w:sz w:val="24"/>
          <w:highlight w:val="none"/>
        </w:rPr>
        <w:t>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66489A0F">
      <w:pPr>
        <w:pStyle w:val="23"/>
        <w:spacing w:line="600" w:lineRule="auto"/>
        <w:jc w:val="right"/>
        <w:rPr>
          <w:rFonts w:hAnsi="宋体"/>
          <w:color w:val="auto"/>
          <w:sz w:val="24"/>
          <w:szCs w:val="20"/>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A4B1901">
      <w:pPr>
        <w:pStyle w:val="42"/>
        <w:spacing w:before="0" w:beforeAutospacing="0" w:after="0" w:afterAutospacing="0" w:line="240" w:lineRule="auto"/>
        <w:rPr>
          <w:color w:val="auto"/>
          <w:highlight w:val="none"/>
        </w:rPr>
      </w:pPr>
      <w:r>
        <w:rPr>
          <w:color w:val="auto"/>
          <w:highlight w:val="none"/>
        </w:rPr>
        <w:br w:type="page" w:clear="all"/>
      </w:r>
      <w:r>
        <w:rPr>
          <w:rFonts w:hint="eastAsia"/>
          <w:b/>
          <w:bCs/>
          <w:color w:val="auto"/>
          <w:highlight w:val="none"/>
        </w:rPr>
        <w:t>9.项目实施人员一览表格式</w:t>
      </w:r>
    </w:p>
    <w:p w14:paraId="7E0AEFE2">
      <w:pPr>
        <w:widowControl/>
        <w:spacing w:before="50" w:after="50"/>
        <w:jc w:val="center"/>
        <w:rPr>
          <w:rFonts w:hAnsi="宋体" w:cs="方正小标宋简体"/>
          <w:b/>
          <w:color w:val="auto"/>
          <w:sz w:val="44"/>
          <w:szCs w:val="44"/>
          <w:highlight w:val="none"/>
        </w:rPr>
      </w:pPr>
      <w:r>
        <w:rPr>
          <w:rFonts w:hint="eastAsia" w:hAnsi="宋体" w:cs="方正小标宋简体"/>
          <w:b/>
          <w:color w:val="auto"/>
          <w:sz w:val="44"/>
          <w:szCs w:val="44"/>
          <w:highlight w:val="none"/>
        </w:rPr>
        <w:t>项目实施人员一览表</w:t>
      </w:r>
    </w:p>
    <w:p w14:paraId="04A1BDF8">
      <w:pPr>
        <w:pStyle w:val="23"/>
        <w:rPr>
          <w:color w:val="auto"/>
          <w:sz w:val="24"/>
          <w:szCs w:val="24"/>
          <w:highlight w:val="none"/>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14:paraId="6E5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tcBorders>
              <w:top w:val="single" w:color="auto" w:sz="4" w:space="0"/>
              <w:left w:val="single" w:color="auto" w:sz="4" w:space="0"/>
              <w:bottom w:val="single" w:color="auto" w:sz="4" w:space="0"/>
              <w:right w:val="single" w:color="auto" w:sz="4" w:space="0"/>
            </w:tcBorders>
            <w:vAlign w:val="center"/>
          </w:tcPr>
          <w:p w14:paraId="4C019927">
            <w:pPr>
              <w:spacing w:before="50" w:after="120"/>
              <w:jc w:val="center"/>
              <w:rPr>
                <w:rFonts w:hAnsi="宋体"/>
                <w:color w:val="auto"/>
                <w:sz w:val="24"/>
                <w:szCs w:val="20"/>
                <w:highlight w:val="none"/>
              </w:rPr>
            </w:pPr>
            <w:r>
              <w:rPr>
                <w:rFonts w:hint="eastAsia" w:hAnsi="宋体"/>
                <w:color w:val="auto"/>
                <w:sz w:val="24"/>
                <w:szCs w:val="20"/>
                <w:highlight w:val="none"/>
              </w:rPr>
              <w:t>姓名</w:t>
            </w:r>
          </w:p>
        </w:tc>
        <w:tc>
          <w:tcPr>
            <w:tcW w:w="774" w:type="dxa"/>
            <w:tcBorders>
              <w:top w:val="single" w:color="auto" w:sz="4" w:space="0"/>
              <w:left w:val="single" w:color="auto" w:sz="4" w:space="0"/>
              <w:bottom w:val="single" w:color="auto" w:sz="4" w:space="0"/>
              <w:right w:val="single" w:color="auto" w:sz="4" w:space="0"/>
            </w:tcBorders>
            <w:vAlign w:val="center"/>
          </w:tcPr>
          <w:p w14:paraId="745D40A3">
            <w:pPr>
              <w:spacing w:before="50" w:after="120"/>
              <w:jc w:val="center"/>
              <w:rPr>
                <w:rFonts w:hAnsi="宋体"/>
                <w:color w:val="auto"/>
                <w:sz w:val="24"/>
                <w:szCs w:val="20"/>
                <w:highlight w:val="none"/>
              </w:rPr>
            </w:pPr>
            <w:r>
              <w:rPr>
                <w:rFonts w:hint="eastAsia" w:hAnsi="宋体"/>
                <w:color w:val="auto"/>
                <w:sz w:val="24"/>
                <w:szCs w:val="20"/>
                <w:highlight w:val="none"/>
              </w:rPr>
              <w:t>职务</w:t>
            </w:r>
          </w:p>
        </w:tc>
        <w:tc>
          <w:tcPr>
            <w:tcW w:w="1857" w:type="dxa"/>
            <w:tcBorders>
              <w:top w:val="single" w:color="auto" w:sz="4" w:space="0"/>
              <w:left w:val="single" w:color="auto" w:sz="4" w:space="0"/>
              <w:bottom w:val="single" w:color="auto" w:sz="4" w:space="0"/>
              <w:right w:val="single" w:color="auto" w:sz="4" w:space="0"/>
            </w:tcBorders>
            <w:vAlign w:val="center"/>
          </w:tcPr>
          <w:p w14:paraId="38859464">
            <w:pPr>
              <w:spacing w:before="50" w:after="120"/>
              <w:jc w:val="center"/>
              <w:rPr>
                <w:rFonts w:hAnsi="宋体"/>
                <w:color w:val="auto"/>
                <w:sz w:val="24"/>
                <w:szCs w:val="20"/>
                <w:highlight w:val="none"/>
              </w:rPr>
            </w:pPr>
            <w:r>
              <w:rPr>
                <w:rFonts w:hint="eastAsia" w:hAnsi="宋体"/>
                <w:color w:val="auto"/>
                <w:sz w:val="24"/>
                <w:szCs w:val="20"/>
                <w:highlight w:val="none"/>
              </w:rPr>
              <w:t>专业技术资格（职称）或者职业资格或者执业资格证或者其他证书</w:t>
            </w:r>
          </w:p>
        </w:tc>
        <w:tc>
          <w:tcPr>
            <w:tcW w:w="1551" w:type="dxa"/>
            <w:tcBorders>
              <w:top w:val="single" w:color="auto" w:sz="4" w:space="0"/>
              <w:left w:val="single" w:color="auto" w:sz="4" w:space="0"/>
              <w:bottom w:val="single" w:color="auto" w:sz="4" w:space="0"/>
              <w:right w:val="single" w:color="auto" w:sz="4" w:space="0"/>
            </w:tcBorders>
            <w:vAlign w:val="center"/>
          </w:tcPr>
          <w:p w14:paraId="779A9ECF">
            <w:pPr>
              <w:spacing w:before="50" w:after="120"/>
              <w:jc w:val="center"/>
              <w:rPr>
                <w:rFonts w:hAnsi="宋体"/>
                <w:color w:val="auto"/>
                <w:sz w:val="24"/>
                <w:szCs w:val="20"/>
                <w:highlight w:val="none"/>
              </w:rPr>
            </w:pPr>
            <w:r>
              <w:rPr>
                <w:rFonts w:hint="eastAsia" w:hAnsi="宋体"/>
                <w:color w:val="auto"/>
                <w:sz w:val="24"/>
                <w:szCs w:val="20"/>
                <w:highlight w:val="none"/>
              </w:rPr>
              <w:t>证书编号</w:t>
            </w:r>
          </w:p>
        </w:tc>
        <w:tc>
          <w:tcPr>
            <w:tcW w:w="1854" w:type="dxa"/>
            <w:tcBorders>
              <w:top w:val="single" w:color="auto" w:sz="4" w:space="0"/>
              <w:left w:val="single" w:color="auto" w:sz="4" w:space="0"/>
              <w:bottom w:val="single" w:color="auto" w:sz="4" w:space="0"/>
              <w:right w:val="single" w:color="auto" w:sz="4" w:space="0"/>
            </w:tcBorders>
            <w:vAlign w:val="center"/>
          </w:tcPr>
          <w:p w14:paraId="01CB6D47">
            <w:pPr>
              <w:spacing w:before="50" w:after="120"/>
              <w:jc w:val="center"/>
              <w:rPr>
                <w:rFonts w:hAnsi="宋体"/>
                <w:color w:val="auto"/>
                <w:sz w:val="24"/>
                <w:szCs w:val="20"/>
                <w:highlight w:val="none"/>
              </w:rPr>
            </w:pPr>
            <w:r>
              <w:rPr>
                <w:rFonts w:hint="eastAsia" w:hAnsi="宋体"/>
                <w:color w:val="auto"/>
                <w:sz w:val="24"/>
                <w:szCs w:val="20"/>
                <w:highlight w:val="none"/>
              </w:rPr>
              <w:t>参加本单位</w:t>
            </w:r>
          </w:p>
          <w:p w14:paraId="742BFCDB">
            <w:pPr>
              <w:spacing w:before="50" w:after="120"/>
              <w:jc w:val="center"/>
              <w:rPr>
                <w:rFonts w:hAnsi="宋体"/>
                <w:color w:val="auto"/>
                <w:sz w:val="24"/>
                <w:szCs w:val="20"/>
                <w:highlight w:val="none"/>
              </w:rPr>
            </w:pPr>
            <w:r>
              <w:rPr>
                <w:rFonts w:hint="eastAsia" w:hAnsi="宋体"/>
                <w:color w:val="auto"/>
                <w:sz w:val="24"/>
                <w:szCs w:val="20"/>
                <w:highlight w:val="none"/>
              </w:rPr>
              <w:t>工作时间</w:t>
            </w:r>
          </w:p>
        </w:tc>
        <w:tc>
          <w:tcPr>
            <w:tcW w:w="2012" w:type="dxa"/>
            <w:tcBorders>
              <w:top w:val="single" w:color="auto" w:sz="4" w:space="0"/>
              <w:left w:val="single" w:color="auto" w:sz="4" w:space="0"/>
              <w:bottom w:val="single" w:color="auto" w:sz="4" w:space="0"/>
              <w:right w:val="single" w:color="auto" w:sz="4" w:space="0"/>
            </w:tcBorders>
            <w:vAlign w:val="center"/>
          </w:tcPr>
          <w:p w14:paraId="56904303">
            <w:pPr>
              <w:spacing w:before="50" w:after="120"/>
              <w:jc w:val="center"/>
              <w:rPr>
                <w:rFonts w:hAnsi="宋体"/>
                <w:color w:val="auto"/>
                <w:sz w:val="24"/>
                <w:szCs w:val="20"/>
                <w:highlight w:val="none"/>
              </w:rPr>
            </w:pPr>
            <w:r>
              <w:rPr>
                <w:rFonts w:hint="eastAsia" w:hAnsi="宋体"/>
                <w:color w:val="auto"/>
                <w:sz w:val="24"/>
                <w:szCs w:val="20"/>
                <w:highlight w:val="none"/>
              </w:rPr>
              <w:t>劳动合同编号</w:t>
            </w:r>
          </w:p>
        </w:tc>
      </w:tr>
      <w:tr w14:paraId="5356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tcBorders>
              <w:top w:val="single" w:color="auto" w:sz="4" w:space="0"/>
              <w:left w:val="single" w:color="auto" w:sz="4" w:space="0"/>
              <w:bottom w:val="single" w:color="auto" w:sz="4" w:space="0"/>
              <w:right w:val="single" w:color="auto" w:sz="4" w:space="0"/>
            </w:tcBorders>
            <w:vAlign w:val="center"/>
          </w:tcPr>
          <w:p w14:paraId="6127CF2E">
            <w:pPr>
              <w:spacing w:before="50" w:after="120"/>
              <w:jc w:val="center"/>
              <w:rPr>
                <w:rFonts w:hAnsi="宋体"/>
                <w:color w:val="auto"/>
                <w:sz w:val="24"/>
                <w:szCs w:val="20"/>
                <w:highlight w:val="none"/>
              </w:rPr>
            </w:pPr>
          </w:p>
        </w:tc>
        <w:tc>
          <w:tcPr>
            <w:tcW w:w="774" w:type="dxa"/>
            <w:tcBorders>
              <w:top w:val="single" w:color="auto" w:sz="4" w:space="0"/>
              <w:left w:val="single" w:color="auto" w:sz="4" w:space="0"/>
              <w:bottom w:val="single" w:color="auto" w:sz="4" w:space="0"/>
              <w:right w:val="single" w:color="auto" w:sz="4" w:space="0"/>
            </w:tcBorders>
            <w:vAlign w:val="center"/>
          </w:tcPr>
          <w:p w14:paraId="4F43F658">
            <w:pPr>
              <w:spacing w:before="50" w:after="120"/>
              <w:jc w:val="center"/>
              <w:rPr>
                <w:rFonts w:hAnsi="宋体"/>
                <w:color w:val="auto"/>
                <w:sz w:val="24"/>
                <w:szCs w:val="20"/>
                <w:highlight w:val="none"/>
              </w:rPr>
            </w:pPr>
          </w:p>
        </w:tc>
        <w:tc>
          <w:tcPr>
            <w:tcW w:w="1857" w:type="dxa"/>
            <w:tcBorders>
              <w:top w:val="single" w:color="auto" w:sz="4" w:space="0"/>
              <w:left w:val="single" w:color="auto" w:sz="4" w:space="0"/>
              <w:bottom w:val="single" w:color="auto" w:sz="4" w:space="0"/>
              <w:right w:val="single" w:color="auto" w:sz="4" w:space="0"/>
            </w:tcBorders>
            <w:vAlign w:val="center"/>
          </w:tcPr>
          <w:p w14:paraId="7D4E779D">
            <w:pPr>
              <w:spacing w:before="50" w:after="120"/>
              <w:jc w:val="center"/>
              <w:rPr>
                <w:rFonts w:hAnsi="宋体"/>
                <w:color w:val="auto"/>
                <w:sz w:val="24"/>
                <w:szCs w:val="20"/>
                <w:highlight w:val="none"/>
              </w:rPr>
            </w:pPr>
          </w:p>
        </w:tc>
        <w:tc>
          <w:tcPr>
            <w:tcW w:w="1551" w:type="dxa"/>
            <w:tcBorders>
              <w:top w:val="single" w:color="auto" w:sz="4" w:space="0"/>
              <w:left w:val="single" w:color="auto" w:sz="4" w:space="0"/>
              <w:bottom w:val="single" w:color="auto" w:sz="4" w:space="0"/>
              <w:right w:val="single" w:color="auto" w:sz="4" w:space="0"/>
            </w:tcBorders>
            <w:vAlign w:val="center"/>
          </w:tcPr>
          <w:p w14:paraId="464FC695">
            <w:pPr>
              <w:spacing w:before="50" w:after="120"/>
              <w:jc w:val="center"/>
              <w:rPr>
                <w:rFonts w:hAnsi="宋体"/>
                <w:color w:val="auto"/>
                <w:sz w:val="24"/>
                <w:szCs w:val="20"/>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7D822867">
            <w:pPr>
              <w:spacing w:before="50" w:after="120"/>
              <w:jc w:val="center"/>
              <w:rPr>
                <w:rFonts w:hAnsi="宋体"/>
                <w:color w:val="auto"/>
                <w:sz w:val="24"/>
                <w:szCs w:val="20"/>
                <w:highlight w:val="none"/>
              </w:rPr>
            </w:pPr>
          </w:p>
        </w:tc>
        <w:tc>
          <w:tcPr>
            <w:tcW w:w="2012" w:type="dxa"/>
            <w:tcBorders>
              <w:top w:val="single" w:color="auto" w:sz="4" w:space="0"/>
              <w:left w:val="single" w:color="auto" w:sz="4" w:space="0"/>
              <w:bottom w:val="single" w:color="auto" w:sz="4" w:space="0"/>
              <w:right w:val="single" w:color="auto" w:sz="4" w:space="0"/>
            </w:tcBorders>
            <w:vAlign w:val="center"/>
          </w:tcPr>
          <w:p w14:paraId="0554F54D">
            <w:pPr>
              <w:spacing w:before="50" w:after="120"/>
              <w:jc w:val="center"/>
              <w:rPr>
                <w:rFonts w:hAnsi="宋体"/>
                <w:color w:val="auto"/>
                <w:sz w:val="24"/>
                <w:szCs w:val="20"/>
                <w:highlight w:val="none"/>
              </w:rPr>
            </w:pPr>
          </w:p>
        </w:tc>
      </w:tr>
      <w:tr w14:paraId="37EF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tcBorders>
              <w:top w:val="single" w:color="auto" w:sz="4" w:space="0"/>
              <w:left w:val="single" w:color="auto" w:sz="4" w:space="0"/>
              <w:bottom w:val="single" w:color="auto" w:sz="4" w:space="0"/>
              <w:right w:val="single" w:color="auto" w:sz="4" w:space="0"/>
            </w:tcBorders>
            <w:vAlign w:val="center"/>
          </w:tcPr>
          <w:p w14:paraId="4075891A">
            <w:pPr>
              <w:spacing w:before="50" w:after="120"/>
              <w:jc w:val="center"/>
              <w:rPr>
                <w:rFonts w:hAnsi="宋体"/>
                <w:color w:val="auto"/>
                <w:sz w:val="24"/>
                <w:szCs w:val="20"/>
                <w:highlight w:val="none"/>
              </w:rPr>
            </w:pPr>
          </w:p>
        </w:tc>
        <w:tc>
          <w:tcPr>
            <w:tcW w:w="774" w:type="dxa"/>
            <w:tcBorders>
              <w:top w:val="single" w:color="auto" w:sz="4" w:space="0"/>
              <w:left w:val="single" w:color="auto" w:sz="4" w:space="0"/>
              <w:bottom w:val="single" w:color="auto" w:sz="4" w:space="0"/>
              <w:right w:val="single" w:color="auto" w:sz="4" w:space="0"/>
            </w:tcBorders>
            <w:vAlign w:val="center"/>
          </w:tcPr>
          <w:p w14:paraId="7819936B">
            <w:pPr>
              <w:spacing w:before="50" w:after="120"/>
              <w:jc w:val="center"/>
              <w:rPr>
                <w:rFonts w:hAnsi="宋体"/>
                <w:color w:val="auto"/>
                <w:sz w:val="24"/>
                <w:szCs w:val="20"/>
                <w:highlight w:val="none"/>
              </w:rPr>
            </w:pPr>
          </w:p>
        </w:tc>
        <w:tc>
          <w:tcPr>
            <w:tcW w:w="1857" w:type="dxa"/>
            <w:tcBorders>
              <w:top w:val="single" w:color="auto" w:sz="4" w:space="0"/>
              <w:left w:val="single" w:color="auto" w:sz="4" w:space="0"/>
              <w:bottom w:val="single" w:color="auto" w:sz="4" w:space="0"/>
              <w:right w:val="single" w:color="auto" w:sz="4" w:space="0"/>
            </w:tcBorders>
            <w:vAlign w:val="center"/>
          </w:tcPr>
          <w:p w14:paraId="08395C12">
            <w:pPr>
              <w:spacing w:before="50" w:after="120"/>
              <w:jc w:val="center"/>
              <w:rPr>
                <w:rFonts w:hAnsi="宋体"/>
                <w:color w:val="auto"/>
                <w:sz w:val="24"/>
                <w:szCs w:val="20"/>
                <w:highlight w:val="none"/>
              </w:rPr>
            </w:pPr>
          </w:p>
        </w:tc>
        <w:tc>
          <w:tcPr>
            <w:tcW w:w="1551" w:type="dxa"/>
            <w:tcBorders>
              <w:top w:val="single" w:color="auto" w:sz="4" w:space="0"/>
              <w:left w:val="single" w:color="auto" w:sz="4" w:space="0"/>
              <w:bottom w:val="single" w:color="auto" w:sz="4" w:space="0"/>
              <w:right w:val="single" w:color="auto" w:sz="4" w:space="0"/>
            </w:tcBorders>
            <w:vAlign w:val="center"/>
          </w:tcPr>
          <w:p w14:paraId="1B8DDD1B">
            <w:pPr>
              <w:spacing w:before="50" w:after="120"/>
              <w:jc w:val="center"/>
              <w:rPr>
                <w:rFonts w:hAnsi="宋体"/>
                <w:color w:val="auto"/>
                <w:sz w:val="24"/>
                <w:szCs w:val="20"/>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2C6821FC">
            <w:pPr>
              <w:spacing w:before="50" w:after="120"/>
              <w:jc w:val="center"/>
              <w:rPr>
                <w:rFonts w:hAnsi="宋体"/>
                <w:color w:val="auto"/>
                <w:sz w:val="24"/>
                <w:szCs w:val="20"/>
                <w:highlight w:val="none"/>
              </w:rPr>
            </w:pPr>
          </w:p>
        </w:tc>
        <w:tc>
          <w:tcPr>
            <w:tcW w:w="2012" w:type="dxa"/>
            <w:tcBorders>
              <w:top w:val="single" w:color="auto" w:sz="4" w:space="0"/>
              <w:left w:val="single" w:color="auto" w:sz="4" w:space="0"/>
              <w:bottom w:val="single" w:color="auto" w:sz="4" w:space="0"/>
              <w:right w:val="single" w:color="auto" w:sz="4" w:space="0"/>
            </w:tcBorders>
            <w:vAlign w:val="center"/>
          </w:tcPr>
          <w:p w14:paraId="31EC9DD5">
            <w:pPr>
              <w:spacing w:before="50" w:after="120"/>
              <w:jc w:val="center"/>
              <w:rPr>
                <w:rFonts w:hAnsi="宋体"/>
                <w:color w:val="auto"/>
                <w:sz w:val="24"/>
                <w:szCs w:val="20"/>
                <w:highlight w:val="none"/>
              </w:rPr>
            </w:pPr>
          </w:p>
        </w:tc>
      </w:tr>
      <w:tr w14:paraId="7EF8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tcBorders>
              <w:top w:val="single" w:color="auto" w:sz="4" w:space="0"/>
              <w:left w:val="single" w:color="auto" w:sz="4" w:space="0"/>
              <w:bottom w:val="single" w:color="auto" w:sz="4" w:space="0"/>
              <w:right w:val="single" w:color="auto" w:sz="4" w:space="0"/>
            </w:tcBorders>
            <w:vAlign w:val="center"/>
          </w:tcPr>
          <w:p w14:paraId="2618E294">
            <w:pPr>
              <w:spacing w:before="50" w:after="120"/>
              <w:jc w:val="center"/>
              <w:rPr>
                <w:rFonts w:hAnsi="宋体"/>
                <w:color w:val="auto"/>
                <w:sz w:val="24"/>
                <w:szCs w:val="20"/>
                <w:highlight w:val="none"/>
              </w:rPr>
            </w:pPr>
          </w:p>
        </w:tc>
        <w:tc>
          <w:tcPr>
            <w:tcW w:w="774" w:type="dxa"/>
            <w:tcBorders>
              <w:top w:val="single" w:color="auto" w:sz="4" w:space="0"/>
              <w:left w:val="single" w:color="auto" w:sz="4" w:space="0"/>
              <w:bottom w:val="single" w:color="auto" w:sz="4" w:space="0"/>
              <w:right w:val="single" w:color="auto" w:sz="4" w:space="0"/>
            </w:tcBorders>
            <w:vAlign w:val="center"/>
          </w:tcPr>
          <w:p w14:paraId="23B900DD">
            <w:pPr>
              <w:spacing w:before="50" w:after="120"/>
              <w:jc w:val="center"/>
              <w:rPr>
                <w:rFonts w:hAnsi="宋体"/>
                <w:color w:val="auto"/>
                <w:sz w:val="24"/>
                <w:szCs w:val="20"/>
                <w:highlight w:val="none"/>
              </w:rPr>
            </w:pPr>
          </w:p>
        </w:tc>
        <w:tc>
          <w:tcPr>
            <w:tcW w:w="1857" w:type="dxa"/>
            <w:tcBorders>
              <w:top w:val="single" w:color="auto" w:sz="4" w:space="0"/>
              <w:left w:val="single" w:color="auto" w:sz="4" w:space="0"/>
              <w:bottom w:val="single" w:color="auto" w:sz="4" w:space="0"/>
              <w:right w:val="single" w:color="auto" w:sz="4" w:space="0"/>
            </w:tcBorders>
            <w:vAlign w:val="center"/>
          </w:tcPr>
          <w:p w14:paraId="0B62E180">
            <w:pPr>
              <w:spacing w:before="50" w:after="120"/>
              <w:jc w:val="center"/>
              <w:rPr>
                <w:rFonts w:hAnsi="宋体"/>
                <w:color w:val="auto"/>
                <w:sz w:val="24"/>
                <w:szCs w:val="20"/>
                <w:highlight w:val="none"/>
              </w:rPr>
            </w:pPr>
          </w:p>
        </w:tc>
        <w:tc>
          <w:tcPr>
            <w:tcW w:w="1551" w:type="dxa"/>
            <w:tcBorders>
              <w:top w:val="single" w:color="auto" w:sz="4" w:space="0"/>
              <w:left w:val="single" w:color="auto" w:sz="4" w:space="0"/>
              <w:bottom w:val="single" w:color="auto" w:sz="4" w:space="0"/>
              <w:right w:val="single" w:color="auto" w:sz="4" w:space="0"/>
            </w:tcBorders>
            <w:vAlign w:val="center"/>
          </w:tcPr>
          <w:p w14:paraId="6B719C5A">
            <w:pPr>
              <w:spacing w:before="50" w:after="120"/>
              <w:jc w:val="center"/>
              <w:rPr>
                <w:rFonts w:hAnsi="宋体"/>
                <w:color w:val="auto"/>
                <w:sz w:val="24"/>
                <w:szCs w:val="20"/>
                <w:highlight w:val="none"/>
              </w:rPr>
            </w:pPr>
          </w:p>
        </w:tc>
        <w:tc>
          <w:tcPr>
            <w:tcW w:w="1854" w:type="dxa"/>
            <w:tcBorders>
              <w:top w:val="single" w:color="auto" w:sz="4" w:space="0"/>
              <w:left w:val="single" w:color="auto" w:sz="4" w:space="0"/>
              <w:bottom w:val="single" w:color="auto" w:sz="4" w:space="0"/>
              <w:right w:val="single" w:color="auto" w:sz="4" w:space="0"/>
            </w:tcBorders>
            <w:vAlign w:val="center"/>
          </w:tcPr>
          <w:p w14:paraId="00881306">
            <w:pPr>
              <w:spacing w:before="50" w:after="120"/>
              <w:jc w:val="center"/>
              <w:rPr>
                <w:rFonts w:hAnsi="宋体"/>
                <w:color w:val="auto"/>
                <w:sz w:val="24"/>
                <w:szCs w:val="20"/>
                <w:highlight w:val="none"/>
              </w:rPr>
            </w:pPr>
          </w:p>
        </w:tc>
        <w:tc>
          <w:tcPr>
            <w:tcW w:w="2012" w:type="dxa"/>
            <w:tcBorders>
              <w:top w:val="single" w:color="auto" w:sz="4" w:space="0"/>
              <w:left w:val="single" w:color="auto" w:sz="4" w:space="0"/>
              <w:bottom w:val="single" w:color="auto" w:sz="4" w:space="0"/>
              <w:right w:val="single" w:color="auto" w:sz="4" w:space="0"/>
            </w:tcBorders>
            <w:vAlign w:val="center"/>
          </w:tcPr>
          <w:p w14:paraId="7F4E7710">
            <w:pPr>
              <w:spacing w:before="50" w:after="120"/>
              <w:jc w:val="center"/>
              <w:rPr>
                <w:rFonts w:hAnsi="宋体"/>
                <w:color w:val="auto"/>
                <w:sz w:val="24"/>
                <w:szCs w:val="20"/>
                <w:highlight w:val="none"/>
              </w:rPr>
            </w:pPr>
          </w:p>
        </w:tc>
      </w:tr>
    </w:tbl>
    <w:p w14:paraId="6196B250">
      <w:pPr>
        <w:contextualSpacing/>
        <w:rPr>
          <w:rFonts w:hAnsi="宋体"/>
          <w:color w:val="auto"/>
          <w:sz w:val="24"/>
          <w:szCs w:val="20"/>
          <w:highlight w:val="none"/>
        </w:rPr>
      </w:pPr>
      <w:r>
        <w:rPr>
          <w:rFonts w:hint="eastAsia" w:hAnsi="宋体"/>
          <w:color w:val="auto"/>
          <w:sz w:val="24"/>
          <w:szCs w:val="20"/>
          <w:highlight w:val="none"/>
        </w:rPr>
        <w:t>注：</w:t>
      </w:r>
    </w:p>
    <w:p w14:paraId="6D439103">
      <w:pPr>
        <w:ind w:firstLine="480"/>
        <w:contextualSpacing/>
        <w:rPr>
          <w:rFonts w:hAnsi="宋体"/>
          <w:color w:val="auto"/>
          <w:sz w:val="24"/>
          <w:szCs w:val="20"/>
          <w:highlight w:val="none"/>
        </w:rPr>
      </w:pPr>
      <w:r>
        <w:rPr>
          <w:rFonts w:hint="eastAsia" w:hAnsi="宋体"/>
          <w:color w:val="auto"/>
          <w:sz w:val="24"/>
          <w:szCs w:val="20"/>
          <w:highlight w:val="none"/>
        </w:rPr>
        <w:t>1.在填写时，如本表格不适合投标单位的实际情况，可根据本表格式自行制表填写。</w:t>
      </w:r>
    </w:p>
    <w:p w14:paraId="541F022C">
      <w:pPr>
        <w:ind w:firstLine="480"/>
        <w:contextualSpacing/>
        <w:rPr>
          <w:rFonts w:hAnsi="宋体"/>
          <w:color w:val="auto"/>
          <w:sz w:val="24"/>
          <w:szCs w:val="20"/>
          <w:highlight w:val="none"/>
        </w:rPr>
      </w:pPr>
      <w:r>
        <w:rPr>
          <w:rFonts w:hint="eastAsia" w:hAnsi="宋体"/>
          <w:color w:val="auto"/>
          <w:sz w:val="24"/>
          <w:szCs w:val="20"/>
          <w:highlight w:val="none"/>
        </w:rPr>
        <w:t>2.投标人应当附本表所列证书的复印件并加盖投标人电子签章。</w:t>
      </w:r>
    </w:p>
    <w:p w14:paraId="44A322FB">
      <w:pPr>
        <w:pStyle w:val="23"/>
        <w:spacing w:line="600" w:lineRule="auto"/>
        <w:jc w:val="center"/>
        <w:rPr>
          <w:rFonts w:hAnsi="宋体"/>
          <w:color w:val="auto"/>
          <w:sz w:val="24"/>
          <w:highlight w:val="none"/>
        </w:rPr>
      </w:pPr>
      <w:r>
        <w:rPr>
          <w:rFonts w:hint="eastAsia" w:hAnsi="宋体"/>
          <w:color w:val="auto"/>
          <w:sz w:val="24"/>
          <w:highlight w:val="none"/>
        </w:rPr>
        <w:t>法定代表人或者委托代理人（签字或者电子签名）：</w:t>
      </w:r>
      <w:r>
        <w:rPr>
          <w:rFonts w:hint="eastAsia" w:hAnsi="宋体"/>
          <w:color w:val="auto"/>
          <w:sz w:val="24"/>
          <w:highlight w:val="none"/>
          <w:u w:val="single"/>
        </w:rPr>
        <w:t xml:space="preserve">       </w:t>
      </w:r>
    </w:p>
    <w:p w14:paraId="4181DE96">
      <w:pPr>
        <w:pStyle w:val="23"/>
        <w:spacing w:line="600" w:lineRule="auto"/>
        <w:jc w:val="center"/>
        <w:rPr>
          <w:rFonts w:hAnsi="宋体"/>
          <w:color w:val="auto"/>
          <w:sz w:val="24"/>
          <w:szCs w:val="24"/>
          <w:highlight w:val="none"/>
          <w:u w:val="single"/>
        </w:rPr>
      </w:pPr>
      <w:r>
        <w:rPr>
          <w:rFonts w:hint="eastAsia" w:hAnsi="宋体"/>
          <w:color w:val="auto"/>
          <w:sz w:val="24"/>
          <w:highlight w:val="none"/>
        </w:rPr>
        <w:t xml:space="preserve">             投标人名称（</w:t>
      </w:r>
      <w:r>
        <w:rPr>
          <w:rFonts w:hint="eastAsia" w:hAnsi="宋体"/>
          <w:b/>
          <w:bCs/>
          <w:color w:val="auto"/>
          <w:sz w:val="24"/>
          <w:highlight w:val="none"/>
        </w:rPr>
        <w:t>电子签章</w:t>
      </w:r>
      <w:r>
        <w:rPr>
          <w:rFonts w:hint="eastAsia" w:hAnsi="宋体"/>
          <w:color w:val="auto"/>
          <w:sz w:val="24"/>
          <w:highlight w:val="none"/>
        </w:rPr>
        <w:t>）：</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p>
    <w:p w14:paraId="2E44ED72">
      <w:pPr>
        <w:pStyle w:val="23"/>
        <w:spacing w:line="600" w:lineRule="auto"/>
        <w:ind w:firstLine="480"/>
        <w:jc w:val="right"/>
        <w:rPr>
          <w:rFonts w:hAnsi="宋体"/>
          <w:color w:val="auto"/>
          <w:sz w:val="24"/>
          <w:szCs w:val="24"/>
          <w:highlight w:val="none"/>
        </w:rPr>
      </w:pP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2555F6CC">
      <w:pPr>
        <w:pStyle w:val="23"/>
        <w:spacing w:line="600" w:lineRule="auto"/>
        <w:ind w:firstLine="480"/>
        <w:jc w:val="right"/>
        <w:rPr>
          <w:rFonts w:hAnsi="宋体"/>
          <w:color w:val="auto"/>
          <w:sz w:val="24"/>
          <w:szCs w:val="24"/>
          <w:highlight w:val="none"/>
        </w:rPr>
      </w:pPr>
    </w:p>
    <w:p w14:paraId="6DE9B56A">
      <w:pPr>
        <w:pStyle w:val="23"/>
        <w:spacing w:line="600" w:lineRule="auto"/>
        <w:ind w:firstLine="480"/>
        <w:jc w:val="right"/>
        <w:rPr>
          <w:rFonts w:hAnsi="宋体"/>
          <w:color w:val="auto"/>
          <w:sz w:val="24"/>
          <w:szCs w:val="24"/>
          <w:highlight w:val="none"/>
        </w:rPr>
      </w:pPr>
    </w:p>
    <w:p w14:paraId="39E1A463">
      <w:pPr>
        <w:pStyle w:val="23"/>
        <w:spacing w:line="600" w:lineRule="auto"/>
        <w:ind w:firstLine="480"/>
        <w:jc w:val="right"/>
        <w:rPr>
          <w:rFonts w:hAnsi="宋体"/>
          <w:color w:val="auto"/>
          <w:sz w:val="24"/>
          <w:szCs w:val="24"/>
          <w:highlight w:val="none"/>
        </w:rPr>
      </w:pPr>
    </w:p>
    <w:p w14:paraId="206C2DA1">
      <w:pPr>
        <w:pStyle w:val="23"/>
        <w:spacing w:line="600" w:lineRule="auto"/>
        <w:ind w:firstLine="480"/>
        <w:jc w:val="right"/>
        <w:rPr>
          <w:rFonts w:hAnsi="宋体"/>
          <w:color w:val="auto"/>
          <w:sz w:val="24"/>
          <w:szCs w:val="24"/>
          <w:highlight w:val="none"/>
        </w:rPr>
      </w:pPr>
    </w:p>
    <w:p w14:paraId="711F2DC9">
      <w:pPr>
        <w:keepNext/>
        <w:keepLines/>
        <w:spacing w:before="200" w:after="200"/>
        <w:outlineLvl w:val="2"/>
        <w:rPr>
          <w:rFonts w:ascii="仿宋" w:hAnsi="仿宋" w:eastAsia="仿宋" w:cs="仿宋"/>
          <w:b/>
          <w:bCs/>
          <w:color w:val="auto"/>
          <w:sz w:val="24"/>
          <w:szCs w:val="21"/>
          <w:highlight w:val="none"/>
        </w:rPr>
      </w:pPr>
      <w:r>
        <w:rPr>
          <w:rFonts w:hint="eastAsia" w:eastAsia="黑体"/>
          <w:b/>
          <w:bCs/>
          <w:color w:val="auto"/>
          <w:sz w:val="24"/>
          <w:szCs w:val="32"/>
          <w:highlight w:val="none"/>
        </w:rPr>
        <w:t>10.代理服务费承诺书</w:t>
      </w:r>
    </w:p>
    <w:p w14:paraId="542C6FFB">
      <w:pPr>
        <w:spacing w:before="120" w:after="50" w:line="240" w:lineRule="auto"/>
        <w:jc w:val="center"/>
        <w:rPr>
          <w:rFonts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代理服务费承诺书</w:t>
      </w:r>
    </w:p>
    <w:p w14:paraId="47D0C2AE">
      <w:pPr>
        <w:spacing w:before="120" w:after="50" w:line="240" w:lineRule="auto"/>
        <w:jc w:val="center"/>
        <w:rPr>
          <w:rFonts w:hAnsi="宋体"/>
          <w:b/>
          <w:color w:val="auto"/>
          <w:sz w:val="24"/>
          <w:highlight w:val="none"/>
        </w:rPr>
      </w:pPr>
    </w:p>
    <w:p w14:paraId="2EC96687">
      <w:pPr>
        <w:jc w:val="both"/>
        <w:rPr>
          <w:rFonts w:hAnsi="宋体"/>
          <w:b/>
          <w:bCs/>
          <w:color w:val="auto"/>
          <w:sz w:val="24"/>
          <w:highlight w:val="none"/>
        </w:rPr>
      </w:pPr>
      <w:r>
        <w:rPr>
          <w:rFonts w:hint="eastAsia" w:hAnsi="宋体"/>
          <w:bCs/>
          <w:color w:val="auto"/>
          <w:sz w:val="24"/>
          <w:highlight w:val="none"/>
        </w:rPr>
        <w:t>致：</w:t>
      </w:r>
      <w:r>
        <w:rPr>
          <w:rFonts w:hint="eastAsia" w:hAnsi="宋体"/>
          <w:color w:val="auto"/>
          <w:sz w:val="24"/>
          <w:highlight w:val="none"/>
          <w:u w:val="single"/>
        </w:rPr>
        <w:t>云之龙咨询集团有限公司</w:t>
      </w:r>
      <w:r>
        <w:rPr>
          <w:rFonts w:hint="eastAsia" w:hAnsi="宋体"/>
          <w:color w:val="auto"/>
          <w:sz w:val="24"/>
          <w:highlight w:val="none"/>
        </w:rPr>
        <w:t>：</w:t>
      </w:r>
    </w:p>
    <w:p w14:paraId="7F6F104C">
      <w:pPr>
        <w:ind w:firstLine="480"/>
        <w:jc w:val="both"/>
        <w:rPr>
          <w:rFonts w:hAnsi="宋体"/>
          <w:color w:val="auto"/>
          <w:sz w:val="24"/>
          <w:highlight w:val="none"/>
        </w:rPr>
      </w:pPr>
      <w:r>
        <w:rPr>
          <w:rFonts w:hint="eastAsia" w:hAnsi="宋体"/>
          <w:color w:val="auto"/>
          <w:sz w:val="24"/>
          <w:highlight w:val="none"/>
        </w:rPr>
        <w:t>本单位参加了贵方组织的</w:t>
      </w:r>
      <w:r>
        <w:rPr>
          <w:rFonts w:hint="eastAsia" w:hAnsi="宋体"/>
          <w:color w:val="auto"/>
          <w:sz w:val="24"/>
          <w:highlight w:val="none"/>
          <w:u w:val="single"/>
        </w:rPr>
        <w:t xml:space="preserve">  项目名称（项目编号）  </w:t>
      </w:r>
      <w:r>
        <w:rPr>
          <w:rFonts w:hint="eastAsia" w:hAnsi="宋体"/>
          <w:color w:val="auto"/>
          <w:sz w:val="24"/>
          <w:highlight w:val="none"/>
        </w:rPr>
        <w:t>项目， 在此说明如下：</w:t>
      </w:r>
    </w:p>
    <w:p w14:paraId="62D129D8">
      <w:pPr>
        <w:ind w:firstLine="360"/>
        <w:jc w:val="both"/>
        <w:rPr>
          <w:rFonts w:hAnsi="宋体"/>
          <w:color w:val="auto"/>
          <w:sz w:val="24"/>
          <w:highlight w:val="none"/>
        </w:rPr>
      </w:pPr>
      <w:r>
        <w:rPr>
          <w:rFonts w:hint="eastAsia" w:hAnsi="宋体"/>
          <w:color w:val="auto"/>
          <w:sz w:val="24"/>
          <w:highlight w:val="none"/>
        </w:rPr>
        <w:t>1.我方承诺，若本单位中标，保证在发出中标通知书之后，按本项目招标文件的规定标准向贵单位一次性足额支付代理服务费，在领取中标通知书后，由于被质疑、投诉或者其他原因而导致中标结果改变，我方将放弃对已缴纳的中标服务费追还的一切权利。</w:t>
      </w:r>
    </w:p>
    <w:p w14:paraId="4CF78778">
      <w:pPr>
        <w:ind w:firstLine="360"/>
        <w:jc w:val="both"/>
        <w:rPr>
          <w:rFonts w:hAnsi="宋体"/>
          <w:color w:val="auto"/>
          <w:sz w:val="24"/>
          <w:highlight w:val="none"/>
        </w:rPr>
      </w:pPr>
      <w:r>
        <w:rPr>
          <w:rFonts w:hint="eastAsia" w:hAnsi="宋体"/>
          <w:color w:val="auto"/>
          <w:sz w:val="24"/>
          <w:highlight w:val="none"/>
        </w:rPr>
        <w:t>2.本单位选择第</w:t>
      </w:r>
      <w:r>
        <w:rPr>
          <w:rFonts w:hint="eastAsia" w:hAnsi="宋体"/>
          <w:color w:val="auto"/>
          <w:sz w:val="24"/>
          <w:highlight w:val="none"/>
          <w:u w:val="single"/>
        </w:rPr>
        <w:t xml:space="preserve">     </w:t>
      </w:r>
      <w:r>
        <w:rPr>
          <w:rFonts w:hint="eastAsia" w:hAnsi="宋体"/>
          <w:color w:val="auto"/>
          <w:sz w:val="24"/>
          <w:highlight w:val="none"/>
        </w:rPr>
        <w:t>种方式作为代理服务费开票类型：</w:t>
      </w:r>
    </w:p>
    <w:p w14:paraId="4F14E77A">
      <w:pPr>
        <w:ind w:firstLine="360"/>
        <w:jc w:val="both"/>
        <w:rPr>
          <w:rFonts w:hAnsi="宋体"/>
          <w:color w:val="auto"/>
          <w:sz w:val="24"/>
          <w:highlight w:val="none"/>
        </w:rPr>
      </w:pPr>
      <w:r>
        <w:rPr>
          <w:rFonts w:hint="eastAsia" w:hAnsi="宋体"/>
          <w:color w:val="auto"/>
          <w:sz w:val="24"/>
          <w:highlight w:val="none"/>
        </w:rPr>
        <w:t>第一种方式：开具增值税普通发票。开票信息如下：</w:t>
      </w:r>
    </w:p>
    <w:p w14:paraId="700107D6">
      <w:pPr>
        <w:ind w:firstLine="360"/>
        <w:jc w:val="both"/>
        <w:rPr>
          <w:rFonts w:hAnsi="宋体"/>
          <w:color w:val="auto"/>
          <w:sz w:val="24"/>
          <w:highlight w:val="none"/>
        </w:rPr>
      </w:pPr>
      <w:r>
        <w:rPr>
          <w:rFonts w:hint="eastAsia" w:hAnsi="宋体"/>
          <w:color w:val="auto"/>
          <w:sz w:val="24"/>
          <w:highlight w:val="none"/>
        </w:rPr>
        <w:t>（1）公司名称</w:t>
      </w:r>
      <w:r>
        <w:rPr>
          <w:rFonts w:hint="eastAsia" w:hAnsi="宋体"/>
          <w:color w:val="auto"/>
          <w:sz w:val="24"/>
          <w:highlight w:val="none"/>
          <w:u w:val="single"/>
        </w:rPr>
        <w:t xml:space="preserve">_                       </w:t>
      </w:r>
      <w:r>
        <w:rPr>
          <w:rFonts w:hint="eastAsia" w:hAnsi="宋体"/>
          <w:color w:val="auto"/>
          <w:sz w:val="24"/>
          <w:highlight w:val="none"/>
        </w:rPr>
        <w:t>；</w:t>
      </w:r>
    </w:p>
    <w:p w14:paraId="729698BF">
      <w:pPr>
        <w:ind w:firstLine="360"/>
        <w:jc w:val="both"/>
        <w:rPr>
          <w:rFonts w:hAnsi="宋体"/>
          <w:color w:val="auto"/>
          <w:sz w:val="24"/>
          <w:highlight w:val="none"/>
        </w:rPr>
      </w:pPr>
      <w:r>
        <w:rPr>
          <w:rFonts w:hint="eastAsia" w:hAnsi="宋体"/>
          <w:color w:val="auto"/>
          <w:sz w:val="24"/>
          <w:highlight w:val="none"/>
        </w:rPr>
        <w:t>（2）纳税人识别号</w:t>
      </w:r>
      <w:r>
        <w:rPr>
          <w:rFonts w:hint="eastAsia" w:hAnsi="宋体"/>
          <w:color w:val="auto"/>
          <w:sz w:val="24"/>
          <w:highlight w:val="none"/>
          <w:u w:val="single"/>
        </w:rPr>
        <w:t xml:space="preserve">_                   </w:t>
      </w:r>
      <w:r>
        <w:rPr>
          <w:rFonts w:hint="eastAsia" w:hAnsi="宋体"/>
          <w:color w:val="auto"/>
          <w:sz w:val="24"/>
          <w:highlight w:val="none"/>
        </w:rPr>
        <w:t>。</w:t>
      </w:r>
    </w:p>
    <w:p w14:paraId="166EC8E8">
      <w:pPr>
        <w:ind w:firstLine="360"/>
        <w:jc w:val="both"/>
        <w:rPr>
          <w:rFonts w:hAnsi="宋体"/>
          <w:color w:val="auto"/>
          <w:sz w:val="24"/>
          <w:highlight w:val="none"/>
        </w:rPr>
      </w:pPr>
      <w:r>
        <w:rPr>
          <w:rFonts w:hint="eastAsia" w:hAnsi="宋体"/>
          <w:color w:val="auto"/>
          <w:sz w:val="24"/>
          <w:highlight w:val="none"/>
        </w:rPr>
        <w:t>第二种方式：开具增值税专用发票，开票信息如下：</w:t>
      </w:r>
    </w:p>
    <w:p w14:paraId="331E26F4">
      <w:pPr>
        <w:ind w:firstLine="360"/>
        <w:jc w:val="both"/>
        <w:rPr>
          <w:rFonts w:hAnsi="宋体"/>
          <w:color w:val="auto"/>
          <w:sz w:val="24"/>
          <w:highlight w:val="none"/>
        </w:rPr>
      </w:pPr>
      <w:r>
        <w:rPr>
          <w:rFonts w:hint="eastAsia" w:hAnsi="宋体"/>
          <w:color w:val="auto"/>
          <w:sz w:val="24"/>
          <w:highlight w:val="none"/>
        </w:rPr>
        <w:t>（1）公司名称</w:t>
      </w:r>
      <w:r>
        <w:rPr>
          <w:rFonts w:hint="eastAsia" w:hAnsi="宋体"/>
          <w:color w:val="auto"/>
          <w:sz w:val="24"/>
          <w:highlight w:val="none"/>
          <w:u w:val="single"/>
        </w:rPr>
        <w:t xml:space="preserve">_                           </w:t>
      </w:r>
      <w:r>
        <w:rPr>
          <w:rFonts w:hint="eastAsia" w:hAnsi="宋体"/>
          <w:color w:val="auto"/>
          <w:sz w:val="24"/>
          <w:highlight w:val="none"/>
        </w:rPr>
        <w:t>；</w:t>
      </w:r>
    </w:p>
    <w:p w14:paraId="26C91ABC">
      <w:pPr>
        <w:ind w:firstLine="360"/>
        <w:jc w:val="both"/>
        <w:rPr>
          <w:rFonts w:hAnsi="宋体"/>
          <w:color w:val="auto"/>
          <w:sz w:val="24"/>
          <w:highlight w:val="none"/>
        </w:rPr>
      </w:pPr>
      <w:r>
        <w:rPr>
          <w:rFonts w:hint="eastAsia" w:hAnsi="宋体"/>
          <w:color w:val="auto"/>
          <w:sz w:val="24"/>
          <w:highlight w:val="none"/>
        </w:rPr>
        <w:t>（2）纳税人识别号</w:t>
      </w:r>
      <w:r>
        <w:rPr>
          <w:rFonts w:hint="eastAsia" w:hAnsi="宋体"/>
          <w:color w:val="auto"/>
          <w:sz w:val="24"/>
          <w:highlight w:val="none"/>
          <w:u w:val="single"/>
        </w:rPr>
        <w:t xml:space="preserve">_                       </w:t>
      </w:r>
      <w:r>
        <w:rPr>
          <w:rFonts w:hint="eastAsia" w:hAnsi="宋体"/>
          <w:color w:val="auto"/>
          <w:sz w:val="24"/>
          <w:highlight w:val="none"/>
        </w:rPr>
        <w:t>；</w:t>
      </w:r>
    </w:p>
    <w:p w14:paraId="0C136BB4">
      <w:pPr>
        <w:ind w:firstLine="360"/>
        <w:jc w:val="both"/>
        <w:rPr>
          <w:rFonts w:hAnsi="宋体"/>
          <w:color w:val="auto"/>
          <w:sz w:val="24"/>
          <w:highlight w:val="none"/>
        </w:rPr>
      </w:pPr>
      <w:r>
        <w:rPr>
          <w:rFonts w:hint="eastAsia" w:hAnsi="宋体"/>
          <w:color w:val="auto"/>
          <w:sz w:val="24"/>
          <w:highlight w:val="none"/>
        </w:rPr>
        <w:t>（3）在税局登记的地址</w:t>
      </w:r>
      <w:r>
        <w:rPr>
          <w:rFonts w:hint="eastAsia" w:hAnsi="宋体"/>
          <w:color w:val="auto"/>
          <w:sz w:val="24"/>
          <w:highlight w:val="none"/>
          <w:u w:val="single"/>
        </w:rPr>
        <w:t xml:space="preserve">_                   </w:t>
      </w:r>
      <w:r>
        <w:rPr>
          <w:rFonts w:hint="eastAsia" w:hAnsi="宋体"/>
          <w:color w:val="auto"/>
          <w:sz w:val="24"/>
          <w:highlight w:val="none"/>
        </w:rPr>
        <w:t>；</w:t>
      </w:r>
    </w:p>
    <w:p w14:paraId="60177DDA">
      <w:pPr>
        <w:ind w:firstLine="360"/>
        <w:jc w:val="both"/>
        <w:rPr>
          <w:rFonts w:hAnsi="宋体"/>
          <w:color w:val="auto"/>
          <w:sz w:val="24"/>
          <w:highlight w:val="none"/>
        </w:rPr>
      </w:pPr>
      <w:r>
        <w:rPr>
          <w:rFonts w:hint="eastAsia" w:hAnsi="宋体"/>
          <w:color w:val="auto"/>
          <w:sz w:val="24"/>
          <w:highlight w:val="none"/>
        </w:rPr>
        <w:t>（4）在</w:t>
      </w:r>
      <w:r>
        <w:rPr>
          <w:rFonts w:hint="eastAsia" w:hAnsi="宋体"/>
          <w:color w:val="auto"/>
          <w:sz w:val="24"/>
          <w:highlight w:val="none"/>
          <w:lang w:eastAsia="zh-CN"/>
        </w:rPr>
        <w:t>税务</w:t>
      </w:r>
      <w:r>
        <w:rPr>
          <w:rFonts w:hint="eastAsia" w:hAnsi="宋体"/>
          <w:color w:val="auto"/>
          <w:sz w:val="24"/>
          <w:highlight w:val="none"/>
        </w:rPr>
        <w:t>局登记的电话</w:t>
      </w:r>
      <w:r>
        <w:rPr>
          <w:rFonts w:hint="eastAsia" w:hAnsi="宋体"/>
          <w:color w:val="auto"/>
          <w:sz w:val="24"/>
          <w:highlight w:val="none"/>
          <w:u w:val="single"/>
        </w:rPr>
        <w:t xml:space="preserve">_                   </w:t>
      </w:r>
      <w:r>
        <w:rPr>
          <w:rFonts w:hint="eastAsia" w:hAnsi="宋体"/>
          <w:color w:val="auto"/>
          <w:sz w:val="24"/>
          <w:highlight w:val="none"/>
        </w:rPr>
        <w:t>；</w:t>
      </w:r>
    </w:p>
    <w:p w14:paraId="00440D82">
      <w:pPr>
        <w:ind w:firstLine="360"/>
        <w:jc w:val="both"/>
        <w:rPr>
          <w:rFonts w:hAnsi="宋体"/>
          <w:color w:val="auto"/>
          <w:sz w:val="24"/>
          <w:highlight w:val="none"/>
        </w:rPr>
      </w:pPr>
      <w:r>
        <w:rPr>
          <w:rFonts w:hint="eastAsia" w:hAnsi="宋体"/>
          <w:color w:val="auto"/>
          <w:sz w:val="24"/>
          <w:highlight w:val="none"/>
        </w:rPr>
        <w:t>（5）开户银行</w:t>
      </w:r>
      <w:r>
        <w:rPr>
          <w:rFonts w:hint="eastAsia" w:hAnsi="宋体"/>
          <w:color w:val="auto"/>
          <w:sz w:val="24"/>
          <w:highlight w:val="none"/>
          <w:u w:val="single"/>
        </w:rPr>
        <w:t xml:space="preserve">_                           </w:t>
      </w:r>
      <w:r>
        <w:rPr>
          <w:rFonts w:hint="eastAsia" w:hAnsi="宋体"/>
          <w:color w:val="auto"/>
          <w:sz w:val="24"/>
          <w:highlight w:val="none"/>
        </w:rPr>
        <w:t>；</w:t>
      </w:r>
    </w:p>
    <w:p w14:paraId="4DC6EAA0">
      <w:pPr>
        <w:ind w:firstLine="360"/>
        <w:jc w:val="both"/>
        <w:rPr>
          <w:rFonts w:hAnsi="宋体"/>
          <w:color w:val="auto"/>
          <w:sz w:val="24"/>
          <w:highlight w:val="none"/>
        </w:rPr>
      </w:pPr>
      <w:r>
        <w:rPr>
          <w:rFonts w:hint="eastAsia" w:hAnsi="宋体"/>
          <w:color w:val="auto"/>
          <w:sz w:val="24"/>
          <w:highlight w:val="none"/>
        </w:rPr>
        <w:t>（6）银行账户</w:t>
      </w:r>
      <w:r>
        <w:rPr>
          <w:rFonts w:hint="eastAsia" w:hAnsi="宋体"/>
          <w:color w:val="auto"/>
          <w:sz w:val="24"/>
          <w:highlight w:val="none"/>
          <w:u w:val="single"/>
        </w:rPr>
        <w:t xml:space="preserve">_                           </w:t>
      </w:r>
      <w:r>
        <w:rPr>
          <w:rFonts w:hint="eastAsia" w:hAnsi="宋体"/>
          <w:color w:val="auto"/>
          <w:sz w:val="24"/>
          <w:highlight w:val="none"/>
        </w:rPr>
        <w:t>。</w:t>
      </w:r>
    </w:p>
    <w:p w14:paraId="6323D105">
      <w:pPr>
        <w:spacing w:line="440" w:lineRule="exact"/>
        <w:jc w:val="both"/>
        <w:rPr>
          <w:rFonts w:hAnsi="宋体"/>
          <w:color w:val="auto"/>
          <w:sz w:val="24"/>
          <w:highlight w:val="none"/>
        </w:rPr>
      </w:pPr>
    </w:p>
    <w:p w14:paraId="70168D52">
      <w:pPr>
        <w:spacing w:line="440" w:lineRule="exact"/>
        <w:jc w:val="both"/>
        <w:rPr>
          <w:rFonts w:hAnsi="宋体"/>
          <w:color w:val="auto"/>
          <w:sz w:val="24"/>
          <w:highlight w:val="none"/>
        </w:rPr>
      </w:pPr>
    </w:p>
    <w:p w14:paraId="2C388132">
      <w:pPr>
        <w:spacing w:line="440" w:lineRule="exact"/>
        <w:jc w:val="both"/>
        <w:rPr>
          <w:rFonts w:hAnsi="宋体"/>
          <w:color w:val="auto"/>
          <w:sz w:val="24"/>
          <w:highlight w:val="none"/>
        </w:rPr>
      </w:pPr>
    </w:p>
    <w:p w14:paraId="0EC11F21">
      <w:pPr>
        <w:ind w:left="-2" w:right="-817" w:firstLine="1920"/>
        <w:jc w:val="both"/>
        <w:rPr>
          <w:rFonts w:hAnsi="宋体"/>
          <w:color w:val="auto"/>
          <w:sz w:val="24"/>
          <w:highlight w:val="none"/>
          <w:u w:val="single"/>
        </w:rPr>
      </w:pPr>
      <w:r>
        <w:rPr>
          <w:rFonts w:hint="eastAsia" w:hAnsi="宋体"/>
          <w:color w:val="auto"/>
          <w:sz w:val="24"/>
          <w:highlight w:val="none"/>
        </w:rPr>
        <w:t>法定代表人或者委托代理人（签字或者电子签名）：</w:t>
      </w:r>
      <w:r>
        <w:rPr>
          <w:rFonts w:hint="eastAsia" w:hAnsi="宋体"/>
          <w:color w:val="auto"/>
          <w:sz w:val="24"/>
          <w:highlight w:val="none"/>
          <w:u w:val="single"/>
        </w:rPr>
        <w:t xml:space="preserve">       </w:t>
      </w:r>
    </w:p>
    <w:p w14:paraId="21D3DECD">
      <w:pPr>
        <w:ind w:left="-3" w:right="-817" w:hanging="28"/>
        <w:jc w:val="both"/>
        <w:rPr>
          <w:rFonts w:hAnsi="宋体"/>
          <w:color w:val="auto"/>
          <w:sz w:val="24"/>
          <w:highlight w:val="none"/>
        </w:rPr>
      </w:pPr>
      <w:r>
        <w:rPr>
          <w:rFonts w:hint="eastAsia" w:hAnsi="宋体"/>
          <w:color w:val="auto"/>
          <w:sz w:val="24"/>
          <w:highlight w:val="none"/>
        </w:rPr>
        <w:t xml:space="preserve">                                      投标人公章（电子签章）：</w:t>
      </w:r>
      <w:r>
        <w:rPr>
          <w:rFonts w:hint="eastAsia" w:hAnsi="宋体"/>
          <w:color w:val="auto"/>
          <w:sz w:val="24"/>
          <w:highlight w:val="none"/>
          <w:u w:val="single"/>
        </w:rPr>
        <w:t xml:space="preserve">       </w:t>
      </w:r>
    </w:p>
    <w:p w14:paraId="58171F96">
      <w:pPr>
        <w:ind w:right="480" w:firstLine="240"/>
        <w:rPr>
          <w:rFonts w:hAnsi="宋体"/>
          <w:color w:val="auto"/>
          <w:sz w:val="24"/>
          <w:szCs w:val="20"/>
          <w:highlight w:val="none"/>
        </w:rPr>
      </w:pPr>
      <w:r>
        <w:rPr>
          <w:rFonts w:hint="eastAsia" w:hAnsi="宋体"/>
          <w:color w:val="auto"/>
          <w:sz w:val="24"/>
          <w:highlight w:val="none"/>
        </w:rPr>
        <w:t xml:space="preserve">                                    日期：    年   月   日</w:t>
      </w:r>
    </w:p>
    <w:p w14:paraId="0A23916A">
      <w:pPr>
        <w:spacing w:before="120" w:after="50"/>
        <w:rPr>
          <w:rFonts w:hAnsi="宋体"/>
          <w:color w:val="auto"/>
          <w:sz w:val="24"/>
          <w:szCs w:val="20"/>
          <w:highlight w:val="none"/>
        </w:rPr>
      </w:pPr>
    </w:p>
    <w:p w14:paraId="118E53C5">
      <w:pPr>
        <w:spacing w:before="50" w:after="120"/>
        <w:rPr>
          <w:rFonts w:hAnsi="宋体"/>
          <w:color w:val="auto"/>
          <w:sz w:val="24"/>
          <w:szCs w:val="20"/>
          <w:highlight w:val="none"/>
        </w:rPr>
      </w:pPr>
    </w:p>
    <w:p w14:paraId="1C307241">
      <w:pPr>
        <w:pStyle w:val="279"/>
        <w:rPr>
          <w:color w:val="auto"/>
          <w:highlight w:val="none"/>
        </w:rPr>
      </w:pPr>
      <w:r>
        <w:rPr>
          <w:rFonts w:hAnsi="宋体"/>
          <w:bCs/>
          <w:color w:val="auto"/>
          <w:sz w:val="24"/>
          <w:highlight w:val="none"/>
        </w:rPr>
        <w:br w:type="page" w:clear="all"/>
      </w:r>
      <w:r>
        <w:rPr>
          <w:rFonts w:hint="eastAsia"/>
          <w:color w:val="auto"/>
          <w:highlight w:val="none"/>
        </w:rPr>
        <w:t>四、其他文书、文件格式</w:t>
      </w:r>
    </w:p>
    <w:p w14:paraId="099BD83F">
      <w:pPr>
        <w:pStyle w:val="4"/>
        <w:rPr>
          <w:color w:val="auto"/>
          <w:highlight w:val="none"/>
        </w:rPr>
      </w:pPr>
      <w:r>
        <w:rPr>
          <w:rFonts w:hint="eastAsia"/>
          <w:color w:val="auto"/>
          <w:highlight w:val="none"/>
        </w:rPr>
        <w:t>1.联合投标协议书格式</w:t>
      </w:r>
    </w:p>
    <w:p w14:paraId="3AC397F1">
      <w:pPr>
        <w:jc w:val="center"/>
        <w:rPr>
          <w:rFonts w:hAnsi="宋体"/>
          <w:b/>
          <w:color w:val="auto"/>
          <w:sz w:val="44"/>
          <w:szCs w:val="44"/>
          <w:highlight w:val="none"/>
        </w:rPr>
      </w:pPr>
      <w:r>
        <w:rPr>
          <w:rFonts w:hint="eastAsia" w:hAnsi="宋体"/>
          <w:b/>
          <w:color w:val="auto"/>
          <w:sz w:val="44"/>
          <w:szCs w:val="44"/>
          <w:highlight w:val="none"/>
        </w:rPr>
        <w:t>联合体协议书</w:t>
      </w:r>
    </w:p>
    <w:p w14:paraId="7CA8D515">
      <w:pPr>
        <w:rPr>
          <w:color w:val="auto"/>
          <w:highlight w:val="none"/>
        </w:rPr>
      </w:pPr>
    </w:p>
    <w:p w14:paraId="74039357">
      <w:pPr>
        <w:pStyle w:val="7"/>
        <w:ind w:firstLine="480"/>
        <w:contextualSpacing/>
        <w:rPr>
          <w:rFonts w:hAnsi="宋体"/>
          <w:color w:val="auto"/>
          <w:sz w:val="24"/>
          <w:highlight w:val="none"/>
        </w:rPr>
      </w:pPr>
      <w:r>
        <w:rPr>
          <w:rFonts w:hAnsi="宋体"/>
          <w:color w:val="auto"/>
          <w:sz w:val="24"/>
          <w:highlight w:val="none"/>
          <w:u w:val="single"/>
        </w:rPr>
        <w:tab/>
      </w:r>
      <w:r>
        <w:rPr>
          <w:rFonts w:hint="eastAsia" w:hAnsi="宋体"/>
          <w:color w:val="auto"/>
          <w:sz w:val="24"/>
          <w:highlight w:val="none"/>
          <w:u w:val="single"/>
        </w:rPr>
        <w:t>（所有成员单位名称）</w:t>
      </w:r>
      <w:r>
        <w:rPr>
          <w:rFonts w:hint="eastAsia" w:hAnsi="宋体"/>
          <w:color w:val="auto"/>
          <w:sz w:val="24"/>
          <w:highlight w:val="none"/>
        </w:rPr>
        <w:t>自愿组成</w:t>
      </w:r>
      <w:r>
        <w:rPr>
          <w:rFonts w:hAnsi="宋体"/>
          <w:color w:val="auto"/>
          <w:sz w:val="24"/>
          <w:highlight w:val="none"/>
          <w:u w:val="single"/>
        </w:rPr>
        <w:t xml:space="preserve"> </w:t>
      </w:r>
      <w:r>
        <w:rPr>
          <w:rFonts w:hAnsi="宋体"/>
          <w:color w:val="auto"/>
          <w:sz w:val="24"/>
          <w:highlight w:val="none"/>
          <w:u w:val="single"/>
        </w:rPr>
        <w:tab/>
      </w:r>
      <w:r>
        <w:rPr>
          <w:rFonts w:hint="eastAsia" w:hAnsi="宋体"/>
          <w:color w:val="auto"/>
          <w:sz w:val="24"/>
          <w:highlight w:val="none"/>
          <w:u w:val="single"/>
        </w:rPr>
        <w:t xml:space="preserve">（联合体名称） </w:t>
      </w:r>
      <w:r>
        <w:rPr>
          <w:rFonts w:hint="eastAsia" w:hAnsi="宋体"/>
          <w:color w:val="auto"/>
          <w:sz w:val="24"/>
          <w:highlight w:val="none"/>
        </w:rPr>
        <w:t>联合体，共同参加</w:t>
      </w:r>
      <w:r>
        <w:rPr>
          <w:rFonts w:hAnsi="宋体"/>
          <w:color w:val="auto"/>
          <w:sz w:val="24"/>
          <w:highlight w:val="none"/>
          <w:u w:val="single"/>
        </w:rPr>
        <w:t xml:space="preserve"> </w:t>
      </w:r>
      <w:r>
        <w:rPr>
          <w:rFonts w:hAnsi="宋体"/>
          <w:color w:val="auto"/>
          <w:sz w:val="24"/>
          <w:highlight w:val="none"/>
          <w:u w:val="single"/>
        </w:rPr>
        <w:tab/>
      </w:r>
      <w:r>
        <w:rPr>
          <w:rFonts w:hint="eastAsia" w:hAnsi="宋体"/>
          <w:color w:val="auto"/>
          <w:sz w:val="24"/>
          <w:highlight w:val="none"/>
          <w:u w:val="single"/>
        </w:rPr>
        <w:t xml:space="preserve">（项目名称） </w:t>
      </w:r>
      <w:r>
        <w:rPr>
          <w:rFonts w:hint="eastAsia" w:hAnsi="宋体"/>
          <w:color w:val="auto"/>
          <w:sz w:val="24"/>
          <w:highlight w:val="none"/>
        </w:rPr>
        <w:t>采购招标项目投标。现就联合体投标事宜订立如下协议。</w:t>
      </w:r>
    </w:p>
    <w:p w14:paraId="4838759A">
      <w:pPr>
        <w:pStyle w:val="7"/>
        <w:ind w:firstLine="480"/>
        <w:contextualSpacing/>
        <w:rPr>
          <w:rFonts w:hAnsi="宋体"/>
          <w:color w:val="auto"/>
          <w:sz w:val="24"/>
          <w:highlight w:val="none"/>
        </w:rPr>
      </w:pPr>
      <w:r>
        <w:rPr>
          <w:rFonts w:hAnsi="宋体"/>
          <w:color w:val="auto"/>
          <w:sz w:val="24"/>
          <w:highlight w:val="none"/>
        </w:rPr>
        <w:t>1.</w:t>
      </w:r>
      <w:r>
        <w:rPr>
          <w:rFonts w:hAnsi="宋体"/>
          <w:color w:val="auto"/>
          <w:sz w:val="24"/>
          <w:highlight w:val="none"/>
          <w:u w:val="single"/>
        </w:rPr>
        <w:t xml:space="preserve"> </w:t>
      </w:r>
      <w:r>
        <w:rPr>
          <w:rFonts w:hAnsi="宋体"/>
          <w:color w:val="auto"/>
          <w:sz w:val="24"/>
          <w:highlight w:val="none"/>
          <w:u w:val="single"/>
        </w:rPr>
        <w:tab/>
      </w:r>
      <w:r>
        <w:rPr>
          <w:rFonts w:hint="eastAsia" w:hAnsi="宋体"/>
          <w:color w:val="auto"/>
          <w:sz w:val="24"/>
          <w:highlight w:val="none"/>
          <w:u w:val="single"/>
        </w:rPr>
        <w:t xml:space="preserve">（某成员单位名称） </w:t>
      </w:r>
      <w:r>
        <w:rPr>
          <w:rFonts w:hint="eastAsia" w:hAnsi="宋体"/>
          <w:color w:val="auto"/>
          <w:sz w:val="24"/>
          <w:highlight w:val="none"/>
        </w:rPr>
        <w:t>为</w:t>
      </w:r>
      <w:r>
        <w:rPr>
          <w:rFonts w:hAnsi="宋体"/>
          <w:color w:val="auto"/>
          <w:sz w:val="24"/>
          <w:highlight w:val="none"/>
          <w:u w:val="single"/>
        </w:rPr>
        <w:t xml:space="preserve"> </w:t>
      </w:r>
      <w:r>
        <w:rPr>
          <w:rFonts w:hAnsi="宋体"/>
          <w:color w:val="auto"/>
          <w:sz w:val="24"/>
          <w:highlight w:val="none"/>
          <w:u w:val="single"/>
        </w:rPr>
        <w:tab/>
      </w:r>
      <w:r>
        <w:rPr>
          <w:rFonts w:hint="eastAsia" w:hAnsi="宋体"/>
          <w:color w:val="auto"/>
          <w:sz w:val="24"/>
          <w:highlight w:val="none"/>
          <w:u w:val="single"/>
        </w:rPr>
        <w:t xml:space="preserve">（联合体名称） </w:t>
      </w:r>
      <w:r>
        <w:rPr>
          <w:rFonts w:hint="eastAsia" w:hAnsi="宋体"/>
          <w:color w:val="auto"/>
          <w:sz w:val="24"/>
          <w:highlight w:val="none"/>
        </w:rPr>
        <w:t>牵头人。</w:t>
      </w:r>
    </w:p>
    <w:p w14:paraId="39047EAB">
      <w:pPr>
        <w:pStyle w:val="7"/>
        <w:ind w:firstLine="480"/>
        <w:contextualSpacing/>
        <w:rPr>
          <w:rFonts w:hAnsi="宋体"/>
          <w:color w:val="auto"/>
          <w:sz w:val="24"/>
          <w:highlight w:val="none"/>
        </w:rPr>
      </w:pPr>
      <w:r>
        <w:rPr>
          <w:rFonts w:hAnsi="宋体"/>
          <w:color w:val="auto"/>
          <w:sz w:val="24"/>
          <w:highlight w:val="none"/>
        </w:rPr>
        <w:t>2.</w:t>
      </w:r>
      <w:r>
        <w:rPr>
          <w:rFonts w:hint="eastAsia" w:hAnsi="宋体"/>
          <w:color w:val="auto"/>
          <w:sz w:val="24"/>
          <w:highlight w:val="none"/>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7C7C4B45">
      <w:pPr>
        <w:pStyle w:val="7"/>
        <w:ind w:firstLine="480"/>
        <w:contextualSpacing/>
        <w:rPr>
          <w:rFonts w:hAnsi="宋体"/>
          <w:color w:val="auto"/>
          <w:sz w:val="24"/>
          <w:highlight w:val="none"/>
        </w:rPr>
      </w:pPr>
      <w:r>
        <w:rPr>
          <w:rFonts w:hAnsi="宋体"/>
          <w:color w:val="auto"/>
          <w:sz w:val="24"/>
          <w:highlight w:val="none"/>
        </w:rPr>
        <w:t>3.</w:t>
      </w:r>
      <w:r>
        <w:rPr>
          <w:rFonts w:hint="eastAsia" w:hAnsi="宋体"/>
          <w:color w:val="auto"/>
          <w:sz w:val="24"/>
          <w:highlight w:val="none"/>
        </w:rPr>
        <w:t>联合体牵头人在本项目中签署和盖章的一切文件和处理的一切事宜，联合体各成员均予以承认。联合体各成员将严格按照招标文件、投标文件和合同的要求全面履行义务，并向采购人承担连带责任。</w:t>
      </w:r>
    </w:p>
    <w:p w14:paraId="47609E83">
      <w:pPr>
        <w:pStyle w:val="7"/>
        <w:ind w:firstLine="480"/>
        <w:contextualSpacing/>
        <w:rPr>
          <w:rFonts w:hAnsi="宋体"/>
          <w:color w:val="auto"/>
          <w:sz w:val="24"/>
          <w:highlight w:val="none"/>
        </w:rPr>
      </w:pPr>
      <w:r>
        <w:rPr>
          <w:rFonts w:hAnsi="宋体"/>
          <w:color w:val="auto"/>
          <w:sz w:val="24"/>
          <w:highlight w:val="none"/>
        </w:rPr>
        <w:t>4.</w:t>
      </w:r>
      <w:r>
        <w:rPr>
          <w:rFonts w:hint="eastAsia" w:hAnsi="宋体"/>
          <w:color w:val="auto"/>
          <w:sz w:val="24"/>
          <w:highlight w:val="none"/>
        </w:rPr>
        <w:t>联合体各成员单位内部的职责分工如下：</w:t>
      </w:r>
      <w:r>
        <w:rPr>
          <w:rFonts w:hAnsi="宋体"/>
          <w:color w:val="auto"/>
          <w:sz w:val="24"/>
          <w:highlight w:val="none"/>
          <w:u w:val="single"/>
        </w:rPr>
        <w:t xml:space="preserve">                   </w:t>
      </w:r>
      <w:r>
        <w:rPr>
          <w:rFonts w:hAnsi="宋体"/>
          <w:color w:val="auto"/>
          <w:sz w:val="24"/>
          <w:highlight w:val="none"/>
          <w:u w:val="single"/>
        </w:rPr>
        <w:tab/>
      </w:r>
      <w:r>
        <w:rPr>
          <w:rFonts w:hint="eastAsia" w:hAnsi="宋体"/>
          <w:color w:val="auto"/>
          <w:sz w:val="24"/>
          <w:highlight w:val="none"/>
        </w:rPr>
        <w:t>。</w:t>
      </w:r>
    </w:p>
    <w:p w14:paraId="60ADD896">
      <w:pPr>
        <w:pStyle w:val="7"/>
        <w:ind w:firstLine="480"/>
        <w:contextualSpacing/>
        <w:rPr>
          <w:rFonts w:hAnsi="宋体"/>
          <w:color w:val="auto"/>
          <w:sz w:val="24"/>
          <w:highlight w:val="none"/>
        </w:rPr>
      </w:pPr>
      <w:r>
        <w:rPr>
          <w:rFonts w:hAnsi="宋体"/>
          <w:color w:val="auto"/>
          <w:sz w:val="24"/>
          <w:highlight w:val="none"/>
        </w:rPr>
        <w:t>5.</w:t>
      </w:r>
      <w:r>
        <w:rPr>
          <w:rFonts w:hint="eastAsia" w:hAnsi="宋体"/>
          <w:color w:val="auto"/>
          <w:sz w:val="24"/>
          <w:highlight w:val="none"/>
        </w:rPr>
        <w:t>本协议书自所有成员单位法定代表人或者其委托代理人签字（或者电子签名）或者加盖公章之日起生效，合同履行完毕后自动失效。</w:t>
      </w:r>
    </w:p>
    <w:p w14:paraId="085AD9E6">
      <w:pPr>
        <w:pStyle w:val="7"/>
        <w:ind w:firstLine="480"/>
        <w:contextualSpacing/>
        <w:rPr>
          <w:rFonts w:hAnsi="宋体"/>
          <w:color w:val="auto"/>
          <w:sz w:val="24"/>
          <w:highlight w:val="none"/>
        </w:rPr>
      </w:pPr>
      <w:r>
        <w:rPr>
          <w:rFonts w:hAnsi="宋体"/>
          <w:color w:val="auto"/>
          <w:sz w:val="24"/>
          <w:highlight w:val="none"/>
        </w:rPr>
        <w:t>6.</w:t>
      </w:r>
      <w:r>
        <w:rPr>
          <w:rFonts w:hint="eastAsia" w:hAnsi="宋体"/>
          <w:color w:val="auto"/>
          <w:sz w:val="24"/>
          <w:highlight w:val="none"/>
        </w:rPr>
        <w:t>本协议书一式</w:t>
      </w:r>
      <w:r>
        <w:rPr>
          <w:rFonts w:hAnsi="宋体"/>
          <w:color w:val="auto"/>
          <w:sz w:val="24"/>
          <w:highlight w:val="none"/>
          <w:u w:val="single"/>
        </w:rPr>
        <w:t xml:space="preserve">      </w:t>
      </w:r>
      <w:r>
        <w:rPr>
          <w:rFonts w:hAnsi="宋体"/>
          <w:color w:val="auto"/>
          <w:sz w:val="24"/>
          <w:highlight w:val="none"/>
          <w:u w:val="single"/>
        </w:rPr>
        <w:tab/>
      </w:r>
      <w:r>
        <w:rPr>
          <w:rFonts w:hint="eastAsia" w:hAnsi="宋体"/>
          <w:color w:val="auto"/>
          <w:sz w:val="24"/>
          <w:highlight w:val="none"/>
        </w:rPr>
        <w:t>份，联合体成员和采购人各执一份。</w:t>
      </w:r>
    </w:p>
    <w:p w14:paraId="2065F325">
      <w:pPr>
        <w:pStyle w:val="7"/>
        <w:ind w:firstLine="0"/>
        <w:contextualSpacing/>
        <w:rPr>
          <w:rFonts w:hAnsi="宋体"/>
          <w:color w:val="auto"/>
          <w:sz w:val="24"/>
          <w:highlight w:val="none"/>
        </w:rPr>
      </w:pPr>
      <w:r>
        <w:rPr>
          <w:rFonts w:hint="eastAsia" w:hAnsi="宋体"/>
          <w:color w:val="auto"/>
          <w:sz w:val="24"/>
          <w:highlight w:val="none"/>
        </w:rPr>
        <w:t>注：</w:t>
      </w:r>
      <w:r>
        <w:rPr>
          <w:rFonts w:hint="eastAsia" w:hAnsi="宋体"/>
          <w:b/>
          <w:bCs/>
          <w:color w:val="auto"/>
          <w:sz w:val="24"/>
          <w:highlight w:val="none"/>
        </w:rPr>
        <w:t>本协议书应附法定代表人身份证明；有委托代理的，应附授权委托书</w:t>
      </w:r>
      <w:r>
        <w:rPr>
          <w:rFonts w:hint="eastAsia" w:hAnsi="宋体" w:cs="方正仿宋_GB2312"/>
          <w:b/>
          <w:bCs/>
          <w:color w:val="auto"/>
          <w:sz w:val="24"/>
          <w:highlight w:val="none"/>
        </w:rPr>
        <w:t>（格式自拟）</w:t>
      </w:r>
      <w:r>
        <w:rPr>
          <w:rFonts w:hint="eastAsia" w:hAnsi="宋体"/>
          <w:color w:val="auto"/>
          <w:sz w:val="24"/>
          <w:highlight w:val="none"/>
        </w:rPr>
        <w:t>。</w:t>
      </w:r>
    </w:p>
    <w:p w14:paraId="022D9AD4">
      <w:pPr>
        <w:pStyle w:val="7"/>
        <w:contextualSpacing/>
        <w:rPr>
          <w:rFonts w:hAnsi="宋体"/>
          <w:color w:val="auto"/>
          <w:sz w:val="24"/>
          <w:highlight w:val="none"/>
        </w:rPr>
      </w:pPr>
    </w:p>
    <w:p w14:paraId="2A9955F6">
      <w:pPr>
        <w:widowControl/>
        <w:ind w:firstLine="480"/>
        <w:rPr>
          <w:rFonts w:hAnsi="Calibri"/>
          <w:color w:val="auto"/>
          <w:sz w:val="24"/>
          <w:highlight w:val="none"/>
        </w:rPr>
      </w:pPr>
      <w:r>
        <w:rPr>
          <w:rFonts w:hint="eastAsia" w:hAnsi="Calibri"/>
          <w:color w:val="auto"/>
          <w:sz w:val="24"/>
          <w:highlight w:val="none"/>
        </w:rPr>
        <w:t>联合体牵头人名称（</w:t>
      </w:r>
      <w:r>
        <w:rPr>
          <w:rFonts w:hint="eastAsia" w:hAnsi="宋体" w:cs="方正仿宋_GB2312"/>
          <w:b/>
          <w:bCs/>
          <w:color w:val="auto"/>
          <w:sz w:val="24"/>
          <w:highlight w:val="none"/>
        </w:rPr>
        <w:t>电子签章</w:t>
      </w:r>
      <w:r>
        <w:rPr>
          <w:rFonts w:hint="eastAsia" w:hAnsi="Calibri"/>
          <w:color w:val="auto"/>
          <w:sz w:val="24"/>
          <w:highlight w:val="none"/>
        </w:rPr>
        <w:t>）：</w:t>
      </w:r>
    </w:p>
    <w:p w14:paraId="578398E2">
      <w:pPr>
        <w:widowControl/>
        <w:ind w:firstLine="480"/>
        <w:rPr>
          <w:rFonts w:hAnsi="Calibri"/>
          <w:color w:val="auto"/>
          <w:sz w:val="24"/>
          <w:highlight w:val="none"/>
        </w:rPr>
      </w:pPr>
      <w:r>
        <w:rPr>
          <w:rFonts w:hint="eastAsia" w:hAnsi="Calibri"/>
          <w:color w:val="auto"/>
          <w:sz w:val="24"/>
          <w:highlight w:val="none"/>
        </w:rPr>
        <w:t>法定代表人或者其委托代理人（</w:t>
      </w:r>
      <w:r>
        <w:rPr>
          <w:rFonts w:hint="eastAsia" w:hAnsi="Calibri"/>
          <w:b/>
          <w:bCs/>
          <w:color w:val="auto"/>
          <w:sz w:val="24"/>
          <w:highlight w:val="none"/>
        </w:rPr>
        <w:t>签字或者盖章或者电子签名</w:t>
      </w:r>
      <w:r>
        <w:rPr>
          <w:rFonts w:hint="eastAsia" w:hAnsi="Calibri"/>
          <w:color w:val="auto"/>
          <w:sz w:val="24"/>
          <w:highlight w:val="none"/>
        </w:rPr>
        <w:t>）：</w:t>
      </w:r>
    </w:p>
    <w:p w14:paraId="6E8CF0C3">
      <w:pPr>
        <w:widowControl/>
        <w:ind w:firstLine="480"/>
        <w:rPr>
          <w:rFonts w:hAnsi="Calibri"/>
          <w:color w:val="auto"/>
          <w:sz w:val="24"/>
          <w:highlight w:val="none"/>
        </w:rPr>
      </w:pPr>
    </w:p>
    <w:p w14:paraId="2FFD60CD">
      <w:pPr>
        <w:widowControl/>
        <w:ind w:firstLine="480"/>
        <w:rPr>
          <w:rFonts w:hAnsi="Calibri"/>
          <w:color w:val="auto"/>
          <w:sz w:val="24"/>
          <w:highlight w:val="none"/>
        </w:rPr>
      </w:pPr>
      <w:r>
        <w:rPr>
          <w:rFonts w:hint="eastAsia" w:hAnsi="Calibri"/>
          <w:color w:val="auto"/>
          <w:sz w:val="24"/>
          <w:highlight w:val="none"/>
        </w:rPr>
        <w:t>联合体成员名称（</w:t>
      </w:r>
      <w:r>
        <w:rPr>
          <w:rFonts w:hint="eastAsia" w:hAnsi="宋体" w:cs="方正仿宋_GB2312"/>
          <w:b/>
          <w:bCs/>
          <w:color w:val="auto"/>
          <w:sz w:val="24"/>
          <w:highlight w:val="none"/>
        </w:rPr>
        <w:t>盖公章或者电子签章</w:t>
      </w:r>
      <w:r>
        <w:rPr>
          <w:rFonts w:hint="eastAsia" w:hAnsi="Calibri"/>
          <w:color w:val="auto"/>
          <w:sz w:val="24"/>
          <w:highlight w:val="none"/>
        </w:rPr>
        <w:t>）：</w:t>
      </w:r>
    </w:p>
    <w:p w14:paraId="26776AF8">
      <w:pPr>
        <w:widowControl/>
        <w:ind w:firstLine="480"/>
        <w:rPr>
          <w:rFonts w:hAnsi="Calibri"/>
          <w:color w:val="auto"/>
          <w:sz w:val="24"/>
          <w:highlight w:val="none"/>
        </w:rPr>
      </w:pPr>
      <w:r>
        <w:rPr>
          <w:rFonts w:hint="eastAsia" w:hAnsi="Calibri"/>
          <w:color w:val="auto"/>
          <w:sz w:val="24"/>
          <w:highlight w:val="none"/>
        </w:rPr>
        <w:t>法定代表人或者其委托代理人（</w:t>
      </w:r>
      <w:r>
        <w:rPr>
          <w:rFonts w:hint="eastAsia" w:hAnsi="Calibri"/>
          <w:b/>
          <w:bCs/>
          <w:color w:val="auto"/>
          <w:sz w:val="24"/>
          <w:highlight w:val="none"/>
        </w:rPr>
        <w:t>签字或者盖章或者电子签名</w:t>
      </w:r>
      <w:r>
        <w:rPr>
          <w:rFonts w:hint="eastAsia" w:hAnsi="Calibri"/>
          <w:color w:val="auto"/>
          <w:sz w:val="24"/>
          <w:highlight w:val="none"/>
        </w:rPr>
        <w:t>）：</w:t>
      </w:r>
    </w:p>
    <w:p w14:paraId="4E4F8568">
      <w:pPr>
        <w:widowControl/>
        <w:ind w:firstLine="480"/>
        <w:rPr>
          <w:rFonts w:hAnsi="Calibri"/>
          <w:color w:val="auto"/>
          <w:sz w:val="24"/>
          <w:highlight w:val="none"/>
        </w:rPr>
      </w:pPr>
      <w:r>
        <w:rPr>
          <w:rFonts w:hint="eastAsia" w:hAnsi="Calibri"/>
          <w:color w:val="auto"/>
          <w:sz w:val="24"/>
          <w:highlight w:val="none"/>
        </w:rPr>
        <w:t>……</w:t>
      </w:r>
    </w:p>
    <w:p w14:paraId="5BBDD466">
      <w:pPr>
        <w:pStyle w:val="7"/>
        <w:contextualSpacing/>
        <w:rPr>
          <w:rFonts w:hAnsi="宋体"/>
          <w:color w:val="auto"/>
          <w:sz w:val="24"/>
          <w:highlight w:val="none"/>
        </w:rPr>
      </w:pPr>
    </w:p>
    <w:p w14:paraId="1C8A434B">
      <w:pPr>
        <w:pStyle w:val="7"/>
        <w:contextualSpacing/>
        <w:jc w:val="right"/>
        <w:rPr>
          <w:rFonts w:hAnsi="宋体"/>
          <w:b/>
          <w:color w:val="auto"/>
          <w:sz w:val="24"/>
          <w:highlight w:val="none"/>
        </w:rPr>
      </w:pPr>
      <w:r>
        <w:rPr>
          <w:rFonts w:hAnsi="宋体"/>
          <w:color w:val="auto"/>
          <w:sz w:val="24"/>
          <w:highlight w:val="none"/>
        </w:rPr>
        <w:t xml:space="preserve"> </w:t>
      </w:r>
      <w:r>
        <w:rPr>
          <w:rFonts w:hAnsi="宋体"/>
          <w:color w:val="auto"/>
          <w:sz w:val="24"/>
          <w:highlight w:val="none"/>
        </w:rPr>
        <w:tab/>
      </w:r>
      <w:r>
        <w:rPr>
          <w:rFonts w:hint="eastAsia" w:hAnsi="宋体"/>
          <w:color w:val="auto"/>
          <w:sz w:val="24"/>
          <w:highlight w:val="none"/>
        </w:rPr>
        <w:t>年</w:t>
      </w:r>
      <w:r>
        <w:rPr>
          <w:rFonts w:hAnsi="宋体"/>
          <w:color w:val="auto"/>
          <w:sz w:val="24"/>
          <w:highlight w:val="none"/>
        </w:rPr>
        <w:t xml:space="preserve"> </w:t>
      </w:r>
      <w:r>
        <w:rPr>
          <w:rFonts w:hAnsi="宋体"/>
          <w:color w:val="auto"/>
          <w:sz w:val="24"/>
          <w:highlight w:val="none"/>
        </w:rPr>
        <w:tab/>
      </w:r>
      <w:r>
        <w:rPr>
          <w:rFonts w:hAnsi="宋体"/>
          <w:color w:val="auto"/>
          <w:sz w:val="24"/>
          <w:highlight w:val="none"/>
        </w:rPr>
        <w:t xml:space="preserve"> </w:t>
      </w:r>
      <w:r>
        <w:rPr>
          <w:rFonts w:hint="eastAsia" w:hAnsi="宋体"/>
          <w:color w:val="auto"/>
          <w:sz w:val="24"/>
          <w:highlight w:val="none"/>
        </w:rPr>
        <w:t xml:space="preserve">月 </w:t>
      </w:r>
      <w:r>
        <w:rPr>
          <w:rFonts w:hAnsi="宋体"/>
          <w:color w:val="auto"/>
          <w:sz w:val="24"/>
          <w:highlight w:val="none"/>
        </w:rPr>
        <w:t xml:space="preserve"> </w:t>
      </w:r>
      <w:r>
        <w:rPr>
          <w:rFonts w:hAnsi="宋体"/>
          <w:color w:val="auto"/>
          <w:sz w:val="24"/>
          <w:highlight w:val="none"/>
        </w:rPr>
        <w:tab/>
      </w:r>
      <w:r>
        <w:rPr>
          <w:rFonts w:hint="eastAsia" w:hAnsi="宋体"/>
          <w:color w:val="auto"/>
          <w:sz w:val="24"/>
          <w:highlight w:val="none"/>
        </w:rPr>
        <w:t>日</w:t>
      </w:r>
    </w:p>
    <w:p w14:paraId="7F445FD8">
      <w:pPr>
        <w:pStyle w:val="4"/>
        <w:rPr>
          <w:color w:val="auto"/>
          <w:sz w:val="32"/>
          <w:highlight w:val="none"/>
        </w:rPr>
      </w:pPr>
      <w:r>
        <w:rPr>
          <w:color w:val="auto"/>
          <w:highlight w:val="none"/>
        </w:rPr>
        <w:br w:type="page" w:clear="all"/>
      </w:r>
      <w:r>
        <w:rPr>
          <w:rFonts w:hint="eastAsia"/>
          <w:color w:val="auto"/>
          <w:highlight w:val="none"/>
        </w:rPr>
        <w:t>2.质疑函格式</w:t>
      </w:r>
    </w:p>
    <w:p w14:paraId="7D1DEC3C">
      <w:pPr>
        <w:jc w:val="center"/>
        <w:rPr>
          <w:rFonts w:hAnsi="宋体"/>
          <w:b/>
          <w:color w:val="auto"/>
          <w:sz w:val="44"/>
          <w:szCs w:val="44"/>
          <w:highlight w:val="none"/>
        </w:rPr>
      </w:pPr>
      <w:r>
        <w:rPr>
          <w:rFonts w:hint="eastAsia" w:hAnsi="宋体"/>
          <w:b/>
          <w:color w:val="auto"/>
          <w:sz w:val="44"/>
          <w:szCs w:val="44"/>
          <w:highlight w:val="none"/>
        </w:rPr>
        <w:t>质疑函</w:t>
      </w:r>
    </w:p>
    <w:p w14:paraId="7FFCA2EB">
      <w:pPr>
        <w:pStyle w:val="23"/>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1A030B95">
      <w:pPr>
        <w:pStyle w:val="23"/>
        <w:ind w:firstLine="48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1E01080">
      <w:pPr>
        <w:pStyle w:val="23"/>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BE5A8EA">
      <w:pPr>
        <w:pStyle w:val="23"/>
        <w:ind w:firstLine="48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48DC526">
      <w:pPr>
        <w:pStyle w:val="23"/>
        <w:ind w:firstLine="48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DD0E663">
      <w:pPr>
        <w:pStyle w:val="23"/>
        <w:ind w:firstLine="48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2233942">
      <w:pPr>
        <w:pStyle w:val="23"/>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C58955B">
      <w:pPr>
        <w:pStyle w:val="23"/>
        <w:ind w:firstLine="482"/>
        <w:rPr>
          <w:rFonts w:hAnsi="宋体"/>
          <w:b/>
          <w:bCs/>
          <w:color w:val="auto"/>
          <w:sz w:val="24"/>
          <w:szCs w:val="24"/>
          <w:highlight w:val="none"/>
        </w:rPr>
      </w:pPr>
      <w:r>
        <w:rPr>
          <w:rFonts w:hint="eastAsia" w:hAnsi="宋体"/>
          <w:b/>
          <w:bCs/>
          <w:color w:val="auto"/>
          <w:sz w:val="24"/>
          <w:szCs w:val="24"/>
          <w:highlight w:val="none"/>
        </w:rPr>
        <w:t>二、质疑项目基本情况：</w:t>
      </w:r>
    </w:p>
    <w:p w14:paraId="6D66B1FA">
      <w:pPr>
        <w:pStyle w:val="23"/>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7C6AFA5">
      <w:pPr>
        <w:pStyle w:val="23"/>
        <w:ind w:left="25" w:firstLine="472"/>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C4D0F1B">
      <w:pPr>
        <w:pStyle w:val="23"/>
        <w:ind w:left="25" w:firstLine="472"/>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73494131">
      <w:pPr>
        <w:pStyle w:val="23"/>
        <w:ind w:left="25" w:firstLine="472"/>
        <w:rPr>
          <w:rFonts w:hAnsi="宋体"/>
          <w:color w:val="auto"/>
          <w:sz w:val="24"/>
          <w:szCs w:val="24"/>
          <w:highlight w:val="none"/>
        </w:rPr>
      </w:pPr>
      <w:r>
        <w:rPr>
          <w:rFonts w:hint="eastAsia" w:hAnsi="宋体"/>
          <w:color w:val="auto"/>
          <w:sz w:val="24"/>
          <w:szCs w:val="24"/>
          <w:highlight w:val="none"/>
        </w:rPr>
        <w:t>质疑事项：</w:t>
      </w:r>
    </w:p>
    <w:p w14:paraId="5C56F274">
      <w:pPr>
        <w:pStyle w:val="23"/>
        <w:ind w:left="25" w:firstLine="352"/>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0EA03D83">
      <w:pPr>
        <w:pStyle w:val="23"/>
        <w:ind w:left="25" w:firstLine="352"/>
        <w:rPr>
          <w:rFonts w:hAnsi="宋体"/>
          <w:color w:val="auto"/>
          <w:sz w:val="24"/>
          <w:szCs w:val="24"/>
          <w:highlight w:val="none"/>
        </w:rPr>
      </w:pPr>
      <w:r>
        <w:rPr>
          <w:rFonts w:hint="eastAsia" w:hAnsi="宋体"/>
          <w:color w:val="auto"/>
          <w:sz w:val="24"/>
          <w:szCs w:val="24"/>
          <w:highlight w:val="none"/>
        </w:rPr>
        <w:t xml:space="preserve">□采购过程   </w:t>
      </w:r>
    </w:p>
    <w:p w14:paraId="34647740">
      <w:pPr>
        <w:pStyle w:val="23"/>
        <w:ind w:left="25" w:firstLine="352"/>
        <w:rPr>
          <w:rFonts w:hAnsi="宋体"/>
          <w:bCs/>
          <w:color w:val="auto"/>
          <w:sz w:val="24"/>
          <w:szCs w:val="24"/>
          <w:highlight w:val="none"/>
          <w:u w:val="single"/>
        </w:rPr>
      </w:pPr>
      <w:r>
        <w:rPr>
          <w:rFonts w:hint="eastAsia" w:hAnsi="宋体"/>
          <w:color w:val="auto"/>
          <w:sz w:val="24"/>
          <w:szCs w:val="24"/>
          <w:highlight w:val="none"/>
        </w:rPr>
        <w:t xml:space="preserve">□采购结果   </w:t>
      </w:r>
    </w:p>
    <w:p w14:paraId="0D3F8F9F">
      <w:pPr>
        <w:pStyle w:val="23"/>
        <w:ind w:left="25" w:firstLine="472"/>
        <w:rPr>
          <w:rFonts w:hAnsi="宋体"/>
          <w:b/>
          <w:color w:val="auto"/>
          <w:sz w:val="24"/>
          <w:szCs w:val="24"/>
          <w:highlight w:val="none"/>
        </w:rPr>
      </w:pPr>
      <w:r>
        <w:rPr>
          <w:rFonts w:hint="eastAsia" w:hAnsi="宋体"/>
          <w:b/>
          <w:color w:val="auto"/>
          <w:sz w:val="24"/>
          <w:szCs w:val="24"/>
          <w:highlight w:val="none"/>
        </w:rPr>
        <w:t>三、质疑事项具体内容</w:t>
      </w:r>
    </w:p>
    <w:p w14:paraId="5A75712B">
      <w:pPr>
        <w:pStyle w:val="23"/>
        <w:ind w:left="25" w:firstLine="472"/>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6683777A">
      <w:pPr>
        <w:pStyle w:val="23"/>
        <w:ind w:left="25" w:firstLine="472"/>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C8B82FF">
      <w:pPr>
        <w:pStyle w:val="23"/>
        <w:ind w:left="25" w:firstLine="472"/>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F2D5E41">
      <w:pPr>
        <w:pStyle w:val="23"/>
        <w:ind w:left="25" w:firstLine="472"/>
        <w:rPr>
          <w:rFonts w:hAnsi="宋体"/>
          <w:color w:val="auto"/>
          <w:sz w:val="24"/>
          <w:szCs w:val="24"/>
          <w:highlight w:val="none"/>
        </w:rPr>
      </w:pPr>
      <w:r>
        <w:rPr>
          <w:rFonts w:hint="eastAsia" w:hAnsi="宋体"/>
          <w:color w:val="auto"/>
          <w:sz w:val="24"/>
          <w:szCs w:val="24"/>
          <w:highlight w:val="none"/>
        </w:rPr>
        <w:t>质疑事项2</w:t>
      </w:r>
    </w:p>
    <w:p w14:paraId="3A85D9DA">
      <w:pPr>
        <w:pStyle w:val="23"/>
        <w:ind w:left="25" w:firstLine="472"/>
        <w:rPr>
          <w:rFonts w:hAnsi="宋体"/>
          <w:color w:val="auto"/>
          <w:sz w:val="24"/>
          <w:szCs w:val="24"/>
          <w:highlight w:val="none"/>
        </w:rPr>
      </w:pPr>
      <w:r>
        <w:rPr>
          <w:rFonts w:hAnsi="宋体"/>
          <w:color w:val="auto"/>
          <w:sz w:val="24"/>
          <w:szCs w:val="24"/>
          <w:highlight w:val="none"/>
        </w:rPr>
        <w:t>……</w:t>
      </w:r>
    </w:p>
    <w:p w14:paraId="3C034BF3">
      <w:pPr>
        <w:pStyle w:val="23"/>
        <w:ind w:left="25" w:firstLine="472"/>
        <w:rPr>
          <w:rFonts w:hAnsi="宋体"/>
          <w:color w:val="auto"/>
          <w:sz w:val="24"/>
          <w:szCs w:val="24"/>
          <w:highlight w:val="none"/>
        </w:rPr>
      </w:pPr>
      <w:r>
        <w:rPr>
          <w:rFonts w:hint="eastAsia" w:hAnsi="宋体"/>
          <w:color w:val="auto"/>
          <w:sz w:val="24"/>
          <w:szCs w:val="24"/>
          <w:highlight w:val="none"/>
        </w:rPr>
        <w:t>四、与质疑事项相关的质疑请求：</w:t>
      </w:r>
    </w:p>
    <w:p w14:paraId="65857541">
      <w:pPr>
        <w:pStyle w:val="23"/>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BF01F7F">
      <w:pPr>
        <w:pStyle w:val="23"/>
        <w:ind w:left="25" w:firstLine="352"/>
        <w:rPr>
          <w:rFonts w:hAnsi="宋体"/>
          <w:color w:val="auto"/>
          <w:sz w:val="24"/>
          <w:szCs w:val="24"/>
          <w:highlight w:val="none"/>
        </w:rPr>
      </w:pPr>
    </w:p>
    <w:p w14:paraId="55F51FA8">
      <w:pPr>
        <w:pStyle w:val="23"/>
        <w:ind w:left="25" w:firstLine="472"/>
        <w:rPr>
          <w:rFonts w:hAnsi="宋体"/>
          <w:color w:val="auto"/>
          <w:sz w:val="24"/>
          <w:szCs w:val="24"/>
          <w:highlight w:val="none"/>
        </w:rPr>
      </w:pPr>
      <w:r>
        <w:rPr>
          <w:rFonts w:hint="eastAsia" w:hAnsi="宋体"/>
          <w:color w:val="auto"/>
          <w:sz w:val="24"/>
          <w:szCs w:val="24"/>
          <w:highlight w:val="none"/>
        </w:rPr>
        <w:t>签字（签章）：                                       公章：</w:t>
      </w:r>
    </w:p>
    <w:p w14:paraId="37CC45AD">
      <w:pPr>
        <w:pStyle w:val="23"/>
        <w:ind w:left="25" w:firstLine="352"/>
        <w:rPr>
          <w:rFonts w:hAnsi="宋体"/>
          <w:color w:val="auto"/>
          <w:sz w:val="24"/>
          <w:szCs w:val="24"/>
          <w:highlight w:val="none"/>
        </w:rPr>
      </w:pPr>
    </w:p>
    <w:p w14:paraId="3299C8ED">
      <w:pPr>
        <w:pStyle w:val="23"/>
        <w:ind w:left="25" w:firstLine="472"/>
        <w:rPr>
          <w:rFonts w:hAnsi="宋体"/>
          <w:color w:val="auto"/>
          <w:sz w:val="24"/>
          <w:szCs w:val="24"/>
          <w:highlight w:val="none"/>
        </w:rPr>
      </w:pPr>
      <w:r>
        <w:rPr>
          <w:rFonts w:hint="eastAsia" w:hAnsi="宋体"/>
          <w:color w:val="auto"/>
          <w:sz w:val="24"/>
          <w:szCs w:val="24"/>
          <w:highlight w:val="none"/>
        </w:rPr>
        <w:t>日期：</w:t>
      </w:r>
    </w:p>
    <w:p w14:paraId="50BE0616">
      <w:pPr>
        <w:pStyle w:val="23"/>
        <w:rPr>
          <w:rFonts w:hAnsi="宋体"/>
          <w:b/>
          <w:color w:val="auto"/>
          <w:sz w:val="24"/>
          <w:szCs w:val="24"/>
          <w:highlight w:val="none"/>
        </w:rPr>
      </w:pPr>
    </w:p>
    <w:p w14:paraId="24FC599A">
      <w:pPr>
        <w:pStyle w:val="23"/>
        <w:rPr>
          <w:rFonts w:hAnsi="宋体"/>
          <w:b/>
          <w:color w:val="auto"/>
          <w:sz w:val="24"/>
          <w:szCs w:val="24"/>
          <w:highlight w:val="none"/>
        </w:rPr>
      </w:pPr>
      <w:r>
        <w:rPr>
          <w:rFonts w:hint="eastAsia" w:hAnsi="宋体"/>
          <w:b/>
          <w:color w:val="auto"/>
          <w:sz w:val="24"/>
          <w:szCs w:val="24"/>
          <w:highlight w:val="none"/>
        </w:rPr>
        <w:t>说明：</w:t>
      </w:r>
    </w:p>
    <w:p w14:paraId="00063A19">
      <w:pPr>
        <w:pStyle w:val="23"/>
        <w:ind w:left="25" w:firstLine="354"/>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09EF79B2">
      <w:pPr>
        <w:pStyle w:val="23"/>
        <w:ind w:left="25" w:firstLine="354"/>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31C6660">
      <w:pPr>
        <w:pStyle w:val="23"/>
        <w:ind w:left="25" w:firstLine="354"/>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39047A9">
      <w:pPr>
        <w:pStyle w:val="23"/>
        <w:ind w:left="25" w:firstLine="354"/>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4119FD67">
      <w:pPr>
        <w:pStyle w:val="23"/>
        <w:ind w:left="25" w:firstLine="354"/>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1D1B3E8C">
      <w:pPr>
        <w:spacing w:line="460" w:lineRule="exact"/>
        <w:rPr>
          <w:rFonts w:eastAsia="隶书"/>
          <w:color w:val="auto"/>
          <w:sz w:val="44"/>
          <w:highlight w:val="none"/>
        </w:rPr>
      </w:pPr>
    </w:p>
    <w:p w14:paraId="393B4A71">
      <w:pPr>
        <w:pStyle w:val="4"/>
        <w:rPr>
          <w:color w:val="auto"/>
          <w:highlight w:val="none"/>
        </w:rPr>
      </w:pPr>
      <w:r>
        <w:rPr>
          <w:color w:val="auto"/>
          <w:highlight w:val="none"/>
        </w:rPr>
        <w:br w:type="page" w:clear="all"/>
      </w:r>
      <w:r>
        <w:rPr>
          <w:rFonts w:hint="eastAsia"/>
          <w:color w:val="auto"/>
          <w:highlight w:val="none"/>
        </w:rPr>
        <w:t>3.投诉书格式</w:t>
      </w:r>
    </w:p>
    <w:p w14:paraId="32A392C4">
      <w:pPr>
        <w:jc w:val="center"/>
        <w:rPr>
          <w:rFonts w:ascii="方正小标宋简体" w:hAnsi="方正小标宋简体" w:eastAsia="方正小标宋简体" w:cs="方正小标宋简体"/>
          <w:color w:val="auto"/>
          <w:sz w:val="44"/>
          <w:szCs w:val="44"/>
          <w:highlight w:val="none"/>
        </w:rPr>
      </w:pPr>
      <w:r>
        <w:rPr>
          <w:rFonts w:hint="eastAsia" w:hAnsi="宋体" w:cs="宋体"/>
          <w:color w:val="auto"/>
          <w:sz w:val="44"/>
          <w:szCs w:val="44"/>
          <w:highlight w:val="none"/>
        </w:rPr>
        <w:t>投诉书</w:t>
      </w:r>
    </w:p>
    <w:p w14:paraId="48422825">
      <w:pPr>
        <w:pStyle w:val="23"/>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2D0ADD19">
      <w:pPr>
        <w:pStyle w:val="23"/>
        <w:ind w:firstLine="480"/>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4D0D0C4">
      <w:pPr>
        <w:pStyle w:val="23"/>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9E5AA06">
      <w:pPr>
        <w:pStyle w:val="23"/>
        <w:ind w:firstLine="48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6AB87235">
      <w:pPr>
        <w:pStyle w:val="23"/>
        <w:ind w:firstLine="48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10246C7">
      <w:pPr>
        <w:pStyle w:val="23"/>
        <w:ind w:firstLine="48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F620CDF">
      <w:pPr>
        <w:pStyle w:val="23"/>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F9492EA">
      <w:pPr>
        <w:pStyle w:val="23"/>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1D4F4EC">
      <w:pPr>
        <w:pStyle w:val="23"/>
        <w:ind w:firstLine="480"/>
        <w:rPr>
          <w:rFonts w:hAnsi="宋体"/>
          <w:bCs/>
          <w:color w:val="auto"/>
          <w:sz w:val="24"/>
          <w:szCs w:val="24"/>
          <w:highlight w:val="none"/>
        </w:rPr>
      </w:pPr>
      <w:r>
        <w:rPr>
          <w:rFonts w:hint="eastAsia" w:hAnsi="宋体"/>
          <w:bCs/>
          <w:color w:val="auto"/>
          <w:sz w:val="24"/>
          <w:szCs w:val="24"/>
          <w:highlight w:val="none"/>
        </w:rPr>
        <w:t>被投诉人1：</w:t>
      </w:r>
    </w:p>
    <w:p w14:paraId="21C4DA60">
      <w:pPr>
        <w:pStyle w:val="23"/>
        <w:ind w:firstLine="48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7FA6A25">
      <w:pPr>
        <w:pStyle w:val="23"/>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CC6DC0A">
      <w:pPr>
        <w:pStyle w:val="23"/>
        <w:ind w:firstLine="48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3F45A39">
      <w:pPr>
        <w:pStyle w:val="23"/>
        <w:ind w:firstLine="480"/>
        <w:rPr>
          <w:rFonts w:hAnsi="宋体"/>
          <w:bCs/>
          <w:color w:val="auto"/>
          <w:sz w:val="24"/>
          <w:szCs w:val="24"/>
          <w:highlight w:val="none"/>
        </w:rPr>
      </w:pPr>
      <w:r>
        <w:rPr>
          <w:rFonts w:hint="eastAsia" w:hAnsi="宋体"/>
          <w:bCs/>
          <w:color w:val="auto"/>
          <w:sz w:val="24"/>
          <w:szCs w:val="24"/>
          <w:highlight w:val="none"/>
        </w:rPr>
        <w:t>被投诉人2：</w:t>
      </w:r>
    </w:p>
    <w:p w14:paraId="003640CF">
      <w:pPr>
        <w:pStyle w:val="23"/>
        <w:ind w:firstLine="480"/>
        <w:rPr>
          <w:rFonts w:hAnsi="宋体"/>
          <w:bCs/>
          <w:color w:val="auto"/>
          <w:sz w:val="24"/>
          <w:szCs w:val="24"/>
          <w:highlight w:val="none"/>
        </w:rPr>
      </w:pPr>
      <w:r>
        <w:rPr>
          <w:rFonts w:hAnsi="宋体"/>
          <w:bCs/>
          <w:color w:val="auto"/>
          <w:sz w:val="24"/>
          <w:szCs w:val="24"/>
          <w:highlight w:val="none"/>
        </w:rPr>
        <w:t>……</w:t>
      </w:r>
    </w:p>
    <w:p w14:paraId="3C6101AB">
      <w:pPr>
        <w:pStyle w:val="23"/>
        <w:ind w:firstLine="48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7089C700">
      <w:pPr>
        <w:pStyle w:val="23"/>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0A436F8">
      <w:pPr>
        <w:pStyle w:val="23"/>
        <w:ind w:firstLine="48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6DDBE8E">
      <w:pPr>
        <w:pStyle w:val="23"/>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63E42E2B">
      <w:pPr>
        <w:pStyle w:val="23"/>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3CC06A1">
      <w:pPr>
        <w:pStyle w:val="23"/>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0527349F">
      <w:pPr>
        <w:pStyle w:val="23"/>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C1A5AFA">
      <w:pPr>
        <w:pStyle w:val="23"/>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2A2110E6">
      <w:pPr>
        <w:pStyle w:val="23"/>
        <w:ind w:left="25" w:firstLine="472"/>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192067E">
      <w:pPr>
        <w:pStyle w:val="23"/>
        <w:ind w:left="25" w:firstLine="472"/>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A0FFFCA">
      <w:pPr>
        <w:pStyle w:val="23"/>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02D4D76E">
      <w:pPr>
        <w:pStyle w:val="23"/>
        <w:ind w:left="25" w:firstLine="48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u w:val="single"/>
          <w:lang w:eastAsia="zh-CN"/>
        </w:rPr>
        <w:t>质疑</w:t>
      </w:r>
      <w:r>
        <w:rPr>
          <w:rFonts w:hint="eastAsia" w:hAnsi="宋体"/>
          <w:color w:val="auto"/>
          <w:sz w:val="24"/>
          <w:szCs w:val="24"/>
          <w:highlight w:val="none"/>
        </w:rPr>
        <w:t>，质疑事项为：</w:t>
      </w:r>
    </w:p>
    <w:p w14:paraId="3A5951C8">
      <w:pPr>
        <w:pStyle w:val="23"/>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FA32FB1">
      <w:pPr>
        <w:pStyle w:val="23"/>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02694F1A">
      <w:pPr>
        <w:pStyle w:val="23"/>
        <w:ind w:firstLine="48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1D0C5BF5">
      <w:pPr>
        <w:pStyle w:val="23"/>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7E3092BB">
      <w:pPr>
        <w:pStyle w:val="23"/>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287A00C7">
      <w:pPr>
        <w:pStyle w:val="23"/>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B7C9B0C">
      <w:pPr>
        <w:pStyle w:val="23"/>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26550383">
      <w:pPr>
        <w:pStyle w:val="23"/>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6747EA6">
      <w:pPr>
        <w:pStyle w:val="23"/>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E2B79C6">
      <w:pPr>
        <w:pStyle w:val="23"/>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44EB881B">
      <w:pPr>
        <w:pStyle w:val="23"/>
        <w:ind w:left="25" w:firstLine="472"/>
        <w:rPr>
          <w:rFonts w:hAnsi="宋体"/>
          <w:bCs/>
          <w:color w:val="auto"/>
          <w:sz w:val="24"/>
          <w:szCs w:val="24"/>
          <w:highlight w:val="none"/>
        </w:rPr>
      </w:pPr>
      <w:r>
        <w:rPr>
          <w:rFonts w:hAnsi="宋体"/>
          <w:bCs/>
          <w:color w:val="auto"/>
          <w:sz w:val="24"/>
          <w:szCs w:val="24"/>
          <w:highlight w:val="none"/>
        </w:rPr>
        <w:t>……</w:t>
      </w:r>
    </w:p>
    <w:p w14:paraId="1AD15239">
      <w:pPr>
        <w:pStyle w:val="23"/>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6B4C0316">
      <w:pPr>
        <w:pStyle w:val="23"/>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E1F4D8A">
      <w:pPr>
        <w:pStyle w:val="23"/>
        <w:ind w:left="25" w:firstLine="472"/>
        <w:rPr>
          <w:rFonts w:hAnsi="宋体"/>
          <w:color w:val="auto"/>
          <w:sz w:val="24"/>
          <w:szCs w:val="24"/>
          <w:highlight w:val="none"/>
        </w:rPr>
      </w:pPr>
      <w:r>
        <w:rPr>
          <w:rFonts w:hint="eastAsia" w:hAnsi="宋体"/>
          <w:color w:val="auto"/>
          <w:sz w:val="24"/>
          <w:szCs w:val="24"/>
          <w:highlight w:val="none"/>
        </w:rPr>
        <w:t>签字（签章）：                                       公章：</w:t>
      </w:r>
    </w:p>
    <w:p w14:paraId="71EE8C5C">
      <w:pPr>
        <w:pStyle w:val="23"/>
        <w:ind w:left="25" w:firstLine="472"/>
        <w:rPr>
          <w:rFonts w:hAnsi="宋体"/>
          <w:b/>
          <w:color w:val="auto"/>
          <w:sz w:val="24"/>
          <w:szCs w:val="24"/>
          <w:highlight w:val="none"/>
        </w:rPr>
      </w:pPr>
      <w:r>
        <w:rPr>
          <w:rFonts w:hint="eastAsia" w:hAnsi="宋体"/>
          <w:color w:val="auto"/>
          <w:sz w:val="24"/>
          <w:szCs w:val="24"/>
          <w:highlight w:val="none"/>
        </w:rPr>
        <w:t>日期：</w:t>
      </w: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678B8E78">
      <w:pPr>
        <w:pStyle w:val="23"/>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6FE584E8">
      <w:pPr>
        <w:pStyle w:val="23"/>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328A706">
      <w:pPr>
        <w:pStyle w:val="23"/>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99C7D00">
      <w:pPr>
        <w:pStyle w:val="23"/>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3745173">
      <w:pPr>
        <w:pStyle w:val="23"/>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00658A90">
      <w:pPr>
        <w:pStyle w:val="23"/>
        <w:ind w:left="25" w:firstLine="354"/>
        <w:rPr>
          <w:rFonts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9" w:type="first"/>
      <w:headerReference r:id="rId16" w:type="default"/>
      <w:footerReference r:id="rId17" w:type="default"/>
      <w:footerReference r:id="rId18" w:type="even"/>
      <w:pgSz w:w="11906" w:h="16838"/>
      <w:pgMar w:top="1134" w:right="1503" w:bottom="1559" w:left="1678" w:header="851" w:footer="992" w:gutter="0"/>
      <w:pgNumType w:fmt="decimal"/>
      <w:cols w:space="1701"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94E9B9-0A89-4D72-923B-86984A73BD0D}"/>
  </w:font>
  <w:font w:name="黑体">
    <w:panose1 w:val="02010609060101010101"/>
    <w:charset w:val="86"/>
    <w:family w:val="auto"/>
    <w:pitch w:val="default"/>
    <w:sig w:usb0="800002BF" w:usb1="38CF7CFA" w:usb2="00000016" w:usb3="00000000" w:csb0="00040001" w:csb1="00000000"/>
    <w:embedRegular r:id="rId2" w:fontKey="{6B67946F-739E-42F7-9232-7E2D623EAEBE}"/>
  </w:font>
  <w:font w:name="Courier New">
    <w:panose1 w:val="02070309020205020404"/>
    <w:charset w:val="01"/>
    <w:family w:val="modern"/>
    <w:pitch w:val="default"/>
    <w:sig w:usb0="E0002EFF" w:usb1="C0007843" w:usb2="00000009" w:usb3="00000000" w:csb0="400001FF" w:csb1="FFFF0000"/>
    <w:embedRegular r:id="rId3" w:fontKey="{DF0EA0F7-CA01-4ED3-95FC-3D34A7B6D89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330431A9-FEBA-4E33-82E3-CC5650098AB4}"/>
  </w:font>
  <w:font w:name="方正仿宋_GB2312">
    <w:panose1 w:val="02000000000000000000"/>
    <w:charset w:val="86"/>
    <w:family w:val="auto"/>
    <w:pitch w:val="default"/>
    <w:sig w:usb0="A00002BF" w:usb1="184F6CFA" w:usb2="00000012" w:usb3="00000000" w:csb0="00040001" w:csb1="00000000"/>
    <w:embedRegular r:id="rId5" w:fontKey="{AE369454-BF18-4C86-8061-FADD08F5227C}"/>
  </w:font>
  <w:font w:name="Century">
    <w:panose1 w:val="0204060405050502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6" w:fontKey="{1E32E643-7C2F-4E8E-BE25-99A7F0CDB241}"/>
  </w:font>
  <w:font w:name="Arial Unicode MS">
    <w:panose1 w:val="020B0604020202020204"/>
    <w:charset w:val="86"/>
    <w:family w:val="swiss"/>
    <w:pitch w:val="default"/>
    <w:sig w:usb0="FFFFFFFF" w:usb1="E9FFFFFF" w:usb2="0000003F" w:usb3="00000000" w:csb0="603F01FF" w:csb1="FFFF0000"/>
    <w:embedRegular r:id="rId7" w:fontKey="{5370CCD4-ECB6-4A67-9BEC-1E5D93D3CE77}"/>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8" w:fontKey="{B42E14C8-44BE-40A7-9248-378BCE66FA00}"/>
  </w:font>
  <w:font w:name="等线">
    <w:panose1 w:val="02010600030101010101"/>
    <w:charset w:val="86"/>
    <w:family w:val="auto"/>
    <w:pitch w:val="default"/>
    <w:sig w:usb0="A00002BF" w:usb1="38CF7CFA" w:usb2="00000016" w:usb3="00000000" w:csb0="0004000F" w:csb1="00000000"/>
    <w:embedRegular r:id="rId9" w:fontKey="{AF510EB0-564C-48A1-AB34-3377CECD68B4}"/>
  </w:font>
  <w:font w:name="华文新魏">
    <w:panose1 w:val="02010800040101010101"/>
    <w:charset w:val="86"/>
    <w:family w:val="auto"/>
    <w:pitch w:val="default"/>
    <w:sig w:usb0="00000001" w:usb1="080F0000" w:usb2="00000000" w:usb3="00000000" w:csb0="00040000" w:csb1="00000000"/>
    <w:embedRegular r:id="rId10" w:fontKey="{AE8F1C54-38A8-473A-BC07-D6AE00925BD5}"/>
  </w:font>
  <w:font w:name="微软雅黑">
    <w:panose1 w:val="020B0503020204020204"/>
    <w:charset w:val="86"/>
    <w:family w:val="swiss"/>
    <w:pitch w:val="default"/>
    <w:sig w:usb0="80000287" w:usb1="2ACF3C50" w:usb2="00000016" w:usb3="00000000" w:csb0="0004001F" w:csb1="00000000"/>
    <w:embedRegular r:id="rId11" w:fontKey="{AC91D269-D113-4124-932D-FA39FBB7C225}"/>
  </w:font>
  <w:font w:name="Helvetica">
    <w:altName w:val="Arial"/>
    <w:panose1 w:val="020B0604020202020204"/>
    <w:charset w:val="00"/>
    <w:family w:val="swiss"/>
    <w:pitch w:val="default"/>
    <w:sig w:usb0="00000000" w:usb1="00000000" w:usb2="00000000" w:usb3="00000000" w:csb0="00000001" w:csb1="00000000"/>
    <w:embedRegular r:id="rId12" w:fontKey="{AD7ADF2B-0AC8-4459-B21D-32FE23E3B4B6}"/>
  </w:font>
  <w:font w:name="仿宋_GB2312">
    <w:panose1 w:val="02010609030101010101"/>
    <w:charset w:val="86"/>
    <w:family w:val="modern"/>
    <w:pitch w:val="default"/>
    <w:sig w:usb0="00000001" w:usb1="080E0000" w:usb2="00000000" w:usb3="00000000" w:csb0="00040000" w:csb1="00000000"/>
    <w:embedRegular r:id="rId13" w:fontKey="{462046FA-966B-418D-BD84-4F633D9F77C5}"/>
  </w:font>
  <w:font w:name="隶书">
    <w:panose1 w:val="02010509060101010101"/>
    <w:charset w:val="86"/>
    <w:family w:val="modern"/>
    <w:pitch w:val="default"/>
    <w:sig w:usb0="00000001" w:usb1="080E0000" w:usb2="00000000" w:usb3="00000000" w:csb0="00040000" w:csb1="00000000"/>
    <w:embedRegular r:id="rId14" w:fontKey="{CB9D7479-14FA-43D1-920D-A64C7269F1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FB711">
    <w:pPr>
      <w:pStyle w:val="29"/>
      <w:jc w:val="center"/>
    </w:pPr>
  </w:p>
  <w:p w14:paraId="733EFE62">
    <w:pPr>
      <w:pStyle w:val="2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06EF">
    <w:pPr>
      <w:pStyle w:val="29"/>
      <w:ind w:right="360"/>
      <w:jc w:val="both"/>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5A839">
                          <w:pPr>
                            <w:pStyle w:val="29"/>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D55A839">
                    <w:pPr>
                      <w:pStyle w:val="29"/>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2008C">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DB0B3">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2DB0B3">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5929D">
    <w:pPr>
      <w:pStyle w:val="29"/>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7B2C8">
                          <w:pPr>
                            <w:pStyle w:val="2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77B2C8">
                    <w:pPr>
                      <w:pStyle w:val="2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F6F82">
    <w:pPr>
      <w:pStyle w:val="29"/>
      <w:ind w:right="36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C9154">
                          <w:pPr>
                            <w:pStyle w:val="2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E0C9154">
                    <w:pPr>
                      <w:pStyle w:val="2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3290D">
    <w:pPr>
      <w:spacing w:line="169" w:lineRule="auto"/>
      <w:ind w:left="4875"/>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BC5F2">
                          <w:pPr>
                            <w:pStyle w:val="29"/>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EBC5F2">
                    <w:pPr>
                      <w:pStyle w:val="29"/>
                    </w:pPr>
                    <w:r>
                      <w:fldChar w:fldCharType="begin"/>
                    </w:r>
                    <w:r>
                      <w:instrText xml:space="preserve"> PAGE  \* MERGEFORMAT </w:instrText>
                    </w:r>
                    <w:r>
                      <w:fldChar w:fldCharType="separate"/>
                    </w:r>
                    <w:r>
                      <w:t>114</w:t>
                    </w:r>
                    <w:r>
                      <w:fldChar w:fldCharType="end"/>
                    </w:r>
                  </w:p>
                </w:txbxContent>
              </v:textbox>
            </v:shape>
          </w:pict>
        </mc:Fallback>
      </mc:AlternateContent>
    </w:r>
    <w:r>
      <w:rPr>
        <w:rFonts w:ascii="Calibri" w:hAnsi="Calibri" w:eastAsia="Calibri" w:cs="Calibri"/>
        <w:spacing w:val="-4"/>
        <w:sz w:val="18"/>
        <w:szCs w:val="18"/>
      </w:rPr>
      <w:t>82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1A0E9">
    <w:pPr>
      <w:spacing w:line="169" w:lineRule="auto"/>
      <w:ind w:left="4875"/>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FA98B">
                          <w:pPr>
                            <w:pStyle w:val="29"/>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66FA98B">
                    <w:pPr>
                      <w:pStyle w:val="29"/>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48535">
    <w:pPr>
      <w:pStyle w:val="2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CBB73">
                          <w:pPr>
                            <w:pStyle w:val="29"/>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9CBB73">
                    <w:pPr>
                      <w:pStyle w:val="29"/>
                    </w:pPr>
                    <w:r>
                      <w:fldChar w:fldCharType="begin"/>
                    </w:r>
                    <w:r>
                      <w:instrText xml:space="preserve"> PAGE  \* MERGEFORMAT </w:instrText>
                    </w:r>
                    <w:r>
                      <w:fldChar w:fldCharType="separate"/>
                    </w:r>
                    <w:r>
                      <w:t>141</w:t>
                    </w:r>
                    <w:r>
                      <w:fldChar w:fldCharType="end"/>
                    </w:r>
                  </w:p>
                </w:txbxContent>
              </v:textbox>
            </v:shape>
          </w:pict>
        </mc:Fallback>
      </mc:AlternateContent>
    </w:r>
  </w:p>
  <w:p w14:paraId="2B2C8CF9">
    <w:pPr>
      <w:pStyle w:val="2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297F8">
    <w:pPr>
      <w:pStyle w:val="2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104E6">
                          <w:pPr>
                            <w:pStyle w:val="29"/>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CE104E6">
                    <w:pPr>
                      <w:pStyle w:val="29"/>
                    </w:pPr>
                    <w:r>
                      <w:fldChar w:fldCharType="begin"/>
                    </w:r>
                    <w:r>
                      <w:instrText xml:space="preserve"> PAGE  \* MERGEFORMAT </w:instrText>
                    </w:r>
                    <w:r>
                      <w:fldChar w:fldCharType="separate"/>
                    </w:r>
                    <w:r>
                      <w:t>144</w:t>
                    </w:r>
                    <w:r>
                      <w:fldChar w:fldCharType="end"/>
                    </w:r>
                  </w:p>
                </w:txbxContent>
              </v:textbox>
            </v:shape>
          </w:pict>
        </mc:Fallback>
      </mc:AlternateContent>
    </w:r>
  </w:p>
  <w:p w14:paraId="422E8E66">
    <w:pPr>
      <w:pStyle w:val="2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6387">
    <w:pPr>
      <w:pStyle w:val="29"/>
      <w:framePr w:wrap="around" w:vAnchor="text" w:hAnchor="margin" w:xAlign="center" w:y="1"/>
      <w:rPr>
        <w:rStyle w:val="52"/>
      </w:rPr>
    </w:pPr>
    <w:r>
      <w:fldChar w:fldCharType="begin"/>
    </w:r>
    <w:r>
      <w:rPr>
        <w:rStyle w:val="52"/>
      </w:rPr>
      <w:instrText xml:space="preserve">PAGE  </w:instrText>
    </w:r>
    <w:r>
      <w:fldChar w:fldCharType="end"/>
    </w:r>
  </w:p>
  <w:p w14:paraId="3DF51300">
    <w:pPr>
      <w:pStyle w:val="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60CD">
    <w:pPr>
      <w:pStyle w:val="30"/>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2FA86">
    <w:pPr>
      <w:pStyle w:val="30"/>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0B1F">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F4D3">
    <w:pPr>
      <w:pStyle w:val="30"/>
      <w:pBdr>
        <w:bottom w:val="none" w:color="000000"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09957">
    <w:pPr>
      <w:pStyle w:val="30"/>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615202"/>
    <w:multiLevelType w:val="multilevel"/>
    <w:tmpl w:val="D6615202"/>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FBFEC079"/>
    <w:multiLevelType w:val="singleLevel"/>
    <w:tmpl w:val="FBFEC079"/>
    <w:lvl w:ilvl="0" w:tentative="0">
      <w:start w:val="1"/>
      <w:numFmt w:val="chineseCounting"/>
      <w:suff w:val="nothing"/>
      <w:lvlText w:val="%1、"/>
      <w:lvlJc w:val="left"/>
      <w:rPr>
        <w:rFonts w:hint="eastAsia"/>
      </w:rPr>
    </w:lvl>
  </w:abstractNum>
  <w:abstractNum w:abstractNumId="2">
    <w:nsid w:val="00000001"/>
    <w:multiLevelType w:val="multilevel"/>
    <w:tmpl w:val="00000001"/>
    <w:lvl w:ilvl="0" w:tentative="0">
      <w:start w:val="1"/>
      <w:numFmt w:val="decimal"/>
      <w:pStyle w:val="19"/>
      <w:lvlText w:val="%1."/>
      <w:lvlJc w:val="left"/>
      <w:pPr>
        <w:tabs>
          <w:tab w:val="left" w:pos="1342"/>
        </w:tabs>
        <w:ind w:left="1342"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00000003"/>
    <w:multiLevelType w:val="multilevel"/>
    <w:tmpl w:val="00000003"/>
    <w:lvl w:ilvl="0" w:tentative="0">
      <w:start w:val="4"/>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00000004"/>
    <w:multiLevelType w:val="multilevel"/>
    <w:tmpl w:val="00000004"/>
    <w:lvl w:ilvl="0" w:tentative="0">
      <w:start w:val="1"/>
      <w:numFmt w:val="decimal"/>
      <w:lvlText w:val="（%1）"/>
      <w:lvlJc w:val="left"/>
      <w:pPr>
        <w:ind w:left="842"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5">
    <w:nsid w:val="00000005"/>
    <w:multiLevelType w:val="multilevel"/>
    <w:tmpl w:val="00000005"/>
    <w:lvl w:ilvl="0" w:tentative="0">
      <w:start w:val="1"/>
      <w:numFmt w:val="chineseCountingThousand"/>
      <w:suff w:val="nothing"/>
      <w:lvlText w:val="第%1章"/>
      <w:lvlJc w:val="left"/>
      <w:pPr>
        <w:ind w:left="0" w:firstLine="0"/>
      </w:pPr>
      <w:rPr>
        <w:rFonts w:hint="eastAsia" w:ascii="方正仿宋_GB2312" w:eastAsia="方正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6"/>
      <w:suff w:val="nothing"/>
      <w:lvlText w:val=""/>
      <w:lvlJc w:val="left"/>
      <w:pPr>
        <w:ind w:left="0" w:firstLine="0"/>
      </w:pPr>
      <w:rPr>
        <w:rFonts w:hint="eastAsia"/>
      </w:rPr>
    </w:lvl>
    <w:lvl w:ilvl="5" w:tentative="0">
      <w:start w:val="1"/>
      <w:numFmt w:val="decimal"/>
      <w:pStyle w:val="8"/>
      <w:suff w:val="nothing"/>
      <w:lvlText w:val=""/>
      <w:lvlJc w:val="left"/>
      <w:pPr>
        <w:ind w:left="0" w:firstLine="0"/>
      </w:pPr>
      <w:rPr>
        <w:rFonts w:hint="eastAsia"/>
      </w:rPr>
    </w:lvl>
    <w:lvl w:ilvl="6" w:tentative="0">
      <w:start w:val="1"/>
      <w:numFmt w:val="decimal"/>
      <w:pStyle w:val="9"/>
      <w:suff w:val="nothing"/>
      <w:lvlText w:val=""/>
      <w:lvlJc w:val="left"/>
      <w:pPr>
        <w:ind w:left="0" w:firstLine="0"/>
      </w:pPr>
      <w:rPr>
        <w:rFonts w:hint="eastAsia"/>
      </w:rPr>
    </w:lvl>
    <w:lvl w:ilvl="7" w:tentative="0">
      <w:start w:val="1"/>
      <w:numFmt w:val="decimal"/>
      <w:pStyle w:val="10"/>
      <w:suff w:val="nothing"/>
      <w:lvlText w:val=""/>
      <w:lvlJc w:val="left"/>
      <w:pPr>
        <w:ind w:left="0" w:firstLine="0"/>
      </w:pPr>
      <w:rPr>
        <w:rFonts w:hint="eastAsia"/>
      </w:rPr>
    </w:lvl>
    <w:lvl w:ilvl="8" w:tentative="0">
      <w:start w:val="1"/>
      <w:numFmt w:val="decimal"/>
      <w:pStyle w:val="11"/>
      <w:suff w:val="nothing"/>
      <w:lvlText w:val=""/>
      <w:lvlJc w:val="left"/>
      <w:pPr>
        <w:ind w:left="0" w:firstLine="0"/>
      </w:pPr>
      <w:rPr>
        <w:rFonts w:hint="eastAsia"/>
      </w:rPr>
    </w:lvl>
  </w:abstractNum>
  <w:abstractNum w:abstractNumId="6">
    <w:nsid w:val="00000006"/>
    <w:multiLevelType w:val="multilevel"/>
    <w:tmpl w:val="00000006"/>
    <w:lvl w:ilvl="0" w:tentative="0">
      <w:start w:val="1"/>
      <w:numFmt w:val="decimal"/>
      <w:lvlText w:val="（%1）"/>
      <w:lvlJc w:val="left"/>
      <w:pPr>
        <w:ind w:left="842"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7">
    <w:nsid w:val="243073DA"/>
    <w:multiLevelType w:val="multilevel"/>
    <w:tmpl w:val="243073DA"/>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1"/>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709"/>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3BD"/>
    <w:rsid w:val="00044A6C"/>
    <w:rsid w:val="000B7656"/>
    <w:rsid w:val="001A31AF"/>
    <w:rsid w:val="002C22FF"/>
    <w:rsid w:val="002E4755"/>
    <w:rsid w:val="002E6D75"/>
    <w:rsid w:val="00300F47"/>
    <w:rsid w:val="003D5FDF"/>
    <w:rsid w:val="00404E8D"/>
    <w:rsid w:val="00407C1E"/>
    <w:rsid w:val="00463666"/>
    <w:rsid w:val="004903EF"/>
    <w:rsid w:val="004923BD"/>
    <w:rsid w:val="005743FF"/>
    <w:rsid w:val="006027A7"/>
    <w:rsid w:val="006D07F3"/>
    <w:rsid w:val="00732E1A"/>
    <w:rsid w:val="007F6F0D"/>
    <w:rsid w:val="00814032"/>
    <w:rsid w:val="00870F4A"/>
    <w:rsid w:val="009114B8"/>
    <w:rsid w:val="009223E9"/>
    <w:rsid w:val="00997756"/>
    <w:rsid w:val="009C45FE"/>
    <w:rsid w:val="00A73220"/>
    <w:rsid w:val="00AA5831"/>
    <w:rsid w:val="00B07106"/>
    <w:rsid w:val="00B9358C"/>
    <w:rsid w:val="00C67631"/>
    <w:rsid w:val="00CE170C"/>
    <w:rsid w:val="00D62DC7"/>
    <w:rsid w:val="00E504B0"/>
    <w:rsid w:val="00EF3334"/>
    <w:rsid w:val="00EF67E1"/>
    <w:rsid w:val="00F0217E"/>
    <w:rsid w:val="02125874"/>
    <w:rsid w:val="039F64A8"/>
    <w:rsid w:val="0479291F"/>
    <w:rsid w:val="050634BB"/>
    <w:rsid w:val="0654426F"/>
    <w:rsid w:val="06BA76BB"/>
    <w:rsid w:val="07610548"/>
    <w:rsid w:val="08526117"/>
    <w:rsid w:val="088B4CD6"/>
    <w:rsid w:val="090B419B"/>
    <w:rsid w:val="0B073AE9"/>
    <w:rsid w:val="0BC02AD7"/>
    <w:rsid w:val="0E6A04D8"/>
    <w:rsid w:val="103F1337"/>
    <w:rsid w:val="10C857F8"/>
    <w:rsid w:val="11331015"/>
    <w:rsid w:val="15466CE1"/>
    <w:rsid w:val="15C56A7A"/>
    <w:rsid w:val="15F87C93"/>
    <w:rsid w:val="17407C36"/>
    <w:rsid w:val="17656C4D"/>
    <w:rsid w:val="1A9246FD"/>
    <w:rsid w:val="1B451B2F"/>
    <w:rsid w:val="1B9A0CEE"/>
    <w:rsid w:val="1C4A27F6"/>
    <w:rsid w:val="1D2A49B7"/>
    <w:rsid w:val="1D4C369E"/>
    <w:rsid w:val="1DF94ABB"/>
    <w:rsid w:val="1E073020"/>
    <w:rsid w:val="1E2948FA"/>
    <w:rsid w:val="1F8F25D3"/>
    <w:rsid w:val="1FE91D68"/>
    <w:rsid w:val="202B0875"/>
    <w:rsid w:val="203770D9"/>
    <w:rsid w:val="21436B21"/>
    <w:rsid w:val="21884D56"/>
    <w:rsid w:val="23432264"/>
    <w:rsid w:val="23C91E2B"/>
    <w:rsid w:val="246F37D6"/>
    <w:rsid w:val="24902564"/>
    <w:rsid w:val="250E67D7"/>
    <w:rsid w:val="25E43ED4"/>
    <w:rsid w:val="265D1703"/>
    <w:rsid w:val="270C409F"/>
    <w:rsid w:val="27977369"/>
    <w:rsid w:val="29D3692F"/>
    <w:rsid w:val="29EC4533"/>
    <w:rsid w:val="2B8F603A"/>
    <w:rsid w:val="2BF959F5"/>
    <w:rsid w:val="2C226920"/>
    <w:rsid w:val="2C36054A"/>
    <w:rsid w:val="2D3B2EB7"/>
    <w:rsid w:val="2DA73EF2"/>
    <w:rsid w:val="2DB56DA0"/>
    <w:rsid w:val="2F0B154A"/>
    <w:rsid w:val="2F242ACA"/>
    <w:rsid w:val="319F2879"/>
    <w:rsid w:val="31F80BC9"/>
    <w:rsid w:val="32794A1C"/>
    <w:rsid w:val="335B487A"/>
    <w:rsid w:val="339733AC"/>
    <w:rsid w:val="34224435"/>
    <w:rsid w:val="345C0152"/>
    <w:rsid w:val="3492284C"/>
    <w:rsid w:val="34D67F04"/>
    <w:rsid w:val="352E65A7"/>
    <w:rsid w:val="35542B02"/>
    <w:rsid w:val="35771BC5"/>
    <w:rsid w:val="35DE13EB"/>
    <w:rsid w:val="35F55D16"/>
    <w:rsid w:val="36931098"/>
    <w:rsid w:val="3702379D"/>
    <w:rsid w:val="38233FA0"/>
    <w:rsid w:val="38A72D01"/>
    <w:rsid w:val="38B13611"/>
    <w:rsid w:val="39501FE8"/>
    <w:rsid w:val="39643124"/>
    <w:rsid w:val="39E95300"/>
    <w:rsid w:val="3AB94550"/>
    <w:rsid w:val="3B3A1996"/>
    <w:rsid w:val="3B440988"/>
    <w:rsid w:val="3B5073DC"/>
    <w:rsid w:val="3CD04C4C"/>
    <w:rsid w:val="3D6C3487"/>
    <w:rsid w:val="3EB43064"/>
    <w:rsid w:val="3F917849"/>
    <w:rsid w:val="3FE15D3A"/>
    <w:rsid w:val="4120779B"/>
    <w:rsid w:val="445F5DCB"/>
    <w:rsid w:val="455355D0"/>
    <w:rsid w:val="460C34F8"/>
    <w:rsid w:val="46472A10"/>
    <w:rsid w:val="4777044B"/>
    <w:rsid w:val="47B2292F"/>
    <w:rsid w:val="48E94BAA"/>
    <w:rsid w:val="49156DF5"/>
    <w:rsid w:val="49344461"/>
    <w:rsid w:val="4975494D"/>
    <w:rsid w:val="4BF16188"/>
    <w:rsid w:val="4C30370D"/>
    <w:rsid w:val="4D866514"/>
    <w:rsid w:val="4DB737CA"/>
    <w:rsid w:val="4F483E30"/>
    <w:rsid w:val="507E36E7"/>
    <w:rsid w:val="50897605"/>
    <w:rsid w:val="51093901"/>
    <w:rsid w:val="521D0CD3"/>
    <w:rsid w:val="5235306E"/>
    <w:rsid w:val="52456432"/>
    <w:rsid w:val="53770712"/>
    <w:rsid w:val="53BD1BF0"/>
    <w:rsid w:val="53D36EE8"/>
    <w:rsid w:val="545E091A"/>
    <w:rsid w:val="57C20AC5"/>
    <w:rsid w:val="5A64632B"/>
    <w:rsid w:val="5B8F0C89"/>
    <w:rsid w:val="5CAC1F18"/>
    <w:rsid w:val="5D914BB6"/>
    <w:rsid w:val="5E1E6989"/>
    <w:rsid w:val="5E46716B"/>
    <w:rsid w:val="5E736001"/>
    <w:rsid w:val="5F0F069E"/>
    <w:rsid w:val="5F5C4868"/>
    <w:rsid w:val="5F756E43"/>
    <w:rsid w:val="60786F09"/>
    <w:rsid w:val="60D300EA"/>
    <w:rsid w:val="61425A64"/>
    <w:rsid w:val="619F7579"/>
    <w:rsid w:val="622B7BC4"/>
    <w:rsid w:val="62793C9D"/>
    <w:rsid w:val="62FC7BB5"/>
    <w:rsid w:val="6341642D"/>
    <w:rsid w:val="64540753"/>
    <w:rsid w:val="64610DC1"/>
    <w:rsid w:val="661C67E7"/>
    <w:rsid w:val="67582877"/>
    <w:rsid w:val="68C429A8"/>
    <w:rsid w:val="69D9075E"/>
    <w:rsid w:val="6A3C265A"/>
    <w:rsid w:val="6AA221E0"/>
    <w:rsid w:val="6B7610DD"/>
    <w:rsid w:val="6BE26BB3"/>
    <w:rsid w:val="6F33219C"/>
    <w:rsid w:val="6FA14630"/>
    <w:rsid w:val="6FCD41F7"/>
    <w:rsid w:val="6FEE43E8"/>
    <w:rsid w:val="700A7A06"/>
    <w:rsid w:val="70E711A5"/>
    <w:rsid w:val="72162E3A"/>
    <w:rsid w:val="73166466"/>
    <w:rsid w:val="73E67988"/>
    <w:rsid w:val="73F676A0"/>
    <w:rsid w:val="74806F69"/>
    <w:rsid w:val="74DA28B2"/>
    <w:rsid w:val="75E413DE"/>
    <w:rsid w:val="76AA4771"/>
    <w:rsid w:val="770C03DF"/>
    <w:rsid w:val="772611CE"/>
    <w:rsid w:val="778E1DCF"/>
    <w:rsid w:val="780E61DA"/>
    <w:rsid w:val="78197CD6"/>
    <w:rsid w:val="78CB70BB"/>
    <w:rsid w:val="79187B3A"/>
    <w:rsid w:val="796B6CDE"/>
    <w:rsid w:val="79852A28"/>
    <w:rsid w:val="7ABB480C"/>
    <w:rsid w:val="7CA331DB"/>
    <w:rsid w:val="7F050EE7"/>
    <w:rsid w:val="7FB50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Times New Roman" w:eastAsia="宋体" w:cs="Times New Roman"/>
      <w:sz w:val="21"/>
      <w:szCs w:val="24"/>
      <w:lang w:val="en-US" w:eastAsia="zh-CN" w:bidi="ar-SA"/>
    </w:rPr>
  </w:style>
  <w:style w:type="paragraph" w:styleId="2">
    <w:name w:val="heading 1"/>
    <w:basedOn w:val="1"/>
    <w:next w:val="1"/>
    <w:link w:val="232"/>
    <w:qFormat/>
    <w:uiPriority w:val="0"/>
    <w:pPr>
      <w:keepNext/>
      <w:keepLines/>
      <w:spacing w:before="340" w:after="340"/>
      <w:jc w:val="center"/>
      <w:outlineLvl w:val="0"/>
    </w:pPr>
    <w:rPr>
      <w:b/>
      <w:bCs/>
      <w:sz w:val="44"/>
      <w:szCs w:val="44"/>
    </w:rPr>
  </w:style>
  <w:style w:type="paragraph" w:styleId="3">
    <w:name w:val="heading 2"/>
    <w:basedOn w:val="1"/>
    <w:next w:val="1"/>
    <w:link w:val="233"/>
    <w:qFormat/>
    <w:uiPriority w:val="0"/>
    <w:pPr>
      <w:keepNext/>
      <w:keepLines/>
      <w:jc w:val="center"/>
      <w:outlineLvl w:val="1"/>
    </w:pPr>
    <w:rPr>
      <w:rFonts w:ascii="Arial" w:hAnsi="Arial"/>
      <w:b/>
      <w:bCs/>
      <w:sz w:val="36"/>
      <w:szCs w:val="32"/>
    </w:rPr>
  </w:style>
  <w:style w:type="paragraph" w:styleId="4">
    <w:name w:val="heading 3"/>
    <w:basedOn w:val="1"/>
    <w:next w:val="1"/>
    <w:link w:val="234"/>
    <w:qFormat/>
    <w:uiPriority w:val="0"/>
    <w:pPr>
      <w:keepNext/>
      <w:keepLines/>
      <w:spacing w:before="200" w:after="200"/>
      <w:outlineLvl w:val="2"/>
    </w:pPr>
    <w:rPr>
      <w:rFonts w:eastAsia="黑体"/>
      <w:b/>
      <w:bCs/>
      <w:sz w:val="24"/>
      <w:szCs w:val="32"/>
    </w:rPr>
  </w:style>
  <w:style w:type="paragraph" w:styleId="5">
    <w:name w:val="heading 4"/>
    <w:basedOn w:val="1"/>
    <w:next w:val="1"/>
    <w:link w:val="207"/>
    <w:qFormat/>
    <w:uiPriority w:val="0"/>
    <w:pPr>
      <w:keepNext/>
      <w:keepLines/>
      <w:spacing w:line="300" w:lineRule="exact"/>
      <w:outlineLvl w:val="3"/>
    </w:pPr>
    <w:rPr>
      <w:rFonts w:hAnsi="宋体"/>
      <w:b/>
      <w:bCs/>
      <w:sz w:val="20"/>
      <w:szCs w:val="28"/>
    </w:rPr>
  </w:style>
  <w:style w:type="paragraph" w:styleId="6">
    <w:name w:val="heading 5"/>
    <w:basedOn w:val="1"/>
    <w:next w:val="7"/>
    <w:link w:val="235"/>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36"/>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1"/>
    <w:link w:val="237"/>
    <w:qFormat/>
    <w:uiPriority w:val="0"/>
    <w:pPr>
      <w:keepNext/>
      <w:keepLines/>
      <w:numPr>
        <w:ilvl w:val="6"/>
        <w:numId w:val="1"/>
      </w:numPr>
      <w:spacing w:before="200" w:after="200" w:line="240" w:lineRule="auto"/>
      <w:jc w:val="center"/>
      <w:outlineLvl w:val="6"/>
    </w:pPr>
    <w:rPr>
      <w:rFonts w:eastAsia="黑体"/>
      <w:b/>
      <w:sz w:val="32"/>
    </w:rPr>
  </w:style>
  <w:style w:type="paragraph" w:styleId="10">
    <w:name w:val="heading 8"/>
    <w:basedOn w:val="1"/>
    <w:next w:val="7"/>
    <w:link w:val="238"/>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39"/>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39"/>
    <w:pPr>
      <w:ind w:left="252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ind w:left="454" w:hanging="284"/>
    </w:pPr>
    <w:rPr>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240"/>
    <w:qFormat/>
    <w:uiPriority w:val="99"/>
  </w:style>
  <w:style w:type="paragraph" w:styleId="16">
    <w:name w:val="Body Text 3"/>
    <w:basedOn w:val="1"/>
    <w:link w:val="241"/>
    <w:qFormat/>
    <w:uiPriority w:val="0"/>
    <w:pPr>
      <w:spacing w:line="500" w:lineRule="exact"/>
    </w:pPr>
    <w:rPr>
      <w:b/>
      <w:bCs/>
      <w:sz w:val="24"/>
    </w:rPr>
  </w:style>
  <w:style w:type="paragraph" w:styleId="17">
    <w:name w:val="Body Text"/>
    <w:basedOn w:val="1"/>
    <w:link w:val="242"/>
    <w:qFormat/>
    <w:uiPriority w:val="0"/>
    <w:pPr>
      <w:spacing w:line="380" w:lineRule="exact"/>
    </w:pPr>
    <w:rPr>
      <w:sz w:val="24"/>
    </w:rPr>
  </w:style>
  <w:style w:type="paragraph" w:styleId="18">
    <w:name w:val="Body Text Indent"/>
    <w:basedOn w:val="1"/>
    <w:link w:val="243"/>
    <w:qFormat/>
    <w:uiPriority w:val="0"/>
    <w:pPr>
      <w:ind w:firstLine="830"/>
    </w:pPr>
    <w:rPr>
      <w:rFonts w:ascii="方正仿宋_GB2312" w:eastAsia="方正仿宋_GB2312"/>
      <w:sz w:val="32"/>
      <w:szCs w:val="20"/>
    </w:rPr>
  </w:style>
  <w:style w:type="paragraph" w:styleId="19">
    <w:name w:val="List Number 3"/>
    <w:basedOn w:val="1"/>
    <w:qFormat/>
    <w:uiPriority w:val="0"/>
    <w:pPr>
      <w:numPr>
        <w:ilvl w:val="0"/>
        <w:numId w:val="2"/>
      </w:numPr>
      <w:tabs>
        <w:tab w:val="left" w:pos="1200"/>
      </w:tabs>
    </w:pPr>
  </w:style>
  <w:style w:type="paragraph" w:styleId="20">
    <w:name w:val="List 2"/>
    <w:basedOn w:val="1"/>
    <w:qFormat/>
    <w:uiPriority w:val="0"/>
    <w:pPr>
      <w:ind w:left="100" w:hanging="200"/>
    </w:pPr>
    <w:rPr>
      <w:sz w:val="28"/>
    </w:rPr>
  </w:style>
  <w:style w:type="paragraph" w:styleId="21">
    <w:name w:val="toc 5"/>
    <w:basedOn w:val="1"/>
    <w:next w:val="1"/>
    <w:qFormat/>
    <w:uiPriority w:val="39"/>
    <w:pPr>
      <w:ind w:left="1680"/>
    </w:pPr>
    <w:rPr>
      <w:rFonts w:ascii="Calibri" w:hAnsi="Calibri"/>
      <w:szCs w:val="22"/>
    </w:rPr>
  </w:style>
  <w:style w:type="paragraph" w:styleId="22">
    <w:name w:val="toc 3"/>
    <w:basedOn w:val="1"/>
    <w:next w:val="1"/>
    <w:qFormat/>
    <w:uiPriority w:val="39"/>
    <w:pPr>
      <w:ind w:left="840"/>
    </w:pPr>
    <w:rPr>
      <w:rFonts w:ascii="Calibri" w:hAnsi="Calibri"/>
      <w:szCs w:val="22"/>
    </w:rPr>
  </w:style>
  <w:style w:type="paragraph" w:styleId="23">
    <w:name w:val="Plain Text"/>
    <w:basedOn w:val="1"/>
    <w:link w:val="244"/>
    <w:qFormat/>
    <w:uiPriority w:val="0"/>
    <w:rPr>
      <w:rFonts w:hAnsi="Courier New" w:cs="Century"/>
      <w:szCs w:val="21"/>
    </w:rPr>
  </w:style>
  <w:style w:type="paragraph" w:styleId="24">
    <w:name w:val="toc 8"/>
    <w:basedOn w:val="1"/>
    <w:next w:val="1"/>
    <w:qFormat/>
    <w:uiPriority w:val="39"/>
    <w:pPr>
      <w:ind w:left="2940"/>
    </w:pPr>
    <w:rPr>
      <w:rFonts w:ascii="Calibri" w:hAnsi="Calibri"/>
      <w:szCs w:val="22"/>
    </w:rPr>
  </w:style>
  <w:style w:type="paragraph" w:styleId="25">
    <w:name w:val="Date"/>
    <w:basedOn w:val="1"/>
    <w:next w:val="1"/>
    <w:link w:val="245"/>
    <w:qFormat/>
    <w:uiPriority w:val="0"/>
    <w:pPr>
      <w:ind w:left="100"/>
    </w:pPr>
    <w:rPr>
      <w:rFonts w:hAnsi="Courier New"/>
      <w:sz w:val="20"/>
      <w:szCs w:val="21"/>
    </w:rPr>
  </w:style>
  <w:style w:type="paragraph" w:styleId="26">
    <w:name w:val="Body Text Indent 2"/>
    <w:basedOn w:val="1"/>
    <w:link w:val="246"/>
    <w:qFormat/>
    <w:uiPriority w:val="0"/>
    <w:pPr>
      <w:ind w:firstLine="630"/>
    </w:pPr>
    <w:rPr>
      <w:sz w:val="32"/>
      <w:szCs w:val="20"/>
    </w:rPr>
  </w:style>
  <w:style w:type="paragraph" w:styleId="27">
    <w:name w:val="endnote text"/>
    <w:basedOn w:val="1"/>
    <w:link w:val="247"/>
    <w:qFormat/>
    <w:uiPriority w:val="99"/>
  </w:style>
  <w:style w:type="paragraph" w:styleId="28">
    <w:name w:val="Balloon Text"/>
    <w:basedOn w:val="1"/>
    <w:link w:val="248"/>
    <w:qFormat/>
    <w:uiPriority w:val="0"/>
    <w:rPr>
      <w:sz w:val="18"/>
      <w:szCs w:val="18"/>
    </w:rPr>
  </w:style>
  <w:style w:type="paragraph" w:styleId="29">
    <w:name w:val="footer"/>
    <w:basedOn w:val="1"/>
    <w:link w:val="249"/>
    <w:qFormat/>
    <w:uiPriority w:val="99"/>
    <w:pPr>
      <w:tabs>
        <w:tab w:val="center" w:pos="4153"/>
        <w:tab w:val="right" w:pos="8306"/>
      </w:tabs>
    </w:pPr>
    <w:rPr>
      <w:sz w:val="18"/>
      <w:szCs w:val="18"/>
    </w:rPr>
  </w:style>
  <w:style w:type="paragraph" w:styleId="30">
    <w:name w:val="header"/>
    <w:basedOn w:val="1"/>
    <w:link w:val="250"/>
    <w:qFormat/>
    <w:uiPriority w:val="99"/>
    <w:pPr>
      <w:pBdr>
        <w:bottom w:val="single" w:color="000000" w:sz="6" w:space="1"/>
      </w:pBdr>
      <w:tabs>
        <w:tab w:val="center" w:pos="0"/>
        <w:tab w:val="left" w:pos="8306"/>
      </w:tabs>
      <w:jc w:val="center"/>
    </w:pPr>
    <w:rPr>
      <w:sz w:val="18"/>
      <w:szCs w:val="18"/>
    </w:rPr>
  </w:style>
  <w:style w:type="paragraph" w:styleId="31">
    <w:name w:val="toc 1"/>
    <w:basedOn w:val="1"/>
    <w:next w:val="1"/>
    <w:qFormat/>
    <w:uiPriority w:val="39"/>
    <w:pPr>
      <w:tabs>
        <w:tab w:val="right" w:leader="dot" w:pos="8398"/>
      </w:tabs>
      <w:spacing w:before="120" w:after="120"/>
      <w:ind w:firstLine="240"/>
    </w:pPr>
    <w:rPr>
      <w:rFonts w:hAnsi="宋体"/>
      <w:b/>
      <w:bCs/>
      <w:caps/>
      <w:sz w:val="24"/>
    </w:rPr>
  </w:style>
  <w:style w:type="paragraph" w:styleId="32">
    <w:name w:val="toc 4"/>
    <w:basedOn w:val="1"/>
    <w:next w:val="1"/>
    <w:qFormat/>
    <w:uiPriority w:val="39"/>
    <w:pPr>
      <w:ind w:left="1260"/>
    </w:pPr>
    <w:rPr>
      <w:rFonts w:ascii="Calibri" w:hAnsi="Calibri"/>
      <w:szCs w:val="22"/>
    </w:rPr>
  </w:style>
  <w:style w:type="paragraph" w:styleId="33">
    <w:name w:val="Subtitle"/>
    <w:basedOn w:val="1"/>
    <w:next w:val="1"/>
    <w:link w:val="214"/>
    <w:qFormat/>
    <w:uiPriority w:val="11"/>
    <w:rPr>
      <w:color w:val="595959"/>
      <w:spacing w:val="15"/>
      <w:sz w:val="28"/>
      <w:szCs w:val="28"/>
    </w:rPr>
  </w:style>
  <w:style w:type="paragraph" w:styleId="34">
    <w:name w:val="List"/>
    <w:basedOn w:val="1"/>
    <w:qFormat/>
    <w:uiPriority w:val="0"/>
    <w:pPr>
      <w:ind w:left="200" w:hanging="200"/>
    </w:pPr>
    <w:rPr>
      <w:sz w:val="28"/>
    </w:rPr>
  </w:style>
  <w:style w:type="paragraph" w:styleId="35">
    <w:name w:val="footnote text"/>
    <w:basedOn w:val="1"/>
    <w:link w:val="251"/>
    <w:qFormat/>
    <w:uiPriority w:val="99"/>
    <w:rPr>
      <w:sz w:val="18"/>
      <w:szCs w:val="18"/>
    </w:rPr>
  </w:style>
  <w:style w:type="paragraph" w:styleId="36">
    <w:name w:val="toc 6"/>
    <w:basedOn w:val="1"/>
    <w:next w:val="1"/>
    <w:qFormat/>
    <w:uiPriority w:val="39"/>
    <w:pPr>
      <w:ind w:left="2100"/>
    </w:pPr>
    <w:rPr>
      <w:rFonts w:ascii="Calibri" w:hAnsi="Calibri"/>
      <w:szCs w:val="22"/>
    </w:rPr>
  </w:style>
  <w:style w:type="paragraph" w:styleId="37">
    <w:name w:val="Body Text Indent 3"/>
    <w:basedOn w:val="1"/>
    <w:link w:val="252"/>
    <w:qFormat/>
    <w:uiPriority w:val="0"/>
    <w:pPr>
      <w:spacing w:after="120"/>
      <w:ind w:left="420"/>
    </w:pPr>
    <w:rPr>
      <w:sz w:val="16"/>
      <w:szCs w:val="16"/>
    </w:rPr>
  </w:style>
  <w:style w:type="paragraph" w:styleId="38">
    <w:name w:val="table of figures"/>
    <w:basedOn w:val="1"/>
    <w:next w:val="1"/>
    <w:qFormat/>
    <w:uiPriority w:val="99"/>
  </w:style>
  <w:style w:type="paragraph" w:styleId="39">
    <w:name w:val="toc 2"/>
    <w:basedOn w:val="1"/>
    <w:next w:val="1"/>
    <w:qFormat/>
    <w:uiPriority w:val="39"/>
    <w:pPr>
      <w:ind w:left="420"/>
    </w:pPr>
  </w:style>
  <w:style w:type="paragraph" w:styleId="40">
    <w:name w:val="toc 9"/>
    <w:basedOn w:val="1"/>
    <w:next w:val="1"/>
    <w:qFormat/>
    <w:uiPriority w:val="39"/>
    <w:pPr>
      <w:ind w:left="3360"/>
    </w:pPr>
    <w:rPr>
      <w:rFonts w:ascii="Calibri" w:hAnsi="Calibri"/>
      <w:szCs w:val="22"/>
    </w:rPr>
  </w:style>
  <w:style w:type="paragraph" w:styleId="41">
    <w:name w:val="Body Text 2"/>
    <w:basedOn w:val="1"/>
    <w:link w:val="253"/>
    <w:qFormat/>
    <w:uiPriority w:val="0"/>
    <w:pPr>
      <w:spacing w:after="120" w:line="480" w:lineRule="auto"/>
    </w:pPr>
    <w:rPr>
      <w:sz w:val="20"/>
    </w:rPr>
  </w:style>
  <w:style w:type="paragraph" w:styleId="42">
    <w:name w:val="Normal (Web)"/>
    <w:basedOn w:val="1"/>
    <w:qFormat/>
    <w:uiPriority w:val="99"/>
    <w:pPr>
      <w:widowControl/>
      <w:spacing w:before="100" w:beforeAutospacing="1" w:after="100" w:afterAutospacing="1"/>
    </w:pPr>
    <w:rPr>
      <w:rFonts w:hAnsi="宋体"/>
      <w:sz w:val="24"/>
    </w:rPr>
  </w:style>
  <w:style w:type="paragraph" w:styleId="43">
    <w:name w:val="index 1"/>
    <w:basedOn w:val="1"/>
    <w:next w:val="1"/>
    <w:qFormat/>
    <w:uiPriority w:val="0"/>
    <w:pPr>
      <w:spacing w:line="400" w:lineRule="exact"/>
      <w:ind w:firstLine="420"/>
    </w:pPr>
    <w:rPr>
      <w:rFonts w:hAnsi="Courier New"/>
      <w:b/>
      <w:szCs w:val="20"/>
    </w:rPr>
  </w:style>
  <w:style w:type="paragraph" w:styleId="44">
    <w:name w:val="Title"/>
    <w:basedOn w:val="1"/>
    <w:next w:val="1"/>
    <w:link w:val="254"/>
    <w:qFormat/>
    <w:uiPriority w:val="10"/>
    <w:pPr>
      <w:spacing w:before="240" w:after="60"/>
      <w:jc w:val="center"/>
      <w:outlineLvl w:val="0"/>
    </w:pPr>
    <w:rPr>
      <w:rFonts w:ascii="Cambria" w:hAnsi="Cambria"/>
      <w:b/>
      <w:bCs/>
      <w:sz w:val="32"/>
      <w:szCs w:val="32"/>
    </w:rPr>
  </w:style>
  <w:style w:type="paragraph" w:styleId="45">
    <w:name w:val="annotation subject"/>
    <w:basedOn w:val="15"/>
    <w:next w:val="15"/>
    <w:link w:val="255"/>
    <w:qFormat/>
    <w:uiPriority w:val="99"/>
    <w:rPr>
      <w:b/>
      <w:bCs/>
    </w:rPr>
  </w:style>
  <w:style w:type="paragraph" w:styleId="46">
    <w:name w:val="Body Text First Indent"/>
    <w:basedOn w:val="17"/>
    <w:link w:val="256"/>
    <w:qFormat/>
    <w:uiPriority w:val="99"/>
    <w:pPr>
      <w:spacing w:after="120" w:line="240" w:lineRule="auto"/>
      <w:ind w:firstLine="420"/>
      <w:jc w:val="both"/>
    </w:pPr>
    <w:rPr>
      <w:rFonts w:ascii="Calibri" w:hAnsi="Calibri"/>
      <w:sz w:val="21"/>
      <w:szCs w:val="22"/>
    </w:rPr>
  </w:style>
  <w:style w:type="table" w:styleId="48">
    <w:name w:val="Table Grid"/>
    <w:basedOn w:val="47"/>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endnote reference"/>
    <w:qFormat/>
    <w:uiPriority w:val="99"/>
    <w:rPr>
      <w:vertAlign w:val="superscript"/>
    </w:rPr>
  </w:style>
  <w:style w:type="character" w:styleId="52">
    <w:name w:val="page number"/>
    <w:qFormat/>
    <w:uiPriority w:val="0"/>
  </w:style>
  <w:style w:type="character" w:styleId="53">
    <w:name w:val="FollowedHyperlink"/>
    <w:qFormat/>
    <w:uiPriority w:val="99"/>
    <w:rPr>
      <w:color w:val="800080"/>
      <w:u w:val="single"/>
    </w:rPr>
  </w:style>
  <w:style w:type="character" w:styleId="54">
    <w:name w:val="Emphasis"/>
    <w:qFormat/>
    <w:uiPriority w:val="20"/>
    <w:rPr>
      <w:i/>
      <w:iCs/>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99"/>
    <w:rPr>
      <w:vertAlign w:val="superscript"/>
    </w:rPr>
  </w:style>
  <w:style w:type="character" w:customStyle="1" w:styleId="58">
    <w:name w:val="Heading 1 Char"/>
    <w:basedOn w:val="49"/>
    <w:qFormat/>
    <w:uiPriority w:val="9"/>
    <w:rPr>
      <w:rFonts w:ascii="Arial" w:hAnsi="Arial" w:eastAsia="Arial" w:cs="Arial"/>
      <w:color w:val="376092" w:themeColor="accent1" w:themeShade="BF"/>
      <w:sz w:val="40"/>
      <w:szCs w:val="40"/>
    </w:rPr>
  </w:style>
  <w:style w:type="character" w:customStyle="1" w:styleId="59">
    <w:name w:val="Heading 2 Char"/>
    <w:basedOn w:val="49"/>
    <w:qFormat/>
    <w:uiPriority w:val="9"/>
    <w:rPr>
      <w:rFonts w:ascii="Arial" w:hAnsi="Arial" w:eastAsia="Arial" w:cs="Arial"/>
      <w:color w:val="376092" w:themeColor="accent1" w:themeShade="BF"/>
      <w:sz w:val="32"/>
      <w:szCs w:val="32"/>
    </w:rPr>
  </w:style>
  <w:style w:type="character" w:customStyle="1" w:styleId="60">
    <w:name w:val="Heading 3 Char"/>
    <w:basedOn w:val="49"/>
    <w:qFormat/>
    <w:uiPriority w:val="9"/>
    <w:rPr>
      <w:rFonts w:ascii="Arial" w:hAnsi="Arial" w:eastAsia="Arial" w:cs="Arial"/>
      <w:color w:val="376092" w:themeColor="accent1" w:themeShade="BF"/>
      <w:sz w:val="28"/>
      <w:szCs w:val="28"/>
    </w:rPr>
  </w:style>
  <w:style w:type="character" w:customStyle="1" w:styleId="61">
    <w:name w:val="Heading 4 Char"/>
    <w:basedOn w:val="49"/>
    <w:qFormat/>
    <w:uiPriority w:val="9"/>
    <w:rPr>
      <w:rFonts w:ascii="Arial" w:hAnsi="Arial" w:eastAsia="Arial" w:cs="Arial"/>
      <w:i/>
      <w:iCs/>
      <w:color w:val="376092" w:themeColor="accent1" w:themeShade="BF"/>
    </w:rPr>
  </w:style>
  <w:style w:type="character" w:customStyle="1" w:styleId="62">
    <w:name w:val="Heading 5 Char"/>
    <w:basedOn w:val="49"/>
    <w:qFormat/>
    <w:uiPriority w:val="9"/>
    <w:rPr>
      <w:rFonts w:ascii="Arial" w:hAnsi="Arial" w:eastAsia="Arial" w:cs="Arial"/>
      <w:color w:val="376092" w:themeColor="accent1" w:themeShade="BF"/>
    </w:rPr>
  </w:style>
  <w:style w:type="character" w:customStyle="1" w:styleId="63">
    <w:name w:val="Heading 6 Char"/>
    <w:basedOn w:val="49"/>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64">
    <w:name w:val="Heading 7 Char"/>
    <w:basedOn w:val="4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65">
    <w:name w:val="Heading 8 Char"/>
    <w:basedOn w:val="4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66">
    <w:name w:val="Heading 9 Char"/>
    <w:basedOn w:val="4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67">
    <w:name w:val="Title Char"/>
    <w:basedOn w:val="49"/>
    <w:qFormat/>
    <w:uiPriority w:val="10"/>
    <w:rPr>
      <w:rFonts w:ascii="Arial" w:hAnsi="Arial" w:eastAsia="Arial" w:cs="Arial"/>
      <w:spacing w:val="-10"/>
      <w:sz w:val="56"/>
      <w:szCs w:val="56"/>
    </w:rPr>
  </w:style>
  <w:style w:type="character" w:customStyle="1" w:styleId="68">
    <w:name w:val="Subtitle Char"/>
    <w:basedOn w:val="49"/>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69">
    <w:name w:val="Quote Char"/>
    <w:basedOn w:val="49"/>
    <w:qFormat/>
    <w:uiPriority w:val="29"/>
    <w:rPr>
      <w:i/>
      <w:iCs/>
      <w:color w:val="404040" w:themeColor="text1" w:themeTint="BF"/>
      <w14:textFill>
        <w14:solidFill>
          <w14:schemeClr w14:val="tx1">
            <w14:lumMod w14:val="75000"/>
            <w14:lumOff w14:val="25000"/>
          </w14:schemeClr>
        </w14:solidFill>
      </w14:textFill>
    </w:rPr>
  </w:style>
  <w:style w:type="character" w:customStyle="1" w:styleId="70">
    <w:name w:val="明显强调1"/>
    <w:basedOn w:val="49"/>
    <w:qFormat/>
    <w:uiPriority w:val="21"/>
    <w:rPr>
      <w:i/>
      <w:iCs/>
      <w:color w:val="376092" w:themeColor="accent1" w:themeShade="BF"/>
    </w:rPr>
  </w:style>
  <w:style w:type="character" w:customStyle="1" w:styleId="71">
    <w:name w:val="Intense Quote Char"/>
    <w:basedOn w:val="49"/>
    <w:qFormat/>
    <w:uiPriority w:val="30"/>
    <w:rPr>
      <w:i/>
      <w:iCs/>
      <w:color w:val="376092" w:themeColor="accent1" w:themeShade="BF"/>
    </w:rPr>
  </w:style>
  <w:style w:type="character" w:customStyle="1" w:styleId="72">
    <w:name w:val="明显参考1"/>
    <w:basedOn w:val="49"/>
    <w:qFormat/>
    <w:uiPriority w:val="32"/>
    <w:rPr>
      <w:b/>
      <w:bCs/>
      <w:smallCaps/>
      <w:color w:val="376092" w:themeColor="accent1" w:themeShade="BF"/>
      <w:spacing w:val="5"/>
    </w:rPr>
  </w:style>
  <w:style w:type="character" w:customStyle="1" w:styleId="73">
    <w:name w:val="不明显强调1"/>
    <w:basedOn w:val="49"/>
    <w:qFormat/>
    <w:uiPriority w:val="19"/>
    <w:rPr>
      <w:i/>
      <w:iCs/>
      <w:color w:val="404040" w:themeColor="text1" w:themeTint="BF"/>
      <w14:textFill>
        <w14:solidFill>
          <w14:schemeClr w14:val="tx1">
            <w14:lumMod w14:val="75000"/>
            <w14:lumOff w14:val="25000"/>
          </w14:schemeClr>
        </w14:solidFill>
      </w14:textFill>
    </w:rPr>
  </w:style>
  <w:style w:type="character" w:customStyle="1" w:styleId="74">
    <w:name w:val="不明显参考1"/>
    <w:basedOn w:val="4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75">
    <w:name w:val="书籍标题1"/>
    <w:basedOn w:val="49"/>
    <w:qFormat/>
    <w:uiPriority w:val="33"/>
    <w:rPr>
      <w:b/>
      <w:bCs/>
      <w:i/>
      <w:iCs/>
      <w:spacing w:val="5"/>
    </w:rPr>
  </w:style>
  <w:style w:type="character" w:customStyle="1" w:styleId="76">
    <w:name w:val="Header Char"/>
    <w:basedOn w:val="49"/>
    <w:qFormat/>
    <w:uiPriority w:val="99"/>
  </w:style>
  <w:style w:type="character" w:customStyle="1" w:styleId="77">
    <w:name w:val="Footer Char"/>
    <w:basedOn w:val="49"/>
    <w:qFormat/>
    <w:uiPriority w:val="99"/>
  </w:style>
  <w:style w:type="paragraph" w:customStyle="1" w:styleId="78">
    <w:name w:val="TOC 标题1"/>
    <w:unhideWhenUsed/>
    <w:qFormat/>
    <w:uiPriority w:val="39"/>
    <w:rPr>
      <w:rFonts w:ascii="Times New Roman" w:hAnsi="Times New Roman" w:eastAsia="宋体" w:cs="Times New Roman"/>
      <w:lang w:val="en-US" w:eastAsia="zh-CN" w:bidi="ar-SA"/>
    </w:rPr>
  </w:style>
  <w:style w:type="table" w:customStyle="1" w:styleId="79">
    <w:name w:val="Table Grid Light"/>
    <w:basedOn w:val="47"/>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80">
    <w:name w:val="无格式表格 11"/>
    <w:basedOn w:val="47"/>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2F2F2"/>
      </w:tcPr>
    </w:tblStylePr>
    <w:tblStylePr w:type="band1Horz">
      <w:tcPr>
        <w:shd w:val="clear" w:color="F2F2F2" w:fill="F2F2F2"/>
      </w:tcPr>
    </w:tblStylePr>
  </w:style>
  <w:style w:type="table" w:customStyle="1" w:styleId="81">
    <w:name w:val="无格式表格 21"/>
    <w:basedOn w:val="47"/>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82">
    <w:name w:val="无格式表格 31"/>
    <w:basedOn w:val="4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83">
    <w:name w:val="无格式表格 41"/>
    <w:basedOn w:val="4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84">
    <w:name w:val="无格式表格 51"/>
    <w:basedOn w:val="4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fill="F2F2F2"/>
      </w:tcPr>
    </w:tblStylePr>
    <w:tblStylePr w:type="band1Horz">
      <w:rPr>
        <w:rFonts w:ascii="Arial" w:hAnsi="Arial"/>
        <w:color w:val="404040"/>
        <w:sz w:val="22"/>
      </w:rPr>
      <w:tcPr>
        <w:shd w:val="clear" w:color="F2F2F2" w:fill="F2F2F2"/>
      </w:tcPr>
    </w:tblStylePr>
  </w:style>
  <w:style w:type="table" w:customStyle="1" w:styleId="85">
    <w:name w:val="网格表 1 浅色1"/>
    <w:basedOn w:val="47"/>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style>
  <w:style w:type="table" w:customStyle="1" w:styleId="86">
    <w:name w:val="Grid Table 1 Light - Accent 1"/>
    <w:basedOn w:val="47"/>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customStyle="1" w:styleId="87">
    <w:name w:val="Grid Table 1 Light - Accent 2"/>
    <w:basedOn w:val="47"/>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customStyle="1" w:styleId="88">
    <w:name w:val="Grid Table 1 Light - Accent 3"/>
    <w:basedOn w:val="47"/>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89">
    <w:name w:val="Grid Table 1 Light - Accent 4"/>
    <w:basedOn w:val="47"/>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90">
    <w:name w:val="Grid Table 1 Light - Accent 5"/>
    <w:basedOn w:val="47"/>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91">
    <w:name w:val="Grid Table 1 Light - Accent 6"/>
    <w:basedOn w:val="47"/>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92">
    <w:name w:val="网格表 21"/>
    <w:basedOn w:val="47"/>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single" w:color="6A6A6A" w:sz="12" w:space="0"/>
          <w:right w:val="nil"/>
        </w:tcBorders>
        <w:shd w:val="clear" w:color="FFFFFF" w:fill="auto"/>
      </w:tcPr>
    </w:tblStylePr>
    <w:tblStylePr w:type="lastRow">
      <w:rPr>
        <w:b/>
        <w:color w:val="404040"/>
      </w:r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93">
    <w:name w:val="Grid Table 2 - Accent 1"/>
    <w:basedOn w:val="47"/>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single" w:color="5D8AC2" w:sz="12" w:space="0"/>
          <w:right w:val="nil"/>
        </w:tcBorders>
        <w:shd w:val="clear" w:color="FFFFFF" w:fill="auto"/>
      </w:tcPr>
    </w:tblStylePr>
    <w:tblStylePr w:type="lastRow">
      <w:rPr>
        <w:b/>
        <w:color w:val="404040"/>
      </w:rPr>
      <w:tcPr>
        <w:tcBorders>
          <w:top w:val="single" w:color="5D8A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customStyle="1" w:styleId="94">
    <w:name w:val="Grid Table 2 - Accent 2"/>
    <w:basedOn w:val="47"/>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single" w:color="D99695" w:sz="12" w:space="0"/>
          <w:right w:val="nil"/>
        </w:tcBorders>
        <w:shd w:val="clear" w:color="FFFFFF" w:fill="auto"/>
      </w:tcPr>
    </w:tblStylePr>
    <w:tblStylePr w:type="lastRow">
      <w:rPr>
        <w:b/>
        <w:color w:val="404040"/>
      </w:rPr>
      <w:tcPr>
        <w:tcBorders>
          <w:top w:val="single" w:color="D996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95">
    <w:name w:val="Grid Table 2 - Accent 3"/>
    <w:basedOn w:val="47"/>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single" w:color="9ABB59" w:sz="12" w:space="0"/>
          <w:right w:val="nil"/>
        </w:tcBorders>
        <w:shd w:val="clear" w:color="FFFFFF" w:fill="auto"/>
      </w:tcPr>
    </w:tblStylePr>
    <w:tblStylePr w:type="lastRow">
      <w:rPr>
        <w:b/>
        <w:color w:val="404040"/>
      </w:rPr>
      <w:tcPr>
        <w:tcBorders>
          <w:top w:val="single" w:color="9A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96">
    <w:name w:val="Grid Table 2 - Accent 4"/>
    <w:basedOn w:val="47"/>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97">
    <w:name w:val="Grid Table 2 - Accent 5"/>
    <w:basedOn w:val="47"/>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98">
    <w:name w:val="Grid Table 2 - Accent 6"/>
    <w:basedOn w:val="47"/>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99">
    <w:name w:val="网格表 31"/>
    <w:basedOn w:val="47"/>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100">
    <w:name w:val="Grid Table 3 - Accent 1"/>
    <w:basedOn w:val="47"/>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5F1" w:fill="DAE5F1"/>
      </w:tcPr>
    </w:tblStylePr>
    <w:tblStylePr w:type="band1Horz">
      <w:rPr>
        <w:rFonts w:ascii="Arial" w:hAnsi="Arial"/>
        <w:color w:val="404040"/>
        <w:sz w:val="22"/>
      </w:rPr>
      <w:tcPr>
        <w:shd w:val="clear" w:color="DAE5F1" w:fill="DAE5F1"/>
      </w:tcPr>
    </w:tblStylePr>
  </w:style>
  <w:style w:type="table" w:customStyle="1" w:styleId="101">
    <w:name w:val="Grid Table 3 - Accent 2"/>
    <w:basedOn w:val="47"/>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102">
    <w:name w:val="Grid Table 3 - Accent 3"/>
    <w:basedOn w:val="47"/>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103">
    <w:name w:val="Grid Table 3 - Accent 4"/>
    <w:basedOn w:val="47"/>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104">
    <w:name w:val="Grid Table 3 - Accent 5"/>
    <w:basedOn w:val="47"/>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105">
    <w:name w:val="Grid Table 3 - Accent 6"/>
    <w:basedOn w:val="47"/>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106">
    <w:name w:val="网格表 41"/>
    <w:basedOn w:val="47"/>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1Horz">
      <w:rPr>
        <w:rFonts w:ascii="Arial" w:hAnsi="Arial"/>
        <w:color w:val="404040"/>
        <w:sz w:val="22"/>
      </w:rPr>
      <w:tcPr>
        <w:shd w:val="clear" w:color="CBCBCB" w:fill="CBCBCB"/>
      </w:tcPr>
    </w:tblStylePr>
  </w:style>
  <w:style w:type="table" w:customStyle="1" w:styleId="107">
    <w:name w:val="Grid Table 4 - Accent 1"/>
    <w:basedOn w:val="47"/>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1Horz">
      <w:rPr>
        <w:rFonts w:ascii="Arial" w:hAnsi="Arial"/>
        <w:color w:val="404040"/>
        <w:sz w:val="22"/>
      </w:rPr>
      <w:tcPr>
        <w:shd w:val="clear" w:color="DCE6F2" w:fill="DCE6F2"/>
      </w:tcPr>
    </w:tblStylePr>
  </w:style>
  <w:style w:type="table" w:customStyle="1" w:styleId="108">
    <w:name w:val="Grid Table 4 - Accent 2"/>
    <w:basedOn w:val="47"/>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109">
    <w:name w:val="Grid Table 4 - Accent 3"/>
    <w:basedOn w:val="47"/>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108" w:type="dxa"/>
        <w:bottom w:w="0" w:type="dxa"/>
        <w:right w:w="108" w:type="dxa"/>
      </w:tblCellMar>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1Horz">
      <w:rPr>
        <w:rFonts w:ascii="Arial" w:hAnsi="Arial"/>
        <w:color w:val="404040"/>
        <w:sz w:val="22"/>
      </w:rPr>
      <w:tcPr>
        <w:shd w:val="clear" w:color="EAF1DC" w:fill="EAF1DC"/>
      </w:tcPr>
    </w:tblStylePr>
  </w:style>
  <w:style w:type="table" w:customStyle="1" w:styleId="110">
    <w:name w:val="Grid Table 4 - Accent 4"/>
    <w:basedOn w:val="47"/>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111">
    <w:name w:val="Grid Table 4 - Accent 5"/>
    <w:basedOn w:val="47"/>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112">
    <w:name w:val="Grid Table 4 - Accent 6"/>
    <w:basedOn w:val="47"/>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1Horz">
      <w:rPr>
        <w:rFonts w:ascii="Arial" w:hAnsi="Arial"/>
        <w:color w:val="404040"/>
        <w:sz w:val="22"/>
      </w:rPr>
      <w:tcPr>
        <w:shd w:val="clear" w:color="FDE9D8" w:fill="FDE9D8"/>
      </w:tcPr>
    </w:tblStylePr>
  </w:style>
  <w:style w:type="table" w:customStyle="1" w:styleId="113">
    <w:name w:val="网格表 5 深色1"/>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1Horz">
      <w:tcPr>
        <w:shd w:val="clear" w:color="8A8A8A" w:fill="8A8A8A"/>
      </w:tcPr>
    </w:tblStylePr>
  </w:style>
  <w:style w:type="table" w:customStyle="1" w:styleId="114">
    <w:name w:val="Grid Table 5 Dark- Accent 1"/>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1Horz">
      <w:tcPr>
        <w:shd w:val="clear" w:color="AEC4E0" w:fill="AEC4E0"/>
      </w:tcPr>
    </w:tblStylePr>
  </w:style>
  <w:style w:type="table" w:customStyle="1" w:styleId="115">
    <w:name w:val="Grid Table 5 Dark - Accent 2"/>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1Horz">
      <w:tcPr>
        <w:shd w:val="clear" w:color="E2AEAD" w:fill="E2AEAD"/>
      </w:tcPr>
    </w:tblStylePr>
  </w:style>
  <w:style w:type="table" w:customStyle="1" w:styleId="116">
    <w:name w:val="Grid Table 5 Dark - Accent 3"/>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1Horz">
      <w:tcPr>
        <w:shd w:val="clear" w:color="D0DFB2" w:fill="D0DFB2"/>
      </w:tcPr>
    </w:tblStylePr>
  </w:style>
  <w:style w:type="table" w:customStyle="1" w:styleId="117">
    <w:name w:val="Grid Table 5 Dark- Accent 4"/>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1Horz">
      <w:tcPr>
        <w:shd w:val="clear" w:color="C4B7D4" w:fill="C4B7D4"/>
      </w:tcPr>
    </w:tblStylePr>
  </w:style>
  <w:style w:type="table" w:customStyle="1" w:styleId="118">
    <w:name w:val="Grid Table 5 Dark - Accent 5"/>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1Horz">
      <w:tcPr>
        <w:shd w:val="clear" w:color="ACD8E4" w:fill="ACD8E4"/>
      </w:tcPr>
    </w:tblStylePr>
  </w:style>
  <w:style w:type="table" w:customStyle="1" w:styleId="119">
    <w:name w:val="Grid Table 5 Dark - Accent 6"/>
    <w:basedOn w:val="47"/>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1Horz">
      <w:tcPr>
        <w:shd w:val="clear" w:color="FBCEAA" w:fill="FBCEAA"/>
      </w:tcPr>
    </w:tblStylePr>
  </w:style>
  <w:style w:type="table" w:customStyle="1" w:styleId="120">
    <w:name w:val="网格表 6 彩色1"/>
    <w:basedOn w:val="47"/>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1Horz">
      <w:rPr>
        <w:rFonts w:ascii="Arial" w:hAnsi="Arial"/>
        <w:color w:val="7F7F7F"/>
        <w:sz w:val="22"/>
      </w:rPr>
      <w:tcPr>
        <w:shd w:val="clear" w:color="CBCBCB" w:fill="CBCBCB"/>
      </w:tcPr>
    </w:tblStylePr>
    <w:tblStylePr w:type="band2Horz">
      <w:rPr>
        <w:rFonts w:ascii="Arial" w:hAnsi="Arial"/>
        <w:color w:val="7F7F7F"/>
        <w:sz w:val="22"/>
      </w:rPr>
    </w:tblStylePr>
  </w:style>
  <w:style w:type="table" w:customStyle="1" w:styleId="121">
    <w:name w:val="Grid Table 6 Colorful - Accent 1"/>
    <w:basedOn w:val="47"/>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customStyle="1" w:styleId="122">
    <w:name w:val="Grid Table 6 Colorful - Accent 2"/>
    <w:basedOn w:val="47"/>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customStyle="1" w:styleId="123">
    <w:name w:val="Grid Table 6 Colorful - Accent 3"/>
    <w:basedOn w:val="47"/>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customStyle="1" w:styleId="124">
    <w:name w:val="Grid Table 6 Colorful - Accent 4"/>
    <w:basedOn w:val="47"/>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customStyle="1" w:styleId="125">
    <w:name w:val="Grid Table 6 Colorful - Accent 5"/>
    <w:basedOn w:val="47"/>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customStyle="1" w:styleId="126">
    <w:name w:val="Grid Table 6 Colorful - Accent 6"/>
    <w:basedOn w:val="47"/>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1Horz">
      <w:rPr>
        <w:rFonts w:ascii="Arial" w:hAnsi="Arial"/>
        <w:color w:val="266779"/>
        <w:sz w:val="22"/>
      </w:rPr>
      <w:tcPr>
        <w:shd w:val="clear" w:color="FDE9D8" w:fill="FDE9D8"/>
      </w:tcPr>
    </w:tblStylePr>
    <w:tblStylePr w:type="band2Horz">
      <w:rPr>
        <w:rFonts w:ascii="Arial" w:hAnsi="Arial"/>
        <w:color w:val="266779"/>
        <w:sz w:val="22"/>
      </w:rPr>
    </w:tblStylePr>
  </w:style>
  <w:style w:type="table" w:customStyle="1" w:styleId="127">
    <w:name w:val="网格表 7 彩色1"/>
    <w:basedOn w:val="47"/>
    <w:qFormat/>
    <w:uiPriority w:val="99"/>
    <w:tblPr>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rFonts w:ascii="Arial" w:hAnsi="Arial"/>
        <w:b/>
        <w:color w:val="7F7F7F"/>
        <w:sz w:val="22"/>
      </w:rPr>
      <w:tcPr>
        <w:tcBorders>
          <w:top w:val="nil"/>
          <w:left w:val="nil"/>
          <w:bottom w:val="single" w:color="7F7F7F" w:sz="4" w:space="0"/>
          <w:right w:val="nil"/>
        </w:tcBorders>
        <w:shd w:val="clear" w:color="FFFFFF" w:fill="FFFFFF"/>
      </w:tcPr>
    </w:tblStylePr>
    <w:tblStylePr w:type="lastRow">
      <w:rPr>
        <w:rFonts w:ascii="Arial" w:hAnsi="Arial"/>
        <w:b/>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F2F2F2" w:fill="F2F2F2"/>
      </w:tcPr>
    </w:tblStylePr>
    <w:tblStylePr w:type="band1Horz">
      <w:rPr>
        <w:rFonts w:ascii="Arial" w:hAnsi="Arial"/>
        <w:color w:val="7F7F7F"/>
        <w:sz w:val="22"/>
      </w:rPr>
      <w:tcPr>
        <w:shd w:val="clear" w:color="F2F2F2" w:fill="F2F2F2"/>
      </w:tcPr>
    </w:tblStylePr>
    <w:tblStylePr w:type="band2Horz">
      <w:rPr>
        <w:rFonts w:ascii="Arial" w:hAnsi="Arial"/>
        <w:color w:val="7F7F7F"/>
        <w:sz w:val="22"/>
      </w:rPr>
    </w:tblStylePr>
  </w:style>
  <w:style w:type="table" w:customStyle="1" w:styleId="128">
    <w:name w:val="Grid Table 7 Colorful - Accent 1"/>
    <w:basedOn w:val="47"/>
    <w:qFormat/>
    <w:uiPriority w:val="99"/>
    <w:tblPr>
      <w:tblBorders>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AE5F1" w:fill="DAE5F1"/>
      </w:tcPr>
    </w:tblStylePr>
    <w:tblStylePr w:type="band1Horz">
      <w:rPr>
        <w:rFonts w:ascii="Arial" w:hAnsi="Arial"/>
        <w:color w:val="A6BFDD"/>
        <w:sz w:val="22"/>
      </w:rPr>
      <w:tcPr>
        <w:shd w:val="clear" w:color="DAE5F1" w:fill="DAE5F1"/>
      </w:tcPr>
    </w:tblStylePr>
    <w:tblStylePr w:type="band2Horz">
      <w:rPr>
        <w:rFonts w:ascii="Arial" w:hAnsi="Arial"/>
        <w:color w:val="A6BFDD"/>
        <w:sz w:val="22"/>
      </w:rPr>
    </w:tblStylePr>
  </w:style>
  <w:style w:type="table" w:customStyle="1" w:styleId="129">
    <w:name w:val="Grid Table 7 Colorful - Accent 2"/>
    <w:basedOn w:val="47"/>
    <w:qFormat/>
    <w:uiPriority w:val="99"/>
    <w:tblPr>
      <w:tblBorders>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rFonts w:ascii="Arial" w:hAnsi="Arial"/>
        <w:b/>
        <w:color w:val="D99695"/>
        <w:sz w:val="22"/>
      </w:rPr>
      <w:tcPr>
        <w:tcBorders>
          <w:top w:val="nil"/>
          <w:left w:val="nil"/>
          <w:bottom w:val="single" w:color="D99695" w:sz="4" w:space="0"/>
          <w:right w:val="nil"/>
        </w:tcBorders>
        <w:shd w:val="clear" w:color="FFFFFF" w:fill="FFFFFF"/>
      </w:tcPr>
    </w:tblStylePr>
    <w:tblStylePr w:type="lastRow">
      <w:rPr>
        <w:rFonts w:ascii="Arial" w:hAnsi="Arial"/>
        <w:b/>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F2DCDC" w:fill="F2DCDC"/>
      </w:tcPr>
    </w:tblStylePr>
    <w:tblStylePr w:type="band1Horz">
      <w:rPr>
        <w:rFonts w:ascii="Arial" w:hAnsi="Arial"/>
        <w:color w:val="D99695"/>
        <w:sz w:val="22"/>
      </w:rPr>
      <w:tcPr>
        <w:shd w:val="clear" w:color="F2DCDC" w:fill="F2DCDC"/>
      </w:tcPr>
    </w:tblStylePr>
    <w:tblStylePr w:type="band2Horz">
      <w:rPr>
        <w:rFonts w:ascii="Arial" w:hAnsi="Arial"/>
        <w:color w:val="D99695"/>
        <w:sz w:val="22"/>
      </w:rPr>
    </w:tblStylePr>
  </w:style>
  <w:style w:type="table" w:customStyle="1" w:styleId="130">
    <w:name w:val="Grid Table 7 Colorful - Accent 3"/>
    <w:basedOn w:val="47"/>
    <w:qFormat/>
    <w:uiPriority w:val="99"/>
    <w:tblPr>
      <w:tblBorders>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rFonts w:ascii="Arial" w:hAnsi="Arial"/>
        <w:b/>
        <w:color w:val="9ABB59"/>
        <w:sz w:val="22"/>
      </w:rPr>
      <w:tcPr>
        <w:tcBorders>
          <w:top w:val="nil"/>
          <w:left w:val="nil"/>
          <w:bottom w:val="single" w:color="9ABB59" w:sz="4" w:space="0"/>
          <w:right w:val="nil"/>
        </w:tcBorders>
        <w:shd w:val="clear" w:color="FFFFFF" w:fill="FFFFFF"/>
      </w:tcPr>
    </w:tblStylePr>
    <w:tblStylePr w:type="lastRow">
      <w:rPr>
        <w:rFonts w:ascii="Arial" w:hAnsi="Arial"/>
        <w:b/>
        <w:color w:val="9ABB59"/>
        <w:sz w:val="22"/>
      </w:rPr>
      <w:tcPr>
        <w:tcBorders>
          <w:top w:val="single" w:color="9ABB59" w:sz="4" w:space="0"/>
          <w:left w:val="nil"/>
          <w:bottom w:val="nil"/>
          <w:right w:val="nil"/>
        </w:tcBorders>
        <w:shd w:val="clear" w:color="FFFFFF" w:fill="FFFFFF"/>
      </w:tcPr>
    </w:tblStylePr>
    <w:tblStylePr w:type="firstCol">
      <w:pPr>
        <w:jc w:val="right"/>
      </w:pPr>
      <w:rPr>
        <w:rFonts w:ascii="Arial" w:hAnsi="Arial"/>
        <w:i/>
        <w:color w:val="9ABB59"/>
        <w:sz w:val="22"/>
      </w:rPr>
      <w:tcPr>
        <w:tcBorders>
          <w:top w:val="nil"/>
          <w:left w:val="nil"/>
          <w:bottom w:val="nil"/>
          <w:right w:val="single" w:color="9ABB59" w:sz="4" w:space="0"/>
        </w:tcBorders>
        <w:shd w:val="clear" w:color="FFFFFF" w:fill="auto"/>
      </w:tcPr>
    </w:tblStylePr>
    <w:tblStylePr w:type="lastCol">
      <w:rPr>
        <w:rFonts w:ascii="Arial" w:hAnsi="Arial"/>
        <w:i/>
        <w:color w:val="9ABB59"/>
        <w:sz w:val="22"/>
      </w:rPr>
      <w:tcPr>
        <w:tcBorders>
          <w:top w:val="nil"/>
          <w:left w:val="single" w:color="9ABB59" w:sz="4" w:space="0"/>
          <w:bottom w:val="nil"/>
          <w:right w:val="nil"/>
        </w:tcBorders>
        <w:shd w:val="clear" w:color="FFFFFF" w:fill="auto"/>
      </w:tcPr>
    </w:tblStylePr>
    <w:tblStylePr w:type="band1Vert">
      <w:tcPr>
        <w:shd w:val="clear" w:color="EAF1DC" w:fill="EAF1DC"/>
      </w:tcPr>
    </w:tblStylePr>
    <w:tblStylePr w:type="band1Horz">
      <w:rPr>
        <w:rFonts w:ascii="Arial" w:hAnsi="Arial"/>
        <w:color w:val="9ABB59"/>
        <w:sz w:val="22"/>
      </w:rPr>
      <w:tcPr>
        <w:shd w:val="clear" w:color="EAF1DC" w:fill="EAF1DC"/>
      </w:tcPr>
    </w:tblStylePr>
    <w:tblStylePr w:type="band2Horz">
      <w:rPr>
        <w:rFonts w:ascii="Arial" w:hAnsi="Arial"/>
        <w:color w:val="9ABB59"/>
        <w:sz w:val="22"/>
      </w:rPr>
    </w:tblStylePr>
  </w:style>
  <w:style w:type="table" w:customStyle="1" w:styleId="131">
    <w:name w:val="Grid Table 7 Colorful - Accent 4"/>
    <w:basedOn w:val="47"/>
    <w:qFormat/>
    <w:uiPriority w:val="99"/>
    <w:tblPr>
      <w:tblBorders>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1Horz">
      <w:rPr>
        <w:rFonts w:ascii="Arial" w:hAnsi="Arial"/>
        <w:color w:val="B2A1C6"/>
        <w:sz w:val="22"/>
      </w:rPr>
      <w:tcPr>
        <w:shd w:val="clear" w:color="E5DFEC" w:fill="E5DFEC"/>
      </w:tcPr>
    </w:tblStylePr>
    <w:tblStylePr w:type="band2Horz">
      <w:rPr>
        <w:rFonts w:ascii="Arial" w:hAnsi="Arial"/>
        <w:color w:val="B2A1C6"/>
        <w:sz w:val="22"/>
      </w:rPr>
    </w:tblStylePr>
  </w:style>
  <w:style w:type="table" w:customStyle="1" w:styleId="132">
    <w:name w:val="Grid Table 7 Colorful - Accent 5"/>
    <w:basedOn w:val="47"/>
    <w:qFormat/>
    <w:uiPriority w:val="99"/>
    <w:tblPr>
      <w:tblBorders>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1Horz">
      <w:rPr>
        <w:rFonts w:ascii="Arial" w:hAnsi="Arial"/>
        <w:color w:val="266779"/>
        <w:sz w:val="22"/>
      </w:rPr>
      <w:tcPr>
        <w:shd w:val="clear" w:color="DAEEF3" w:fill="DAEEF3"/>
      </w:tcPr>
    </w:tblStylePr>
    <w:tblStylePr w:type="band2Horz">
      <w:rPr>
        <w:rFonts w:ascii="Arial" w:hAnsi="Arial"/>
        <w:color w:val="266779"/>
        <w:sz w:val="22"/>
      </w:rPr>
    </w:tblStylePr>
  </w:style>
  <w:style w:type="table" w:customStyle="1" w:styleId="133">
    <w:name w:val="Grid Table 7 Colorful - Accent 6"/>
    <w:basedOn w:val="47"/>
    <w:qFormat/>
    <w:uiPriority w:val="99"/>
    <w:tblPr>
      <w:tblBorders>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8" w:fill="FDE9D8"/>
      </w:tcPr>
    </w:tblStylePr>
    <w:tblStylePr w:type="band1Horz">
      <w:rPr>
        <w:rFonts w:ascii="Arial" w:hAnsi="Arial"/>
        <w:color w:val="B15407"/>
        <w:sz w:val="22"/>
      </w:rPr>
      <w:tcPr>
        <w:shd w:val="clear" w:color="FDE9D8" w:fill="FDE9D8"/>
      </w:tcPr>
    </w:tblStylePr>
    <w:tblStylePr w:type="band2Horz">
      <w:rPr>
        <w:rFonts w:ascii="Arial" w:hAnsi="Arial"/>
        <w:color w:val="B15407"/>
        <w:sz w:val="22"/>
      </w:rPr>
    </w:tblStylePr>
  </w:style>
  <w:style w:type="table" w:customStyle="1" w:styleId="134">
    <w:name w:val="清单表 1 浅色1"/>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FBFBF"/>
      </w:tcPr>
    </w:tblStylePr>
    <w:tblStylePr w:type="band1Horz">
      <w:tcPr>
        <w:shd w:val="clear" w:color="BFBFBF" w:fill="BFBFBF"/>
      </w:tcPr>
    </w:tblStylePr>
  </w:style>
  <w:style w:type="table" w:customStyle="1" w:styleId="135">
    <w:name w:val="List Table 1 Light - Accent 1"/>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1Horz">
      <w:tcPr>
        <w:shd w:val="clear" w:color="D2DFEE" w:fill="D2DFEE"/>
      </w:tcPr>
    </w:tblStylePr>
  </w:style>
  <w:style w:type="table" w:customStyle="1" w:styleId="136">
    <w:name w:val="List Table 1 Light - Accent 2"/>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2D2"/>
      </w:tcPr>
    </w:tblStylePr>
    <w:tblStylePr w:type="band1Horz">
      <w:tcPr>
        <w:shd w:val="clear" w:color="EFD2D2" w:fill="EFD2D2"/>
      </w:tcPr>
    </w:tblStylePr>
  </w:style>
  <w:style w:type="table" w:customStyle="1" w:styleId="137">
    <w:name w:val="List Table 1 Light - Accent 3"/>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ED5"/>
      </w:tcPr>
    </w:tblStylePr>
    <w:tblStylePr w:type="band1Horz">
      <w:tcPr>
        <w:shd w:val="clear" w:color="E5EED5" w:fill="E5EED5"/>
      </w:tcPr>
    </w:tblStylePr>
  </w:style>
  <w:style w:type="table" w:customStyle="1" w:styleId="138">
    <w:name w:val="List Table 1 Light - Accent 4"/>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1Horz">
      <w:tcPr>
        <w:shd w:val="clear" w:color="DFD8E7" w:fill="DFD8E7"/>
      </w:tcPr>
    </w:tblStylePr>
  </w:style>
  <w:style w:type="table" w:customStyle="1" w:styleId="139">
    <w:name w:val="List Table 1 Light - Accent 5"/>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1Horz">
      <w:tcPr>
        <w:shd w:val="clear" w:color="D1EAF0" w:fill="D1EAF0"/>
      </w:tcPr>
    </w:tblStylePr>
  </w:style>
  <w:style w:type="table" w:customStyle="1" w:styleId="140">
    <w:name w:val="List Table 1 Light - Accent 6"/>
    <w:basedOn w:val="47"/>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DE4D0"/>
      </w:tcPr>
    </w:tblStylePr>
    <w:tblStylePr w:type="band1Horz">
      <w:tcPr>
        <w:shd w:val="clear" w:color="FDE4D0" w:fill="FDE4D0"/>
      </w:tcPr>
    </w:tblStylePr>
  </w:style>
  <w:style w:type="table" w:customStyle="1" w:styleId="141">
    <w:name w:val="清单表 21"/>
    <w:basedOn w:val="47"/>
    <w:qFormat/>
    <w:uiPriority w:val="99"/>
    <w:tblPr>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rFonts w:ascii="Arial" w:hAnsi="Arial"/>
        <w:b/>
        <w:color w:val="404040"/>
        <w:sz w:val="22"/>
      </w:rPr>
      <w:tcPr>
        <w:tcBorders>
          <w:top w:val="single" w:color="6F6F6F" w:sz="4" w:space="0"/>
          <w:left w:val="nil"/>
          <w:bottom w:val="single" w:color="6F6F6F" w:sz="4" w:space="0"/>
          <w:right w:val="nil"/>
        </w:tcBorders>
      </w:tcPr>
    </w:tblStylePr>
    <w:tblStylePr w:type="lastRow">
      <w:rPr>
        <w:rFonts w:ascii="Arial" w:hAnsi="Arial"/>
        <w:b/>
        <w:color w:val="404040"/>
        <w:sz w:val="22"/>
      </w:rPr>
      <w:tcPr>
        <w:tcBorders>
          <w:top w:val="single" w:color="6F6F6F" w:sz="4" w:space="0"/>
          <w:left w:val="nil"/>
          <w:bottom w:val="single" w:color="6F6F6F"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customStyle="1" w:styleId="142">
    <w:name w:val="List Table 2 - Accent 1"/>
    <w:basedOn w:val="47"/>
    <w:qFormat/>
    <w:uiPriority w:val="99"/>
    <w:tblPr>
      <w:tblBorders>
        <w:top w:val="single" w:color="9BB7D9" w:sz="4" w:space="0"/>
        <w:bottom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43">
    <w:name w:val="List Table 2 - Accent 2"/>
    <w:basedOn w:val="47"/>
    <w:qFormat/>
    <w:uiPriority w:val="99"/>
    <w:tblPr>
      <w:tblBorders>
        <w:top w:val="single" w:color="DB9B9A" w:sz="4" w:space="0"/>
        <w:bottom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B9A" w:sz="4" w:space="0"/>
          <w:left w:val="nil"/>
          <w:bottom w:val="single" w:color="DB9B9A" w:sz="4" w:space="0"/>
          <w:right w:val="nil"/>
        </w:tcBorders>
      </w:tcPr>
    </w:tblStylePr>
    <w:tblStylePr w:type="lastRow">
      <w:rPr>
        <w:rFonts w:ascii="Arial" w:hAnsi="Arial"/>
        <w:b/>
        <w:color w:val="404040"/>
        <w:sz w:val="22"/>
      </w:rPr>
      <w:tcPr>
        <w:tcBorders>
          <w:top w:val="single" w:color="DB9B9A" w:sz="4" w:space="0"/>
          <w:left w:val="nil"/>
          <w:bottom w:val="single" w:color="DB9B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customStyle="1" w:styleId="144">
    <w:name w:val="List Table 2 - Accent 3"/>
    <w:basedOn w:val="47"/>
    <w:qFormat/>
    <w:uiPriority w:val="99"/>
    <w:tblPr>
      <w:tblBorders>
        <w:top w:val="single" w:color="C6D8A1" w:sz="4" w:space="0"/>
        <w:bottom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customStyle="1" w:styleId="145">
    <w:name w:val="List Table 2 - Accent 4"/>
    <w:basedOn w:val="47"/>
    <w:qFormat/>
    <w:uiPriority w:val="99"/>
    <w:tblPr>
      <w:tblBorders>
        <w:top w:val="single" w:color="B7A7CA" w:sz="4" w:space="0"/>
        <w:bottom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46">
    <w:name w:val="List Table 2 - Accent 5"/>
    <w:basedOn w:val="47"/>
    <w:qFormat/>
    <w:uiPriority w:val="99"/>
    <w:tblPr>
      <w:tblBorders>
        <w:top w:val="single" w:color="99D0DE" w:sz="4" w:space="0"/>
        <w:bottom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47">
    <w:name w:val="List Table 2 - Accent 6"/>
    <w:basedOn w:val="47"/>
    <w:qFormat/>
    <w:uiPriority w:val="99"/>
    <w:tblPr>
      <w:tblBorders>
        <w:top w:val="single" w:color="FAC396" w:sz="4" w:space="0"/>
        <w:bottom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customStyle="1" w:styleId="148">
    <w:name w:val="清单表 31"/>
    <w:basedOn w:val="47"/>
    <w:qFormat/>
    <w:uiPriority w:val="99"/>
    <w:tblPr>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1Horz">
      <w:rPr>
        <w:rFonts w:ascii="Arial" w:hAnsi="Arial"/>
        <w:color w:val="404040"/>
        <w:sz w:val="22"/>
      </w:rPr>
      <w:tcPr>
        <w:tcBorders>
          <w:top w:val="single" w:color="000000" w:sz="4" w:space="0"/>
          <w:bottom w:val="single" w:color="000000" w:sz="4" w:space="0"/>
        </w:tcBorders>
      </w:tcPr>
    </w:tblStylePr>
  </w:style>
  <w:style w:type="table" w:customStyle="1" w:styleId="149">
    <w:name w:val="List Table 3 - Accent 1"/>
    <w:basedOn w:val="47"/>
    <w:qFormat/>
    <w:uiPriority w:val="99"/>
    <w:tblPr>
      <w:tblBorders>
        <w:top w:val="single" w:color="4F81BD" w:sz="4" w:space="0"/>
        <w:left w:val="single" w:color="4F81BD" w:sz="4" w:space="0"/>
        <w:bottom w:val="single" w:color="4F81BD" w:sz="4" w:space="0"/>
        <w:right w:val="single" w:color="4F81BD"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1Horz">
      <w:rPr>
        <w:rFonts w:ascii="Arial" w:hAnsi="Arial"/>
        <w:color w:val="404040"/>
        <w:sz w:val="22"/>
      </w:rPr>
      <w:tcPr>
        <w:tcBorders>
          <w:top w:val="single" w:color="4F81BD" w:sz="4" w:space="0"/>
          <w:bottom w:val="single" w:color="4F81BD" w:sz="4" w:space="0"/>
        </w:tcBorders>
      </w:tcPr>
    </w:tblStylePr>
  </w:style>
  <w:style w:type="table" w:customStyle="1" w:styleId="150">
    <w:name w:val="List Table 3 - Accent 2"/>
    <w:basedOn w:val="47"/>
    <w:qFormat/>
    <w:uiPriority w:val="99"/>
    <w:tblPr>
      <w:tblBorders>
        <w:top w:val="single" w:color="D99695" w:sz="4" w:space="0"/>
        <w:left w:val="single" w:color="D99695" w:sz="4" w:space="0"/>
        <w:bottom w:val="single" w:color="D99695" w:sz="4" w:space="0"/>
        <w:right w:val="single" w:color="D99695" w:sz="4" w:space="0"/>
      </w:tblBorders>
      <w:tblCellMar>
        <w:top w:w="0" w:type="dxa"/>
        <w:left w:w="108" w:type="dxa"/>
        <w:bottom w:w="0" w:type="dxa"/>
        <w:right w:w="108" w:type="dxa"/>
      </w:tblCellMar>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1Horz">
      <w:rPr>
        <w:rFonts w:ascii="Arial" w:hAnsi="Arial"/>
        <w:color w:val="404040"/>
        <w:sz w:val="22"/>
      </w:rPr>
      <w:tcPr>
        <w:tcBorders>
          <w:top w:val="single" w:color="D99695" w:sz="4" w:space="0"/>
          <w:bottom w:val="single" w:color="D99695" w:sz="4" w:space="0"/>
        </w:tcBorders>
      </w:tcPr>
    </w:tblStylePr>
  </w:style>
  <w:style w:type="table" w:customStyle="1" w:styleId="151">
    <w:name w:val="List Table 3 - Accent 3"/>
    <w:basedOn w:val="47"/>
    <w:qFormat/>
    <w:uiPriority w:val="99"/>
    <w:tblPr>
      <w:tblBorders>
        <w:top w:val="single" w:color="C3D69B" w:sz="4" w:space="0"/>
        <w:left w:val="single" w:color="C3D69B" w:sz="4" w:space="0"/>
        <w:bottom w:val="single" w:color="C3D69B" w:sz="4" w:space="0"/>
        <w:right w:val="single" w:color="C3D69B" w:sz="4" w:space="0"/>
      </w:tblBorders>
      <w:tblCellMar>
        <w:top w:w="0" w:type="dxa"/>
        <w:left w:w="108" w:type="dxa"/>
        <w:bottom w:w="0" w:type="dxa"/>
        <w:right w:w="108" w:type="dxa"/>
      </w:tblCellMar>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1Horz">
      <w:rPr>
        <w:rFonts w:ascii="Arial" w:hAnsi="Arial"/>
        <w:color w:val="404040"/>
        <w:sz w:val="22"/>
      </w:rPr>
      <w:tcPr>
        <w:tcBorders>
          <w:top w:val="single" w:color="C3D69B" w:sz="4" w:space="0"/>
          <w:bottom w:val="single" w:color="C3D69B" w:sz="4" w:space="0"/>
        </w:tcBorders>
      </w:tcPr>
    </w:tblStylePr>
  </w:style>
  <w:style w:type="table" w:customStyle="1" w:styleId="152">
    <w:name w:val="List Table 3 - Accent 4"/>
    <w:basedOn w:val="47"/>
    <w:qFormat/>
    <w:uiPriority w:val="99"/>
    <w:tblPr>
      <w:tblBorders>
        <w:top w:val="single" w:color="B2A1C6" w:sz="4" w:space="0"/>
        <w:left w:val="single" w:color="B2A1C6" w:sz="4" w:space="0"/>
        <w:bottom w:val="single" w:color="B2A1C6" w:sz="4" w:space="0"/>
        <w:right w:val="single" w:color="B2A1C6" w:sz="4" w:space="0"/>
      </w:tblBorders>
      <w:tblCellMar>
        <w:top w:w="0" w:type="dxa"/>
        <w:left w:w="108" w:type="dxa"/>
        <w:bottom w:w="0" w:type="dxa"/>
        <w:right w:w="108" w:type="dxa"/>
      </w:tblCellMar>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1Horz">
      <w:rPr>
        <w:rFonts w:ascii="Arial" w:hAnsi="Arial"/>
        <w:color w:val="404040"/>
        <w:sz w:val="22"/>
      </w:rPr>
      <w:tcPr>
        <w:tcBorders>
          <w:top w:val="single" w:color="B2A1C6" w:sz="4" w:space="0"/>
          <w:bottom w:val="single" w:color="B2A1C6" w:sz="4" w:space="0"/>
        </w:tcBorders>
      </w:tcPr>
    </w:tblStylePr>
  </w:style>
  <w:style w:type="table" w:customStyle="1" w:styleId="153">
    <w:name w:val="List Table 3 - Accent 5"/>
    <w:basedOn w:val="47"/>
    <w:qFormat/>
    <w:uiPriority w:val="99"/>
    <w:tblPr>
      <w:tblBorders>
        <w:top w:val="single" w:color="92CCDC" w:sz="4" w:space="0"/>
        <w:left w:val="single" w:color="92CCDC" w:sz="4" w:space="0"/>
        <w:bottom w:val="single" w:color="92CCDC" w:sz="4" w:space="0"/>
        <w:right w:val="single" w:color="92CCDC" w:sz="4" w:space="0"/>
      </w:tblBorders>
      <w:tblCellMar>
        <w:top w:w="0" w:type="dxa"/>
        <w:left w:w="108" w:type="dxa"/>
        <w:bottom w:w="0" w:type="dxa"/>
        <w:right w:w="108" w:type="dxa"/>
      </w:tblCellMar>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1Horz">
      <w:rPr>
        <w:rFonts w:ascii="Arial" w:hAnsi="Arial"/>
        <w:color w:val="404040"/>
        <w:sz w:val="22"/>
      </w:rPr>
      <w:tcPr>
        <w:tcBorders>
          <w:top w:val="single" w:color="92CCDC" w:sz="4" w:space="0"/>
          <w:bottom w:val="single" w:color="92CCDC" w:sz="4" w:space="0"/>
        </w:tcBorders>
      </w:tcPr>
    </w:tblStylePr>
  </w:style>
  <w:style w:type="table" w:customStyle="1" w:styleId="154">
    <w:name w:val="List Table 3 - Accent 6"/>
    <w:basedOn w:val="47"/>
    <w:qFormat/>
    <w:uiPriority w:val="99"/>
    <w:tblPr>
      <w:tblBorders>
        <w:top w:val="single" w:color="FAC090" w:sz="4" w:space="0"/>
        <w:left w:val="single" w:color="FAC090" w:sz="4" w:space="0"/>
        <w:bottom w:val="single" w:color="FAC090" w:sz="4" w:space="0"/>
        <w:right w:val="single" w:color="FAC090" w:sz="4" w:space="0"/>
      </w:tblBorders>
      <w:tblCellMar>
        <w:top w:w="0" w:type="dxa"/>
        <w:left w:w="108" w:type="dxa"/>
        <w:bottom w:w="0" w:type="dxa"/>
        <w:right w:w="108" w:type="dxa"/>
      </w:tblCellMar>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1Horz">
      <w:rPr>
        <w:rFonts w:ascii="Arial" w:hAnsi="Arial"/>
        <w:color w:val="404040"/>
        <w:sz w:val="22"/>
      </w:rPr>
      <w:tcPr>
        <w:tcBorders>
          <w:top w:val="single" w:color="FAC090" w:sz="4" w:space="0"/>
          <w:bottom w:val="single" w:color="FAC090" w:sz="4" w:space="0"/>
        </w:tcBorders>
      </w:tcPr>
    </w:tblStylePr>
  </w:style>
  <w:style w:type="table" w:customStyle="1" w:styleId="155">
    <w:name w:val="清单表 41"/>
    <w:basedOn w:val="47"/>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1Horz">
      <w:rPr>
        <w:rFonts w:ascii="Arial" w:hAnsi="Arial"/>
        <w:color w:val="404040"/>
        <w:sz w:val="22"/>
      </w:rPr>
      <w:tcPr>
        <w:shd w:val="clear" w:color="BFBFBF" w:fill="BFBFBF"/>
      </w:tcPr>
    </w:tblStylePr>
  </w:style>
  <w:style w:type="table" w:customStyle="1" w:styleId="156">
    <w:name w:val="List Table 4 - Accent 1"/>
    <w:basedOn w:val="47"/>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57">
    <w:name w:val="List Table 4 - Accent 2"/>
    <w:basedOn w:val="47"/>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1Horz">
      <w:rPr>
        <w:rFonts w:ascii="Arial" w:hAnsi="Arial"/>
        <w:color w:val="404040"/>
        <w:sz w:val="22"/>
      </w:rPr>
      <w:tcPr>
        <w:shd w:val="clear" w:color="EFD2D2" w:fill="EFD2D2"/>
      </w:tcPr>
    </w:tblStylePr>
  </w:style>
  <w:style w:type="table" w:customStyle="1" w:styleId="158">
    <w:name w:val="List Table 4 - Accent 3"/>
    <w:basedOn w:val="47"/>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1Horz">
      <w:rPr>
        <w:rFonts w:ascii="Arial" w:hAnsi="Arial"/>
        <w:color w:val="404040"/>
        <w:sz w:val="22"/>
      </w:rPr>
      <w:tcPr>
        <w:shd w:val="clear" w:color="E5EED5" w:fill="E5EED5"/>
      </w:tcPr>
    </w:tblStylePr>
  </w:style>
  <w:style w:type="table" w:customStyle="1" w:styleId="159">
    <w:name w:val="List Table 4 - Accent 4"/>
    <w:basedOn w:val="47"/>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60">
    <w:name w:val="List Table 4 - Accent 5"/>
    <w:basedOn w:val="47"/>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61">
    <w:name w:val="List Table 4 - Accent 6"/>
    <w:basedOn w:val="47"/>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1Horz">
      <w:rPr>
        <w:rFonts w:ascii="Arial" w:hAnsi="Arial"/>
        <w:color w:val="404040"/>
        <w:sz w:val="22"/>
      </w:rPr>
      <w:tcPr>
        <w:shd w:val="clear" w:color="FDE4D0" w:fill="FDE4D0"/>
      </w:tcPr>
    </w:tblStylePr>
  </w:style>
  <w:style w:type="table" w:customStyle="1" w:styleId="162">
    <w:name w:val="清单表 5 深色1"/>
    <w:basedOn w:val="47"/>
    <w:qFormat/>
    <w:uiPriority w:val="99"/>
    <w:tblPr>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style>
  <w:style w:type="table" w:customStyle="1" w:styleId="163">
    <w:name w:val="List Table 5 Dark - Accent 1"/>
    <w:basedOn w:val="47"/>
    <w:qFormat/>
    <w:uiPriority w:val="99"/>
    <w:tblPr>
      <w:tblBorders>
        <w:top w:val="single" w:color="4F81BD" w:sz="32" w:space="0"/>
        <w:left w:val="single" w:color="4F81BD" w:sz="32" w:space="0"/>
        <w:bottom w:val="single" w:color="4F81BD" w:sz="32" w:space="0"/>
        <w:right w:val="single" w:color="4F81BD" w:sz="32" w:space="0"/>
      </w:tblBorders>
      <w:tblCellMar>
        <w:top w:w="0" w:type="dxa"/>
        <w:left w:w="108" w:type="dxa"/>
        <w:bottom w:w="0" w:type="dxa"/>
        <w:right w:w="108" w:type="dxa"/>
      </w:tblCellMar>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style>
  <w:style w:type="table" w:customStyle="1" w:styleId="164">
    <w:name w:val="List Table 5 Dark - Accent 2"/>
    <w:basedOn w:val="47"/>
    <w:qFormat/>
    <w:uiPriority w:val="99"/>
    <w:tblPr>
      <w:tblBorders>
        <w:top w:val="single" w:color="D99695" w:sz="32" w:space="0"/>
        <w:left w:val="single" w:color="D99695" w:sz="32" w:space="0"/>
        <w:bottom w:val="single" w:color="D99695" w:sz="32" w:space="0"/>
        <w:right w:val="single" w:color="D99695" w:sz="32"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style>
  <w:style w:type="table" w:customStyle="1" w:styleId="165">
    <w:name w:val="List Table 5 Dark - Accent 3"/>
    <w:basedOn w:val="47"/>
    <w:qFormat/>
    <w:uiPriority w:val="99"/>
    <w:tblPr>
      <w:tblBorders>
        <w:top w:val="single" w:color="C3D69B" w:sz="32" w:space="0"/>
        <w:left w:val="single" w:color="C3D69B" w:sz="32" w:space="0"/>
        <w:bottom w:val="single" w:color="C3D69B" w:sz="32" w:space="0"/>
        <w:right w:val="single" w:color="C3D69B" w:sz="32" w:space="0"/>
      </w:tblBorders>
      <w:tblCellMar>
        <w:top w:w="0" w:type="dxa"/>
        <w:left w:w="108" w:type="dxa"/>
        <w:bottom w:w="0" w:type="dxa"/>
        <w:right w:w="108" w:type="dxa"/>
      </w:tblCellMar>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style>
  <w:style w:type="table" w:customStyle="1" w:styleId="166">
    <w:name w:val="List Table 5 Dark - Accent 4"/>
    <w:basedOn w:val="47"/>
    <w:qFormat/>
    <w:uiPriority w:val="99"/>
    <w:tblPr>
      <w:tblBorders>
        <w:top w:val="single" w:color="B2A1C6" w:sz="32" w:space="0"/>
        <w:left w:val="single" w:color="B2A1C6" w:sz="32" w:space="0"/>
        <w:bottom w:val="single" w:color="B2A1C6" w:sz="32" w:space="0"/>
        <w:right w:val="single" w:color="B2A1C6" w:sz="32"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style>
  <w:style w:type="table" w:customStyle="1" w:styleId="167">
    <w:name w:val="List Table 5 Dark - Accent 5"/>
    <w:basedOn w:val="47"/>
    <w:qFormat/>
    <w:uiPriority w:val="99"/>
    <w:tblPr>
      <w:tblBorders>
        <w:top w:val="single" w:color="92CCDC" w:sz="32" w:space="0"/>
        <w:left w:val="single" w:color="92CCDC" w:sz="32" w:space="0"/>
        <w:bottom w:val="single" w:color="92CCDC" w:sz="32" w:space="0"/>
        <w:right w:val="single" w:color="92CCDC" w:sz="32" w:space="0"/>
      </w:tblBorders>
      <w:tblCellMar>
        <w:top w:w="0" w:type="dxa"/>
        <w:left w:w="108" w:type="dxa"/>
        <w:bottom w:w="0" w:type="dxa"/>
        <w:right w:w="108" w:type="dxa"/>
      </w:tblCellMar>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style>
  <w:style w:type="table" w:customStyle="1" w:styleId="168">
    <w:name w:val="List Table 5 Dark - Accent 6"/>
    <w:basedOn w:val="47"/>
    <w:qFormat/>
    <w:uiPriority w:val="99"/>
    <w:tblPr>
      <w:tblBorders>
        <w:top w:val="single" w:color="FAC090" w:sz="32" w:space="0"/>
        <w:left w:val="single" w:color="FAC090" w:sz="32" w:space="0"/>
        <w:bottom w:val="single" w:color="FAC090" w:sz="32" w:space="0"/>
        <w:right w:val="single" w:color="FAC090" w:sz="32" w:space="0"/>
      </w:tblBorders>
      <w:tblCellMar>
        <w:top w:w="0" w:type="dxa"/>
        <w:left w:w="108" w:type="dxa"/>
        <w:bottom w:w="0" w:type="dxa"/>
        <w:right w:w="108" w:type="dxa"/>
      </w:tblCellMar>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style>
  <w:style w:type="table" w:customStyle="1" w:styleId="169">
    <w:name w:val="清单表 6 彩色1"/>
    <w:basedOn w:val="47"/>
    <w:qFormat/>
    <w:uiPriority w:val="99"/>
    <w:tblPr>
      <w:tblBorders>
        <w:top w:val="single" w:color="7F7F7F" w:sz="4" w:space="0"/>
        <w:bottom w:val="single" w:color="7F7F7F" w:sz="4" w:space="0"/>
      </w:tblBorders>
      <w:tblCellMar>
        <w:top w:w="0" w:type="dxa"/>
        <w:left w:w="108" w:type="dxa"/>
        <w:bottom w:w="0" w:type="dxa"/>
        <w:right w:w="108" w:type="dxa"/>
      </w:tblCellMar>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1Horz">
      <w:rPr>
        <w:rFonts w:ascii="Arial" w:hAnsi="Arial"/>
        <w:color w:val="000000"/>
        <w:sz w:val="22"/>
      </w:rPr>
      <w:tcPr>
        <w:shd w:val="clear" w:color="BFBFBF" w:fill="BFBFBF"/>
      </w:tcPr>
    </w:tblStylePr>
    <w:tblStylePr w:type="band2Horz">
      <w:rPr>
        <w:rFonts w:ascii="Arial" w:hAnsi="Arial"/>
        <w:color w:val="000000"/>
        <w:sz w:val="22"/>
      </w:rPr>
    </w:tblStylePr>
  </w:style>
  <w:style w:type="table" w:customStyle="1" w:styleId="170">
    <w:name w:val="List Table 6 Colorful - Accent 1"/>
    <w:basedOn w:val="47"/>
    <w:qFormat/>
    <w:uiPriority w:val="99"/>
    <w:tblPr>
      <w:tblBorders>
        <w:top w:val="single" w:color="4F81BD" w:sz="4" w:space="0"/>
        <w:bottom w:val="single" w:color="4F81BD" w:sz="4" w:space="0"/>
      </w:tblBorders>
      <w:tblCellMar>
        <w:top w:w="0" w:type="dxa"/>
        <w:left w:w="108" w:type="dxa"/>
        <w:bottom w:w="0" w:type="dxa"/>
        <w:right w:w="108" w:type="dxa"/>
      </w:tblCellMar>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customStyle="1" w:styleId="171">
    <w:name w:val="List Table 6 Colorful - Accent 2"/>
    <w:basedOn w:val="47"/>
    <w:qFormat/>
    <w:uiPriority w:val="99"/>
    <w:tblPr>
      <w:tblBorders>
        <w:top w:val="single" w:color="D99695" w:sz="4" w:space="0"/>
        <w:bottom w:val="single" w:color="D99695" w:sz="4" w:space="0"/>
      </w:tblBorders>
      <w:tblCellMar>
        <w:top w:w="0" w:type="dxa"/>
        <w:left w:w="108" w:type="dxa"/>
        <w:bottom w:w="0" w:type="dxa"/>
        <w:right w:w="108" w:type="dxa"/>
      </w:tblCellMar>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customStyle="1" w:styleId="172">
    <w:name w:val="List Table 6 Colorful - Accent 3"/>
    <w:basedOn w:val="47"/>
    <w:qFormat/>
    <w:uiPriority w:val="99"/>
    <w:tblPr>
      <w:tblBorders>
        <w:top w:val="single" w:color="C3D69B" w:sz="4" w:space="0"/>
        <w:bottom w:val="single" w:color="C3D69B" w:sz="4" w:space="0"/>
      </w:tblBorders>
      <w:tblCellMar>
        <w:top w:w="0" w:type="dxa"/>
        <w:left w:w="108" w:type="dxa"/>
        <w:bottom w:w="0" w:type="dxa"/>
        <w:right w:w="108" w:type="dxa"/>
      </w:tblCellMar>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customStyle="1" w:styleId="173">
    <w:name w:val="List Table 6 Colorful - Accent 4"/>
    <w:basedOn w:val="47"/>
    <w:qFormat/>
    <w:uiPriority w:val="99"/>
    <w:tblPr>
      <w:tblBorders>
        <w:top w:val="single" w:color="B2A1C6" w:sz="4" w:space="0"/>
        <w:bottom w:val="single" w:color="B2A1C6" w:sz="4" w:space="0"/>
      </w:tblBorders>
      <w:tblCellMar>
        <w:top w:w="0" w:type="dxa"/>
        <w:left w:w="108" w:type="dxa"/>
        <w:bottom w:w="0" w:type="dxa"/>
        <w:right w:w="108" w:type="dxa"/>
      </w:tblCellMar>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customStyle="1" w:styleId="174">
    <w:name w:val="List Table 6 Colorful - Accent 5"/>
    <w:basedOn w:val="47"/>
    <w:qFormat/>
    <w:uiPriority w:val="99"/>
    <w:tblPr>
      <w:tblBorders>
        <w:top w:val="single" w:color="92CCDC" w:sz="4" w:space="0"/>
        <w:bottom w:val="single" w:color="92CCDC" w:sz="4" w:space="0"/>
      </w:tblBorders>
      <w:tblCellMar>
        <w:top w:w="0" w:type="dxa"/>
        <w:left w:w="108" w:type="dxa"/>
        <w:bottom w:w="0" w:type="dxa"/>
        <w:right w:w="108" w:type="dxa"/>
      </w:tblCellMar>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customStyle="1" w:styleId="175">
    <w:name w:val="List Table 6 Colorful - Accent 6"/>
    <w:basedOn w:val="47"/>
    <w:qFormat/>
    <w:uiPriority w:val="99"/>
    <w:tblPr>
      <w:tblBorders>
        <w:top w:val="single" w:color="FAC090" w:sz="4" w:space="0"/>
        <w:bottom w:val="single" w:color="FAC090" w:sz="4" w:space="0"/>
      </w:tblBorders>
      <w:tblCellMar>
        <w:top w:w="0" w:type="dxa"/>
        <w:left w:w="108" w:type="dxa"/>
        <w:bottom w:w="0" w:type="dxa"/>
        <w:right w:w="108" w:type="dxa"/>
      </w:tblCellMar>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customStyle="1" w:styleId="176">
    <w:name w:val="清单表 7 彩色1"/>
    <w:basedOn w:val="47"/>
    <w:qFormat/>
    <w:uiPriority w:val="99"/>
    <w:tblPr>
      <w:tblBorders>
        <w:right w:val="single" w:color="7F7F7F" w:sz="4" w:space="0"/>
      </w:tblBorders>
      <w:tblCellMar>
        <w:top w:w="0" w:type="dxa"/>
        <w:left w:w="108" w:type="dxa"/>
        <w:bottom w:w="0" w:type="dxa"/>
        <w:right w:w="108" w:type="dxa"/>
      </w:tblCellMar>
    </w:tblPr>
    <w:tblStylePr w:type="firstRow">
      <w:rPr>
        <w:rFonts w:ascii="Arial" w:hAnsi="Arial"/>
        <w:i/>
        <w:color w:val="7F7F7F"/>
        <w:sz w:val="22"/>
      </w:rPr>
      <w:tcPr>
        <w:tcBorders>
          <w:top w:val="nil"/>
          <w:left w:val="nil"/>
          <w:bottom w:val="single" w:color="7F7F7F" w:sz="4" w:space="0"/>
          <w:right w:val="nil"/>
        </w:tcBorders>
        <w:shd w:val="clear" w:color="FFFFFF" w:fill="FFFFFF"/>
      </w:tcPr>
    </w:tblStylePr>
    <w:tblStylePr w:type="lastRow">
      <w:rPr>
        <w:rFonts w:ascii="Arial" w:hAnsi="Arial"/>
        <w:i/>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BFBFBF" w:fill="BFBFBF"/>
      </w:tcPr>
    </w:tblStylePr>
    <w:tblStylePr w:type="band1Horz">
      <w:rPr>
        <w:rFonts w:ascii="Arial" w:hAnsi="Arial"/>
        <w:color w:val="7F7F7F"/>
        <w:sz w:val="22"/>
      </w:rPr>
      <w:tcPr>
        <w:shd w:val="clear" w:color="BFBFBF" w:fill="BFBFBF"/>
      </w:tcPr>
    </w:tblStylePr>
    <w:tblStylePr w:type="band2Horz">
      <w:rPr>
        <w:rFonts w:ascii="Arial" w:hAnsi="Arial"/>
        <w:color w:val="7F7F7F"/>
        <w:sz w:val="22"/>
      </w:rPr>
    </w:tblStylePr>
  </w:style>
  <w:style w:type="table" w:customStyle="1" w:styleId="177">
    <w:name w:val="List Table 7 Colorful - Accent 1"/>
    <w:basedOn w:val="47"/>
    <w:qFormat/>
    <w:uiPriority w:val="99"/>
    <w:tblPr>
      <w:tblBorders>
        <w:right w:val="single" w:color="4F81BD" w:sz="4" w:space="0"/>
      </w:tblBorders>
      <w:tblCellMar>
        <w:top w:w="0" w:type="dxa"/>
        <w:left w:w="108" w:type="dxa"/>
        <w:bottom w:w="0" w:type="dxa"/>
        <w:right w:w="108" w:type="dxa"/>
      </w:tblCellMar>
    </w:tblPr>
    <w:tblStylePr w:type="firstRow">
      <w:rPr>
        <w:rFonts w:ascii="Arial" w:hAnsi="Arial"/>
        <w:i/>
        <w:color w:val="2A4A71"/>
        <w:sz w:val="22"/>
      </w:rPr>
      <w:tcPr>
        <w:tcBorders>
          <w:top w:val="nil"/>
          <w:left w:val="nil"/>
          <w:bottom w:val="single" w:color="4F81BD" w:sz="4" w:space="0"/>
          <w:right w:val="nil"/>
        </w:tcBorders>
        <w:shd w:val="clear" w:color="FFFFFF" w:fill="FFFFFF"/>
      </w:tcPr>
    </w:tblStylePr>
    <w:tblStylePr w:type="lastRow">
      <w:rPr>
        <w:rFonts w:ascii="Arial" w:hAnsi="Arial"/>
        <w:i/>
        <w:color w:val="2A4A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A71"/>
        <w:sz w:val="22"/>
      </w:rPr>
      <w:tcPr>
        <w:tcBorders>
          <w:top w:val="nil"/>
          <w:left w:val="nil"/>
          <w:bottom w:val="nil"/>
          <w:right w:val="single" w:color="4F81BD" w:sz="4" w:space="0"/>
        </w:tcBorders>
        <w:shd w:val="clear" w:color="FFFFFF" w:fill="auto"/>
      </w:tcPr>
    </w:tblStylePr>
    <w:tblStylePr w:type="lastCol">
      <w:rPr>
        <w:rFonts w:ascii="Arial" w:hAnsi="Arial"/>
        <w:i/>
        <w:color w:val="2A4A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1Horz">
      <w:rPr>
        <w:rFonts w:ascii="Arial" w:hAnsi="Arial"/>
        <w:color w:val="2A4A71"/>
        <w:sz w:val="22"/>
      </w:rPr>
      <w:tcPr>
        <w:shd w:val="clear" w:color="D2DFEE" w:fill="D2DFEE"/>
      </w:tcPr>
    </w:tblStylePr>
    <w:tblStylePr w:type="band2Horz">
      <w:rPr>
        <w:rFonts w:ascii="Arial" w:hAnsi="Arial"/>
        <w:color w:val="2A4A71"/>
        <w:sz w:val="22"/>
      </w:rPr>
    </w:tblStylePr>
  </w:style>
  <w:style w:type="table" w:customStyle="1" w:styleId="178">
    <w:name w:val="List Table 7 Colorful - Accent 2"/>
    <w:basedOn w:val="47"/>
    <w:qFormat/>
    <w:uiPriority w:val="99"/>
    <w:tblPr>
      <w:tblBorders>
        <w:right w:val="single" w:color="D99695" w:sz="4" w:space="0"/>
      </w:tblBorders>
      <w:tblCellMar>
        <w:top w:w="0" w:type="dxa"/>
        <w:left w:w="108" w:type="dxa"/>
        <w:bottom w:w="0" w:type="dxa"/>
        <w:right w:w="108" w:type="dxa"/>
      </w:tblCellMar>
    </w:tblPr>
    <w:tblStylePr w:type="firstRow">
      <w:rPr>
        <w:rFonts w:ascii="Arial" w:hAnsi="Arial"/>
        <w:i/>
        <w:color w:val="D99695"/>
        <w:sz w:val="22"/>
      </w:rPr>
      <w:tcPr>
        <w:tcBorders>
          <w:top w:val="nil"/>
          <w:left w:val="nil"/>
          <w:bottom w:val="single" w:color="D99695" w:sz="4" w:space="0"/>
          <w:right w:val="nil"/>
        </w:tcBorders>
        <w:shd w:val="clear" w:color="FFFFFF" w:fill="FFFFFF"/>
      </w:tcPr>
    </w:tblStylePr>
    <w:tblStylePr w:type="lastRow">
      <w:rPr>
        <w:rFonts w:ascii="Arial" w:hAnsi="Arial"/>
        <w:i/>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EFD2D2" w:fill="EFD2D2"/>
      </w:tcPr>
    </w:tblStylePr>
    <w:tblStylePr w:type="band1Horz">
      <w:rPr>
        <w:rFonts w:ascii="Arial" w:hAnsi="Arial"/>
        <w:color w:val="D99695"/>
        <w:sz w:val="22"/>
      </w:rPr>
      <w:tcPr>
        <w:shd w:val="clear" w:color="EFD2D2" w:fill="EFD2D2"/>
      </w:tcPr>
    </w:tblStylePr>
    <w:tblStylePr w:type="band2Horz">
      <w:rPr>
        <w:rFonts w:ascii="Arial" w:hAnsi="Arial"/>
        <w:color w:val="D99695"/>
        <w:sz w:val="22"/>
      </w:rPr>
    </w:tblStylePr>
  </w:style>
  <w:style w:type="table" w:customStyle="1" w:styleId="179">
    <w:name w:val="List Table 7 Colorful - Accent 3"/>
    <w:basedOn w:val="47"/>
    <w:qFormat/>
    <w:uiPriority w:val="99"/>
    <w:tblPr>
      <w:tblBorders>
        <w:right w:val="single" w:color="C3D69B" w:sz="4" w:space="0"/>
      </w:tblBorders>
      <w:tblCellMar>
        <w:top w:w="0" w:type="dxa"/>
        <w:left w:w="108" w:type="dxa"/>
        <w:bottom w:w="0" w:type="dxa"/>
        <w:right w:w="108" w:type="dxa"/>
      </w:tblCellMar>
    </w:tblPr>
    <w:tblStylePr w:type="firstRow">
      <w:rPr>
        <w:rFonts w:ascii="Arial" w:hAnsi="Arial"/>
        <w:i/>
        <w:color w:val="C3D69B"/>
        <w:sz w:val="22"/>
      </w:rPr>
      <w:tcPr>
        <w:tcBorders>
          <w:top w:val="nil"/>
          <w:left w:val="nil"/>
          <w:bottom w:val="single" w:color="C3D69B" w:sz="4" w:space="0"/>
          <w:right w:val="nil"/>
        </w:tcBorders>
        <w:shd w:val="clear" w:color="FFFFFF" w:fill="FFFFFF"/>
      </w:tcPr>
    </w:tblStylePr>
    <w:tblStylePr w:type="lastRow">
      <w:rPr>
        <w:rFonts w:ascii="Arial" w:hAnsi="Arial"/>
        <w:i/>
        <w:color w:val="C3D69B"/>
        <w:sz w:val="22"/>
      </w:rPr>
      <w:tcPr>
        <w:tcBorders>
          <w:top w:val="single" w:color="C3D69B"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B" w:sz="4" w:space="0"/>
        </w:tcBorders>
        <w:shd w:val="clear" w:color="FFFFFF" w:fill="auto"/>
      </w:tcPr>
    </w:tblStylePr>
    <w:tblStylePr w:type="lastCol">
      <w:rPr>
        <w:rFonts w:ascii="Arial" w:hAnsi="Arial"/>
        <w:i/>
        <w:color w:val="C3D69B"/>
        <w:sz w:val="22"/>
      </w:rPr>
      <w:tcPr>
        <w:tcBorders>
          <w:top w:val="nil"/>
          <w:left w:val="single" w:color="C3D69B" w:sz="4" w:space="0"/>
          <w:bottom w:val="nil"/>
          <w:right w:val="nil"/>
        </w:tcBorders>
        <w:shd w:val="clear" w:color="FFFFFF" w:fill="auto"/>
      </w:tcPr>
    </w:tblStylePr>
    <w:tblStylePr w:type="band1Vert">
      <w:tcPr>
        <w:shd w:val="clear" w:color="E5EED5" w:fill="E5EED5"/>
      </w:tcPr>
    </w:tblStylePr>
    <w:tblStylePr w:type="band1Horz">
      <w:rPr>
        <w:rFonts w:ascii="Arial" w:hAnsi="Arial"/>
        <w:color w:val="C3D69B"/>
        <w:sz w:val="22"/>
      </w:rPr>
      <w:tcPr>
        <w:shd w:val="clear" w:color="E5EED5" w:fill="E5EED5"/>
      </w:tcPr>
    </w:tblStylePr>
    <w:tblStylePr w:type="band2Horz">
      <w:rPr>
        <w:rFonts w:ascii="Arial" w:hAnsi="Arial"/>
        <w:color w:val="C3D69B"/>
        <w:sz w:val="22"/>
      </w:rPr>
    </w:tblStylePr>
  </w:style>
  <w:style w:type="table" w:customStyle="1" w:styleId="180">
    <w:name w:val="List Table 7 Colorful - Accent 4"/>
    <w:basedOn w:val="47"/>
    <w:qFormat/>
    <w:uiPriority w:val="99"/>
    <w:tblPr>
      <w:tblBorders>
        <w:right w:val="single" w:color="B2A1C6" w:sz="4" w:space="0"/>
      </w:tblBorders>
      <w:tblCellMar>
        <w:top w:w="0" w:type="dxa"/>
        <w:left w:w="108" w:type="dxa"/>
        <w:bottom w:w="0" w:type="dxa"/>
        <w:right w:w="108" w:type="dxa"/>
      </w:tblCellMar>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1Horz">
      <w:rPr>
        <w:rFonts w:ascii="Arial" w:hAnsi="Arial"/>
        <w:color w:val="B2A1C6"/>
        <w:sz w:val="22"/>
      </w:rPr>
      <w:tcPr>
        <w:shd w:val="clear" w:color="DFD8E7" w:fill="DFD8E7"/>
      </w:tcPr>
    </w:tblStylePr>
    <w:tblStylePr w:type="band2Horz">
      <w:rPr>
        <w:rFonts w:ascii="Arial" w:hAnsi="Arial"/>
        <w:color w:val="B2A1C6"/>
        <w:sz w:val="22"/>
      </w:rPr>
    </w:tblStylePr>
  </w:style>
  <w:style w:type="table" w:customStyle="1" w:styleId="181">
    <w:name w:val="List Table 7 Colorful - Accent 5"/>
    <w:basedOn w:val="47"/>
    <w:qFormat/>
    <w:uiPriority w:val="99"/>
    <w:tblPr>
      <w:tblBorders>
        <w:right w:val="single" w:color="92CCDC" w:sz="4" w:space="0"/>
      </w:tblBorders>
      <w:tblCellMar>
        <w:top w:w="0" w:type="dxa"/>
        <w:left w:w="108" w:type="dxa"/>
        <w:bottom w:w="0" w:type="dxa"/>
        <w:right w:w="108" w:type="dxa"/>
      </w:tblCellMar>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1Horz">
      <w:rPr>
        <w:rFonts w:ascii="Arial" w:hAnsi="Arial"/>
        <w:color w:val="92CCDC"/>
        <w:sz w:val="22"/>
      </w:rPr>
      <w:tcPr>
        <w:shd w:val="clear" w:color="D1EAF0" w:fill="D1EAF0"/>
      </w:tcPr>
    </w:tblStylePr>
    <w:tblStylePr w:type="band2Horz">
      <w:rPr>
        <w:rFonts w:ascii="Arial" w:hAnsi="Arial"/>
        <w:color w:val="92CCDC"/>
        <w:sz w:val="22"/>
      </w:rPr>
    </w:tblStylePr>
  </w:style>
  <w:style w:type="table" w:customStyle="1" w:styleId="182">
    <w:name w:val="List Table 7 Colorful - Accent 6"/>
    <w:basedOn w:val="47"/>
    <w:qFormat/>
    <w:uiPriority w:val="99"/>
    <w:tblPr>
      <w:tblBorders>
        <w:right w:val="single" w:color="FAC090" w:sz="4" w:space="0"/>
      </w:tblBorders>
      <w:tblCellMar>
        <w:top w:w="0" w:type="dxa"/>
        <w:left w:w="108" w:type="dxa"/>
        <w:bottom w:w="0" w:type="dxa"/>
        <w:right w:w="108" w:type="dxa"/>
      </w:tblCellMar>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DE4D0" w:fill="FDE4D0"/>
      </w:tcPr>
    </w:tblStylePr>
    <w:tblStylePr w:type="band1Horz">
      <w:rPr>
        <w:rFonts w:ascii="Arial" w:hAnsi="Arial"/>
        <w:color w:val="FAC090"/>
        <w:sz w:val="22"/>
      </w:rPr>
      <w:tcPr>
        <w:shd w:val="clear" w:color="FDE4D0" w:fill="FDE4D0"/>
      </w:tcPr>
    </w:tblStylePr>
    <w:tblStylePr w:type="band2Horz">
      <w:rPr>
        <w:rFonts w:ascii="Arial" w:hAnsi="Arial"/>
        <w:color w:val="FAC090"/>
        <w:sz w:val="22"/>
      </w:rPr>
    </w:tblStylePr>
  </w:style>
  <w:style w:type="table" w:customStyle="1" w:styleId="183">
    <w:name w:val="Lined - Accent"/>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style>
  <w:style w:type="table" w:customStyle="1" w:styleId="184">
    <w:name w:val="Lined - Accent 1"/>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85">
    <w:name w:val="Lined - Accent 2"/>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86">
    <w:name w:val="Lined - Accent 3"/>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customStyle="1" w:styleId="187">
    <w:name w:val="Lined - Accent 4"/>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88">
    <w:name w:val="Lined - Accent 5"/>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89">
    <w:name w:val="Lined - Accent 6"/>
    <w:basedOn w:val="4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customStyle="1" w:styleId="190">
    <w:name w:val="Bordered &amp; Lined - Accent"/>
    <w:basedOn w:val="47"/>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style>
  <w:style w:type="table" w:customStyle="1" w:styleId="191">
    <w:name w:val="Bordered &amp; Lined - Accent 1"/>
    <w:basedOn w:val="47"/>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92">
    <w:name w:val="Bordered &amp; Lined - Accent 2"/>
    <w:basedOn w:val="47"/>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93">
    <w:name w:val="Bordered &amp; Lined - Accent 3"/>
    <w:basedOn w:val="47"/>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style>
  <w:style w:type="table" w:customStyle="1" w:styleId="194">
    <w:name w:val="Bordered &amp; Lined - Accent 4"/>
    <w:basedOn w:val="47"/>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95">
    <w:name w:val="Bordered &amp; Lined - Accent 5"/>
    <w:basedOn w:val="47"/>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96">
    <w:name w:val="Bordered &amp; Lined - Accent 6"/>
    <w:basedOn w:val="47"/>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style>
  <w:style w:type="table" w:customStyle="1" w:styleId="197">
    <w:name w:val="Bordered"/>
    <w:basedOn w:val="47"/>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198">
    <w:name w:val="Bordered - Accent 1"/>
    <w:basedOn w:val="47"/>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style>
  <w:style w:type="table" w:customStyle="1" w:styleId="199">
    <w:name w:val="Bordered - Accent 2"/>
    <w:basedOn w:val="47"/>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style>
  <w:style w:type="table" w:customStyle="1" w:styleId="200">
    <w:name w:val="Bordered - Accent 3"/>
    <w:basedOn w:val="47"/>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201">
    <w:name w:val="Bordered - Accent 4"/>
    <w:basedOn w:val="47"/>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202">
    <w:name w:val="Bordered - Accent 5"/>
    <w:basedOn w:val="47"/>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203">
    <w:name w:val="Bordered - Accent 6"/>
    <w:basedOn w:val="47"/>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character" w:customStyle="1" w:styleId="204">
    <w:name w:val="Heading 1 Char_07ff4165-f9ec-4004-8802-d11e028633d0"/>
    <w:qFormat/>
    <w:uiPriority w:val="9"/>
    <w:rPr>
      <w:rFonts w:ascii="Arial" w:hAnsi="Arial" w:eastAsia="Arial" w:cs="Arial"/>
      <w:color w:val="365F91"/>
      <w:sz w:val="40"/>
      <w:szCs w:val="40"/>
    </w:rPr>
  </w:style>
  <w:style w:type="character" w:customStyle="1" w:styleId="205">
    <w:name w:val="Heading 2 Char_717c791f-1912-4c15-8032-a413ef1c6664"/>
    <w:qFormat/>
    <w:uiPriority w:val="9"/>
    <w:rPr>
      <w:rFonts w:ascii="Arial" w:hAnsi="Arial" w:eastAsia="Arial" w:cs="Arial"/>
      <w:color w:val="365F91"/>
      <w:sz w:val="32"/>
      <w:szCs w:val="32"/>
    </w:rPr>
  </w:style>
  <w:style w:type="character" w:customStyle="1" w:styleId="206">
    <w:name w:val="Heading 3 Char_f8eb8351-cb0e-43d3-b80c-68cef3ac0fc8"/>
    <w:qFormat/>
    <w:uiPriority w:val="9"/>
    <w:rPr>
      <w:rFonts w:ascii="Arial" w:hAnsi="Arial" w:eastAsia="Arial" w:cs="Arial"/>
      <w:color w:val="365F91"/>
      <w:sz w:val="28"/>
      <w:szCs w:val="28"/>
    </w:rPr>
  </w:style>
  <w:style w:type="character" w:customStyle="1" w:styleId="207">
    <w:name w:val="标题 4 Char"/>
    <w:link w:val="5"/>
    <w:qFormat/>
    <w:uiPriority w:val="9"/>
    <w:rPr>
      <w:rFonts w:ascii="Arial" w:hAnsi="Arial" w:eastAsia="Arial" w:cs="Arial"/>
      <w:i/>
      <w:iCs/>
      <w:color w:val="365F91"/>
    </w:rPr>
  </w:style>
  <w:style w:type="character" w:customStyle="1" w:styleId="208">
    <w:name w:val="Heading 5 Char_d4828430-5ac7-41f5-bc68-e0c20496ef3a"/>
    <w:qFormat/>
    <w:uiPriority w:val="9"/>
    <w:rPr>
      <w:rFonts w:ascii="Arial" w:hAnsi="Arial" w:eastAsia="Arial" w:cs="Arial"/>
      <w:color w:val="365F91"/>
    </w:rPr>
  </w:style>
  <w:style w:type="character" w:customStyle="1" w:styleId="209">
    <w:name w:val="Heading 6 Char_f40f37c6-c544-4529-b99d-bcc9e2220cf4"/>
    <w:qFormat/>
    <w:uiPriority w:val="9"/>
    <w:rPr>
      <w:rFonts w:ascii="Arial" w:hAnsi="Arial" w:eastAsia="Arial" w:cs="Arial"/>
      <w:i/>
      <w:iCs/>
      <w:color w:val="595959"/>
    </w:rPr>
  </w:style>
  <w:style w:type="character" w:customStyle="1" w:styleId="210">
    <w:name w:val="Heading 7 Char_2867cea1-e414-42bf-9baa-2ac31e29d330"/>
    <w:qFormat/>
    <w:uiPriority w:val="9"/>
    <w:rPr>
      <w:rFonts w:ascii="Arial" w:hAnsi="Arial" w:eastAsia="Arial" w:cs="Arial"/>
      <w:color w:val="595959"/>
    </w:rPr>
  </w:style>
  <w:style w:type="character" w:customStyle="1" w:styleId="211">
    <w:name w:val="Heading 8 Char_c5c9cefe-6d1a-40ff-8891-31e003991e75"/>
    <w:qFormat/>
    <w:uiPriority w:val="9"/>
    <w:rPr>
      <w:rFonts w:ascii="Arial" w:hAnsi="Arial" w:eastAsia="Arial" w:cs="Arial"/>
      <w:i/>
      <w:iCs/>
      <w:color w:val="272727"/>
    </w:rPr>
  </w:style>
  <w:style w:type="character" w:customStyle="1" w:styleId="212">
    <w:name w:val="Heading 9 Char_d1f96ab0-7688-4a7a-b03d-3894f38131c1"/>
    <w:qFormat/>
    <w:uiPriority w:val="9"/>
    <w:rPr>
      <w:rFonts w:ascii="Arial" w:hAnsi="Arial" w:eastAsia="Arial" w:cs="Arial"/>
      <w:i/>
      <w:iCs/>
      <w:color w:val="272727"/>
    </w:rPr>
  </w:style>
  <w:style w:type="character" w:customStyle="1" w:styleId="213">
    <w:name w:val="Title Char_bebe3edb-b867-48ad-a80f-089725616b42"/>
    <w:qFormat/>
    <w:uiPriority w:val="10"/>
    <w:rPr>
      <w:rFonts w:ascii="Arial" w:hAnsi="Arial" w:eastAsia="Arial" w:cs="Arial"/>
      <w:spacing w:val="-10"/>
      <w:sz w:val="56"/>
      <w:szCs w:val="56"/>
    </w:rPr>
  </w:style>
  <w:style w:type="character" w:customStyle="1" w:styleId="214">
    <w:name w:val="副标题 Char"/>
    <w:link w:val="33"/>
    <w:qFormat/>
    <w:uiPriority w:val="11"/>
    <w:rPr>
      <w:color w:val="595959"/>
      <w:spacing w:val="15"/>
      <w:sz w:val="28"/>
      <w:szCs w:val="28"/>
    </w:rPr>
  </w:style>
  <w:style w:type="paragraph" w:styleId="215">
    <w:name w:val="Quote"/>
    <w:basedOn w:val="1"/>
    <w:next w:val="1"/>
    <w:link w:val="216"/>
    <w:qFormat/>
    <w:uiPriority w:val="29"/>
    <w:pPr>
      <w:spacing w:before="160"/>
      <w:jc w:val="center"/>
    </w:pPr>
    <w:rPr>
      <w:i/>
      <w:iCs/>
      <w:color w:val="404040"/>
    </w:rPr>
  </w:style>
  <w:style w:type="character" w:customStyle="1" w:styleId="216">
    <w:name w:val="引用 Char"/>
    <w:link w:val="215"/>
    <w:qFormat/>
    <w:uiPriority w:val="29"/>
    <w:rPr>
      <w:i/>
      <w:iCs/>
      <w:color w:val="404040"/>
    </w:rPr>
  </w:style>
  <w:style w:type="paragraph" w:styleId="217">
    <w:name w:val="List Paragraph"/>
    <w:basedOn w:val="1"/>
    <w:qFormat/>
    <w:uiPriority w:val="34"/>
    <w:pPr>
      <w:ind w:firstLine="420"/>
    </w:pPr>
  </w:style>
  <w:style w:type="character" w:customStyle="1" w:styleId="218">
    <w:name w:val="Intense Emphasis_6d08b221-8a51-4564-b5a9-9fb17917428b"/>
    <w:qFormat/>
    <w:uiPriority w:val="21"/>
    <w:rPr>
      <w:i/>
      <w:iCs/>
      <w:color w:val="365F91"/>
    </w:rPr>
  </w:style>
  <w:style w:type="paragraph" w:styleId="219">
    <w:name w:val="Intense Quote"/>
    <w:basedOn w:val="1"/>
    <w:next w:val="1"/>
    <w:link w:val="220"/>
    <w:qFormat/>
    <w:uiPriority w:val="30"/>
    <w:pPr>
      <w:pBdr>
        <w:top w:val="single" w:color="365F91" w:sz="4" w:space="10"/>
        <w:bottom w:val="single" w:color="365F91" w:sz="4" w:space="10"/>
      </w:pBdr>
      <w:spacing w:before="360" w:after="360"/>
      <w:ind w:left="864" w:right="864"/>
      <w:jc w:val="center"/>
    </w:pPr>
    <w:rPr>
      <w:i/>
      <w:iCs/>
      <w:color w:val="365F91"/>
    </w:rPr>
  </w:style>
  <w:style w:type="character" w:customStyle="1" w:styleId="220">
    <w:name w:val="明显引用 Char"/>
    <w:link w:val="219"/>
    <w:qFormat/>
    <w:uiPriority w:val="30"/>
    <w:rPr>
      <w:i/>
      <w:iCs/>
      <w:color w:val="365F91"/>
    </w:rPr>
  </w:style>
  <w:style w:type="character" w:customStyle="1" w:styleId="221">
    <w:name w:val="Intense Reference_a77da182-6b8b-4712-b235-c6f8fa386e2f"/>
    <w:qFormat/>
    <w:uiPriority w:val="32"/>
    <w:rPr>
      <w:b/>
      <w:bCs/>
      <w:smallCaps/>
      <w:color w:val="365F91"/>
      <w:spacing w:val="5"/>
    </w:rPr>
  </w:style>
  <w:style w:type="paragraph" w:styleId="222">
    <w:name w:val="No Spacing"/>
    <w:basedOn w:val="1"/>
    <w:qFormat/>
    <w:uiPriority w:val="1"/>
    <w:pPr>
      <w:spacing w:line="240" w:lineRule="auto"/>
    </w:pPr>
  </w:style>
  <w:style w:type="character" w:customStyle="1" w:styleId="223">
    <w:name w:val="Subtle Emphasis_02da644f-7576-4438-9880-4aa759a5fd85"/>
    <w:qFormat/>
    <w:uiPriority w:val="19"/>
    <w:rPr>
      <w:i/>
      <w:iCs/>
      <w:color w:val="404040"/>
    </w:rPr>
  </w:style>
  <w:style w:type="character" w:customStyle="1" w:styleId="224">
    <w:name w:val="Subtle Reference_5436c457-fbd2-4836-950f-6ddeb7d80b78"/>
    <w:qFormat/>
    <w:uiPriority w:val="31"/>
    <w:rPr>
      <w:smallCaps/>
      <w:color w:val="5A5A5A"/>
    </w:rPr>
  </w:style>
  <w:style w:type="character" w:customStyle="1" w:styleId="225">
    <w:name w:val="Book Title_5386d01a-4d63-46e9-9efd-7cbb48c3da97"/>
    <w:qFormat/>
    <w:uiPriority w:val="33"/>
    <w:rPr>
      <w:b/>
      <w:bCs/>
      <w:i/>
      <w:iCs/>
      <w:spacing w:val="5"/>
    </w:rPr>
  </w:style>
  <w:style w:type="character" w:customStyle="1" w:styleId="226">
    <w:name w:val="Header Char_a57f6ebc-a332-4fa4-abd3-6b5eb9043c6c"/>
    <w:basedOn w:val="49"/>
    <w:qFormat/>
    <w:uiPriority w:val="99"/>
  </w:style>
  <w:style w:type="character" w:customStyle="1" w:styleId="227">
    <w:name w:val="Footer Char_d778213d-fc50-46f4-a696-37d78c681420"/>
    <w:basedOn w:val="49"/>
    <w:qFormat/>
    <w:uiPriority w:val="99"/>
  </w:style>
  <w:style w:type="character" w:customStyle="1" w:styleId="228">
    <w:name w:val="Footnote Text Char"/>
    <w:qFormat/>
    <w:uiPriority w:val="99"/>
    <w:rPr>
      <w:sz w:val="20"/>
      <w:szCs w:val="20"/>
    </w:rPr>
  </w:style>
  <w:style w:type="character" w:customStyle="1" w:styleId="229">
    <w:name w:val="Endnote Text Char"/>
    <w:qFormat/>
    <w:uiPriority w:val="99"/>
    <w:rPr>
      <w:sz w:val="20"/>
      <w:szCs w:val="20"/>
    </w:rPr>
  </w:style>
  <w:style w:type="character" w:styleId="230">
    <w:name w:val="Placeholder Text"/>
    <w:qFormat/>
    <w:uiPriority w:val="99"/>
    <w:rPr>
      <w:color w:val="666666"/>
    </w:rPr>
  </w:style>
  <w:style w:type="paragraph" w:customStyle="1" w:styleId="231">
    <w:name w:val="TOC Heading_f01d26fa-3761-4891-b215-93c228a248c8"/>
    <w:qFormat/>
    <w:uiPriority w:val="39"/>
    <w:rPr>
      <w:rFonts w:ascii="Times New Roman" w:hAnsi="Times New Roman" w:eastAsia="宋体" w:cs="Times New Roman"/>
      <w:lang w:val="en-US" w:eastAsia="zh-CN" w:bidi="ar-SA"/>
    </w:rPr>
  </w:style>
  <w:style w:type="character" w:customStyle="1" w:styleId="232">
    <w:name w:val="标题 1 Char"/>
    <w:link w:val="2"/>
    <w:qFormat/>
    <w:uiPriority w:val="0"/>
    <w:rPr>
      <w:b/>
      <w:bCs/>
      <w:sz w:val="44"/>
      <w:szCs w:val="44"/>
    </w:rPr>
  </w:style>
  <w:style w:type="character" w:customStyle="1" w:styleId="233">
    <w:name w:val="标题 2 Char"/>
    <w:link w:val="3"/>
    <w:qFormat/>
    <w:uiPriority w:val="0"/>
    <w:rPr>
      <w:rFonts w:ascii="Arial" w:hAnsi="Arial"/>
      <w:b/>
      <w:bCs/>
      <w:sz w:val="36"/>
      <w:szCs w:val="32"/>
    </w:rPr>
  </w:style>
  <w:style w:type="character" w:customStyle="1" w:styleId="234">
    <w:name w:val="标题 3 Char"/>
    <w:link w:val="4"/>
    <w:qFormat/>
    <w:uiPriority w:val="0"/>
    <w:rPr>
      <w:rFonts w:eastAsia="黑体"/>
      <w:b/>
      <w:bCs/>
      <w:sz w:val="24"/>
      <w:szCs w:val="32"/>
    </w:rPr>
  </w:style>
  <w:style w:type="character" w:customStyle="1" w:styleId="235">
    <w:name w:val="标题 5 Char2"/>
    <w:link w:val="6"/>
    <w:qFormat/>
    <w:uiPriority w:val="0"/>
    <w:rPr>
      <w:rFonts w:ascii="宋体"/>
      <w:b/>
      <w:sz w:val="28"/>
      <w:szCs w:val="24"/>
    </w:rPr>
  </w:style>
  <w:style w:type="character" w:customStyle="1" w:styleId="236">
    <w:name w:val="标题 6 Char"/>
    <w:link w:val="8"/>
    <w:qFormat/>
    <w:uiPriority w:val="0"/>
    <w:rPr>
      <w:rFonts w:ascii="Arial" w:hAnsi="Arial" w:eastAsia="黑体"/>
      <w:b/>
      <w:sz w:val="24"/>
      <w:szCs w:val="24"/>
    </w:rPr>
  </w:style>
  <w:style w:type="character" w:customStyle="1" w:styleId="237">
    <w:name w:val="标题 7 Char"/>
    <w:link w:val="9"/>
    <w:qFormat/>
    <w:uiPriority w:val="0"/>
    <w:rPr>
      <w:rFonts w:ascii="宋体" w:eastAsia="黑体"/>
      <w:b/>
      <w:sz w:val="32"/>
      <w:szCs w:val="24"/>
    </w:rPr>
  </w:style>
  <w:style w:type="character" w:customStyle="1" w:styleId="238">
    <w:name w:val="标题 8 Char"/>
    <w:link w:val="10"/>
    <w:qFormat/>
    <w:uiPriority w:val="0"/>
    <w:rPr>
      <w:rFonts w:ascii="Arial" w:hAnsi="Arial" w:eastAsia="黑体"/>
      <w:sz w:val="24"/>
      <w:szCs w:val="24"/>
    </w:rPr>
  </w:style>
  <w:style w:type="character" w:customStyle="1" w:styleId="239">
    <w:name w:val="标题 9 Char"/>
    <w:link w:val="11"/>
    <w:qFormat/>
    <w:uiPriority w:val="0"/>
    <w:rPr>
      <w:rFonts w:ascii="Arial" w:hAnsi="Arial" w:eastAsia="黑体"/>
      <w:sz w:val="21"/>
      <w:szCs w:val="24"/>
    </w:rPr>
  </w:style>
  <w:style w:type="character" w:customStyle="1" w:styleId="240">
    <w:name w:val="批注文字 Char2"/>
    <w:link w:val="15"/>
    <w:qFormat/>
    <w:uiPriority w:val="99"/>
    <w:rPr>
      <w:rFonts w:ascii="Times New Roman" w:hAnsi="Times New Roman"/>
      <w:sz w:val="21"/>
      <w:szCs w:val="24"/>
    </w:rPr>
  </w:style>
  <w:style w:type="character" w:customStyle="1" w:styleId="241">
    <w:name w:val="正文文本 3 Char"/>
    <w:link w:val="16"/>
    <w:qFormat/>
    <w:uiPriority w:val="0"/>
    <w:rPr>
      <w:rFonts w:ascii="Times New Roman" w:hAnsi="Times New Roman" w:eastAsia="宋体" w:cs="Times New Roman"/>
      <w:b/>
      <w:bCs/>
      <w:sz w:val="24"/>
      <w:szCs w:val="24"/>
    </w:rPr>
  </w:style>
  <w:style w:type="character" w:customStyle="1" w:styleId="242">
    <w:name w:val="正文文本 Char"/>
    <w:link w:val="17"/>
    <w:qFormat/>
    <w:uiPriority w:val="99"/>
    <w:rPr>
      <w:rFonts w:ascii="Times New Roman" w:hAnsi="Times New Roman" w:eastAsia="宋体" w:cs="Times New Roman"/>
      <w:sz w:val="24"/>
      <w:szCs w:val="24"/>
    </w:rPr>
  </w:style>
  <w:style w:type="character" w:customStyle="1" w:styleId="243">
    <w:name w:val="正文文本缩进 Char"/>
    <w:link w:val="18"/>
    <w:qFormat/>
    <w:uiPriority w:val="0"/>
    <w:rPr>
      <w:rFonts w:ascii="方正仿宋_GB2312" w:hAnsi="Times New Roman" w:eastAsia="方正仿宋_GB2312" w:cs="Times New Roman"/>
      <w:sz w:val="32"/>
      <w:szCs w:val="20"/>
    </w:rPr>
  </w:style>
  <w:style w:type="character" w:customStyle="1" w:styleId="244">
    <w:name w:val="纯文本 Char2"/>
    <w:link w:val="23"/>
    <w:qFormat/>
    <w:uiPriority w:val="99"/>
    <w:rPr>
      <w:rFonts w:ascii="宋体" w:hAnsi="Courier New" w:eastAsia="宋体" w:cs="Courier New"/>
      <w:szCs w:val="21"/>
    </w:rPr>
  </w:style>
  <w:style w:type="character" w:customStyle="1" w:styleId="245">
    <w:name w:val="日期 Char"/>
    <w:link w:val="25"/>
    <w:qFormat/>
    <w:uiPriority w:val="0"/>
    <w:rPr>
      <w:rFonts w:ascii="宋体" w:hAnsi="Courier New" w:eastAsia="宋体" w:cs="Courier New"/>
      <w:szCs w:val="21"/>
    </w:rPr>
  </w:style>
  <w:style w:type="character" w:customStyle="1" w:styleId="246">
    <w:name w:val="正文文本缩进 2 Char"/>
    <w:link w:val="26"/>
    <w:qFormat/>
    <w:uiPriority w:val="0"/>
    <w:rPr>
      <w:rFonts w:ascii="Times New Roman" w:hAnsi="Times New Roman" w:eastAsia="宋体" w:cs="Times New Roman"/>
      <w:sz w:val="32"/>
      <w:szCs w:val="20"/>
    </w:rPr>
  </w:style>
  <w:style w:type="character" w:customStyle="1" w:styleId="247">
    <w:name w:val="尾注文本 Char"/>
    <w:link w:val="27"/>
    <w:qFormat/>
    <w:uiPriority w:val="99"/>
    <w:rPr>
      <w:rFonts w:ascii="Times New Roman" w:hAnsi="Times New Roman"/>
      <w:sz w:val="21"/>
      <w:szCs w:val="24"/>
    </w:rPr>
  </w:style>
  <w:style w:type="character" w:customStyle="1" w:styleId="248">
    <w:name w:val="批注框文本 Char"/>
    <w:link w:val="28"/>
    <w:qFormat/>
    <w:uiPriority w:val="0"/>
    <w:rPr>
      <w:rFonts w:ascii="Times New Roman" w:hAnsi="Times New Roman" w:eastAsia="宋体" w:cs="Times New Roman"/>
      <w:sz w:val="18"/>
      <w:szCs w:val="18"/>
    </w:rPr>
  </w:style>
  <w:style w:type="character" w:customStyle="1" w:styleId="249">
    <w:name w:val="页脚 Char"/>
    <w:link w:val="29"/>
    <w:qFormat/>
    <w:uiPriority w:val="99"/>
    <w:rPr>
      <w:sz w:val="18"/>
      <w:szCs w:val="18"/>
    </w:rPr>
  </w:style>
  <w:style w:type="character" w:customStyle="1" w:styleId="250">
    <w:name w:val="页眉 Char"/>
    <w:link w:val="30"/>
    <w:qFormat/>
    <w:uiPriority w:val="99"/>
    <w:rPr>
      <w:rFonts w:ascii="Times New Roman" w:hAnsi="Times New Roman"/>
      <w:sz w:val="18"/>
      <w:szCs w:val="18"/>
    </w:rPr>
  </w:style>
  <w:style w:type="character" w:customStyle="1" w:styleId="251">
    <w:name w:val="脚注文本 Char"/>
    <w:link w:val="35"/>
    <w:qFormat/>
    <w:uiPriority w:val="99"/>
    <w:rPr>
      <w:rFonts w:ascii="Times New Roman" w:hAnsi="Times New Roman"/>
      <w:sz w:val="18"/>
      <w:szCs w:val="18"/>
    </w:rPr>
  </w:style>
  <w:style w:type="character" w:customStyle="1" w:styleId="252">
    <w:name w:val="正文文本缩进 3 Char"/>
    <w:link w:val="37"/>
    <w:qFormat/>
    <w:uiPriority w:val="0"/>
    <w:rPr>
      <w:rFonts w:ascii="Times New Roman" w:hAnsi="Times New Roman" w:eastAsia="宋体" w:cs="Times New Roman"/>
      <w:sz w:val="16"/>
      <w:szCs w:val="16"/>
    </w:rPr>
  </w:style>
  <w:style w:type="character" w:customStyle="1" w:styleId="253">
    <w:name w:val="正文文本 2 Char"/>
    <w:link w:val="41"/>
    <w:qFormat/>
    <w:uiPriority w:val="0"/>
    <w:rPr>
      <w:rFonts w:ascii="Times New Roman" w:hAnsi="Times New Roman" w:eastAsia="宋体" w:cs="Times New Roman"/>
      <w:szCs w:val="24"/>
    </w:rPr>
  </w:style>
  <w:style w:type="character" w:customStyle="1" w:styleId="254">
    <w:name w:val="标题 Char"/>
    <w:link w:val="44"/>
    <w:qFormat/>
    <w:uiPriority w:val="10"/>
    <w:rPr>
      <w:rFonts w:ascii="Cambria" w:hAnsi="Cambria" w:cs="Times New Roman"/>
      <w:b/>
      <w:bCs/>
      <w:sz w:val="32"/>
      <w:szCs w:val="32"/>
    </w:rPr>
  </w:style>
  <w:style w:type="character" w:customStyle="1" w:styleId="255">
    <w:name w:val="批注主题 Char"/>
    <w:link w:val="45"/>
    <w:qFormat/>
    <w:uiPriority w:val="99"/>
    <w:rPr>
      <w:rFonts w:ascii="Times New Roman" w:hAnsi="Times New Roman"/>
      <w:b/>
      <w:bCs/>
      <w:sz w:val="21"/>
      <w:szCs w:val="24"/>
    </w:rPr>
  </w:style>
  <w:style w:type="character" w:customStyle="1" w:styleId="256">
    <w:name w:val="正文首行缩进 Char"/>
    <w:link w:val="46"/>
    <w:qFormat/>
    <w:uiPriority w:val="99"/>
    <w:rPr>
      <w:rFonts w:ascii="Calibri" w:hAnsi="Calibri" w:eastAsia="宋体" w:cs="Times New Roman"/>
      <w:sz w:val="21"/>
      <w:szCs w:val="22"/>
    </w:rPr>
  </w:style>
  <w:style w:type="character" w:customStyle="1" w:styleId="257">
    <w:name w:val="已访问的超链接1"/>
    <w:qFormat/>
    <w:uiPriority w:val="0"/>
    <w:rPr>
      <w:color w:val="800080"/>
      <w:u w:val="single"/>
    </w:rPr>
  </w:style>
  <w:style w:type="paragraph" w:customStyle="1" w:styleId="258">
    <w:name w:val="Default"/>
    <w:qFormat/>
    <w:uiPriority w:val="0"/>
    <w:pPr>
      <w:widowControl w:val="0"/>
    </w:pPr>
    <w:rPr>
      <w:rFonts w:ascii="宋体" w:hAnsi="Times New Roman" w:eastAsia="宋体" w:cs="宋体"/>
      <w:color w:val="000000"/>
      <w:sz w:val="24"/>
      <w:szCs w:val="24"/>
      <w:lang w:val="en-US" w:eastAsia="zh-CN" w:bidi="ar-SA"/>
    </w:rPr>
  </w:style>
  <w:style w:type="character" w:customStyle="1" w:styleId="259">
    <w:name w:val="标题3（投标须知） 字符"/>
    <w:link w:val="260"/>
    <w:qFormat/>
    <w:uiPriority w:val="0"/>
    <w:rPr>
      <w:rFonts w:ascii="黑体" w:hAnsi="黑体" w:eastAsia="黑体"/>
      <w:b/>
      <w:bCs/>
      <w:sz w:val="30"/>
      <w:szCs w:val="24"/>
    </w:rPr>
  </w:style>
  <w:style w:type="paragraph" w:customStyle="1" w:styleId="260">
    <w:name w:val="标题3（投标须知）"/>
    <w:basedOn w:val="1"/>
    <w:next w:val="261"/>
    <w:link w:val="259"/>
    <w:qFormat/>
    <w:uiPriority w:val="0"/>
    <w:pPr>
      <w:keepNext/>
      <w:keepLines/>
      <w:widowControl/>
      <w:spacing w:before="200" w:after="200" w:line="240" w:lineRule="auto"/>
      <w:jc w:val="center"/>
      <w:outlineLvl w:val="2"/>
    </w:pPr>
    <w:rPr>
      <w:rFonts w:ascii="黑体" w:hAnsi="黑体" w:eastAsia="黑体"/>
      <w:b/>
      <w:bCs/>
      <w:sz w:val="30"/>
    </w:rPr>
  </w:style>
  <w:style w:type="paragraph" w:customStyle="1" w:styleId="261">
    <w:name w:val="标题4"/>
    <w:basedOn w:val="1"/>
    <w:next w:val="1"/>
    <w:link w:val="262"/>
    <w:qFormat/>
    <w:uiPriority w:val="0"/>
    <w:pPr>
      <w:ind w:firstLine="200"/>
      <w:outlineLvl w:val="3"/>
    </w:pPr>
    <w:rPr>
      <w:rFonts w:ascii="黑体" w:eastAsia="黑体"/>
      <w:b/>
      <w:sz w:val="24"/>
    </w:rPr>
  </w:style>
  <w:style w:type="character" w:customStyle="1" w:styleId="262">
    <w:name w:val="标题4 字符"/>
    <w:link w:val="261"/>
    <w:qFormat/>
    <w:uiPriority w:val="0"/>
    <w:rPr>
      <w:rFonts w:ascii="黑体" w:eastAsia="黑体"/>
      <w:b/>
      <w:sz w:val="24"/>
      <w:szCs w:val="24"/>
    </w:rPr>
  </w:style>
  <w:style w:type="character" w:customStyle="1" w:styleId="263">
    <w:name w:val="普通文字 Char Char2"/>
    <w:qFormat/>
    <w:uiPriority w:val="0"/>
    <w:rPr>
      <w:rFonts w:ascii="宋体" w:hAnsi="Courier New" w:eastAsia="宋体"/>
      <w:sz w:val="21"/>
      <w:lang w:val="en-US" w:eastAsia="zh-CN" w:bidi="ar-SA"/>
    </w:rPr>
  </w:style>
  <w:style w:type="character" w:customStyle="1" w:styleId="264">
    <w:name w:val="纯文本 字符"/>
    <w:qFormat/>
    <w:uiPriority w:val="0"/>
    <w:rPr>
      <w:rFonts w:ascii="宋体" w:hAnsi="Courier New" w:eastAsia="宋体" w:cs="Courier New"/>
      <w:szCs w:val="21"/>
    </w:rPr>
  </w:style>
  <w:style w:type="character" w:customStyle="1" w:styleId="265">
    <w:name w:val="标题 5 Char1"/>
    <w:qFormat/>
    <w:uiPriority w:val="0"/>
    <w:rPr>
      <w:b/>
      <w:sz w:val="28"/>
      <w:szCs w:val="24"/>
    </w:rPr>
  </w:style>
  <w:style w:type="character" w:customStyle="1" w:styleId="266">
    <w:name w:val="标题 1 字符"/>
    <w:qFormat/>
    <w:uiPriority w:val="9"/>
    <w:rPr>
      <w:rFonts w:ascii="Times New Roman" w:hAnsi="Times New Roman" w:eastAsia="宋体" w:cs="Times New Roman"/>
      <w:b/>
      <w:bCs/>
      <w:sz w:val="44"/>
      <w:szCs w:val="44"/>
    </w:rPr>
  </w:style>
  <w:style w:type="character" w:customStyle="1" w:styleId="267">
    <w:name w:val="批注文字 字符1"/>
    <w:qFormat/>
    <w:uiPriority w:val="0"/>
    <w:rPr>
      <w:rFonts w:ascii="Times New Roman" w:hAnsi="Times New Roman"/>
      <w:sz w:val="21"/>
      <w:szCs w:val="24"/>
    </w:rPr>
  </w:style>
  <w:style w:type="character" w:customStyle="1" w:styleId="268">
    <w:name w:val="标题3（合同） 字符"/>
    <w:link w:val="269"/>
    <w:qFormat/>
    <w:uiPriority w:val="0"/>
    <w:rPr>
      <w:rFonts w:ascii="宋体" w:hAnsi="黑体" w:eastAsia="仿宋"/>
      <w:b/>
      <w:bCs/>
      <w:sz w:val="28"/>
      <w:szCs w:val="32"/>
    </w:rPr>
  </w:style>
  <w:style w:type="paragraph" w:customStyle="1" w:styleId="269">
    <w:name w:val="标题3（合同）"/>
    <w:basedOn w:val="4"/>
    <w:next w:val="1"/>
    <w:link w:val="268"/>
    <w:qFormat/>
    <w:uiPriority w:val="0"/>
    <w:pPr>
      <w:spacing w:before="0" w:after="0"/>
    </w:pPr>
    <w:rPr>
      <w:rFonts w:eastAsia="仿宋"/>
      <w:sz w:val="28"/>
    </w:rPr>
  </w:style>
  <w:style w:type="character" w:customStyle="1" w:styleId="270">
    <w:name w:val="标题3（居中） 字符"/>
    <w:link w:val="271"/>
    <w:qFormat/>
    <w:uiPriority w:val="0"/>
    <w:rPr>
      <w:rFonts w:ascii="宋体" w:eastAsia="黑体"/>
      <w:b/>
      <w:sz w:val="32"/>
      <w:szCs w:val="24"/>
    </w:rPr>
  </w:style>
  <w:style w:type="paragraph" w:customStyle="1" w:styleId="271">
    <w:name w:val="标题3（居中）"/>
    <w:basedOn w:val="1"/>
    <w:next w:val="1"/>
    <w:link w:val="270"/>
    <w:qFormat/>
    <w:uiPriority w:val="0"/>
    <w:pPr>
      <w:spacing w:before="200" w:after="200" w:line="240" w:lineRule="auto"/>
      <w:jc w:val="center"/>
      <w:outlineLvl w:val="2"/>
    </w:pPr>
    <w:rPr>
      <w:rFonts w:eastAsia="黑体"/>
      <w:b/>
      <w:sz w:val="32"/>
    </w:rPr>
  </w:style>
  <w:style w:type="character" w:customStyle="1" w:styleId="272">
    <w:name w:val="正文文本缩进 字符"/>
    <w:qFormat/>
    <w:uiPriority w:val="0"/>
    <w:rPr>
      <w:rFonts w:ascii="方正仿宋_GB2312" w:hAnsi="Times New Roman" w:eastAsia="方正仿宋_GB2312" w:cs="Times New Roman"/>
      <w:sz w:val="32"/>
      <w:szCs w:val="20"/>
    </w:rPr>
  </w:style>
  <w:style w:type="character" w:customStyle="1" w:styleId="273">
    <w:name w:val="headline-content4"/>
    <w:qFormat/>
    <w:uiPriority w:val="0"/>
  </w:style>
  <w:style w:type="character" w:customStyle="1" w:styleId="274">
    <w:name w:val="纯文本 字符1"/>
    <w:qFormat/>
    <w:uiPriority w:val="0"/>
    <w:rPr>
      <w:rFonts w:ascii="宋体" w:hAnsi="Courier New"/>
    </w:rPr>
  </w:style>
  <w:style w:type="character" w:customStyle="1" w:styleId="275">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76">
    <w:name w:val="批注文字 字符2"/>
    <w:qFormat/>
    <w:uiPriority w:val="0"/>
    <w:rPr>
      <w:rFonts w:ascii="Times New Roman" w:hAnsi="Times New Roman"/>
      <w:sz w:val="21"/>
      <w:szCs w:val="24"/>
    </w:rPr>
  </w:style>
  <w:style w:type="character" w:customStyle="1" w:styleId="277">
    <w:name w:val="case31"/>
    <w:qFormat/>
    <w:uiPriority w:val="0"/>
    <w:rPr>
      <w:sz w:val="21"/>
      <w:szCs w:val="21"/>
    </w:rPr>
  </w:style>
  <w:style w:type="character" w:customStyle="1" w:styleId="278">
    <w:name w:val="标题2（靠右） 字符"/>
    <w:link w:val="279"/>
    <w:qFormat/>
    <w:uiPriority w:val="0"/>
    <w:rPr>
      <w:rFonts w:ascii="宋体"/>
      <w:b/>
      <w:sz w:val="28"/>
      <w:szCs w:val="28"/>
    </w:rPr>
  </w:style>
  <w:style w:type="paragraph" w:customStyle="1" w:styleId="279">
    <w:name w:val="标题2（靠右）"/>
    <w:basedOn w:val="1"/>
    <w:next w:val="1"/>
    <w:link w:val="278"/>
    <w:qFormat/>
    <w:uiPriority w:val="0"/>
    <w:pPr>
      <w:outlineLvl w:val="1"/>
    </w:pPr>
    <w:rPr>
      <w:b/>
      <w:sz w:val="28"/>
      <w:szCs w:val="28"/>
    </w:rPr>
  </w:style>
  <w:style w:type="character" w:customStyle="1" w:styleId="280">
    <w:name w:val="纯文本 Char1"/>
    <w:qFormat/>
    <w:uiPriority w:val="0"/>
    <w:rPr>
      <w:rFonts w:ascii="宋体" w:hAnsi="Courier New" w:eastAsia="宋体" w:cs="Courier New"/>
      <w:szCs w:val="21"/>
    </w:rPr>
  </w:style>
  <w:style w:type="character" w:customStyle="1" w:styleId="281">
    <w:name w:val="批注文字 Char1"/>
    <w:qFormat/>
    <w:uiPriority w:val="0"/>
    <w:rPr>
      <w:rFonts w:ascii="Times New Roman" w:hAnsi="Times New Roman"/>
      <w:sz w:val="21"/>
      <w:szCs w:val="24"/>
    </w:rPr>
  </w:style>
  <w:style w:type="character" w:customStyle="1" w:styleId="282">
    <w:name w:val="批注文字 字符"/>
    <w:qFormat/>
    <w:uiPriority w:val="0"/>
    <w:rPr>
      <w:rFonts w:ascii="Times New Roman" w:hAnsi="Times New Roman"/>
      <w:sz w:val="21"/>
      <w:szCs w:val="24"/>
    </w:rPr>
  </w:style>
  <w:style w:type="character" w:customStyle="1" w:styleId="283">
    <w:name w:val="纯文本 Char4"/>
    <w:qFormat/>
    <w:uiPriority w:val="99"/>
    <w:rPr>
      <w:rFonts w:ascii="宋体" w:eastAsia="宋体"/>
      <w:szCs w:val="21"/>
    </w:rPr>
  </w:style>
  <w:style w:type="character" w:customStyle="1" w:styleId="284">
    <w:name w:val="apple-style-span"/>
    <w:qFormat/>
    <w:uiPriority w:val="0"/>
  </w:style>
  <w:style w:type="character" w:customStyle="1" w:styleId="285">
    <w:name w:val="纯文本 Char"/>
    <w:qFormat/>
    <w:uiPriority w:val="0"/>
    <w:rPr>
      <w:rFonts w:ascii="宋体" w:hAnsi="Courier New" w:eastAsia="宋体" w:cs="Courier New"/>
      <w:szCs w:val="21"/>
    </w:rPr>
  </w:style>
  <w:style w:type="character" w:customStyle="1" w:styleId="286">
    <w:name w:val="未处理的提及1"/>
    <w:qFormat/>
    <w:uiPriority w:val="99"/>
    <w:rPr>
      <w:color w:val="605E5C"/>
      <w:shd w:val="clear" w:color="auto" w:fill="E1DFDD"/>
    </w:rPr>
  </w:style>
  <w:style w:type="character" w:customStyle="1" w:styleId="287">
    <w:name w:val="批注文字 Char"/>
    <w:qFormat/>
    <w:uiPriority w:val="99"/>
    <w:rPr>
      <w:rFonts w:ascii="Times New Roman" w:hAnsi="Times New Roman"/>
      <w:sz w:val="21"/>
      <w:szCs w:val="24"/>
    </w:rPr>
  </w:style>
  <w:style w:type="character" w:customStyle="1" w:styleId="288">
    <w:name w:val="标题 5 Char"/>
    <w:qFormat/>
    <w:uiPriority w:val="0"/>
    <w:rPr>
      <w:b/>
      <w:sz w:val="28"/>
      <w:szCs w:val="24"/>
    </w:rPr>
  </w:style>
  <w:style w:type="character" w:customStyle="1" w:styleId="289">
    <w:name w:val="textcontents"/>
    <w:qFormat/>
    <w:uiPriority w:val="0"/>
  </w:style>
  <w:style w:type="paragraph" w:customStyle="1" w:styleId="290">
    <w:name w:val="表格"/>
    <w:basedOn w:val="1"/>
    <w:qFormat/>
    <w:uiPriority w:val="0"/>
    <w:pPr>
      <w:spacing w:line="400" w:lineRule="exact"/>
    </w:pPr>
    <w:rPr>
      <w:sz w:val="24"/>
    </w:rPr>
  </w:style>
  <w:style w:type="paragraph" w:customStyle="1" w:styleId="291">
    <w:name w:val="样式"/>
    <w:qFormat/>
    <w:uiPriority w:val="0"/>
    <w:pPr>
      <w:widowControl w:val="0"/>
      <w:jc w:val="center"/>
    </w:pPr>
    <w:rPr>
      <w:rFonts w:ascii="宋体" w:hAnsi="宋体" w:eastAsia="宋体" w:cs="宋体"/>
      <w:sz w:val="24"/>
      <w:szCs w:val="24"/>
      <w:lang w:val="en-US" w:eastAsia="zh-CN" w:bidi="ar-SA"/>
    </w:rPr>
  </w:style>
  <w:style w:type="paragraph" w:customStyle="1" w:styleId="292">
    <w:name w:val="表内文字"/>
    <w:basedOn w:val="1"/>
    <w:qFormat/>
    <w:uiPriority w:val="0"/>
    <w:pPr>
      <w:spacing w:before="50" w:after="50"/>
      <w:jc w:val="center"/>
    </w:pPr>
    <w:rPr>
      <w:rFonts w:ascii="方正仿宋_GB2312" w:hAnsi="宋体" w:eastAsia="方正仿宋_GB2312"/>
      <w:b/>
      <w:color w:val="000000"/>
      <w:sz w:val="32"/>
      <w:szCs w:val="32"/>
    </w:rPr>
  </w:style>
  <w:style w:type="paragraph" w:customStyle="1" w:styleId="293">
    <w:name w:val="样式 首行缩进:  2 字符"/>
    <w:basedOn w:val="1"/>
    <w:qFormat/>
    <w:uiPriority w:val="0"/>
    <w:pPr>
      <w:spacing w:line="400" w:lineRule="exact"/>
      <w:ind w:firstLine="200"/>
    </w:pPr>
    <w:rPr>
      <w:rFonts w:cs="宋体"/>
      <w:sz w:val="24"/>
    </w:rPr>
  </w:style>
  <w:style w:type="paragraph" w:customStyle="1" w:styleId="294">
    <w:name w:val="Revision_ba879c03-90d3-46ab-b00f-d85061ad4bba"/>
    <w:qFormat/>
    <w:uiPriority w:val="99"/>
    <w:rPr>
      <w:rFonts w:ascii="宋体" w:hAnsi="Times New Roman" w:eastAsia="宋体" w:cs="Times New Roman"/>
      <w:sz w:val="21"/>
      <w:szCs w:val="24"/>
      <w:lang w:val="en-US" w:eastAsia="zh-CN" w:bidi="ar-SA"/>
    </w:rPr>
  </w:style>
  <w:style w:type="paragraph" w:customStyle="1" w:styleId="295">
    <w:name w:val="Table Paragraph"/>
    <w:basedOn w:val="1"/>
    <w:qFormat/>
    <w:uiPriority w:val="1"/>
    <w:rPr>
      <w:rFonts w:ascii="Calibri" w:hAnsi="Calibri"/>
      <w:sz w:val="22"/>
      <w:szCs w:val="22"/>
      <w:lang w:eastAsia="en-US"/>
    </w:rPr>
  </w:style>
  <w:style w:type="paragraph" w:customStyle="1" w:styleId="296">
    <w:name w:val="样式 标题 3 + (中文) 黑体 小四 非加粗 段前: 7.8 磅 段后: 0 磅 行距: 固定值 20 磅"/>
    <w:basedOn w:val="4"/>
    <w:qFormat/>
    <w:uiPriority w:val="0"/>
    <w:pPr>
      <w:spacing w:before="0" w:after="0" w:line="400" w:lineRule="exact"/>
    </w:pPr>
    <w:rPr>
      <w:rFonts w:cs="宋体"/>
      <w:b w:val="0"/>
      <w:bCs w:val="0"/>
      <w:szCs w:val="20"/>
    </w:rPr>
  </w:style>
  <w:style w:type="paragraph" w:customStyle="1" w:styleId="297">
    <w:name w:val="正文段"/>
    <w:basedOn w:val="1"/>
    <w:qFormat/>
    <w:uiPriority w:val="0"/>
    <w:pPr>
      <w:widowControl/>
      <w:spacing w:after="50"/>
      <w:ind w:firstLine="200"/>
    </w:pPr>
    <w:rPr>
      <w:sz w:val="24"/>
      <w:szCs w:val="20"/>
    </w:rPr>
  </w:style>
  <w:style w:type="paragraph" w:customStyle="1" w:styleId="298">
    <w:name w:val="正文首行缩进两字符"/>
    <w:basedOn w:val="1"/>
    <w:qFormat/>
    <w:uiPriority w:val="0"/>
    <w:pPr>
      <w:ind w:firstLine="200"/>
    </w:pPr>
  </w:style>
  <w:style w:type="paragraph" w:customStyle="1" w:styleId="299">
    <w:name w:val="正文2"/>
    <w:basedOn w:val="1"/>
    <w:qFormat/>
    <w:uiPriority w:val="0"/>
    <w:pPr>
      <w:spacing w:before="156"/>
      <w:ind w:firstLine="510"/>
    </w:pPr>
    <w:rPr>
      <w:sz w:val="24"/>
      <w:szCs w:val="20"/>
    </w:rPr>
  </w:style>
  <w:style w:type="paragraph" w:customStyle="1" w:styleId="300">
    <w:name w:val="xl22"/>
    <w:basedOn w:val="1"/>
    <w:qFormat/>
    <w:uiPriority w:val="0"/>
    <w:pPr>
      <w:widowControl/>
      <w:spacing w:before="100" w:beforeAutospacing="1" w:after="100" w:afterAutospacing="1"/>
    </w:pPr>
    <w:rPr>
      <w:rFonts w:ascii="Arial Unicode MS" w:hAnsi="Arial Unicode MS" w:eastAsia="Arial Unicode MS" w:cs="Arial Unicode MS"/>
      <w:sz w:val="20"/>
      <w:szCs w:val="20"/>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Char1"/>
    <w:basedOn w:val="1"/>
    <w:qFormat/>
    <w:uiPriority w:val="0"/>
    <w:rPr>
      <w:szCs w:val="21"/>
    </w:rPr>
  </w:style>
  <w:style w:type="paragraph" w:customStyle="1" w:styleId="303">
    <w:name w:val="标题3（采购需求）"/>
    <w:basedOn w:val="304"/>
    <w:next w:val="1"/>
    <w:qFormat/>
    <w:uiPriority w:val="0"/>
    <w:pPr>
      <w:spacing w:before="0" w:after="0"/>
    </w:pPr>
    <w:rPr>
      <w:rFonts w:ascii="宋体" w:hAnsi="宋体" w:eastAsia="宋体"/>
    </w:rPr>
  </w:style>
  <w:style w:type="paragraph" w:customStyle="1" w:styleId="304">
    <w:name w:val="标题3"/>
    <w:basedOn w:val="4"/>
    <w:next w:val="1"/>
    <w:qFormat/>
    <w:uiPriority w:val="0"/>
    <w:rPr>
      <w:rFonts w:ascii="黑体" w:hAnsi="黑体"/>
      <w:bCs w:val="0"/>
      <w:szCs w:val="24"/>
    </w:rPr>
  </w:style>
  <w:style w:type="paragraph" w:customStyle="1" w:styleId="305">
    <w:name w:val="样式 标题 2 + Times New Roman 四号 非加粗 段前: 5 磅 段后: 0 磅 行距: 固定值 20..."/>
    <w:basedOn w:val="3"/>
    <w:qFormat/>
    <w:uiPriority w:val="0"/>
    <w:pPr>
      <w:spacing w:before="100" w:line="400" w:lineRule="exact"/>
    </w:pPr>
    <w:rPr>
      <w:rFonts w:ascii="Times New Roman" w:hAnsi="Times New Roman" w:cs="宋体"/>
      <w:b w:val="0"/>
      <w:bCs w:val="0"/>
      <w:sz w:val="28"/>
      <w:szCs w:val="20"/>
    </w:rPr>
  </w:style>
  <w:style w:type="paragraph" w:customStyle="1" w:styleId="306">
    <w:name w:val="msolistparagraph"/>
    <w:basedOn w:val="1"/>
    <w:qFormat/>
    <w:uiPriority w:val="0"/>
    <w:pPr>
      <w:ind w:firstLine="420"/>
      <w:jc w:val="both"/>
    </w:pPr>
    <w:rPr>
      <w:rFonts w:ascii="Calibri" w:hAnsi="Calibri"/>
      <w:color w:val="000000"/>
    </w:rPr>
  </w:style>
  <w:style w:type="table" w:customStyle="1" w:styleId="307">
    <w:name w:val="Table Normal"/>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308">
    <w:name w:val="font21"/>
    <w:qFormat/>
    <w:uiPriority w:val="0"/>
    <w:rPr>
      <w:rFonts w:hint="eastAsia" w:ascii="宋体" w:hAnsi="宋体" w:eastAsia="宋体" w:cs="宋体"/>
      <w:b/>
      <w:bCs/>
      <w:color w:val="000000"/>
      <w:sz w:val="16"/>
      <w:szCs w:val="16"/>
      <w:u w:val="none"/>
    </w:rPr>
  </w:style>
  <w:style w:type="character" w:customStyle="1" w:styleId="309">
    <w:name w:val="font91"/>
    <w:qFormat/>
    <w:uiPriority w:val="0"/>
    <w:rPr>
      <w:rFonts w:ascii="Calibri" w:hAnsi="Calibri" w:cs="Calibri"/>
      <w:b/>
      <w:bCs/>
      <w:color w:val="000000"/>
      <w:sz w:val="16"/>
      <w:szCs w:val="16"/>
      <w:u w:val="none"/>
    </w:rPr>
  </w:style>
  <w:style w:type="paragraph" w:customStyle="1" w:styleId="310">
    <w:name w:val="p15"/>
    <w:basedOn w:val="1"/>
    <w:qFormat/>
    <w:uiPriority w:val="99"/>
    <w:pPr>
      <w:widowControl/>
    </w:pPr>
    <w:rPr>
      <w:rFonts w:hAnsi="宋体"/>
      <w:szCs w:val="21"/>
    </w:rPr>
  </w:style>
  <w:style w:type="paragraph" w:customStyle="1" w:styleId="311">
    <w:name w:val="Table Text"/>
    <w:basedOn w:val="1"/>
    <w:semiHidden/>
    <w:qFormat/>
    <w:uiPriority w:val="0"/>
    <w:rPr>
      <w:rFonts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contractReview xmlns="http://schemas.wps.cn/vas-ai-hub/contract-review">
  <reviewItems>
    <reviewItem>
      <errorID>3cf28352-c0d9-4381-b521-9a3e76aee536</errorID>
      <errorWord>2026年06月</errorWord>
      <group>L1_Knowledge</group>
      <groupName>知识性问题</groupName>
      <ability>L2_Time</ability>
      <abilityName>日期时间</abilityName>
      <candidateList>
        <item>2026年6月</item>
      </candidateList>
      <explain>根据日常书写习惯，月份一般会省略前导零。</explain>
      <paraID>635E2069</paraID>
      <start>0</start>
      <end>7</end>
      <status>modified</status>
      <modifiedWord>2026年6月</modifiedWord>
      <trackRevisions>false</trackRevisions>
    </reviewItem>
    <reviewItem>
      <errorID>aaf0e417-e37d-44ac-aa08-8ef4e72a5418</errorID>
      <errorWord>2026年07月00日</errorWord>
      <group>L1_Knowledge</group>
      <groupName>知识性问题</groupName>
      <ability>L2_Time</ability>
      <abilityName>日期时间</abilityName>
      <candidateList>
        <item>2026年7月0日</item>
      </candidateList>
      <explain>根据日常书写习惯，月份和日期一般会省略前导零。</explain>
      <paraID>170CD09B</paraID>
      <start>82</start>
      <end>91</end>
      <status>modified</status>
      <modifiedWord>2026年7月0日</modifiedWord>
      <trackRevisions>false</trackRevisions>
    </reviewItem>
    <reviewItem>
      <errorID>084e3e79-7f99-458e-861d-782892defe3b</errorID>
      <errorWord>：</errorWord>
      <group>L1_Punc</group>
      <groupName>标点问题</groupName>
      <ability>L2_Punc_CN</ability>
      <abilityName>标点符号问题</abilityName>
      <candidateList>
        <item>:</item>
      </candidateList>
      <explain/>
      <paraID>170CD09B</paraID>
      <start>93</start>
      <end>94</end>
      <status>modified</status>
      <modifiedWord>:</modifiedWord>
      <trackRevisions>false</trackRevisions>
    </reviewItem>
    <reviewItem>
      <errorID>960ac9f1-05b7-4900-82a6-a93436a33526</errorID>
      <errorWord>00日至2026年06月00</errorWord>
      <group>L1_Word</group>
      <groupName>字词问题</groupName>
      <ability>L2_Typo</ability>
      <abilityName>字词错误</abilityName>
      <candidateList>
        <item>01日至2026年06月30</item>
      </candidateList>
      <explain/>
      <paraID>2918BC7D</paraID>
      <start>11</start>
      <end>25</end>
      <status>modified</status>
      <modifiedWord>01日至2026年06月30</modifiedWord>
      <trackRevisions>false</trackRevisions>
    </reviewItem>
    <reviewItem>
      <errorID>b3b685de-8564-47ef-9236-1853e172e5b4</errorID>
      <errorWord> </errorWord>
      <group>L1_Punc</group>
      <groupName>标点问题</groupName>
      <ability>L2_Punc_CN</ability>
      <abilityName>标点符号问题</abilityName>
      <candidateList>
        <item/>
      </candidateList>
      <explain>此处空格冗余，建议删除。</explain>
      <paraID>2918BC7D</paraID>
      <start>48</start>
      <end>48</end>
      <status>modified</status>
      <modifiedWord/>
      <trackRevisions>false</trackRevisions>
    </reviewItem>
    <reviewItem>
      <errorID>d3e28ae8-50f8-4eb2-bd5e-82b4063cc394</errorID>
      <errorWord>-</errorWord>
      <group>L1_Format</group>
      <groupName>格式问题</groupName>
      <ability>L2_HalfPunc_CN</ability>
      <abilityName>全半角问题</abilityName>
      <candidateList>
        <item>－</item>
      </candidateList>
      <explain>文本全半角错误。</explain>
      <paraID>540650F7</paraID>
      <start>84</start>
      <end>85</end>
      <status>modified</status>
      <modifiedWord>－</modifiedWord>
      <trackRevisions>false</trackRevisions>
    </reviewItem>
    <reviewItem>
      <errorID>3ed29ac0-20a0-41af-9d0c-08b39049d573</errorID>
      <errorWord>-</errorWord>
      <group>L1_Format</group>
      <groupName>格式问题</groupName>
      <ability>L2_HalfPunc_CN</ability>
      <abilityName>全半角问题</abilityName>
      <candidateList>
        <item>－</item>
      </candidateList>
      <explain>文本全半角错误。</explain>
      <paraID>540650F7</paraID>
      <start>135</start>
      <end>136</end>
      <status>modified</status>
      <modifiedWord>－</modifiedWord>
      <trackRevisions>false</trackRevisions>
    </reviewItem>
    <reviewItem>
      <errorID>c7d9f686-74fa-4b46-9883-9d17d658f89a</errorID>
      <errorWord>2026年07月00日</errorWord>
      <group>L1_Knowledge</group>
      <groupName>知识性问题</groupName>
      <ability>L2_Time</ability>
      <abilityName>日期时间</abilityName>
      <candidateList>
        <item>2026年7月0日</item>
      </candidateList>
      <explain>根据日常书写习惯，月份和日期一般会省略前导零。</explain>
      <paraID>231EF5C3</paraID>
      <start>11</start>
      <end>20</end>
      <status>modified</status>
      <modifiedWord>2026年7月0日</modifiedWord>
      <trackRevisions>false</trackRevisions>
    </reviewItem>
    <reviewItem>
      <errorID>1b37aa3e-fd6a-412a-911b-a01069a2fa53</errorID>
      <errorWord>：</errorWord>
      <group>L1_Format</group>
      <groupName>格式问题</groupName>
      <ability>L2_HalfPunc_CN</ability>
      <abilityName>全半角问题</abilityName>
      <candidateList>
        <item>:</item>
      </candidateList>
      <explain>文本全半角错误。</explain>
      <paraID>231EF5C3</paraID>
      <start>22</start>
      <end>23</end>
      <status>modified</status>
      <modifiedWord>:</modifiedWord>
      <trackRevisions>false</trackRevisions>
    </reviewItem>
    <reviewItem>
      <errorID>1a9160d0-65bb-4ef8-96f8-3cb597bb56ea</errorID>
      <errorWord>2026年07月00日</errorWord>
      <group>L1_Knowledge</group>
      <groupName>知识性问题</groupName>
      <ability>L2_Time</ability>
      <abilityName>日期时间</abilityName>
      <candidateList>
        <item>2026年7月0日</item>
      </candidateList>
      <explain>根据日常书写习惯，月份和日期一般会省略前导零。</explain>
      <paraID>5A0C05C2</paraID>
      <start>5</start>
      <end>14</end>
      <status>modified</status>
      <modifiedWord>2026年7月0日</modifiedWord>
      <trackRevisions>false</trackRevisions>
    </reviewItem>
    <reviewItem>
      <errorID>91b899b1-1099-4254-9266-5aedc34b479c</errorID>
      <errorWord>：</errorWord>
      <group>L1_Format</group>
      <groupName>格式问题</groupName>
      <ability>L2_HalfPunc_CN</ability>
      <abilityName>全半角问题</abilityName>
      <candidateList>
        <item>:</item>
      </candidateList>
      <explain>文本全半角错误。</explain>
      <paraID>5A0C05C2</paraID>
      <start>16</start>
      <end>17</end>
      <status>modified</status>
      <modifiedWord>:</modifiedWord>
      <trackRevisions>false</trackRevisions>
    </reviewItem>
    <reviewItem>
      <errorID>56125898-2dd5-4b78-977e-0954e602fef1</errorID>
      <errorWord>-</errorWord>
      <group>L1_Format</group>
      <groupName>格式问题</groupName>
      <ability>L2_HalfPunc_CN</ability>
      <abilityName>全半角问题</abilityName>
      <candidateList>
        <item>－</item>
      </candidateList>
      <explain>文本全半角错误。</explain>
      <paraID>349A8345</paraID>
      <start>274</start>
      <end>275</end>
      <status>modified</status>
      <modifiedWord>－</modifiedWord>
      <trackRevisions>false</trackRevisions>
    </reviewItem>
    <reviewItem>
      <errorID>93cc1855-2aca-45a4-80e4-af3a21508258</errorID>
      <errorWord>-</errorWord>
      <group>L1_Format</group>
      <groupName>格式问题</groupName>
      <ability>L2_HalfPunc_CN</ability>
      <abilityName>全半角问题</abilityName>
      <candidateList>
        <item>－</item>
      </candidateList>
      <explain>文本全半角错误。</explain>
      <paraID>349A8345</paraID>
      <start>279</start>
      <end>280</end>
      <status>modified</status>
      <modifiedWord>－</modifiedWord>
      <trackRevisions>false</trackRevisions>
    </reviewItem>
    <reviewItem>
      <errorID>7091622d-d031-420f-8d70-29ee2a409af8</errorID>
      <errorWord>-</errorWord>
      <group>L1_Format</group>
      <groupName>格式问题</groupName>
      <ability>L2_HalfPunc_CN</ability>
      <abilityName>全半角问题</abilityName>
      <candidateList>
        <item>－</item>
      </candidateList>
      <explain>文本全半角错误。</explain>
      <paraID>349A8345</paraID>
      <start>284</start>
      <end>285</end>
      <status>modified</status>
      <modifiedWord>－</modifiedWord>
      <trackRevisions>false</trackRevisions>
    </reviewItem>
    <reviewItem>
      <errorID>25f57540-0d6c-47ec-9fc3-e35c5eca8977</errorID>
      <errorWord>-</errorWord>
      <group>L1_Format</group>
      <groupName>格式问题</groupName>
      <ability>L2_HalfPunc_CN</ability>
      <abilityName>全半角问题</abilityName>
      <candidateList>
        <item>－</item>
      </candidateList>
      <explain>文本全半角错误。</explain>
      <paraID>349A8345</paraID>
      <start>290</start>
      <end>291</end>
      <status>modified</status>
      <modifiedWord>－</modifiedWord>
      <trackRevisions>false</trackRevisions>
    </reviewItem>
    <reviewItem>
      <errorID>5f102b61-0d53-49d2-a363-7f7518b4c1c2</errorID>
      <errorWord>-</errorWord>
      <group>L1_Format</group>
      <groupName>格式问题</groupName>
      <ability>L2_HalfPunc_CN</ability>
      <abilityName>全半角问题</abilityName>
      <candidateList>
        <item>－</item>
      </candidateList>
      <explain>文本全半角错误。</explain>
      <paraID>349A8345</paraID>
      <start>307</start>
      <end>308</end>
      <status>modified</status>
      <modifiedWord>－</modifiedWord>
      <trackRevisions>false</trackRevisions>
    </reviewItem>
    <reviewItem>
      <errorID>7247f701-65f4-4f07-889e-03171e001fdf</errorID>
      <errorWord>-</errorWord>
      <group>L1_Format</group>
      <groupName>格式问题</groupName>
      <ability>L2_HalfPunc_CN</ability>
      <abilityName>全半角问题</abilityName>
      <candidateList>
        <item>－</item>
      </candidateList>
      <explain>文本全半角错误。</explain>
      <paraID>26AACDC1</paraID>
      <start>108</start>
      <end>109</end>
      <status>modified</status>
      <modifiedWord>－</modifiedWord>
      <trackRevisions>false</trackRevisions>
    </reviewItem>
    <reviewItem>
      <errorID>424c6220-f684-49a7-9c26-cfacd3cacb1a</errorID>
      <errorWord>-</errorWord>
      <group>L1_Format</group>
      <groupName>格式问题</groupName>
      <ability>L2_HalfPunc_CN</ability>
      <abilityName>全半角问题</abilityName>
      <candidateList>
        <item>－</item>
      </candidateList>
      <explain>文本全半角错误。</explain>
      <paraID>26AACDC1</paraID>
      <start>139</start>
      <end>140</end>
      <status>modified</status>
      <modifiedWord>－</modifiedWord>
      <trackRevisions>false</trackRevisions>
    </reviewItem>
    <reviewItem>
      <errorID>86a162a6-6cfa-4508-9522-884d4341cfe0</errorID>
      <errorWord>操作台法</errorWord>
      <group>L1_Word</group>
      <groupName>字词问题</groupName>
      <ability>L2_Typo</ability>
      <abilityName>字词错误</abilityName>
      <candidateList>
        <item>操作合法</item>
      </candidateList>
      <explain/>
      <paraID>128085CD</paraID>
      <start>9</start>
      <end>13</end>
      <status>modified</status>
      <modifiedWord>操作合法</modifiedWord>
      <trackRevisions>false</trackRevisions>
    </reviewItem>
    <reviewItem>
      <errorID>3e7222a6-e5a9-46f7-bc87-62e8a2c57b07</errorID>
      <errorWord>做</errorWord>
      <group>L1_Punc</group>
      <groupName>标点问题</groupName>
      <ability>L2_Punc_CN</ability>
      <abilityName>标点符号问题</abilityName>
      <candidateList>
        <item>，做</item>
      </candidateList>
      <explain/>
      <paraID>561A4F93</paraID>
      <start>56</start>
      <end>58</end>
      <status>modified</status>
      <modifiedWord>，做</modifiedWord>
      <trackRevisions>false</trackRevisions>
    </reviewItem>
    <reviewItem>
      <errorID>2cfaad1d-b91c-4272-8d35-1b3cde650366</errorID>
      <errorWord>专人进行</errorWord>
      <group>L1_Grammar</group>
      <groupName>语法问题</groupName>
      <ability>L2_Grammar</ability>
      <abilityName>语法错误</abilityName>
      <candidateList>
        <item>专人</item>
      </candidateList>
      <explain/>
      <paraID>676E9082</paraID>
      <start>168</start>
      <end>170</end>
      <status>modified</status>
      <modifiedWord>专人</modifiedWord>
      <trackRevisions>false</trackRevisions>
    </reviewItem>
    <reviewItem>
      <errorID>1f849223-e7a0-4621-843d-2946b15b91e3</errorID>
      <errorWord>配备件</errorWord>
      <group>L1_Word</group>
      <groupName>字词问题</groupName>
      <ability>L2_Typo</ability>
      <abilityName>字词错误</abilityName>
      <candidateList>
        <item>配件</item>
      </candidateList>
      <explain/>
      <paraID>7D9E8BD5</paraID>
      <start>34</start>
      <end>36</end>
      <status>modified</status>
      <modifiedWord>配件</modifiedWord>
      <trackRevisions>false</trackRevisions>
    </reviewItem>
    <reviewItem>
      <errorID>eed710fd-8da7-4093-818b-a13e0adc4df4</errorID>
      <errorWord>上</errorWord>
      <group>L1_Word</group>
      <groupName>字词问题</groupName>
      <ability>L2_Typo</ability>
      <abilityName>字词错误</abilityName>
      <candidateList>
        <item>中</item>
      </candidateList>
      <explain/>
      <paraID>701F693E</paraID>
      <start>33</start>
      <end>34</end>
      <status>modified</status>
      <modifiedWord>中</modifiedWord>
      <trackRevisions>false</trackRevisions>
    </reviewItem>
    <reviewItem>
      <errorID>32a2f9c4-e877-489f-90e1-0885c0d2118a</errorID>
      <errorWord>，</errorWord>
      <group>L1_Punc</group>
      <groupName>标点问题</groupName>
      <ability>L2_Punc_CN</ability>
      <abilityName>标点符号问题</abilityName>
      <candidateList>
        <item>；</item>
      </candidateList>
      <explain/>
      <paraID>701F693E</paraID>
      <start>81</start>
      <end>82</end>
      <status>modified</status>
      <modifiedWord>；</modifiedWord>
      <trackRevisions>false</trackRevisions>
    </reviewItem>
    <reviewItem>
      <errorID>4bf71157-43b5-45e7-ac1c-1be4879c0109</errorID>
      <errorWord>不予</errorWord>
      <group>L1_Punc</group>
      <groupName>标点问题</groupName>
      <ability>L2_Punc_CN</ability>
      <abilityName>标点符号问题</abilityName>
      <candidateList>
        <item>，不予</item>
      </candidateList>
      <explain/>
      <paraID>701F693E</paraID>
      <start>90</start>
      <end>93</end>
      <status>modified</status>
      <modifiedWord>，不予</modifiedWord>
      <trackRevisions>false</trackRevisions>
    </reviewItem>
    <reviewItem>
      <errorID>3074311d-5e1b-4649-8faa-53a6cfc917e6</errorID>
      <errorWord>作</errorWord>
      <group>L1_Word</group>
      <groupName>字词问题</groupName>
      <ability>L2_Typo</ability>
      <abilityName>字词错误</abilityName>
      <candidateList>
        <item>做</item>
      </candidateList>
      <explain>存在发音相同字词的误用。</explain>
      <paraID>6BB72997</paraID>
      <start>56</start>
      <end>57</end>
      <status>modified</status>
      <modifiedWord>做</modifiedWord>
      <trackRevisions>false</trackRevisions>
    </reviewItem>
    <reviewItem>
      <errorID>11d5c0b5-4d5a-457f-8a47-53e2cd013bda</errorID>
      <errorWord>属</errorWord>
      <group>L1_Word</group>
      <groupName>字词问题</groupName>
      <ability>L2_Typo</ability>
      <abilityName>字词错误</abilityName>
      <candidateList>
        <item>属于</item>
      </candidateList>
      <explain/>
      <paraID>42C14EEC</paraID>
      <start>43</start>
      <end>45</end>
      <status>modified</status>
      <modifiedWord>属于</modifiedWord>
      <trackRevisions>false</trackRevisions>
    </reviewItem>
    <reviewItem>
      <errorID>8a22cd39-99c4-4c5d-8fe3-54bef617fad1</errorID>
      <errorWord>作出</errorWord>
      <group>L1_Word</group>
      <groupName>字词问题</groupName>
      <ability>L2_Typo</ability>
      <abilityName>字词错误</abilityName>
      <candidateList>
        <item>进行</item>
      </candidateList>
      <explain/>
      <paraID> A31EEEB</paraID>
      <start>12</start>
      <end>14</end>
      <status>modified</status>
      <modifiedWord>进行</modifiedWord>
      <trackRevisions>false</trackRevisions>
    </reviewItem>
    <reviewItem>
      <errorID>75864a87-34af-4be7-9163-d828bf241d37</errorID>
      <errorWord>并</errorWord>
      <group>L1_Punc</group>
      <groupName>标点问题</groupName>
      <ability>L2_Punc_CN</ability>
      <abilityName>标点符号问题</abilityName>
      <candidateList>
        <item>，并</item>
      </candidateList>
      <explain/>
      <paraID> A31EEEB</paraID>
      <start>18</start>
      <end>20</end>
      <status>modified</status>
      <modifiedWord>，并</modifiedWord>
      <trackRevisions>false</trackRevisions>
    </reviewItem>
    <reviewItem>
      <errorID>f51893e6-ec2d-441d-a0fa-62f22846b404</errorID>
      <errorWord>列出</errorWord>
      <group>L1_Punc</group>
      <groupName>标点问题</groupName>
      <ability>L2_Punc_CN</ability>
      <abilityName>标点符号问题</abilityName>
      <candidateList>
        <item>、列出</item>
      </candidateList>
      <explain/>
      <paraID> A31EEEB</paraID>
      <start>29</start>
      <end>32</end>
      <status>modified</status>
      <modifiedWord>、列出</modifiedWord>
      <trackRevisions>false</trackRevisions>
    </reviewItem>
    <reviewItem>
      <errorID>d3750a58-fcbb-4478-b725-a527a50e52c0</errorID>
      <errorWord>检验的</errorWord>
      <group>L1_Word</group>
      <groupName>字词问题</groupName>
      <ability>L2_Typo</ability>
      <abilityName>字词错误</abilityName>
      <candidateList>
        <item>检验</item>
      </candidateList>
      <explain/>
      <paraID> A31EEEB</paraID>
      <start>55</start>
      <end>57</end>
      <status>modified</status>
      <modifiedWord>检验</modifiedWord>
      <trackRevisions>false</trackRevisions>
    </reviewItem>
    <reviewItem>
      <errorID>0997f766-109e-486d-aaa1-24c8b78d6804</errorID>
      <errorWord>经</errorWord>
      <group>L1_Punc</group>
      <groupName>标点问题</groupName>
      <ability>L2_Punc_CN</ability>
      <abilityName>标点符号问题</abilityName>
      <candidateList>
        <item>，经</item>
      </candidateList>
      <explain/>
      <paraID>2960D89C</paraID>
      <start>34</start>
      <end>36</end>
      <status>modified</status>
      <modifiedWord>，经</modifiedWord>
      <trackRevisions>false</trackRevisions>
    </reviewItem>
    <reviewItem>
      <errorID>f1a0cb32-4cc7-4c0a-9630-c53cedc83481</errorID>
      <errorWord>：</errorWord>
      <group>L1_Format</group>
      <groupName>格式问题</groupName>
      <ability>L2_HalfPunc_CN</ability>
      <abilityName>全半角问题</abilityName>
      <candidateList>
        <item>:</item>
      </candidateList>
      <explain>文本全半角错误。</explain>
      <paraID>48401EE0</paraID>
      <start>23</start>
      <end>24</end>
      <status>modified</status>
      <modifiedWord>:</modifiedWord>
      <trackRevisions>false</trackRevisions>
    </reviewItem>
    <reviewItem>
      <errorID>1ec7c13b-0880-472e-a69f-33f721a7da45</errorID>
      <errorWord>较低</errorWord>
      <group>L1_Word</group>
      <groupName>字词问题</groupName>
      <ability>L2_Typo</ability>
      <abilityName>字词错误</abilityName>
      <candidateList>
        <item>降低</item>
      </candidateList>
      <explain/>
      <paraID>4C21BDEC</paraID>
      <start>29</start>
      <end>31</end>
      <status>modified</status>
      <modifiedWord>降低</modifiedWord>
      <trackRevisions>false</trackRevisions>
    </reviewItem>
    <reviewItem>
      <errorID>b71120dc-ba5f-434c-9d2f-60d60b80a371</errorID>
      <errorWord>阻止</errorWord>
      <group>L1_Word</group>
      <groupName>字词问题</groupName>
      <ability>L2_Typo</ability>
      <abilityName>字词错误</abilityName>
      <candidateList>
        <item>阻挡</item>
      </candidateList>
      <explain/>
      <paraID>4C21BDEC</paraID>
      <start>51</start>
      <end>53</end>
      <status>modified</status>
      <modifiedWord>阻挡</modifiedWord>
      <trackRevisions>false</trackRevisions>
    </reviewItem>
    <reviewItem>
      <errorID>cb017f9f-0134-4e6c-8e51-10deb1cb2faf</errorID>
      <errorWord>和</errorWord>
      <group>L1_Word</group>
      <groupName>字词问题</groupName>
      <ability>L2_Typo</ability>
      <abilityName>字词错误</abilityName>
      <candidateList>
        <item>和有</item>
      </candidateList>
      <explain/>
      <paraID>4C21BDEC</paraID>
      <start>57</start>
      <end>59</end>
      <status>modified</status>
      <modifiedWord>和有</modifiedWord>
      <trackRevisions>false</trackRevisions>
    </reviewItem>
    <reviewItem>
      <errorID>4e2b9cdf-e6a3-4650-af31-16548298c453</errorID>
      <errorWord>害</errorWord>
      <group>L1_Word</group>
      <groupName>字词问题</groupName>
      <ability>L2_Typo</ability>
      <abilityName>字词错误</abilityName>
      <candidateList>
        <item>有害</item>
      </candidateList>
      <explain/>
      <paraID>4C21BDEC</paraID>
      <start>59</start>
      <end>61</end>
      <status>modified</status>
      <modifiedWord>有害</modifiedWord>
      <trackRevisions>false</trackRevisions>
    </reviewItem>
    <reviewItem>
      <errorID>3ab4a07b-245a-4a39-a4a5-c4771cb05162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4C21BDEC</paraID>
      <start>127</start>
      <end>128</end>
      <status>modified</status>
      <modifiedWord>—</modifiedWord>
      <trackRevisions>false</trackRevisions>
    </reviewItem>
    <reviewItem>
      <errorID>b5b1bf66-2d82-48d8-a673-e45ad47aba94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4C21BDEC</paraID>
      <start>142</start>
      <end>143</end>
      <status>modified</status>
      <modifiedWord>—</modifiedWord>
      <trackRevisions>false</trackRevisions>
    </reviewItem>
    <reviewItem>
      <errorID>7d6c19f0-f724-40f5-8eff-c62087fdc5ea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4C21BDEC</paraID>
      <start>154</start>
      <end>155</end>
      <status>modified</status>
      <modifiedWord>—</modifiedWord>
      <trackRevisions>false</trackRevisions>
    </reviewItem>
    <reviewItem>
      <errorID>c0fa1779-4fad-4b15-846e-09f39149b38d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4C21BDEC</paraID>
      <start>166</start>
      <end>167</end>
      <status>modified</status>
      <modifiedWord>—</modifiedWord>
      <trackRevisions>false</trackRevisions>
    </reviewItem>
    <reviewItem>
      <errorID>52d78aa0-6451-4004-a9f7-82b089d1e0a0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4C21BDEC</paraID>
      <start>179</start>
      <end>180</end>
      <status>modified</status>
      <modifiedWord>—</modifiedWord>
      <trackRevisions>false</trackRevisions>
    </reviewItem>
    <reviewItem>
      <errorID>df215066-d8a2-47bc-9c1e-90de96937876</errorID>
      <errorWord>前倾角参数 6-7 </errorWord>
      <group>L1_Other</group>
      <groupName>其他问题</groupName>
      <ability>L2_Consistency</ability>
      <abilityName>一致性检查</abilityName>
      <candidateList>
        <item>前倾角6-7</item>
      </candidateList>
      <explain>术语一致性：在描述镜架前倾角时，部分表述为‘前倾角参数 6-7 ’，部分表述为‘前倾角6-7’，应统一为‘前倾角6-7’</explain>
      <paraID>4C21BDEC</paraID>
      <start>186</start>
      <end>192</end>
      <status>modified</status>
      <modifiedWord>前倾角6-7</modifiedWord>
      <trackRevisions>false</trackRevisions>
    </reviewItem>
    <reviewItem>
      <errorID>245852f1-020f-47cb-a36a-55ee1e662f1a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2ECE1ECA</paraID>
      <start>87</start>
      <end>88</end>
      <status>modified</status>
      <modifiedWord>—</modifiedWord>
      <trackRevisions>false</trackRevisions>
    </reviewItem>
    <reviewItem>
      <errorID>a44a79ef-e59c-4301-bf86-ce18afcd5f7d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2ECE1ECA</paraID>
      <start>102</start>
      <end>103</end>
      <status>modified</status>
      <modifiedWord>—</modifiedWord>
      <trackRevisions>false</trackRevisions>
    </reviewItem>
    <reviewItem>
      <errorID>511371c6-d517-4597-adcc-e9b1f564bc75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2ECE1ECA</paraID>
      <start>114</start>
      <end>115</end>
      <status>modified</status>
      <modifiedWord>—</modifiedWord>
      <trackRevisions>false</trackRevisions>
    </reviewItem>
    <reviewItem>
      <errorID>2b81a033-78d2-4e7f-81f8-ef36fc068d02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2ECE1ECA</paraID>
      <start>126</start>
      <end>127</end>
      <status>modified</status>
      <modifiedWord>—</modifiedWord>
      <trackRevisions>false</trackRevisions>
    </reviewItem>
    <reviewItem>
      <errorID>e4141d25-1d77-4e5d-983c-78eb35fcb697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2ECE1ECA</paraID>
      <start>139</start>
      <end>140</end>
      <status>modified</status>
      <modifiedWord>—</modifiedWord>
      <trackRevisions>false</trackRevisions>
    </reviewItem>
    <reviewItem>
      <errorID>b7c7e722-aac5-41c4-a59b-b4334e43e4ac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5F100A34</paraID>
      <start>109</start>
      <end>110</end>
      <status>modified</status>
      <modifiedWord>—</modifiedWord>
      <trackRevisions>false</trackRevisions>
    </reviewItem>
    <reviewItem>
      <errorID>1e88a208-dd15-493e-a27f-821534e68ffe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5F100A34</paraID>
      <start>124</start>
      <end>125</end>
      <status>modified</status>
      <modifiedWord>—</modifiedWord>
      <trackRevisions>false</trackRevisions>
    </reviewItem>
    <reviewItem>
      <errorID>4f1ec123-20c5-4b56-a9fc-525400a1af5d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5F100A34</paraID>
      <start>136</start>
      <end>137</end>
      <status>modified</status>
      <modifiedWord>—</modifiedWord>
      <trackRevisions>false</trackRevisions>
    </reviewItem>
    <reviewItem>
      <errorID>bd616984-5bec-4422-8fc6-01cf1a6e33ed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5F100A34</paraID>
      <start>148</start>
      <end>149</end>
      <status>modified</status>
      <modifiedWord>—</modifiedWord>
      <trackRevisions>false</trackRevisions>
    </reviewItem>
    <reviewItem>
      <errorID>9fa4a10b-1d14-42d7-8eab-2e25c597d0d9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5F100A34</paraID>
      <start>161</start>
      <end>162</end>
      <status>modified</status>
      <modifiedWord>—</modifiedWord>
      <trackRevisions>false</trackRevisions>
    </reviewItem>
    <reviewItem>
      <errorID>27131bbc-47fe-4d61-8533-8c6d34ad85a4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60D7CED3</paraID>
      <start>85</start>
      <end>86</end>
      <status>modified</status>
      <modifiedWord>—</modifiedWord>
      <trackRevisions>false</trackRevisions>
    </reviewItem>
    <reviewItem>
      <errorID>eb38b1dd-c950-485f-862d-ae050aec61d6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60D7CED3</paraID>
      <start>100</start>
      <end>101</end>
      <status>modified</status>
      <modifiedWord>—</modifiedWord>
      <trackRevisions>false</trackRevisions>
    </reviewItem>
    <reviewItem>
      <errorID>71238acb-71df-4c24-9b5a-b72ac241365e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60D7CED3</paraID>
      <start>112</start>
      <end>113</end>
      <status>modified</status>
      <modifiedWord>—</modifiedWord>
      <trackRevisions>false</trackRevisions>
    </reviewItem>
    <reviewItem>
      <errorID>04e1855d-3ecc-4e28-9db4-5757475c9850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60D7CED3</paraID>
      <start>124</start>
      <end>125</end>
      <status>modified</status>
      <modifiedWord>—</modifiedWord>
      <trackRevisions>false</trackRevisions>
    </reviewItem>
    <reviewItem>
      <errorID>3dc06814-abca-4184-8bd2-145d77f9e032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60D7CED3</paraID>
      <start>137</start>
      <end>138</end>
      <status>modified</status>
      <modifiedWord>—</modifiedWord>
      <trackRevisions>false</trackRevisions>
    </reviewItem>
    <reviewItem>
      <errorID>62b1da61-d239-492c-ae92-c43a76d2047e</errorID>
      <errorWord>食品器械级</errorWord>
      <group>L1_Word</group>
      <groupName>字词问题</groupName>
      <ability>L2_Typo</ability>
      <abilityName>字词错误</abilityName>
      <candidateList>
        <item>食品级器械</item>
      </candidateList>
      <explain/>
      <paraID>6241905A</paraID>
      <start>22</start>
      <end>27</end>
      <status>modified</status>
      <modifiedWord>食品级器械</modifiedWord>
      <trackRevisions>false</trackRevisions>
    </reviewItem>
    <reviewItem>
      <errorID>c4e8b890-c2d1-4dbe-9cd5-61189ee3120f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6241905A</paraID>
      <start>115</start>
      <end>116</end>
      <status>modified</status>
      <modifiedWord>—</modifiedWord>
      <trackRevisions>false</trackRevisions>
    </reviewItem>
    <reviewItem>
      <errorID>9d50e208-b9f8-497a-82ff-2a8e65d0348a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6241905A</paraID>
      <start>130</start>
      <end>131</end>
      <status>modified</status>
      <modifiedWord>—</modifiedWord>
      <trackRevisions>false</trackRevisions>
    </reviewItem>
    <reviewItem>
      <errorID>17d8b36d-35ea-4613-8d20-960eb42b2630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6241905A</paraID>
      <start>142</start>
      <end>143</end>
      <status>modified</status>
      <modifiedWord>—</modifiedWord>
      <trackRevisions>false</trackRevisions>
    </reviewItem>
    <reviewItem>
      <errorID>71b7e0ce-f6fc-4898-89fa-5e2400558fc6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6241905A</paraID>
      <start>154</start>
      <end>155</end>
      <status>modified</status>
      <modifiedWord>—</modifiedWord>
      <trackRevisions>false</trackRevisions>
    </reviewItem>
    <reviewItem>
      <errorID>0210b52c-8656-4cef-96c8-785e4232c7c1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6241905A</paraID>
      <start>167</start>
      <end>168</end>
      <status>modified</status>
      <modifiedWord>—</modifiedWord>
      <trackRevisions>false</trackRevisions>
    </reviewItem>
    <reviewItem>
      <errorID>d3026ef8-8397-4235-9673-37c71baa0a3b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750A6AEF</paraID>
      <start>80</start>
      <end>81</end>
      <status>modified</status>
      <modifiedWord>—</modifiedWord>
      <trackRevisions>false</trackRevisions>
    </reviewItem>
    <reviewItem>
      <errorID>77282327-31e8-44ae-9b83-ec7093095a1f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750A6AEF</paraID>
      <start>95</start>
      <end>96</end>
      <status>modified</status>
      <modifiedWord>—</modifiedWord>
      <trackRevisions>false</trackRevisions>
    </reviewItem>
    <reviewItem>
      <errorID>7a2ac101-d6de-44a7-a0e3-ac7300b69745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750A6AEF</paraID>
      <start>107</start>
      <end>108</end>
      <status>modified</status>
      <modifiedWord>—</modifiedWord>
      <trackRevisions>false</trackRevisions>
    </reviewItem>
    <reviewItem>
      <errorID>6d213cc9-735c-49b0-a515-d69c998800af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750A6AEF</paraID>
      <start>119</start>
      <end>120</end>
      <status>modified</status>
      <modifiedWord>—</modifiedWord>
      <trackRevisions>false</trackRevisions>
    </reviewItem>
    <reviewItem>
      <errorID>68aea949-217e-44b4-b3d6-1daa29845673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750A6AEF</paraID>
      <start>132</start>
      <end>133</end>
      <status>modified</status>
      <modifiedWord>—</modifiedWord>
      <trackRevisions>false</trackRevisions>
    </reviewItem>
    <reviewItem>
      <errorID>95b681b6-6765-4d1e-8de1-ea9fbbb41f1c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2981BF04</paraID>
      <start>86</start>
      <end>87</end>
      <status>modified</status>
      <modifiedWord>—</modifiedWord>
      <trackRevisions>false</trackRevisions>
    </reviewItem>
    <reviewItem>
      <errorID>41b090b3-dc4a-44fb-ad5d-0080c99fdb4c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2981BF04</paraID>
      <start>101</start>
      <end>102</end>
      <status>modified</status>
      <modifiedWord>—</modifiedWord>
      <trackRevisions>false</trackRevisions>
    </reviewItem>
    <reviewItem>
      <errorID>852a2ee7-40d3-42e0-bb3e-2bde3de87777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2981BF04</paraID>
      <start>113</start>
      <end>114</end>
      <status>modified</status>
      <modifiedWord>—</modifiedWord>
      <trackRevisions>false</trackRevisions>
    </reviewItem>
    <reviewItem>
      <errorID>9229b829-4b3e-4782-8c03-3f9b5d30ade3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2981BF04</paraID>
      <start>125</start>
      <end>126</end>
      <status>modified</status>
      <modifiedWord>—</modifiedWord>
      <trackRevisions>false</trackRevisions>
    </reviewItem>
    <reviewItem>
      <errorID>26746b26-58aa-4849-b853-2f7207f0f8cd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2981BF04</paraID>
      <start>138</start>
      <end>139</end>
      <status>modified</status>
      <modifiedWord>—</modifiedWord>
      <trackRevisions>false</trackRevisions>
    </reviewItem>
    <reviewItem>
      <errorID>e077b401-034e-462b-868a-868e00f2509d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753D4B61</paraID>
      <start>68</start>
      <end>69</end>
      <status>modified</status>
      <modifiedWord>—</modifiedWord>
      <trackRevisions>false</trackRevisions>
    </reviewItem>
    <reviewItem>
      <errorID>98570ddf-d1f1-4b79-b7db-b4ccb62c3121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753D4B61</paraID>
      <start>83</start>
      <end>84</end>
      <status>modified</status>
      <modifiedWord>—</modifiedWord>
      <trackRevisions>false</trackRevisions>
    </reviewItem>
    <reviewItem>
      <errorID>396dfb86-1b11-48e0-b0ce-7e91949354a5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753D4B61</paraID>
      <start>95</start>
      <end>96</end>
      <status>modified</status>
      <modifiedWord>—</modifiedWord>
      <trackRevisions>false</trackRevisions>
    </reviewItem>
    <reviewItem>
      <errorID>048f52fb-7fe7-46e5-a800-01af1bbff199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753D4B61</paraID>
      <start>107</start>
      <end>108</end>
      <status>modified</status>
      <modifiedWord>—</modifiedWord>
      <trackRevisions>false</trackRevisions>
    </reviewItem>
    <reviewItem>
      <errorID>be78624f-d428-4a60-86ec-a50bd06acbd0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753D4B61</paraID>
      <start>120</start>
      <end>121</end>
      <status>modified</status>
      <modifiedWord>—</modifiedWord>
      <trackRevisions>false</trackRevisions>
    </reviewItem>
    <reviewItem>
      <errorID>71b48f56-cac3-4fc4-ada3-216bfec8b708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2B3420F3</paraID>
      <start>103</start>
      <end>104</end>
      <status>modified</status>
      <modifiedWord>—</modifiedWord>
      <trackRevisions>false</trackRevisions>
    </reviewItem>
    <reviewItem>
      <errorID>fbf2ce44-f3be-4a4a-8c01-75b05eb673dc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2B3420F3</paraID>
      <start>118</start>
      <end>119</end>
      <status>modified</status>
      <modifiedWord>—</modifiedWord>
      <trackRevisions>false</trackRevisions>
    </reviewItem>
    <reviewItem>
      <errorID>144996d7-a9a7-4dc4-8673-99dffdb6ec9d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2B3420F3</paraID>
      <start>130</start>
      <end>131</end>
      <status>modified</status>
      <modifiedWord>—</modifiedWord>
      <trackRevisions>false</trackRevisions>
    </reviewItem>
    <reviewItem>
      <errorID>70055f38-cd33-4c55-a377-bf5c31207b30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2B3420F3</paraID>
      <start>142</start>
      <end>143</end>
      <status>modified</status>
      <modifiedWord>—</modifiedWord>
      <trackRevisions>false</trackRevisions>
    </reviewItem>
    <reviewItem>
      <errorID>63ae8009-3fe2-4622-bccb-5ce67f51284e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2B3420F3</paraID>
      <start>155</start>
      <end>156</end>
      <status>modified</status>
      <modifiedWord>—</modifiedWord>
      <trackRevisions>false</trackRevisions>
    </reviewItem>
    <reviewItem>
      <errorID>843a1846-94cb-4f5a-b6d2-a3052b58e624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6E1FC101</paraID>
      <start>71</start>
      <end>72</end>
      <status>modified</status>
      <modifiedWord>—</modifiedWord>
      <trackRevisions>false</trackRevisions>
    </reviewItem>
    <reviewItem>
      <errorID>1349d0fa-6834-4b39-8675-c5ad8e3ac746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6E1FC101</paraID>
      <start>86</start>
      <end>87</end>
      <status>modified</status>
      <modifiedWord>—</modifiedWord>
      <trackRevisions>false</trackRevisions>
    </reviewItem>
    <reviewItem>
      <errorID>910cc0d3-bc2c-46ec-933d-050fe8b9e2c2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6E1FC101</paraID>
      <start>98</start>
      <end>99</end>
      <status>modified</status>
      <modifiedWord>—</modifiedWord>
      <trackRevisions>false</trackRevisions>
    </reviewItem>
    <reviewItem>
      <errorID>868857c2-8ab7-4f46-a1be-b95fd222636b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6E1FC101</paraID>
      <start>111</start>
      <end>112</end>
      <status>modified</status>
      <modifiedWord>—</modifiedWord>
      <trackRevisions>false</trackRevisions>
    </reviewItem>
    <reviewItem>
      <errorID>550744f0-fd70-43d3-b82e-a0fd549bcae4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6E1FC101</paraID>
      <start>124</start>
      <end>125</end>
      <status>modified</status>
      <modifiedWord>—</modifiedWord>
      <trackRevisions>false</trackRevisions>
    </reviewItem>
    <reviewItem>
      <errorID>50c95c25-09ff-406c-8283-4e3421f6a959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5CC5EE40</paraID>
      <start>79</start>
      <end>80</end>
      <status>modified</status>
      <modifiedWord>—</modifiedWord>
      <trackRevisions>false</trackRevisions>
    </reviewItem>
    <reviewItem>
      <errorID>c0eb7a4c-03c8-4a32-997c-3a2c75d2c6ad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5CC5EE40</paraID>
      <start>94</start>
      <end>95</end>
      <status>modified</status>
      <modifiedWord>—</modifiedWord>
      <trackRevisions>false</trackRevisions>
    </reviewItem>
    <reviewItem>
      <errorID>7960c97d-0d88-4860-ad50-3f6258e730f8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5CC5EE40</paraID>
      <start>106</start>
      <end>107</end>
      <status>modified</status>
      <modifiedWord>—</modifiedWord>
      <trackRevisions>false</trackRevisions>
    </reviewItem>
    <reviewItem>
      <errorID>9ed5ccf8-b1c6-4c1c-9631-7d4a148fe04a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5CC5EE40</paraID>
      <start>118</start>
      <end>119</end>
      <status>modified</status>
      <modifiedWord>—</modifiedWord>
      <trackRevisions>false</trackRevisions>
    </reviewItem>
    <reviewItem>
      <errorID>ea08bf59-7eff-4147-943c-6a2886f54460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5CC5EE40</paraID>
      <start>131</start>
      <end>132</end>
      <status>modified</status>
      <modifiedWord>—</modifiedWord>
      <trackRevisions>false</trackRevisions>
    </reviewItem>
    <reviewItem>
      <errorID>5e58f598-dfc7-41d9-8be0-73e5608606dc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594C574E</paraID>
      <start>81</start>
      <end>82</end>
      <status>modified</status>
      <modifiedWord>—</modifiedWord>
      <trackRevisions>false</trackRevisions>
    </reviewItem>
    <reviewItem>
      <errorID>bba26a49-dc3f-4a1a-85a1-0f79767b0552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594C574E</paraID>
      <start>96</start>
      <end>97</end>
      <status>modified</status>
      <modifiedWord>—</modifiedWord>
      <trackRevisions>false</trackRevisions>
    </reviewItem>
    <reviewItem>
      <errorID>aa5dc29e-836a-4fd8-a68c-ef805abaea17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594C574E</paraID>
      <start>108</start>
      <end>109</end>
      <status>modified</status>
      <modifiedWord>—</modifiedWord>
      <trackRevisions>false</trackRevisions>
    </reviewItem>
    <reviewItem>
      <errorID>36247dae-8737-42e2-a1c1-d56011f36a90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594C574E</paraID>
      <start>120</start>
      <end>121</end>
      <status>modified</status>
      <modifiedWord>—</modifiedWord>
      <trackRevisions>false</trackRevisions>
    </reviewItem>
    <reviewItem>
      <errorID>2dbeab14-780d-4531-8082-d440304886e7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594C574E</paraID>
      <start>133</start>
      <end>134</end>
      <status>modified</status>
      <modifiedWord>—</modifiedWord>
      <trackRevisions>false</trackRevisions>
    </reviewItem>
    <reviewItem>
      <errorID>751bd51a-a0fe-42fc-9627-4a295c5369b9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496D1339</paraID>
      <start>113</start>
      <end>114</end>
      <status>modified</status>
      <modifiedWord>—</modifiedWord>
      <trackRevisions>false</trackRevisions>
    </reviewItem>
    <reviewItem>
      <errorID>6ad4ea10-300d-4cff-a44d-dd09e9664cfb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496D1339</paraID>
      <start>128</start>
      <end>129</end>
      <status>modified</status>
      <modifiedWord>—</modifiedWord>
      <trackRevisions>false</trackRevisions>
    </reviewItem>
    <reviewItem>
      <errorID>04f15f43-e8d7-4581-a1f1-68e59b6fb0d9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496D1339</paraID>
      <start>140</start>
      <end>141</end>
      <status>modified</status>
      <modifiedWord>—</modifiedWord>
      <trackRevisions>false</trackRevisions>
    </reviewItem>
    <reviewItem>
      <errorID>24148822-b0be-41c5-98f9-a4c0dc6ca70e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496D1339</paraID>
      <start>152</start>
      <end>153</end>
      <status>modified</status>
      <modifiedWord>—</modifiedWord>
      <trackRevisions>false</trackRevisions>
    </reviewItem>
    <reviewItem>
      <errorID>03e9ff73-a588-4208-8ebb-a9baeb4d451a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496D1339</paraID>
      <start>165</start>
      <end>166</end>
      <status>modified</status>
      <modifiedWord>—</modifiedWord>
      <trackRevisions>false</trackRevisions>
    </reviewItem>
    <reviewItem>
      <errorID>979302c7-8c36-434c-ab3a-bca36f77b1a9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51C63567</paraID>
      <start>79</start>
      <end>80</end>
      <status>modified</status>
      <modifiedWord>—</modifiedWord>
      <trackRevisions>false</trackRevisions>
    </reviewItem>
    <reviewItem>
      <errorID>c8644408-e5fc-4bc6-9126-b861ba19da3e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51C63567</paraID>
      <start>94</start>
      <end>95</end>
      <status>modified</status>
      <modifiedWord>—</modifiedWord>
      <trackRevisions>false</trackRevisions>
    </reviewItem>
    <reviewItem>
      <errorID>6d1cebcc-f10d-4b99-a58d-0c91a9391050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51C63567</paraID>
      <start>106</start>
      <end>107</end>
      <status>modified</status>
      <modifiedWord>—</modifiedWord>
      <trackRevisions>false</trackRevisions>
    </reviewItem>
    <reviewItem>
      <errorID>7a774321-0e8a-4b7a-ae20-5e1d89314602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51C63567</paraID>
      <start>118</start>
      <end>119</end>
      <status>modified</status>
      <modifiedWord>—</modifiedWord>
      <trackRevisions>false</trackRevisions>
    </reviewItem>
    <reviewItem>
      <errorID>22c07751-b6ba-4710-9191-d3d12781434c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51C63567</paraID>
      <start>131</start>
      <end>132</end>
      <status>modified</status>
      <modifiedWord>—</modifiedWord>
      <trackRevisions>false</trackRevisions>
    </reviewItem>
    <reviewItem>
      <errorID>25b89c63-13ed-4994-b55d-206ac6397809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6B7AFD8F</paraID>
      <start>80</start>
      <end>81</end>
      <status>modified</status>
      <modifiedWord>—</modifiedWord>
      <trackRevisions>false</trackRevisions>
    </reviewItem>
    <reviewItem>
      <errorID>dc28d590-ef91-4f10-a0be-5512cd1b7160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6B7AFD8F</paraID>
      <start>95</start>
      <end>96</end>
      <status>modified</status>
      <modifiedWord>—</modifiedWord>
      <trackRevisions>false</trackRevisions>
    </reviewItem>
    <reviewItem>
      <errorID>af368e3c-a13b-4c16-bc10-50a882c7ae3e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6B7AFD8F</paraID>
      <start>107</start>
      <end>108</end>
      <status>modified</status>
      <modifiedWord>—</modifiedWord>
      <trackRevisions>false</trackRevisions>
    </reviewItem>
    <reviewItem>
      <errorID>3153781b-bfe6-4ccb-ab2a-4e607b798649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6B7AFD8F</paraID>
      <start>119</start>
      <end>120</end>
      <status>modified</status>
      <modifiedWord>—</modifiedWord>
      <trackRevisions>false</trackRevisions>
    </reviewItem>
    <reviewItem>
      <errorID>ab216d2e-337e-4c27-8265-9070082030cf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6B7AFD8F</paraID>
      <start>132</start>
      <end>133</end>
      <status>modified</status>
      <modifiedWord>—</modifiedWord>
      <trackRevisions>false</trackRevisions>
    </reviewItem>
    <reviewItem>
      <errorID>7470a532-c8ac-4df1-aa66-754376e1d720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4801A980</paraID>
      <start>68</start>
      <end>69</end>
      <status>modified</status>
      <modifiedWord>—</modifiedWord>
      <trackRevisions>false</trackRevisions>
    </reviewItem>
    <reviewItem>
      <errorID>807cc1bb-41a5-4975-9bf4-a5b964231b05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4801A980</paraID>
      <start>83</start>
      <end>84</end>
      <status>modified</status>
      <modifiedWord>—</modifiedWord>
      <trackRevisions>false</trackRevisions>
    </reviewItem>
    <reviewItem>
      <errorID>0eb38d38-7ef0-4403-b8c1-39cd08ea25a3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4801A980</paraID>
      <start>95</start>
      <end>96</end>
      <status>modified</status>
      <modifiedWord>—</modifiedWord>
      <trackRevisions>false</trackRevisions>
    </reviewItem>
    <reviewItem>
      <errorID>adb00077-2a86-4c65-b9ec-40dd9f9ebbf1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4801A980</paraID>
      <start>107</start>
      <end>108</end>
      <status>modified</status>
      <modifiedWord>—</modifiedWord>
      <trackRevisions>false</trackRevisions>
    </reviewItem>
    <reviewItem>
      <errorID>464798fe-a70c-4de9-b4f2-b29b71fe95c8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4801A980</paraID>
      <start>120</start>
      <end>121</end>
      <status>modified</status>
      <modifiedWord>—</modifiedWord>
      <trackRevisions>false</trackRevisions>
    </reviewItem>
    <reviewItem>
      <errorID>66bd64d7-d59f-4898-81ba-1edfd5d4ad55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26031CA5</paraID>
      <start>87</start>
      <end>88</end>
      <status>modified</status>
      <modifiedWord>—</modifiedWord>
      <trackRevisions>false</trackRevisions>
    </reviewItem>
    <reviewItem>
      <errorID>c9525c52-7e8d-447e-820e-4c49d69de024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26031CA5</paraID>
      <start>102</start>
      <end>103</end>
      <status>modified</status>
      <modifiedWord>—</modifiedWord>
      <trackRevisions>false</trackRevisions>
    </reviewItem>
    <reviewItem>
      <errorID>3b591489-dd9f-45cb-9703-03330cca1ae4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26031CA5</paraID>
      <start>114</start>
      <end>115</end>
      <status>modified</status>
      <modifiedWord>—</modifiedWord>
      <trackRevisions>false</trackRevisions>
    </reviewItem>
    <reviewItem>
      <errorID>4dbeb3a8-2ef4-4440-85cb-5ddad7bacf9a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26031CA5</paraID>
      <start>126</start>
      <end>127</end>
      <status>modified</status>
      <modifiedWord>—</modifiedWord>
      <trackRevisions>false</trackRevisions>
    </reviewItem>
    <reviewItem>
      <errorID>f4a4fdcd-80b3-4bc6-8f07-239bbc79c7a0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26031CA5</paraID>
      <start>139</start>
      <end>140</end>
      <status>modified</status>
      <modifiedWord>—</modifiedWord>
      <trackRevisions>false</trackRevisions>
    </reviewItem>
    <reviewItem>
      <errorID>138f31e2-ab23-464e-995c-3dbf7e72c359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63360F3B</paraID>
      <start>81</start>
      <end>82</end>
      <status>modified</status>
      <modifiedWord>—</modifiedWord>
      <trackRevisions>false</trackRevisions>
    </reviewItem>
    <reviewItem>
      <errorID>fcaafaa5-2c4e-4354-86c1-cc4267a7bbb6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63360F3B</paraID>
      <start>96</start>
      <end>97</end>
      <status>modified</status>
      <modifiedWord>—</modifiedWord>
      <trackRevisions>false</trackRevisions>
    </reviewItem>
    <reviewItem>
      <errorID>738fb935-d1e9-41a7-a5f0-4bd5fc8925b1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63360F3B</paraID>
      <start>108</start>
      <end>109</end>
      <status>modified</status>
      <modifiedWord>—</modifiedWord>
      <trackRevisions>false</trackRevisions>
    </reviewItem>
    <reviewItem>
      <errorID>bff8b7a8-3f9f-4ff2-823d-50199041d268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63360F3B</paraID>
      <start>120</start>
      <end>121</end>
      <status>modified</status>
      <modifiedWord>—</modifiedWord>
      <trackRevisions>false</trackRevisions>
    </reviewItem>
    <reviewItem>
      <errorID>2fe07aff-b696-4dcb-9eed-34f45e86cba4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63360F3B</paraID>
      <start>133</start>
      <end>134</end>
      <status>modified</status>
      <modifiedWord>—</modifiedWord>
      <trackRevisions>false</trackRevisions>
    </reviewItem>
    <reviewItem>
      <errorID>7a6ec4e3-0ac9-422b-b9f3-a47efddcee30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332F1EE3</paraID>
      <start>101</start>
      <end>102</end>
      <status>modified</status>
      <modifiedWord>—</modifiedWord>
      <trackRevisions>false</trackRevisions>
    </reviewItem>
    <reviewItem>
      <errorID>06bfd2e7-705a-4fc4-aa57-c41afa0fddc6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332F1EE3</paraID>
      <start>116</start>
      <end>117</end>
      <status>modified</status>
      <modifiedWord>—</modifiedWord>
      <trackRevisions>false</trackRevisions>
    </reviewItem>
    <reviewItem>
      <errorID>8b40932b-0c2c-4e59-91a7-176134fddd8d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332F1EE3</paraID>
      <start>128</start>
      <end>129</end>
      <status>modified</status>
      <modifiedWord>—</modifiedWord>
      <trackRevisions>false</trackRevisions>
    </reviewItem>
    <reviewItem>
      <errorID>88f89e37-f1d1-49eb-940f-d92d01fc62a5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332F1EE3</paraID>
      <start>140</start>
      <end>141</end>
      <status>modified</status>
      <modifiedWord>—</modifiedWord>
      <trackRevisions>false</trackRevisions>
    </reviewItem>
    <reviewItem>
      <errorID>434d8d75-5077-48c6-ab68-a08074cb577c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332F1EE3</paraID>
      <start>153</start>
      <end>154</end>
      <status>modified</status>
      <modifiedWord>—</modifiedWord>
      <trackRevisions>false</trackRevisions>
    </reviewItem>
    <reviewItem>
      <errorID>9006f8ee-0d98-440b-8e2d-00ce869083c2</errorID>
      <errorWord>。</errorWord>
      <group>L1_Grammar</group>
      <groupName>语法问题</groupName>
      <ability>L2_Grammar</ability>
      <abilityName>语法错误</abilityName>
      <candidateList>
        <item>标准。</item>
      </candidateList>
      <explain/>
      <paraID> B114660</paraID>
      <start>104</start>
      <end>107</end>
      <status>modified</status>
      <modifiedWord>标准。</modifiedWord>
      <trackRevisions>false</trackRevisions>
    </reviewItem>
    <reviewItem>
      <errorID>4c7f7570-9e42-4ab5-bece-1d414162532d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B114660</paraID>
      <start>115</start>
      <end>116</end>
      <status>modified</status>
      <modifiedWord>—</modifiedWord>
      <trackRevisions>false</trackRevisions>
    </reviewItem>
    <reviewItem>
      <errorID>96a152af-f76e-43df-ac0b-76555b3ee9aa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B114660</paraID>
      <start>130</start>
      <end>131</end>
      <status>modified</status>
      <modifiedWord>—</modifiedWord>
      <trackRevisions>false</trackRevisions>
    </reviewItem>
    <reviewItem>
      <errorID>da528866-753f-430d-b95c-b66bfbd6f29f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B114660</paraID>
      <start>142</start>
      <end>143</end>
      <status>modified</status>
      <modifiedWord>—</modifiedWord>
      <trackRevisions>false</trackRevisions>
    </reviewItem>
    <reviewItem>
      <errorID>d02f6bbc-08bd-44e1-9a3f-922aeec78f0e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B114660</paraID>
      <start>154</start>
      <end>155</end>
      <status>modified</status>
      <modifiedWord>—</modifiedWord>
      <trackRevisions>false</trackRevisions>
    </reviewItem>
    <reviewItem>
      <errorID>8db826e5-5dc3-4a3c-b623-fb6b24f1963d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B114660</paraID>
      <start>167</start>
      <end>168</end>
      <status>modified</status>
      <modifiedWord>—</modifiedWord>
      <trackRevisions>false</trackRevisions>
    </reviewItem>
    <reviewItem>
      <errorID>813e565a-b666-45c4-b83b-8d0944492181</errorID>
      <errorWord>图层</errorWord>
      <group>L1_Word</group>
      <groupName>字词问题</groupName>
      <ability>L2_Typo</ability>
      <abilityName>字词错误</abilityName>
      <candidateList>
        <item>涂层</item>
      </candidateList>
      <explain/>
      <paraID>309FC9AD</paraID>
      <start>34</start>
      <end>36</end>
      <status>modified</status>
      <modifiedWord>涂层</modifiedWord>
      <trackRevisions>false</trackRevisions>
    </reviewItem>
    <reviewItem>
      <errorID>ac6ad915-c0fa-4a6b-966a-2f2acc5e6f2a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309FC9AD</paraID>
      <start>94</start>
      <end>95</end>
      <status>modified</status>
      <modifiedWord>—</modifiedWord>
      <trackRevisions>false</trackRevisions>
    </reviewItem>
    <reviewItem>
      <errorID>eb86748c-0330-44c1-baf2-187ac9c53a24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309FC9AD</paraID>
      <start>109</start>
      <end>110</end>
      <status>modified</status>
      <modifiedWord>—</modifiedWord>
      <trackRevisions>false</trackRevisions>
    </reviewItem>
    <reviewItem>
      <errorID>cee1150b-2182-456a-b478-d94f780cce63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309FC9AD</paraID>
      <start>121</start>
      <end>122</end>
      <status>modified</status>
      <modifiedWord>—</modifiedWord>
      <trackRevisions>false</trackRevisions>
    </reviewItem>
    <reviewItem>
      <errorID>7b87d8ff-8128-4c19-b783-c40519c4531c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309FC9AD</paraID>
      <start>133</start>
      <end>134</end>
      <status>modified</status>
      <modifiedWord>—</modifiedWord>
      <trackRevisions>false</trackRevisions>
    </reviewItem>
    <reviewItem>
      <errorID>3da9305e-a25c-41ed-ac56-1acf835530f1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309FC9AD</paraID>
      <start>146</start>
      <end>147</end>
      <status>modified</status>
      <modifiedWord>—</modifiedWord>
      <trackRevisions>false</trackRevisions>
    </reviewItem>
    <reviewItem>
      <errorID>e50689a3-ba43-42c0-b889-a38e2fa9ee15</errorID>
      <errorWord>减低</errorWord>
      <group>L1_Word</group>
      <groupName>字词问题</groupName>
      <ability>L2_Typo</ability>
      <abilityName>字词错误</abilityName>
      <candidateList>
        <item>降低</item>
      </candidateList>
      <explain/>
      <paraID>431D64C3</paraID>
      <start>49</start>
      <end>51</end>
      <status>modified</status>
      <modifiedWord>降低</modifiedWord>
      <trackRevisions>false</trackRevisions>
    </reviewItem>
    <reviewItem>
      <errorID>b9e3cdc3-3a8d-4322-a468-244e4dd697e2</errorID>
      <errorWord>分</errorWord>
      <group>L1_Word</group>
      <groupName>字词问题</groupName>
      <ability>L2_Typo</ability>
      <abilityName>字词错误</abilityName>
      <candidateList>
        <item>分为</item>
      </candidateList>
      <explain/>
      <paraID>3D7DA138</paraID>
      <start>85</start>
      <end>87</end>
      <status>modified</status>
      <modifiedWord>分为</modifiedWord>
      <trackRevisions>false</trackRevisions>
    </reviewItem>
    <reviewItem>
      <errorID>1bf90d37-eccf-4673-9259-c42bba396d2d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3BE5ACAF</paraID>
      <start>50</start>
      <end>51</end>
      <status>modified</status>
      <modifiedWord>—</modifiedWord>
      <trackRevisions>false</trackRevisions>
    </reviewItem>
    <reviewItem>
      <errorID>34fab92a-7dd0-4faa-8237-2a23e18ae1d5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3BE5ACAF</paraID>
      <start>66</start>
      <end>67</end>
      <status>modified</status>
      <modifiedWord>—</modifiedWord>
      <trackRevisions>false</trackRevisions>
    </reviewItem>
    <reviewItem>
      <errorID>9597187a-aa86-43a0-90a9-44d6a8b52205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3BE5ACAF</paraID>
      <start>80</start>
      <end>81</end>
      <status>modified</status>
      <modifiedWord>—</modifiedWord>
      <trackRevisions>false</trackRevisions>
    </reviewItem>
    <reviewItem>
      <errorID>4ff566c7-11ba-4752-a8e6-0b3de02d4a94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3BE5ACAF</paraID>
      <start>93</start>
      <end>94</end>
      <status>modified</status>
      <modifiedWord>—</modifiedWord>
      <trackRevisions>false</trackRevisions>
    </reviewItem>
    <reviewItem>
      <errorID>d29fb079-99eb-484d-932d-8c1d5aa3758f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3BE5ACAF</paraID>
      <start>108</start>
      <end>109</end>
      <status>modified</status>
      <modifiedWord>—</modifiedWord>
      <trackRevisions>false</trackRevisions>
    </reviewItem>
    <reviewItem>
      <errorID>6934e58c-6cab-4c8c-a187-b4bd777c10af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7906685F</paraID>
      <start>49</start>
      <end>50</end>
      <status>modified</status>
      <modifiedWord>—</modifiedWord>
      <trackRevisions>false</trackRevisions>
    </reviewItem>
    <reviewItem>
      <errorID>20ab6e5f-4998-4a25-bdc7-007e786e6d77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7906685F</paraID>
      <start>65</start>
      <end>66</end>
      <status>modified</status>
      <modifiedWord>—</modifiedWord>
      <trackRevisions>false</trackRevisions>
    </reviewItem>
    <reviewItem>
      <errorID>1e162d00-5b9b-41cb-9f47-f47a8cca5a02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7906685F</paraID>
      <start>90</start>
      <end>91</end>
      <status>modified</status>
      <modifiedWord>—</modifiedWord>
      <trackRevisions>false</trackRevisions>
    </reviewItem>
    <reviewItem>
      <errorID>7ff166ac-fa17-4582-b84d-43038817c3ed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7906685F</paraID>
      <start>104</start>
      <end>105</end>
      <status>modified</status>
      <modifiedWord>—</modifiedWord>
      <trackRevisions>false</trackRevisions>
    </reviewItem>
    <reviewItem>
      <errorID>5866b5c3-6a81-4bd5-9ccc-6af6e6f7f318</errorID>
      <errorWord>是</errorWord>
      <group>L1_Punc</group>
      <groupName>标点问题</groupName>
      <ability>L2_Punc_CN</ability>
      <abilityName>标点符号问题</abilityName>
      <candidateList>
        <item>，是</item>
      </candidateList>
      <explain/>
      <paraID>7B28E27E</paraID>
      <start>5</start>
      <end>7</end>
      <status>modified</status>
      <modifiedWord>，是</modifiedWord>
      <trackRevisions>false</trackRevisions>
    </reviewItem>
    <reviewItem>
      <errorID>558cee8d-15e1-4a4d-87f2-bd25f09b8995</errorID>
      <errorWord>色彩鲜艳出色 </errorWord>
      <group>L1_Grammar</group>
      <groupName>语法问题</groupName>
      <ability>L2_Grammar</ability>
      <abilityName>语法错误</abilityName>
      <candidateList>
        <item>色彩更鲜艳</item>
      </candidateList>
      <explain/>
      <paraID>7B28E27E</paraID>
      <start>59</start>
      <end>64</end>
      <status>modified</status>
      <modifiedWord>色彩更鲜艳</modifiedWord>
      <trackRevisions>false</trackRevisions>
    </reviewItem>
    <reviewItem>
      <errorID>b02472ac-0aa2-4e01-954a-3e708039e1ea</errorID>
      <errorWord>融化</errorWord>
      <group>L1_Word</group>
      <groupName>字词问题</groupName>
      <ability>L2_Typo</ability>
      <abilityName>字词错误</abilityName>
      <candidateList>
        <item>熔化</item>
      </candidateList>
      <explain>存在发音相同字词的误用。</explain>
      <paraID>7B28E27E</paraID>
      <start>129</start>
      <end>131</end>
      <status>modified</status>
      <modifiedWord>熔化</modifiedWord>
      <trackRevisions>false</trackRevisions>
    </reviewItem>
    <reviewItem>
      <errorID>34f49f3c-6dbc-466c-b02a-c185d70a574d</errorID>
      <errorWord>。</errorWord>
      <group>L1_Grammar</group>
      <groupName>语法问题</groupName>
      <ability>L2_Grammar</ability>
      <abilityName>语法错误</abilityName>
      <candidateList>
        <item>的要求。</item>
      </candidateList>
      <explain/>
      <paraID>7B28E27E</paraID>
      <start>178</start>
      <end>182</end>
      <status>modified</status>
      <modifiedWord>的要求。</modifiedWord>
      <trackRevisions>false</trackRevisions>
    </reviewItem>
    <reviewItem>
      <errorID>2a042c9b-1b09-4311-9037-d9563853eef1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7B28E27E</paraID>
      <start>216</start>
      <end>217</end>
      <status>modified</status>
      <modifiedWord>—</modifiedWord>
      <trackRevisions>false</trackRevisions>
    </reviewItem>
    <reviewItem>
      <errorID>9e4aa75e-c747-4b50-a4ff-d9c0abe85104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7B28E27E</paraID>
      <start>231</start>
      <end>232</end>
      <status>modified</status>
      <modifiedWord>—</modifiedWord>
      <trackRevisions>false</trackRevisions>
    </reviewItem>
    <reviewItem>
      <errorID>f2f7969e-36d0-4143-883b-4dc24151f9da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7B28E27E</paraID>
      <start>243</start>
      <end>244</end>
      <status>modified</status>
      <modifiedWord>—</modifiedWord>
      <trackRevisions>false</trackRevisions>
    </reviewItem>
    <reviewItem>
      <errorID>d68db8f3-5091-4600-bd30-e249bf79fbac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7B28E27E</paraID>
      <start>255</start>
      <end>256</end>
      <status>modified</status>
      <modifiedWord>—</modifiedWord>
      <trackRevisions>false</trackRevisions>
    </reviewItem>
    <reviewItem>
      <errorID>73ac8289-2174-409a-8813-b14f8dbabcd8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7B28E27E</paraID>
      <start>268</start>
      <end>269</end>
      <status>modified</status>
      <modifiedWord>—</modifiedWord>
      <trackRevisions>false</trackRevisions>
    </reviewItem>
    <reviewItem>
      <errorID>bf337345-a93a-4187-b0fd-345597da7d0b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FE0917A</paraID>
      <start>92</start>
      <end>93</end>
      <status>modified</status>
      <modifiedWord>—</modifiedWord>
      <trackRevisions>false</trackRevisions>
    </reviewItem>
    <reviewItem>
      <errorID>9c2d2e64-6993-47af-aafc-aaa82400551d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FE0917A</paraID>
      <start>107</start>
      <end>108</end>
      <status>modified</status>
      <modifiedWord>—</modifiedWord>
      <trackRevisions>false</trackRevisions>
    </reviewItem>
    <reviewItem>
      <errorID>686c1d3a-d2f8-48e2-bea8-a705caf79aee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FE0917A</paraID>
      <start>120</start>
      <end>121</end>
      <status>modified</status>
      <modifiedWord>—</modifiedWord>
      <trackRevisions>false</trackRevisions>
    </reviewItem>
    <reviewItem>
      <errorID>9ddc8067-c374-4bef-bfc1-265f2af74756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FE0917A</paraID>
      <start>132</start>
      <end>133</end>
      <status>modified</status>
      <modifiedWord>—</modifiedWord>
      <trackRevisions>false</trackRevisions>
    </reviewItem>
    <reviewItem>
      <errorID>8d5b17e6-2676-4d8a-a4ec-c7cf07238c24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FE0917A</paraID>
      <start>145</start>
      <end>146</end>
      <status>modified</status>
      <modifiedWord>—</modifiedWord>
      <trackRevisions>false</trackRevisions>
    </reviewItem>
    <reviewItem>
      <errorID>046756e6-9047-4b59-8c0a-66b6d38a9fcc</errorID>
      <errorWord>订制</errorWord>
      <group>L1_Word</group>
      <groupName>字词问题</groupName>
      <ability>L2_Typo</ability>
      <abilityName>字词错误</abilityName>
      <candidateList>
        <item>定制</item>
      </candidateList>
      <explain>存在发音相同字词的误用。</explain>
      <paraID>13E9680C</paraID>
      <start>2</start>
      <end>4</end>
      <status>modified</status>
      <modifiedWord>定制</modifiedWord>
      <trackRevisions>false</trackRevisions>
    </reviewItem>
    <reviewItem>
      <errorID>2e1840e9-6b15-4b27-a7a3-91d95262d926</errorID>
      <errorWord>标准</errorWord>
      <group>L1_Grammar</group>
      <groupName>语法问题</groupName>
      <ability>L2_Grammar</ability>
      <abilityName>语法错误</abilityName>
      <candidateList>
        <item>，采用标准</item>
      </candidateList>
      <explain/>
      <paraID>13E9680C</paraID>
      <start>25</start>
      <end>30</end>
      <status>modified</status>
      <modifiedWord>，采用标准</modifiedWord>
      <trackRevisions>false</trackRevisions>
    </reviewItem>
    <reviewItem>
      <errorID>b7cf9535-f9f5-4cc1-8735-c7fe1e2653b6</errorID>
      <errorWord>渐进</errorWord>
      <group>L1_Word</group>
      <groupName>字词问题</groupName>
      <ability>L2_Typo</ability>
      <abilityName>字词错误</abilityName>
      <candidateList>
        <item>是渐进</item>
      </candidateList>
      <explain/>
      <paraID>13E9680C</paraID>
      <start>42</start>
      <end>45</end>
      <status>modified</status>
      <modifiedWord>是渐进</modifiedWord>
      <trackRevisions>false</trackRevisions>
    </reviewItem>
    <reviewItem>
      <errorID>5302949c-6a9c-4d98-8656-f7d6da3e6000</errorID>
      <errorWord>IP</errorWord>
      <group>L1_Grammar</group>
      <groupName>语法问题</groupName>
      <ability>L2_Grammar</ability>
      <abilityName>语法错误</abilityName>
      <candidateList>
        <item>，采用IP</item>
      </candidateList>
      <explain/>
      <paraID>13E9680C</paraID>
      <start>52</start>
      <end>57</end>
      <status>modified</status>
      <modifiedWord>，采用IP</modifiedWord>
      <trackRevisions>false</trackRevisions>
    </reviewItem>
    <reviewItem>
      <errorID>6d33db0f-9c18-4dd9-a94d-177860a8ef63</errorID>
      <errorWord> </errorWord>
      <group>L1_Punc</group>
      <groupName>标点问题</groupName>
      <ability>L2_Punc_CN</ability>
      <abilityName>标点符号问题</abilityName>
      <candidateList>
        <item>；</item>
      </candidateList>
      <explain/>
      <paraID>13E9680C</paraID>
      <start>69</start>
      <end>70</end>
      <status>modified</status>
      <modifiedWord>；</modifiedWord>
      <trackRevisions>false</trackRevisions>
    </reviewItem>
    <reviewItem>
      <errorID>28986731-38bd-4ea2-8c98-0be49de70493</errorID>
      <errorWord>有趣童真</errorWord>
      <group>L1_Word</group>
      <groupName>字词问题</groupName>
      <ability>L2_Typo</ability>
      <abilityName>字词错误</abilityName>
      <candidateList>
        <item>童趣盎然</item>
      </candidateList>
      <explain/>
      <paraID>13E9680C</paraID>
      <start>80</start>
      <end>84</end>
      <status>modified</status>
      <modifiedWord>童趣盎然</modifiedWord>
      <trackRevisions>false</trackRevisions>
    </reviewItem>
    <reviewItem>
      <errorID>0adddfdf-b4f6-49a4-979f-c46b08d6e453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13E9680C</paraID>
      <start>125</start>
      <end>126</end>
      <status>modified</status>
      <modifiedWord>—</modifiedWord>
      <trackRevisions>false</trackRevisions>
    </reviewItem>
    <reviewItem>
      <errorID>e568751c-d4e3-43ad-a162-b7ce9089184d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13E9680C</paraID>
      <start>140</start>
      <end>141</end>
      <status>modified</status>
      <modifiedWord>—</modifiedWord>
      <trackRevisions>false</trackRevisions>
    </reviewItem>
    <reviewItem>
      <errorID>70827607-bb69-451d-b6fe-bd769f3378b1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13E9680C</paraID>
      <start>152</start>
      <end>153</end>
      <status>modified</status>
      <modifiedWord>—</modifiedWord>
      <trackRevisions>false</trackRevisions>
    </reviewItem>
    <reviewItem>
      <errorID>ac67af5e-2f14-42bc-bd4d-6ae7d863b730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13E9680C</paraID>
      <start>164</start>
      <end>165</end>
      <status>modified</status>
      <modifiedWord>—</modifiedWord>
      <trackRevisions>false</trackRevisions>
    </reviewItem>
    <reviewItem>
      <errorID>97dacc00-1141-414c-b8d3-36f3861e0d1d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13E9680C</paraID>
      <start>177</start>
      <end>178</end>
      <status>modified</status>
      <modifiedWord>—</modifiedWord>
      <trackRevisions>false</trackRevisions>
    </reviewItem>
    <reviewItem>
      <errorID>edbf4905-4455-4b5c-adce-13cbe02e774d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19883228</paraID>
      <start>53</start>
      <end>54</end>
      <status>modified</status>
      <modifiedWord>—</modifiedWord>
      <trackRevisions>false</trackRevisions>
    </reviewItem>
    <reviewItem>
      <errorID>9f0a6ac8-584b-4296-8787-b62ed812724a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19883228</paraID>
      <start>69</start>
      <end>70</end>
      <status>modified</status>
      <modifiedWord>—</modifiedWord>
      <trackRevisions>false</trackRevisions>
    </reviewItem>
    <reviewItem>
      <errorID>e8fe4905-f36b-4b8e-bf15-9f836cd17b25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19883228</paraID>
      <start>83</start>
      <end>84</end>
      <status>modified</status>
      <modifiedWord>—</modifiedWord>
      <trackRevisions>false</trackRevisions>
    </reviewItem>
    <reviewItem>
      <errorID>a2583342-b22c-4e2b-b675-f6ef0d3a5ac8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19883228</paraID>
      <start>96</start>
      <end>97</end>
      <status>modified</status>
      <modifiedWord>—</modifiedWord>
      <trackRevisions>false</trackRevisions>
    </reviewItem>
    <reviewItem>
      <errorID>9571f278-0a17-4754-ab1e-a63cf238e8b8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19883228</paraID>
      <start>111</start>
      <end>112</end>
      <status>modified</status>
      <modifiedWord>—</modifiedWord>
      <trackRevisions>false</trackRevisions>
    </reviewItem>
    <reviewItem>
      <errorID>1a6f3106-081e-4fc7-a848-e4c6baf1f89d</errorID>
      <errorWord>前倾角参数 6-7 </errorWord>
      <group>L1_Other</group>
      <groupName>其他问题</groupName>
      <ability>L2_Consistency</ability>
      <abilityName>一致性检查</abilityName>
      <candidateList>
        <item>前倾角6-7</item>
      </candidateList>
      <explain>术语一致性：在描述镜架前倾角时，部分表述为‘前倾角参数 6-7 ’，部分表述为‘前倾角6-7’，应统一为‘前倾角6-7’</explain>
      <paraID>19883228</paraID>
      <start>118</start>
      <end>124</end>
      <status>modified</status>
      <modifiedWord>前倾角6-7</modifiedWord>
      <trackRevisions>false</trackRevisions>
    </reviewItem>
    <reviewItem>
      <errorID>65844709-dc8f-4dbd-9b82-180807a3061e</errorID>
      <errorWord>纯性</errorWord>
      <group>L1_Word</group>
      <groupName>字词问题</groupName>
      <ability>L2_Typo</ability>
      <abilityName>字词错误</abilityName>
      <candidateList>
        <item>纯</item>
      </candidateList>
      <explain/>
      <paraID>5FE30154</paraID>
      <start>21</start>
      <end>22</end>
      <status>modified</status>
      <modifiedWord>纯</modifiedWord>
      <trackRevisions>false</trackRevisions>
    </reviewItem>
    <reviewItem>
      <errorID>31293d7d-a8ba-4de7-84d8-cf1bb926620e</errorID>
      <errorWord>，</errorWord>
      <group>L1_Punc</group>
      <groupName>标点问题</groupName>
      <ability>L2_Punc_CN</ability>
      <abilityName>标点符号问题</abilityName>
      <candidateList>
        <item>。</item>
      </candidateList>
      <explain/>
      <paraID>5FE30154</paraID>
      <start>58</start>
      <end>59</end>
      <status>modified</status>
      <modifiedWord>。</modifiedWord>
      <trackRevisions>false</trackRevisions>
    </reviewItem>
    <reviewItem>
      <errorID>dceca67a-2db9-472d-ad4f-d27b81df4c11</errorID>
      <errorWord>既有不失</errorWord>
      <group>L1_Grammar</group>
      <groupName>语法问题</groupName>
      <ability>L2_Grammar</ability>
      <abilityName>语法错误</abilityName>
      <candidateList>
        <item>既有</item>
      </candidateList>
      <explain/>
      <paraID>23A97FCF</paraID>
      <start>31</start>
      <end>33</end>
      <status>modified</status>
      <modifiedWord>既有</modifiedWord>
      <trackRevisions>false</trackRevisions>
    </reviewItem>
    <reviewItem>
      <errorID>7215ef53-5900-4961-b31f-c829e08b0022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74BE22CB</paraID>
      <start>83</start>
      <end>84</end>
      <status>modified</status>
      <modifiedWord>—</modifiedWord>
      <trackRevisions>false</trackRevisions>
    </reviewItem>
    <reviewItem>
      <errorID>2eb5cd29-eff5-4cb3-9ef8-ec3c398d172a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74BE22CB</paraID>
      <start>98</start>
      <end>99</end>
      <status>modified</status>
      <modifiedWord>—</modifiedWord>
      <trackRevisions>false</trackRevisions>
    </reviewItem>
    <reviewItem>
      <errorID>d5807403-774d-4edd-b2fd-bb877abbc206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74BE22CB</paraID>
      <start>110</start>
      <end>111</end>
      <status>modified</status>
      <modifiedWord>—</modifiedWord>
      <trackRevisions>false</trackRevisions>
    </reviewItem>
    <reviewItem>
      <errorID>65d046ff-813b-42e8-acaa-11806dccd6b9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74BE22CB</paraID>
      <start>122</start>
      <end>123</end>
      <status>modified</status>
      <modifiedWord>—</modifiedWord>
      <trackRevisions>false</trackRevisions>
    </reviewItem>
    <reviewItem>
      <errorID>0a1a8739-3d09-45c5-a49b-daf25ad73339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74BE22CB</paraID>
      <start>135</start>
      <end>136</end>
      <status>modified</status>
      <modifiedWord>—</modifiedWord>
      <trackRevisions>false</trackRevisions>
    </reviewItem>
    <reviewItem>
      <errorID>08ba34de-af11-40b9-8af1-591766cfdc82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24102514</paraID>
      <start>65</start>
      <end>66</end>
      <status>modified</status>
      <modifiedWord>—</modifiedWord>
      <trackRevisions>false</trackRevisions>
    </reviewItem>
    <reviewItem>
      <errorID>5ccd5d99-f834-4a9b-a73d-607ec5e1c6ed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24102514</paraID>
      <start>81</start>
      <end>82</end>
      <status>modified</status>
      <modifiedWord>—</modifiedWord>
      <trackRevisions>false</trackRevisions>
    </reviewItem>
    <reviewItem>
      <errorID>2c4b69de-4a6a-48c1-b72c-e1d18a2019f1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24102514</paraID>
      <start>95</start>
      <end>96</end>
      <status>modified</status>
      <modifiedWord>—</modifiedWord>
      <trackRevisions>false</trackRevisions>
    </reviewItem>
    <reviewItem>
      <errorID>4e1d246d-63b7-44db-ae0a-057769e60d72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24102514</paraID>
      <start>108</start>
      <end>109</end>
      <status>modified</status>
      <modifiedWord>—</modifiedWord>
      <trackRevisions>false</trackRevisions>
    </reviewItem>
    <reviewItem>
      <errorID>42484952-49a0-4c58-9520-88a9b46ddc31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24102514</paraID>
      <start>123</start>
      <end>124</end>
      <status>modified</status>
      <modifiedWord>—</modifiedWord>
      <trackRevisions>false</trackRevisions>
    </reviewItem>
    <reviewItem>
      <errorID>33353511-421e-4764-b9a0-e334adb800e0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2FF1C448</paraID>
      <start>42</start>
      <end>43</end>
      <status>modified</status>
      <modifiedWord>—</modifiedWord>
      <trackRevisions>false</trackRevisions>
    </reviewItem>
    <reviewItem>
      <errorID>72d9ccff-2052-4c0d-9ad1-80d6c747bdce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2FF1C448</paraID>
      <start>58</start>
      <end>59</end>
      <status>modified</status>
      <modifiedWord>—</modifiedWord>
      <trackRevisions>false</trackRevisions>
    </reviewItem>
    <reviewItem>
      <errorID>08b3e692-bc78-46f0-861a-d7a37653ca38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2FF1C448</paraID>
      <start>72</start>
      <end>73</end>
      <status>modified</status>
      <modifiedWord>—</modifiedWord>
      <trackRevisions>false</trackRevisions>
    </reviewItem>
    <reviewItem>
      <errorID>ef142a35-924c-4b25-a142-eecd01d02401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2FF1C448</paraID>
      <start>85</start>
      <end>86</end>
      <status>modified</status>
      <modifiedWord>—</modifiedWord>
      <trackRevisions>false</trackRevisions>
    </reviewItem>
    <reviewItem>
      <errorID>89f55d52-c77c-4bdc-b1ff-925b9a009f34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2FF1C448</paraID>
      <start>100</start>
      <end>101</end>
      <status>modified</status>
      <modifiedWord>—</modifiedWord>
      <trackRevisions>false</trackRevisions>
    </reviewItem>
    <reviewItem>
      <errorID>6c8676e6-2850-4514-906a-7975e24b13e5</errorID>
      <errorWord>合金金属</errorWord>
      <group>L1_Grammar</group>
      <groupName>语法问题</groupName>
      <ability>L2_Grammar</ability>
      <abilityName>语法错误</abilityName>
      <candidateList>
        <item>合金</item>
      </candidateList>
      <explain/>
      <paraID>3B1DFE98</paraID>
      <start>0</start>
      <end>2</end>
      <status>modified</status>
      <modifiedWord>合金</modifiedWord>
      <trackRevisions>false</trackRevisions>
    </reviewItem>
    <reviewItem>
      <errorID>58214b70-a43e-4525-8290-cd19c771d7bb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3B1DFE98</paraID>
      <start>51</start>
      <end>52</end>
      <status>modified</status>
      <modifiedWord>—</modifiedWord>
      <trackRevisions>false</trackRevisions>
    </reviewItem>
    <reviewItem>
      <errorID>4f29aa8c-d367-4469-aeba-0b6e5a9625d0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3B1DFE98</paraID>
      <start>67</start>
      <end>68</end>
      <status>modified</status>
      <modifiedWord>—</modifiedWord>
      <trackRevisions>false</trackRevisions>
    </reviewItem>
    <reviewItem>
      <errorID>3a7a6253-4d52-4839-a771-1b542861dfaf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3B1DFE98</paraID>
      <start>81</start>
      <end>82</end>
      <status>modified</status>
      <modifiedWord>—</modifiedWord>
      <trackRevisions>false</trackRevisions>
    </reviewItem>
    <reviewItem>
      <errorID>796a22b0-1707-44d0-b8f0-2508887674b7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3B1DFE98</paraID>
      <start>94</start>
      <end>95</end>
      <status>modified</status>
      <modifiedWord>—</modifiedWord>
      <trackRevisions>false</trackRevisions>
    </reviewItem>
    <reviewItem>
      <errorID>4ab1eced-819b-426a-9c53-927f29126e79</errorID>
      <errorWord>长 度</errorWord>
      <group>L1_Word</group>
      <groupName>字词问题</groupName>
      <ability>L2_Typo</ability>
      <abilityName>字词错误</abilityName>
      <candidateList>
        <item>长度</item>
      </candidateList>
      <explain/>
      <paraID>3B1DFE98</paraID>
      <start>102</start>
      <end>104</end>
      <status>modified</status>
      <modifiedWord>长度</modifiedWord>
      <trackRevisions>false</trackRevisions>
    </reviewItem>
    <reviewItem>
      <errorID>7f4db8f5-254d-4f71-b671-9bc8a7aae198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3B1DFE98</paraID>
      <start>108</start>
      <end>109</end>
      <status>modified</status>
      <modifiedWord>—</modifiedWord>
      <trackRevisions>false</trackRevisions>
    </reviewItem>
    <reviewItem>
      <errorID>313208ef-af8a-426c-8bed-d784e75cbd90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50D07683</paraID>
      <start>83</start>
      <end>84</end>
      <status>modified</status>
      <modifiedWord>—</modifiedWord>
      <trackRevisions>false</trackRevisions>
    </reviewItem>
    <reviewItem>
      <errorID>01c429c4-6080-4076-8e55-4a4fd9abc11e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50D07683</paraID>
      <start>98</start>
      <end>99</end>
      <status>modified</status>
      <modifiedWord>—</modifiedWord>
      <trackRevisions>false</trackRevisions>
    </reviewItem>
    <reviewItem>
      <errorID>9d5f54dd-8f6b-4fec-9e6d-2a246ca8ab18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50D07683</paraID>
      <start>110</start>
      <end>111</end>
      <status>modified</status>
      <modifiedWord>—</modifiedWord>
      <trackRevisions>false</trackRevisions>
    </reviewItem>
    <reviewItem>
      <errorID>d96ff6cc-dcee-461f-9484-d9ae9d1fee8a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50D07683</paraID>
      <start>122</start>
      <end>123</end>
      <status>modified</status>
      <modifiedWord>—</modifiedWord>
      <trackRevisions>false</trackRevisions>
    </reviewItem>
    <reviewItem>
      <errorID>6be20c94-62c6-4d9c-9198-a0901c4b4239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50D07683</paraID>
      <start>135</start>
      <end>136</end>
      <status>modified</status>
      <modifiedWord>—</modifiedWord>
      <trackRevisions>false</trackRevisions>
    </reviewItem>
    <reviewItem>
      <errorID>41bbfcc4-1641-4ecf-9e7d-bac4e8835f43</errorID>
      <errorWord>食品器械</errorWord>
      <group>L1_Word</group>
      <groupName>字词问题</groupName>
      <ability>L2_Typo</ability>
      <abilityName>字词错误</abilityName>
      <candidateList>
        <item>食品机械</item>
      </candidateList>
      <explain/>
      <paraID>5FFEFBB7</paraID>
      <start>11</start>
      <end>15</end>
      <status>modified</status>
      <modifiedWord>食品机械</modifiedWord>
      <trackRevisions>false</trackRevisions>
    </reviewItem>
    <reviewItem>
      <errorID>3164901f-3496-4212-a552-aa9398ea60c4</errorID>
      <errorWord>儿童</errorWord>
      <group>L1_Word</group>
      <groupName>字词问题</groupName>
      <ability>L2_Typo</ability>
      <abilityName>字词错误</abilityName>
      <candidateList>
        <item>的儿童</item>
      </candidateList>
      <explain/>
      <paraID>5FFEFBB7</paraID>
      <start>31</start>
      <end>34</end>
      <status>modified</status>
      <modifiedWord>的儿童</modifiedWord>
      <trackRevisions>false</trackRevisions>
    </reviewItem>
    <reviewItem>
      <errorID>ee1d9abf-bbcc-4427-8b67-33f78fb48d30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5FFEFBB7</paraID>
      <start>70</start>
      <end>71</end>
      <status>modified</status>
      <modifiedWord>—</modifiedWord>
      <trackRevisions>false</trackRevisions>
    </reviewItem>
    <reviewItem>
      <errorID>5a3147dc-a46d-4e29-b8cd-aa5b89b808b0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5FFEFBB7</paraID>
      <start>86</start>
      <end>87</end>
      <status>modified</status>
      <modifiedWord>—</modifiedWord>
      <trackRevisions>false</trackRevisions>
    </reviewItem>
    <reviewItem>
      <errorID>ab141614-797c-40f2-acf0-ee4c113346d6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5FFEFBB7</paraID>
      <start>100</start>
      <end>101</end>
      <status>modified</status>
      <modifiedWord>—</modifiedWord>
      <trackRevisions>false</trackRevisions>
    </reviewItem>
    <reviewItem>
      <errorID>cff2e295-7d59-4a0f-98a1-36dd02f851cc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5FFEFBB7</paraID>
      <start>113</start>
      <end>114</end>
      <status>modified</status>
      <modifiedWord>—</modifiedWord>
      <trackRevisions>false</trackRevisions>
    </reviewItem>
    <reviewItem>
      <errorID>0837e9c6-4ef7-4b60-9c41-dfb82860fdfe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5FFEFBB7</paraID>
      <start>128</start>
      <end>129</end>
      <status>modified</status>
      <modifiedWord>—</modifiedWord>
      <trackRevisions>false</trackRevisions>
    </reviewItem>
    <reviewItem>
      <errorID>7c5057c1-28ad-4f1f-82d2-6edbe272279d</errorID>
      <errorWord>，</errorWord>
      <group>L1_Punc</group>
      <groupName>标点问题</groupName>
      <ability>L2_Punc_CN</ability>
      <abilityName>标点符号问题</abilityName>
      <candidateList>
        <item>、</item>
      </candidateList>
      <explain/>
      <paraID>5AA293E7</paraID>
      <start>12</start>
      <end>13</end>
      <status>modified</status>
      <modifiedWord>、</modifiedWord>
      <trackRevisions>false</trackRevisions>
    </reviewItem>
    <reviewItem>
      <errorID>52a9fe60-9176-4b5a-86dd-5d566289955c</errorID>
      <errorWord>两幅</errorWord>
      <group>L1_Word</group>
      <groupName>字词问题</groupName>
      <ability>L2_Typo</ability>
      <abilityName>字词错误</abilityName>
      <candidateList>
        <item>两副</item>
      </candidateList>
      <explain/>
      <paraID>5AA293E7</paraID>
      <start>27</start>
      <end>29</end>
      <status>modified</status>
      <modifiedWord>两副</modifiedWord>
      <trackRevisions>false</trackRevisions>
    </reviewItem>
    <reviewItem>
      <errorID>96d9349a-f736-4545-be36-ff180059a302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5AA293E7</paraID>
      <start>204</start>
      <end>205</end>
      <status>modified</status>
      <modifiedWord>—</modifiedWord>
      <trackRevisions>false</trackRevisions>
    </reviewItem>
    <reviewItem>
      <errorID>2ec9c281-7f64-4b8b-970c-045068a45854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5AA293E7</paraID>
      <start>219</start>
      <end>220</end>
      <status>modified</status>
      <modifiedWord>—</modifiedWord>
      <trackRevisions>false</trackRevisions>
    </reviewItem>
    <reviewItem>
      <errorID>18a055a2-1892-4589-ae24-8fd6bc9f99eb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5AA293E7</paraID>
      <start>231</start>
      <end>232</end>
      <status>modified</status>
      <modifiedWord>—</modifiedWord>
      <trackRevisions>false</trackRevisions>
    </reviewItem>
    <reviewItem>
      <errorID>b2be19a6-4a8a-4668-b6d8-4e946e3ed265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5AA293E7</paraID>
      <start>243</start>
      <end>244</end>
      <status>modified</status>
      <modifiedWord>—</modifiedWord>
      <trackRevisions>false</trackRevisions>
    </reviewItem>
    <reviewItem>
      <errorID>ea040ad8-6f48-478a-a056-2dd4c36b9ab9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5AA293E7</paraID>
      <start>256</start>
      <end>257</end>
      <status>modified</status>
      <modifiedWord>—</modifiedWord>
      <trackRevisions>false</trackRevisions>
    </reviewItem>
    <reviewItem>
      <errorID>05abc8e5-f5de-4ee4-80a9-0d2b6a97bbba</errorID>
      <errorWord>品味</errorWord>
      <group>L1_Word</group>
      <groupName>字词问题</groupName>
      <ability>L2_Typo</ability>
      <abilityName>字词错误</abilityName>
      <candidateList>
        <item>品位</item>
      </candidateList>
      <explain>〈名〉❶〈书〉指官吏的品级；官阶。❷矿石中有用元素或有用矿物含量的百分率，百分率愈大，品位愈高。❸泛指人或事物的品质、水平：高～的蚕丝｜节目的艺术～较高｜他的谈吐很有～。</explain>
      <paraID>7DBA85A9</paraID>
      <start>44</start>
      <end>46</end>
      <status>modified</status>
      <modifiedWord>品位</modifiedWord>
      <trackRevisions>false</trackRevisions>
    </reviewItem>
    <reviewItem>
      <errorID>eb2590f0-10b7-4f8d-b0eb-42afaca9e400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7DBA85A9</paraID>
      <start>89</start>
      <end>90</end>
      <status>modified</status>
      <modifiedWord>—</modifiedWord>
      <trackRevisions>false</trackRevisions>
    </reviewItem>
    <reviewItem>
      <errorID>01bcdaf1-0859-4c72-8ff5-651e11de0209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7DBA85A9</paraID>
      <start>104</start>
      <end>105</end>
      <status>modified</status>
      <modifiedWord>—</modifiedWord>
      <trackRevisions>false</trackRevisions>
    </reviewItem>
    <reviewItem>
      <errorID>6aecd7bb-2c65-4736-80d7-d96ea48fd80e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7DBA85A9</paraID>
      <start>116</start>
      <end>117</end>
      <status>modified</status>
      <modifiedWord>—</modifiedWord>
      <trackRevisions>false</trackRevisions>
    </reviewItem>
    <reviewItem>
      <errorID>0f8abb15-f367-48ce-8632-ad269d255968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7DBA85A9</paraID>
      <start>128</start>
      <end>129</end>
      <status>modified</status>
      <modifiedWord>—</modifiedWord>
      <trackRevisions>false</trackRevisions>
    </reviewItem>
    <reviewItem>
      <errorID>1c113353-6f65-43b7-b68a-fa2f10ec36ff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7DBA85A9</paraID>
      <start>141</start>
      <end>142</end>
      <status>modified</status>
      <modifiedWord>—</modifiedWord>
      <trackRevisions>false</trackRevisions>
    </reviewItem>
    <reviewItem>
      <errorID>90d222d4-de85-49cd-b330-1c4d59e53222</errorID>
      <errorWord>不同</errorWord>
      <group>L1_Punc</group>
      <groupName>标点问题</groupName>
      <ability>L2_Punc_CN</ability>
      <abilityName>标点符号问题</abilityName>
      <candidateList>
        <item>，不同</item>
      </candidateList>
      <explain/>
      <paraID>4DDA0AB5</paraID>
      <start>28</start>
      <end>31</end>
      <status>modified</status>
      <modifiedWord>，不同</modifiedWord>
      <trackRevisions>false</trackRevisions>
    </reviewItem>
    <reviewItem>
      <errorID>38d176ef-0858-4ca9-a968-e689e7617e33</errorID>
      <errorWord>，</errorWord>
      <group>L1_Punc</group>
      <groupName>标点问题</groupName>
      <ability>L2_Punc_CN</ability>
      <abilityName>标点符号问题</abilityName>
      <candidateList>
        <item>。</item>
      </candidateList>
      <explain/>
      <paraID>4DDA0AB5</paraID>
      <start>39</start>
      <end>40</end>
      <status>modified</status>
      <modifiedWord>。</modifiedWord>
      <trackRevisions>false</trackRevisions>
    </reviewItem>
    <reviewItem>
      <errorID>77fa351b-e456-45c1-a123-74e08417e957</errorID>
      <errorWord>每付</errorWord>
      <group>L1_Word</group>
      <groupName>字词问题</groupName>
      <ability>L2_Typo</ability>
      <abilityName>字词错误</abilityName>
      <candidateList>
        <item>每副</item>
      </candidateList>
      <explain/>
      <paraID>4DDA0AB5</paraID>
      <start>75</start>
      <end>77</end>
      <status>modified</status>
      <modifiedWord>每副</modifiedWord>
      <trackRevisions>false</trackRevisions>
    </reviewItem>
    <reviewItem>
      <errorID>f5975150-4753-4b49-9d92-a248cec24ef7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4DDA0AB5</paraID>
      <start>142</start>
      <end>143</end>
      <status>modified</status>
      <modifiedWord>—</modifiedWord>
      <trackRevisions>false</trackRevisions>
    </reviewItem>
    <reviewItem>
      <errorID>4a70b20f-986a-409e-b606-bc526fe11b6d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4DDA0AB5</paraID>
      <start>157</start>
      <end>158</end>
      <status>modified</status>
      <modifiedWord>—</modifiedWord>
      <trackRevisions>false</trackRevisions>
    </reviewItem>
    <reviewItem>
      <errorID>600c1e88-dc42-4756-b628-0d47dd9f75cc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4DDA0AB5</paraID>
      <start>169</start>
      <end>170</end>
      <status>modified</status>
      <modifiedWord>—</modifiedWord>
      <trackRevisions>false</trackRevisions>
    </reviewItem>
    <reviewItem>
      <errorID>be55c0f0-0427-484e-b83d-2ded4558a486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4DDA0AB5</paraID>
      <start>181</start>
      <end>182</end>
      <status>modified</status>
      <modifiedWord>—</modifiedWord>
      <trackRevisions>false</trackRevisions>
    </reviewItem>
    <reviewItem>
      <errorID>092cda7f-b75f-4b34-9383-d1693e2b2039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4DDA0AB5</paraID>
      <start>194</start>
      <end>195</end>
      <status>modified</status>
      <modifiedWord>—</modifiedWord>
      <trackRevisions>false</trackRevisions>
    </reviewItem>
    <reviewItem>
      <errorID>c6400b91-8fcd-4db5-aae4-802a607377cd</errorID>
      <errorWord>适合</errorWord>
      <group>L1_Grammar</group>
      <groupName>语法问题</groupName>
      <ability>L2_Grammar</ability>
      <abilityName>语法错误</abilityName>
      <candidateList>
        <item>符合</item>
      </candidateList>
      <explain>“适合～要求”搭配不当，建议修改为“符合～要求”。</explain>
      <paraID>2724C85D</paraID>
      <start>103</start>
      <end>105</end>
      <status>modified</status>
      <modifiedWord>符合</modifiedWord>
      <trackRevisions>false</trackRevisions>
    </reviewItem>
    <reviewItem>
      <errorID>8ff3abea-c130-4ae3-a1ff-d3d04f357673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2724C85D</paraID>
      <start>153</start>
      <end>154</end>
      <status>modified</status>
      <modifiedWord>—</modifiedWord>
      <trackRevisions>false</trackRevisions>
    </reviewItem>
    <reviewItem>
      <errorID>86e9ba4b-6a68-4c01-a009-e4f22aa68bec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2724C85D</paraID>
      <start>168</start>
      <end>169</end>
      <status>modified</status>
      <modifiedWord>—</modifiedWord>
      <trackRevisions>false</trackRevisions>
    </reviewItem>
    <reviewItem>
      <errorID>0094d433-beb4-4249-89ff-58e709115d9e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2724C85D</paraID>
      <start>180</start>
      <end>181</end>
      <status>modified</status>
      <modifiedWord>—</modifiedWord>
      <trackRevisions>false</trackRevisions>
    </reviewItem>
    <reviewItem>
      <errorID>29542ecb-ec0a-4dad-b622-5c9e8daeb4a1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2724C85D</paraID>
      <start>192</start>
      <end>193</end>
      <status>modified</status>
      <modifiedWord>—</modifiedWord>
      <trackRevisions>false</trackRevisions>
    </reviewItem>
    <reviewItem>
      <errorID>56774a4b-6993-44b8-9b9b-b6081a2a2d43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2724C85D</paraID>
      <start>205</start>
      <end>206</end>
      <status>modified</status>
      <modifiedWord>—</modifiedWord>
      <trackRevisions>false</trackRevisions>
    </reviewItem>
    <reviewItem>
      <errorID>1fc30a3d-27dc-4da1-8907-972122eb5381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4FE0B609</paraID>
      <start>51</start>
      <end>52</end>
      <status>modified</status>
      <modifiedWord>—</modifiedWord>
      <trackRevisions>false</trackRevisions>
    </reviewItem>
    <reviewItem>
      <errorID>3160a35e-e086-4dd1-8e0b-f9ccce3331d0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4FE0B609</paraID>
      <start>67</start>
      <end>68</end>
      <status>modified</status>
      <modifiedWord>—</modifiedWord>
      <trackRevisions>false</trackRevisions>
    </reviewItem>
    <reviewItem>
      <errorID>f9045686-ab9a-4bbe-9754-66365e0753f5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4FE0B609</paraID>
      <start>81</start>
      <end>82</end>
      <status>modified</status>
      <modifiedWord>—</modifiedWord>
      <trackRevisions>false</trackRevisions>
    </reviewItem>
    <reviewItem>
      <errorID>54c1dafa-741f-4bde-aa02-ea94a4cd56ea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4FE0B609</paraID>
      <start>94</start>
      <end>95</end>
      <status>modified</status>
      <modifiedWord>—</modifiedWord>
      <trackRevisions>false</trackRevisions>
    </reviewItem>
    <reviewItem>
      <errorID>c4b9664f-8d9e-43d9-b7b0-1d2abbfaaf84</errorID>
      <errorWord>长 度</errorWord>
      <group>L1_Word</group>
      <groupName>字词问题</groupName>
      <ability>L2_Typo</ability>
      <abilityName>字词错误</abilityName>
      <candidateList>
        <item>长度</item>
      </candidateList>
      <explain/>
      <paraID>4FE0B609</paraID>
      <start>102</start>
      <end>104</end>
      <status>modified</status>
      <modifiedWord>长度</modifiedWord>
      <trackRevisions>false</trackRevisions>
    </reviewItem>
    <reviewItem>
      <errorID>79d2fb61-b0a5-475d-9d24-6e5f9b0637dd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4FE0B609</paraID>
      <start>108</start>
      <end>109</end>
      <status>modified</status>
      <modifiedWord>—</modifiedWord>
      <trackRevisions>false</trackRevisions>
    </reviewItem>
    <reviewItem>
      <errorID>e665ac81-8253-4978-b7b5-9729c04c1616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53E72611</paraID>
      <start>156</start>
      <end>157</end>
      <status>modified</status>
      <modifiedWord>—</modifiedWord>
      <trackRevisions>false</trackRevisions>
    </reviewItem>
    <reviewItem>
      <errorID>f958304f-d38e-4982-8866-e999685b5431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53E72611</paraID>
      <start>171</start>
      <end>172</end>
      <status>modified</status>
      <modifiedWord>—</modifiedWord>
      <trackRevisions>false</trackRevisions>
    </reviewItem>
    <reviewItem>
      <errorID>511ed1cf-3977-43b4-8a17-10a0291fa54a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53E72611</paraID>
      <start>183</start>
      <end>184</end>
      <status>modified</status>
      <modifiedWord>—</modifiedWord>
      <trackRevisions>false</trackRevisions>
    </reviewItem>
    <reviewItem>
      <errorID>42e88ae0-9dea-47ea-a097-8dbcf595e3fb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53E72611</paraID>
      <start>195</start>
      <end>196</end>
      <status>modified</status>
      <modifiedWord>—</modifiedWord>
      <trackRevisions>false</trackRevisions>
    </reviewItem>
    <reviewItem>
      <errorID>6603fe51-3e59-4057-90d7-1e1eb3ff833b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53E72611</paraID>
      <start>208</start>
      <end>209</end>
      <status>modified</status>
      <modifiedWord>—</modifiedWord>
      <trackRevisions>false</trackRevisions>
    </reviewItem>
    <reviewItem>
      <errorID>386a02c8-e495-4d75-8def-3682bcdfb486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640B3213</paraID>
      <start>49</start>
      <end>50</end>
      <status>modified</status>
      <modifiedWord>—</modifiedWord>
      <trackRevisions>false</trackRevisions>
    </reviewItem>
    <reviewItem>
      <errorID>d2d2e469-4262-483f-8d6f-5541d79638ea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640B3213</paraID>
      <start>65</start>
      <end>66</end>
      <status>modified</status>
      <modifiedWord>—</modifiedWord>
      <trackRevisions>false</trackRevisions>
    </reviewItem>
    <reviewItem>
      <errorID>a73fbb81-b007-47a4-a2df-8525898b32ca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640B3213</paraID>
      <start>77</start>
      <end>78</end>
      <status>modified</status>
      <modifiedWord>—</modifiedWord>
      <trackRevisions>false</trackRevisions>
    </reviewItem>
    <reviewItem>
      <errorID>05524610-7a77-4f4a-a6ff-8ec5c8c80870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640B3213</paraID>
      <start>90</start>
      <end>91</end>
      <status>modified</status>
      <modifiedWord>—</modifiedWord>
      <trackRevisions>false</trackRevisions>
    </reviewItem>
    <reviewItem>
      <errorID>559630b6-026d-496c-9c67-bb948c332e59</errorID>
      <errorWord>长 度</errorWord>
      <group>L1_Word</group>
      <groupName>字词问题</groupName>
      <ability>L2_Typo</ability>
      <abilityName>字词错误</abilityName>
      <candidateList>
        <item>长度</item>
      </candidateList>
      <explain/>
      <paraID>640B3213</paraID>
      <start>98</start>
      <end>100</end>
      <status>modified</status>
      <modifiedWord>长度</modifiedWord>
      <trackRevisions>false</trackRevisions>
    </reviewItem>
    <reviewItem>
      <errorID>6bb58707-3e24-4784-a6c5-589106ecbdfe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640B3213</paraID>
      <start>104</start>
      <end>105</end>
      <status>modified</status>
      <modifiedWord>—</modifiedWord>
      <trackRevisions>false</trackRevisions>
    </reviewItem>
    <reviewItem>
      <errorID>4079b421-676d-468a-81aa-1b5aa63d7ce7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634E27A8</paraID>
      <start>86</start>
      <end>87</end>
      <status>modified</status>
      <modifiedWord>—</modifiedWord>
      <trackRevisions>false</trackRevisions>
    </reviewItem>
    <reviewItem>
      <errorID>f248e7e6-466c-4df7-a770-b4479aec4573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634E27A8</paraID>
      <start>101</start>
      <end>102</end>
      <status>modified</status>
      <modifiedWord>—</modifiedWord>
      <trackRevisions>false</trackRevisions>
    </reviewItem>
    <reviewItem>
      <errorID>d3f9129f-5cbd-4a61-84c3-d2248b2d14d0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634E27A8</paraID>
      <start>114</start>
      <end>115</end>
      <status>modified</status>
      <modifiedWord>—</modifiedWord>
      <trackRevisions>false</trackRevisions>
    </reviewItem>
    <reviewItem>
      <errorID>5728fec5-00cd-4c1b-8230-e05f989efa6d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634E27A8</paraID>
      <start>126</start>
      <end>127</end>
      <status>modified</status>
      <modifiedWord>—</modifiedWord>
      <trackRevisions>false</trackRevisions>
    </reviewItem>
    <reviewItem>
      <errorID>75b3f5f1-82a8-4ba1-9249-b4374f07e702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634E27A8</paraID>
      <start>139</start>
      <end>140</end>
      <status>modified</status>
      <modifiedWord>—</modifiedWord>
      <trackRevisions>false</trackRevisions>
    </reviewItem>
    <reviewItem>
      <errorID>15f6b0de-cc22-4e91-8851-0b1f70fdf3b8</errorID>
      <errorWord>青少年镜片</errorWord>
      <group>L1_Grammar</group>
      <groupName>语法问题</groupName>
      <ability>L2_Grammar</ability>
      <abilityName>语法错误</abilityName>
      <candidateList>
        <item>青少年</item>
      </candidateList>
      <explain/>
      <paraID>7CBE7919</paraID>
      <start>0</start>
      <end>3</end>
      <status>modified</status>
      <modifiedWord>青少年</modifiedWord>
      <trackRevisions>false</trackRevisions>
    </reviewItem>
    <reviewItem>
      <errorID>2c8a77eb-8980-4866-8fa4-9c7ae761f2e9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4D09FFC2</paraID>
      <start>86</start>
      <end>87</end>
      <status>modified</status>
      <modifiedWord>—</modifiedWord>
      <trackRevisions>false</trackRevisions>
    </reviewItem>
    <reviewItem>
      <errorID>33f8f6d1-b85a-4404-b8da-73338a5dd409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4D09FFC2</paraID>
      <start>101</start>
      <end>102</end>
      <status>modified</status>
      <modifiedWord>—</modifiedWord>
      <trackRevisions>false</trackRevisions>
    </reviewItem>
    <reviewItem>
      <errorID>33be419f-1d33-475f-a455-58b394b73d71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4D09FFC2</paraID>
      <start>114</start>
      <end>115</end>
      <status>modified</status>
      <modifiedWord>—</modifiedWord>
      <trackRevisions>false</trackRevisions>
    </reviewItem>
    <reviewItem>
      <errorID>be595586-37d1-4da4-b122-c298ddcd0988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4D09FFC2</paraID>
      <start>126</start>
      <end>127</end>
      <status>modified</status>
      <modifiedWord>—</modifiedWord>
      <trackRevisions>false</trackRevisions>
    </reviewItem>
    <reviewItem>
      <errorID>d7097975-4d08-430e-bb21-1358ee08097f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4D09FFC2</paraID>
      <start>139</start>
      <end>140</end>
      <status>modified</status>
      <modifiedWord>—</modifiedWord>
      <trackRevisions>false</trackRevisions>
    </reviewItem>
    <reviewItem>
      <errorID>1f444787-5f8d-4c52-ba89-cb554fdf0b32</errorID>
      <errorWord>适合</errorWord>
      <group>L1_Grammar</group>
      <groupName>语法问题</groupName>
      <ability>L2_Grammar</ability>
      <abilityName>语法错误</abilityName>
      <candidateList>
        <item>符合</item>
      </candidateList>
      <explain>“适合～要求”搭配不当，建议修改为“符合～要求”。</explain>
      <paraID>1B7ECADD</paraID>
      <start>103</start>
      <end>105</end>
      <status>modified</status>
      <modifiedWord>符合</modifiedWord>
      <trackRevisions>false</trackRevisions>
    </reviewItem>
    <reviewItem>
      <errorID>851f6aaa-d86d-44d5-8abf-70b9fb426cfc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1B7ECADD</paraID>
      <start>153</start>
      <end>154</end>
      <status>modified</status>
      <modifiedWord>—</modifiedWord>
      <trackRevisions>false</trackRevisions>
    </reviewItem>
    <reviewItem>
      <errorID>e4f84644-1da2-40bf-aef3-d398ccc6d7a2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1B7ECADD</paraID>
      <start>168</start>
      <end>169</end>
      <status>modified</status>
      <modifiedWord>—</modifiedWord>
      <trackRevisions>false</trackRevisions>
    </reviewItem>
    <reviewItem>
      <errorID>54226b86-2c49-44d4-8269-82ca9ef7c98f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1B7ECADD</paraID>
      <start>180</start>
      <end>181</end>
      <status>modified</status>
      <modifiedWord>—</modifiedWord>
      <trackRevisions>false</trackRevisions>
    </reviewItem>
    <reviewItem>
      <errorID>ed81362e-3ab5-4c6b-be8a-248d45699b64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1B7ECADD</paraID>
      <start>192</start>
      <end>193</end>
      <status>modified</status>
      <modifiedWord>—</modifiedWord>
      <trackRevisions>false</trackRevisions>
    </reviewItem>
    <reviewItem>
      <errorID>ff3e7cab-9fd7-44da-8a49-51773a406ffa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1B7ECADD</paraID>
      <start>205</start>
      <end>206</end>
      <status>modified</status>
      <modifiedWord>—</modifiedWord>
      <trackRevisions>false</trackRevisions>
    </reviewItem>
    <reviewItem>
      <errorID>41686aa0-d258-4954-a491-9b503da8e44b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79D24902</paraID>
      <start>56</start>
      <end>57</end>
      <status>modified</status>
      <modifiedWord>—</modifiedWord>
      <trackRevisions>false</trackRevisions>
    </reviewItem>
    <reviewItem>
      <errorID>3dffec34-73be-42c8-ac00-e0095fcc332f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79D24902</paraID>
      <start>72</start>
      <end>73</end>
      <status>modified</status>
      <modifiedWord>—</modifiedWord>
      <trackRevisions>false</trackRevisions>
    </reviewItem>
    <reviewItem>
      <errorID>ec8796a9-8af9-4667-aed0-57694de1f689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79D24902</paraID>
      <start>86</start>
      <end>87</end>
      <status>modified</status>
      <modifiedWord>—</modifiedWord>
      <trackRevisions>false</trackRevisions>
    </reviewItem>
    <reviewItem>
      <errorID>d41ce06a-4256-4d4d-ae15-5e4a34361cd4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79D24902</paraID>
      <start>99</start>
      <end>100</end>
      <status>modified</status>
      <modifiedWord>—</modifiedWord>
      <trackRevisions>false</trackRevisions>
    </reviewItem>
    <reviewItem>
      <errorID>ac2d386b-7f42-4aa0-aea2-f9dc7f036757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79D24902</paraID>
      <start>114</start>
      <end>115</end>
      <status>modified</status>
      <modifiedWord>—</modifiedWord>
      <trackRevisions>false</trackRevisions>
    </reviewItem>
    <reviewItem>
      <errorID>82bbfb11-e685-4cf5-9009-26fc7c7f3096</errorID>
      <errorWord>青少年人群</errorWord>
      <group>L1_Grammar</group>
      <groupName>语法问题</groupName>
      <ability>L2_Grammar</ability>
      <abilityName>语法错误</abilityName>
      <candidateList>
        <item>青少年</item>
      </candidateList>
      <explain>该表达中的“青少年人群”存在语义重复。【词汇解析】青少年：指人十五六岁至三十岁左右的阶段。泛指在这个阶段的人群。包含了“人群”的意思。</explain>
      <paraID>6E8A0CEB</paraID>
      <start>18</start>
      <end>21</end>
      <status>modified</status>
      <modifiedWord>青少年</modifiedWord>
      <trackRevisions>false</trackRevisions>
    </reviewItem>
    <reviewItem>
      <errorID>ea996208-6411-4166-8a8d-aa49d5f61412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6E8A0CEB</paraID>
      <start>54</start>
      <end>55</end>
      <status>modified</status>
      <modifiedWord>—</modifiedWord>
      <trackRevisions>false</trackRevisions>
    </reviewItem>
    <reviewItem>
      <errorID>a2edeff4-d322-482b-96d1-29023d26e8ee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6E8A0CEB</paraID>
      <start>70</start>
      <end>71</end>
      <status>modified</status>
      <modifiedWord>—</modifiedWord>
      <trackRevisions>false</trackRevisions>
    </reviewItem>
    <reviewItem>
      <errorID>d3929494-965a-4ba4-83c1-c00399a90980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6E8A0CEB</paraID>
      <start>84</start>
      <end>85</end>
      <status>modified</status>
      <modifiedWord>—</modifiedWord>
      <trackRevisions>false</trackRevisions>
    </reviewItem>
    <reviewItem>
      <errorID>f987b008-ab3c-4f5a-b560-baf18b49040c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6E8A0CEB</paraID>
      <start>97</start>
      <end>98</end>
      <status>modified</status>
      <modifiedWord>—</modifiedWord>
      <trackRevisions>false</trackRevisions>
    </reviewItem>
    <reviewItem>
      <errorID>cffa8d2d-bbb5-439e-8535-736c9b3cb8fd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6E8A0CEB</paraID>
      <start>112</start>
      <end>113</end>
      <status>modified</status>
      <modifiedWord>—</modifiedWord>
      <trackRevisions>false</trackRevisions>
    </reviewItem>
    <reviewItem>
      <errorID>659b822c-560c-4c65-a782-1d42b3152839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648ECBC3</paraID>
      <start>59</start>
      <end>60</end>
      <status>modified</status>
      <modifiedWord>—</modifiedWord>
      <trackRevisions>false</trackRevisions>
    </reviewItem>
    <reviewItem>
      <errorID>dff31a70-6167-4135-bec3-1a79e91e3ce2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648ECBC3</paraID>
      <start>75</start>
      <end>76</end>
      <status>modified</status>
      <modifiedWord>—</modifiedWord>
      <trackRevisions>false</trackRevisions>
    </reviewItem>
    <reviewItem>
      <errorID>94bee61f-be75-4543-9533-71a47e7da204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648ECBC3</paraID>
      <start>89</start>
      <end>90</end>
      <status>modified</status>
      <modifiedWord>—</modifiedWord>
      <trackRevisions>false</trackRevisions>
    </reviewItem>
    <reviewItem>
      <errorID>4103b6bd-3881-450e-a40d-d41a34ebd447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648ECBC3</paraID>
      <start>102</start>
      <end>103</end>
      <status>modified</status>
      <modifiedWord>—</modifiedWord>
      <trackRevisions>false</trackRevisions>
    </reviewItem>
    <reviewItem>
      <errorID>1100c330-99e5-4e78-bfd8-2050f03c756f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648ECBC3</paraID>
      <start>117</start>
      <end>118</end>
      <status>modified</status>
      <modifiedWord>—</modifiedWord>
      <trackRevisions>false</trackRevisions>
    </reviewItem>
    <reviewItem>
      <errorID>8505268e-2f8f-429d-89df-b29d0f70d81c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96901CC</paraID>
      <start>98</start>
      <end>99</end>
      <status>modified</status>
      <modifiedWord>—</modifiedWord>
      <trackRevisions>false</trackRevisions>
    </reviewItem>
    <reviewItem>
      <errorID>3571adb4-6072-4095-8bd7-606a780f283e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96901CC</paraID>
      <start>114</start>
      <end>115</end>
      <status>modified</status>
      <modifiedWord>—</modifiedWord>
      <trackRevisions>false</trackRevisions>
    </reviewItem>
    <reviewItem>
      <errorID>decc15c9-f410-4f07-98f7-797b0b797367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96901CC</paraID>
      <start>128</start>
      <end>129</end>
      <status>modified</status>
      <modifiedWord>—</modifiedWord>
      <trackRevisions>false</trackRevisions>
    </reviewItem>
    <reviewItem>
      <errorID>52b31382-5e8a-4f84-8cb7-efb10a7d4c26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96901CC</paraID>
      <start>141</start>
      <end>142</end>
      <status>modified</status>
      <modifiedWord>—</modifiedWord>
      <trackRevisions>false</trackRevisions>
    </reviewItem>
    <reviewItem>
      <errorID>42d85d5f-2245-4e69-ad7f-1cac40808864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96901CC</paraID>
      <start>156</start>
      <end>157</end>
      <status>modified</status>
      <modifiedWord>—</modifiedWord>
      <trackRevisions>false</trackRevisions>
    </reviewItem>
    <reviewItem>
      <errorID>cdb57fe1-7251-4ed5-bfcc-9a120a706e92</errorID>
      <errorWord>种</errorWord>
      <group>L1_Knowledge</group>
      <groupName>知识性问题</groupName>
      <ability>L2_Knowledge</ability>
      <abilityName>其他知识</abilityName>
      <candidateList>
        <item>个</item>
      </candidateList>
      <explain>请检查“种”是否为量词使用错误，建议修改为“个”。</explain>
      <paraID> C1692A8</paraID>
      <start>65</start>
      <end>66</end>
      <status>modified</status>
      <modifiedWord>个</modifiedWord>
      <trackRevisions>false</trackRevisions>
    </reviewItem>
    <reviewItem>
      <errorID>623d15b6-c6cf-470d-aed6-58647fc3465b</errorID>
      <errorWord>，</errorWord>
      <group>L1_Punc</group>
      <groupName>标点问题</groupName>
      <ability>L2_Punc_CN</ability>
      <abilityName>标点符号问题</abilityName>
      <candidateList>
        <item>、</item>
      </candidateList>
      <explain/>
      <paraID> C1692A8</paraID>
      <start>137</start>
      <end>138</end>
      <status>modified</status>
      <modifiedWord>、</modifiedWord>
      <trackRevisions>false</trackRevisions>
    </reviewItem>
    <reviewItem>
      <errorID>f8393244-9230-4f4c-acf8-c5017099fbcb</errorID>
      <errorWord>种</errorWord>
      <group>L1_Knowledge</group>
      <groupName>知识性问题</groupName>
      <ability>L2_Knowledge</ability>
      <abilityName>其他知识</abilityName>
      <candidateList>
        <item>个</item>
      </candidateList>
      <explain>请检查“种”是否为量词使用错误，建议修改为“个”。</explain>
      <paraID>45EBF9B1</paraID>
      <start>65</start>
      <end>66</end>
      <status>modified</status>
      <modifiedWord>个</modifiedWord>
      <trackRevisions>false</trackRevisions>
    </reviewItem>
    <reviewItem>
      <errorID>6af5555b-e7ff-45e8-b3f7-35797b896491</errorID>
      <errorWord>有用</errorWord>
      <group>L1_Word</group>
      <groupName>字词问题</groupName>
      <ability>L2_Typo</ability>
      <abilityName>字词错误</abilityName>
      <candidateList>
        <item>采用</item>
      </candidateList>
      <explain/>
      <paraID>2C3EBD7C</paraID>
      <start>9</start>
      <end>11</end>
      <status>modified</status>
      <modifiedWord>采用</modifiedWord>
      <trackRevisions>false</trackRevisions>
    </reviewItem>
    <reviewItem>
      <errorID>61128434-22b3-4a65-97b5-0a94158b8949</errorID>
      <errorWord>并</errorWord>
      <group>L1_Word</group>
      <groupName>字词问题</groupName>
      <ability>L2_Typo</ability>
      <abilityName>字词错误</abilityName>
      <candidateList>
        <item>，</item>
      </candidateList>
      <explain/>
      <paraID>2C3EBD7C</paraID>
      <start>35</start>
      <end>36</end>
      <status>modified</status>
      <modifiedWord>，</modifiedWord>
      <trackRevisions>false</trackRevisions>
    </reviewItem>
    <reviewItem>
      <errorID>0513fc5d-b221-43df-83f7-07e78a902b8e</errorID>
      <errorWord>粘</errorWord>
      <group>L1_Word</group>
      <groupName>字词问题</groupName>
      <ability>L2_Typo</ability>
      <abilityName>字词错误</abilityName>
      <candidateList>
        <item>沾</item>
      </candidateList>
      <explain>存在发音相同字词的误用。</explain>
      <paraID>2C3EBD7C</paraID>
      <start>95</start>
      <end>96</end>
      <status>modified</status>
      <modifiedWord>沾</modifiedWord>
      <trackRevisions>false</trackRevisions>
    </reviewItem>
    <reviewItem>
      <errorID>931a07ce-24b4-4594-9e62-37e1462e54cf</errorID>
      <errorWord>有用</errorWord>
      <group>L1_Word</group>
      <groupName>字词问题</groupName>
      <ability>L2_Typo</ability>
      <abilityName>字词错误</abilityName>
      <candidateList>
        <item>采用</item>
      </candidateList>
      <explain/>
      <paraID>24469C1F</paraID>
      <start>9</start>
      <end>11</end>
      <status>modified</status>
      <modifiedWord>采用</modifiedWord>
      <trackRevisions>false</trackRevisions>
    </reviewItem>
    <reviewItem>
      <errorID>faf7e16f-b21a-43b6-a887-546e9821a14d</errorID>
      <errorWord>并</errorWord>
      <group>L1_Word</group>
      <groupName>字词问题</groupName>
      <ability>L2_Typo</ability>
      <abilityName>字词错误</abilityName>
      <candidateList>
        <item>，</item>
      </candidateList>
      <explain/>
      <paraID>24469C1F</paraID>
      <start>35</start>
      <end>36</end>
      <status>modified</status>
      <modifiedWord>，</modifiedWord>
      <trackRevisions>false</trackRevisions>
    </reviewItem>
    <reviewItem>
      <errorID>79496f73-2623-4b8e-8ffd-65289940a29f</errorID>
      <errorWord>粘</errorWord>
      <group>L1_Word</group>
      <groupName>字词问题</groupName>
      <ability>L2_Typo</ability>
      <abilityName>字词错误</abilityName>
      <candidateList>
        <item>沾</item>
      </candidateList>
      <explain>存在发音相同字词的误用。</explain>
      <paraID>24469C1F</paraID>
      <start>95</start>
      <end>96</end>
      <status>modified</status>
      <modifiedWord>沾</modifiedWord>
      <trackRevisions>false</trackRevisions>
    </reviewItem>
    <reviewItem>
      <errorID>3d835481-3fea-4300-b2c8-93a53917c815</errorID>
      <errorWord>到</errorWord>
      <group>L1_Word</group>
      <groupName>字词问题</groupName>
      <ability>L2_Typo</ability>
      <abilityName>字词错误</abilityName>
      <candidateList>
        <item>上</item>
      </candidateList>
      <explain/>
      <paraID>24469C1F</paraID>
      <start>96</start>
      <end>97</end>
      <status>modified</status>
      <modifiedWord>上</modifiedWord>
      <trackRevisions>false</trackRevisions>
    </reviewItem>
    <reviewItem>
      <errorID>acda2f3c-720d-4e57-96c1-8c633ca953d3</errorID>
      <errorWord>，</errorWord>
      <group>L1_Punc</group>
      <groupName>标点问题</groupName>
      <ability>L2_Punc_CN</ability>
      <abilityName>标点符号问题</abilityName>
      <candidateList>
        <item>；</item>
      </candidateList>
      <explain/>
      <paraID>24469C1F</paraID>
      <start>148</start>
      <end>149</end>
      <status>modified</status>
      <modifiedWord>；</modifiedWord>
      <trackRevisions>false</trackRevisions>
    </reviewItem>
    <reviewItem>
      <errorID>88e18ace-c6f8-451b-9f1b-e15d70604d59</errorID>
      <errorWord>真实</errorWord>
      <group>L1_Word</group>
      <groupName>字词问题</groupName>
      <ability>L2_Typo</ability>
      <abilityName>字词错误</abilityName>
      <candidateList>
        <item>清晰</item>
      </candidateList>
      <explain/>
      <paraID>535BF765</paraID>
      <start>32</start>
      <end>34</end>
      <status>modified</status>
      <modifiedWord>清晰</modifiedWord>
      <trackRevisions>false</trackRevisions>
    </reviewItem>
    <reviewItem>
      <errorID>eabd51b5-b34f-4857-ae9a-19cd95d7da9b</errorID>
      <errorWord>良好</errorWord>
      <group>L1_Grammar</group>
      <groupName>语法问题</groupName>
      <ability>L2_Grammar</ability>
      <abilityName>语法错误</abilityName>
      <candidateList>
        <item>实现良好</item>
      </candidateList>
      <explain/>
      <paraID>535BF765</paraID>
      <start>59</start>
      <end>63</end>
      <status>modified</status>
      <modifiedWord>实现良好</modifiedWord>
      <trackRevisions>false</trackRevisions>
    </reviewItem>
    <reviewItem>
      <errorID>9deb7756-03b9-47e0-aa3c-77c5f74ada26</errorID>
      <errorWord>的一种</errorWord>
      <group>L1_Grammar</group>
      <groupName>语法问题</groupName>
      <ability>L2_Grammar</ability>
      <abilityName>语法错误</abilityName>
      <candidateList>
        <item>的</item>
      </candidateList>
      <explain/>
      <paraID>535BF765</paraID>
      <start>65</start>
      <end>66</end>
      <status>modified</status>
      <modifiedWord>的</modifiedWord>
      <trackRevisions>false</trackRevisions>
    </reviewItem>
    <reviewItem>
      <errorID>d8f7e44b-7105-47ed-9878-35541c745bd3</errorID>
      <errorWord>使得</errorWord>
      <group>L1_Word</group>
      <groupName>字词问题</groupName>
      <ability>L2_Typo</ability>
      <abilityName>字词错误</abilityName>
      <candidateList>
        <item>使</item>
      </candidateList>
      <explain/>
      <paraID>535BF765</paraID>
      <start>87</start>
      <end>88</end>
      <status>modified</status>
      <modifiedWord>使</modifiedWord>
      <trackRevisions>false</trackRevisions>
    </reviewItem>
    <reviewItem>
      <errorID>5ac14c4c-3c12-4250-80d5-1f432e0d2fe4</errorID>
      <errorWord>..</errorWord>
      <group>L1_Punc</group>
      <groupName>标点问题</groupName>
      <ability>L2_Punc_CN</ability>
      <abilityName>标点符号问题</abilityName>
      <candidateList>
        <item>.</item>
      </candidateList>
      <explain/>
      <paraID>535BF765</paraID>
      <start>146</start>
      <end>147</end>
      <status>modified</status>
      <modifiedWord>.</modifiedWord>
      <trackRevisions>false</trackRevisions>
    </reviewItem>
    <reviewItem>
      <errorID>577ccdb4-d49a-4950-958f-3c1c81765093</errorID>
      <errorWord>种</errorWord>
      <group>L1_Knowledge</group>
      <groupName>知识性问题</groupName>
      <ability>L2_Knowledge</ability>
      <abilityName>其他知识</abilityName>
      <candidateList>
        <item>个</item>
      </candidateList>
      <explain>请检查“种”是否为量词使用错误，建议修改为“个”。</explain>
      <paraID>23E0BCB4</paraID>
      <start>65</start>
      <end>66</end>
      <status>modified</status>
      <modifiedWord>个</modifiedWord>
      <trackRevisions>false</trackRevisions>
    </reviewItem>
    <reviewItem>
      <errorID>f3906a49-dc3a-494a-920f-29ecb5ab03d2</errorID>
      <errorWord>独特</errorWord>
      <group>L1_Grammar</group>
      <groupName>语法问题</groupName>
      <ability>L2_Grammar</ability>
      <abilityName>语法错误</abilityName>
      <candidateList>
        <item>采用独特</item>
      </candidateList>
      <explain/>
      <paraID>4E2AF707</paraID>
      <start>9</start>
      <end>13</end>
      <status>modified</status>
      <modifiedWord>采用独特</modifiedWord>
      <trackRevisions>false</trackRevisions>
    </reviewItem>
    <reviewItem>
      <errorID>fc544586-6cac-497c-99e6-f60ebe9c1a1f</errorID>
      <errorWord>真实</errorWord>
      <group>L1_Word</group>
      <groupName>字词问题</groupName>
      <ability>L2_Typo</ability>
      <abilityName>字词错误</abilityName>
      <candidateList>
        <item>清晰</item>
      </candidateList>
      <explain/>
      <paraID>4E2AF707</paraID>
      <start>39</start>
      <end>41</end>
      <status>modified</status>
      <modifiedWord>清晰</modifiedWord>
      <trackRevisions>false</trackRevisions>
    </reviewItem>
    <reviewItem>
      <errorID>47ff2138-0fba-4a2f-af00-37ea62cd4fb2</errorID>
      <errorWord>种</errorWord>
      <group>L1_Knowledge</group>
      <groupName>知识性问题</groupName>
      <ability>L2_Knowledge</ability>
      <abilityName>其他知识</abilityName>
      <candidateList>
        <item>个</item>
      </candidateList>
      <explain>请检查“种”是否为量词使用错误，建议修改为“个”。</explain>
      <paraID>4E2AF707</paraID>
      <start>72</start>
      <end>73</end>
      <status>modified</status>
      <modifiedWord>个</modifiedWord>
      <trackRevisions>false</trackRevisions>
    </reviewItem>
    <reviewItem>
      <errorID>46834d70-42ab-4f0f-85a8-dd6994dc6093</errorID>
      <errorWord>种</errorWord>
      <group>L1_Knowledge</group>
      <groupName>知识性问题</groupName>
      <ability>L2_Knowledge</ability>
      <abilityName>其他知识</abilityName>
      <candidateList>
        <item>个</item>
      </candidateList>
      <explain>请检查“种”是否为量词使用错误，建议修改为“个”。</explain>
      <paraID>79012C62</paraID>
      <start>68</start>
      <end>69</end>
      <status>modified</status>
      <modifiedWord>个</modifiedWord>
      <trackRevisions>false</trackRevisions>
    </reviewItem>
    <reviewItem>
      <errorID>25a08ae6-5ec8-4f7a-b631-3d3df082ad70</errorID>
      <errorWord>种</errorWord>
      <group>L1_Knowledge</group>
      <groupName>知识性问题</groupName>
      <ability>L2_Knowledge</ability>
      <abilityName>其他知识</abilityName>
      <candidateList>
        <item>个</item>
      </candidateList>
      <explain>请检查“种”是否为量词使用错误，建议修改为“个”。</explain>
      <paraID>574C3C62</paraID>
      <start>68</start>
      <end>69</end>
      <status>modified</status>
      <modifiedWord>个</modifiedWord>
      <trackRevisions>false</trackRevisions>
    </reviewItem>
    <reviewItem>
      <errorID>f6061c81-82cc-4966-8045-4e76cf8e07d5</errorID>
      <errorWord>种</errorWord>
      <group>L1_Knowledge</group>
      <groupName>知识性问题</groupName>
      <ability>L2_Knowledge</ability>
      <abilityName>其他知识</abilityName>
      <candidateList>
        <item>个</item>
      </candidateList>
      <explain>请检查“种”是否为量词使用错误，建议修改为“个”。</explain>
      <paraID> F623401</paraID>
      <start>68</start>
      <end>69</end>
      <status>modified</status>
      <modifiedWord>个</modifiedWord>
      <trackRevisions>false</trackRevisions>
    </reviewItem>
    <reviewItem>
      <errorID>33cf82f6-3053-4c15-a80f-54ccc8dd2e46</errorID>
      <errorWord>种</errorWord>
      <group>L1_Knowledge</group>
      <groupName>知识性问题</groupName>
      <ability>L2_Knowledge</ability>
      <abilityName>其他知识</abilityName>
      <candidateList>
        <item>个</item>
      </candidateList>
      <explain>请检查“种”是否为量词使用错误，建议修改为“个”。</explain>
      <paraID>7F3DEE2A</paraID>
      <start>68</start>
      <end>69</end>
      <status>modified</status>
      <modifiedWord>个</modifiedWord>
      <trackRevisions>false</trackRevisions>
    </reviewItem>
    <reviewItem>
      <errorID>4e08ed12-a470-44a3-851b-01744bc26fed</errorID>
      <errorWord>种</errorWord>
      <group>L1_Knowledge</group>
      <groupName>知识性问题</groupName>
      <ability>L2_Knowledge</ability>
      <abilityName>其他知识</abilityName>
      <candidateList>
        <item>个</item>
      </candidateList>
      <explain>请检查“种”是否为量词使用错误，建议修改为“个”。</explain>
      <paraID>4C21B42D</paraID>
      <start>68</start>
      <end>69</end>
      <status>modified</status>
      <modifiedWord>个</modifiedWord>
      <trackRevisions>false</trackRevisions>
    </reviewItem>
    <reviewItem>
      <errorID>ef824ce2-bfdd-42df-865a-2659c2b98f7a</errorID>
      <errorWord>种</errorWord>
      <group>L1_Knowledge</group>
      <groupName>知识性问题</groupName>
      <ability>L2_Knowledge</ability>
      <abilityName>其他知识</abilityName>
      <candidateList>
        <item>个</item>
      </candidateList>
      <explain>请检查“种”是否为量词使用错误，建议修改为“个”。</explain>
      <paraID>154CD458</paraID>
      <start>68</start>
      <end>69</end>
      <status>modified</status>
      <modifiedWord>个</modifiedWord>
      <trackRevisions>false</trackRevisions>
    </reviewItem>
    <reviewItem>
      <errorID>708e3071-70cb-4254-aa7a-d0730348110d</errorID>
      <errorWord>---</errorWord>
      <group>L1_Word</group>
      <groupName>字词问题</groupName>
      <ability>L2_Typo</ability>
      <abilityName>字词错误</abilityName>
      <candidateList>
        <item>.00~</item>
      </candidateList>
      <explain/>
      <paraID>154CD458</paraID>
      <start>149</start>
      <end>153</end>
      <status>modified</status>
      <modifiedWord>.00~</modifiedWord>
      <trackRevisions>false</trackRevisions>
    </reviewItem>
    <reviewItem>
      <errorID>ba8231a4-f403-4050-9165-1b3e102fe618</errorID>
      <errorWord>-。</errorWord>
      <group>L1_Punc</group>
      <groupName>标点问题</groupName>
      <ability>L2_Punc_CN</ability>
      <abilityName>标点符号问题</abilityName>
      <candidateList>
        <item>.</item>
      </candidateList>
      <explain/>
      <paraID>154CD458</paraID>
      <start>155</start>
      <end>156</end>
      <status>modified</status>
      <modifiedWord>.</modifiedWord>
      <trackRevisions>false</trackRevisions>
    </reviewItem>
    <reviewItem>
      <errorID>bffc4439-201e-4c7e-93b8-c41daff8dd4d</errorID>
      <errorWord>---</errorWord>
      <group>L1_Punc</group>
      <groupName>标点问题</groupName>
      <ability>L2_Punc_CN</ability>
      <abilityName>标点符号问题</abilityName>
      <candidateList>
        <item>~</item>
      </candidateList>
      <explain/>
      <paraID>154CD458</paraID>
      <start>194</start>
      <end>195</end>
      <status>modified</status>
      <modifiedWord>~</modifiedWord>
      <trackRevisions>false</trackRevisions>
    </reviewItem>
    <reviewItem>
      <errorID>3f3822ba-ad34-4004-ab0e-62328fe8e5fb</errorID>
      <errorWord>种</errorWord>
      <group>L1_Knowledge</group>
      <groupName>知识性问题</groupName>
      <ability>L2_Knowledge</ability>
      <abilityName>其他知识</abilityName>
      <candidateList>
        <item>个</item>
      </candidateList>
      <explain>请检查“种”是否为量词使用错误，建议修改为“个”。</explain>
      <paraID>54102C2D</paraID>
      <start>68</start>
      <end>69</end>
      <status>modified</status>
      <modifiedWord>个</modifiedWord>
      <trackRevisions>false</trackRevisions>
    </reviewItem>
    <reviewItem>
      <errorID>75f149fc-5476-4f90-9df7-d126142d706d</errorID>
      <errorWord>种</errorWord>
      <group>L1_Knowledge</group>
      <groupName>知识性问题</groupName>
      <ability>L2_Knowledge</ability>
      <abilityName>其他知识</abilityName>
      <candidateList>
        <item>个</item>
      </candidateList>
      <explain>请检查“种”是否为量词使用错误，建议修改为“个”。</explain>
      <paraID>34EE0089</paraID>
      <start>68</start>
      <end>69</end>
      <status>modified</status>
      <modifiedWord>个</modifiedWord>
      <trackRevisions>false</trackRevisions>
    </reviewItem>
    <reviewItem>
      <errorID>bc9cc715-ba2e-40e9-b3c9-04e7248bdf0f</errorID>
      <errorWord>种</errorWord>
      <group>L1_Knowledge</group>
      <groupName>知识性问题</groupName>
      <ability>L2_Knowledge</ability>
      <abilityName>其他知识</abilityName>
      <candidateList>
        <item>个</item>
      </candidateList>
      <explain>请检查“种”是否为量词使用错误，建议修改为“个”。</explain>
      <paraID>5E58EC61</paraID>
      <start>68</start>
      <end>69</end>
      <status>modified</status>
      <modifiedWord>个</modifiedWord>
      <trackRevisions>false</trackRevisions>
    </reviewItem>
    <reviewItem>
      <errorID>0bd76cca-0b52-4564-b675-8f1409e3dc8b</errorID>
      <errorWord>：3.</errorWord>
      <group>L1_Grammar</group>
      <groupName>语法问题</groupName>
      <ability>L2_Grammar</ability>
      <abilityName>语法错误</abilityName>
      <candidateList>
        <item>：</item>
      </candidateList>
      <explain/>
      <paraID> 1944F70</paraID>
      <start>64</start>
      <end>65</end>
      <status>modified</status>
      <modifiedWord>：</modifiedWord>
      <trackRevisions>false</trackRevisions>
    </reviewItem>
    <reviewItem>
      <errorID>ce6d06af-076d-4e1f-a955-8b9f586538de</errorID>
      <errorWord>4.00</errorWord>
      <group>L1_Grammar</group>
      <groupName>语法问题</groupName>
      <ability>L2_Grammar</ability>
      <abilityName>语法错误</abilityName>
      <candidateList>
        <item>4</item>
      </candidateList>
      <explain/>
      <paraID> 1944F70</paraID>
      <start>122</start>
      <end>123</end>
      <status>modified</status>
      <modifiedWord>4</modifiedWord>
      <trackRevisions>false</trackRevisions>
    </reviewItem>
    <reviewItem>
      <errorID>69a55bd1-3af8-48b6-b705-a84777387ddb</errorID>
      <errorWord>种</errorWord>
      <group>L1_Knowledge</group>
      <groupName>知识性问题</groupName>
      <ability>L2_Knowledge</ability>
      <abilityName>其他知识</abilityName>
      <candidateList>
        <item>个</item>
      </candidateList>
      <explain>请检查“种”是否为量词使用错误，建议修改为“个”。</explain>
      <paraID>5C2C8BD3</paraID>
      <start>68</start>
      <end>69</end>
      <status>modified</status>
      <modifiedWord>个</modifiedWord>
      <trackRevisions>false</trackRevisions>
    </reviewItem>
    <reviewItem>
      <errorID>8cf4c5fd-bd41-477e-86f1-d4302a7ddc9c</errorID>
      <errorWord>种</errorWord>
      <group>L1_Knowledge</group>
      <groupName>知识性问题</groupName>
      <ability>L2_Knowledge</ability>
      <abilityName>其他知识</abilityName>
      <candidateList>
        <item>个</item>
      </candidateList>
      <explain>请检查“种”是否为量词使用错误，建议修改为“个”。</explain>
      <paraID>75619F93</paraID>
      <start>70</start>
      <end>71</end>
      <status>modified</status>
      <modifiedWord>个</modifiedWord>
      <trackRevisions>false</trackRevisions>
    </reviewItem>
    <reviewItem>
      <errorID>487909f1-fe4f-4b9c-a105-e33d5e304868</errorID>
      <errorWord>种</errorWord>
      <group>L1_Knowledge</group>
      <groupName>知识性问题</groupName>
      <ability>L2_Knowledge</ability>
      <abilityName>其他知识</abilityName>
      <candidateList>
        <item>个</item>
      </candidateList>
      <explain>请检查“种”是否为量词使用错误，建议修改为“个”。</explain>
      <paraID>4EE2C14C</paraID>
      <start>68</start>
      <end>69</end>
      <status>modified</status>
      <modifiedWord>个</modifiedWord>
      <trackRevisions>false</trackRevisions>
    </reviewItem>
    <reviewItem>
      <errorID>506b038d-af79-4a4a-b033-06d3ac2a64c7</errorID>
      <errorWord>耐磨二、</errorWord>
      <group>L1_Grammar</group>
      <groupName>语法问题</groupName>
      <ability>L2_Grammar</ability>
      <abilityName>语法错误</abilityName>
      <candidateList>
        <item>耐磨</item>
      </candidateList>
      <explain/>
      <paraID>4EE2C14C</paraID>
      <start>136</start>
      <end>138</end>
      <status>modified</status>
      <modifiedWord>耐磨</modifiedWord>
      <trackRevisions>false</trackRevisions>
    </reviewItem>
    <reviewItem>
      <errorID>b6d669ff-2676-4418-b9db-d7e30b07545f</errorID>
      <errorWord>种</errorWord>
      <group>L1_Knowledge</group>
      <groupName>知识性问题</groupName>
      <ability>L2_Knowledge</ability>
      <abilityName>其他知识</abilityName>
      <candidateList>
        <item>个</item>
      </candidateList>
      <explain>请检查“种”是否为量词使用错误，建议修改为“个”。</explain>
      <paraID>2072F19A</paraID>
      <start>68</start>
      <end>69</end>
      <status>modified</status>
      <modifiedWord>个</modifiedWord>
      <trackRevisions>false</trackRevisions>
    </reviewItem>
    <reviewItem>
      <errorID>1925c362-a691-42c5-85aa-1d72dc305687</errorID>
      <errorWord>种</errorWord>
      <group>L1_Knowledge</group>
      <groupName>知识性问题</groupName>
      <ability>L2_Knowledge</ability>
      <abilityName>其他知识</abilityName>
      <candidateList>
        <item>个</item>
      </candidateList>
      <explain>请检查“种”是否为量词使用错误，建议修改为“个”。</explain>
      <paraID>29833D03</paraID>
      <start>68</start>
      <end>69</end>
      <status>modified</status>
      <modifiedWord>个</modifiedWord>
      <trackRevisions>false</trackRevisions>
    </reviewItem>
    <reviewItem>
      <errorID>9547a175-980c-48db-818e-b2d57cca3dfe</errorID>
      <errorWord>种</errorWord>
      <group>L1_Knowledge</group>
      <groupName>知识性问题</groupName>
      <ability>L2_Knowledge</ability>
      <abilityName>其他知识</abilityName>
      <candidateList>
        <item>个</item>
      </candidateList>
      <explain>请检查“种”是否为量词使用错误，建议修改为“个”。</explain>
      <paraID>74B1A983</paraID>
      <start>67</start>
      <end>68</end>
      <status>modified</status>
      <modifiedWord>个</modifiedWord>
      <trackRevisions>false</trackRevisions>
    </reviewItem>
    <reviewItem>
      <errorID>9bdf3e7c-0dd4-4dde-a03c-4aebb1667bdc</errorID>
      <errorWord>。.</errorWord>
      <group>L1_Punc</group>
      <groupName>标点问题</groupName>
      <ability>L2_Punc_CN</ability>
      <abilityName>标点符号问题</abilityName>
      <candidateList>
        <item>。</item>
      </candidateList>
      <explain/>
      <paraID>55017528</paraID>
      <start>76</start>
      <end>77</end>
      <status>modified</status>
      <modifiedWord>。</modifiedWord>
      <trackRevisions>false</trackRevisions>
    </reviewItem>
    <reviewItem>
      <errorID>8a784376-9efd-44d8-9512-2e27e8e0683e</errorID>
      <errorWord>。.</errorWord>
      <group>L1_Punc</group>
      <groupName>标点问题</groupName>
      <ability>L2_Punc_CN</ability>
      <abilityName>标点符号问题</abilityName>
      <candidateList>
        <item>。</item>
      </candidateList>
      <explain/>
      <paraID>3252732B</paraID>
      <start>76</start>
      <end>77</end>
      <status>modified</status>
      <modifiedWord>。</modifiedWord>
      <trackRevisions>false</trackRevisions>
    </reviewItem>
    <reviewItem>
      <errorID>cdcbba63-86bf-47be-8db0-eb1ef89b1308</errorID>
      <errorWord>。.</errorWord>
      <group>L1_Punc</group>
      <groupName>标点问题</groupName>
      <ability>L2_Punc_CN</ability>
      <abilityName>标点符号问题</abilityName>
      <candidateList>
        <item>。</item>
      </candidateList>
      <explain/>
      <paraID> CD7DDEF</paraID>
      <start>76</start>
      <end>77</end>
      <status>modified</status>
      <modifiedWord>。</modifiedWord>
      <trackRevisions>false</trackRevisions>
    </reviewItem>
    <reviewItem>
      <errorID>3ef3270a-bf62-4faf-a037-0374bc10cce8</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3438B8E4</paraID>
      <start>8</start>
      <end>10</end>
      <status>modified</status>
      <modifiedWord>老视</modifiedWord>
      <trackRevisions>false</trackRevisions>
    </reviewItem>
    <reviewItem>
      <errorID>205d75a8-cd49-4db1-8d59-500b6202e80a</errorID>
      <errorWord>!</errorWord>
      <group>L1_Format</group>
      <groupName>格式问题</groupName>
      <ability>L2_HalfPunc_CN</ability>
      <abilityName>全半角问题</abilityName>
      <candidateList>
        <item>！</item>
      </candidateList>
      <explain>文本全半角错误。</explain>
      <paraID>6B1B3C68</paraID>
      <start>92</start>
      <end>93</end>
      <status>modified</status>
      <modifiedWord>！</modifiedWord>
      <trackRevisions>false</trackRevisions>
    </reviewItem>
    <reviewItem>
      <errorID>5254afd4-1c24-4be7-9f90-acd562bd1662</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61945D38</paraID>
      <start>11</start>
      <end>13</end>
      <status>modified</status>
      <modifiedWord>老视</modifiedWord>
      <trackRevisions>false</trackRevisions>
    </reviewItem>
    <reviewItem>
      <errorID>6d102002-5b6c-4cf6-bfa2-413abe09f815</errorID>
      <errorWord>!</errorWord>
      <group>L1_Format</group>
      <groupName>格式问题</groupName>
      <ability>L2_HalfPunc_CN</ability>
      <abilityName>全半角问题</abilityName>
      <candidateList>
        <item>！</item>
      </candidateList>
      <explain>文本全半角错误。</explain>
      <paraID>48D9C8B6</paraID>
      <start>92</start>
      <end>93</end>
      <status>modified</status>
      <modifiedWord>！</modifiedWord>
      <trackRevisions>false</trackRevisions>
    </reviewItem>
    <reviewItem>
      <errorID>8f7b5edf-136d-4978-9304-a288624dfc2e</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537EBFA0</paraID>
      <start>10</start>
      <end>12</end>
      <status>modified</status>
      <modifiedWord>老视</modifiedWord>
      <trackRevisions>false</trackRevisions>
    </reviewItem>
    <reviewItem>
      <errorID>b19f2597-6e17-43a3-8234-35448dd33a60</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486B0D09</paraID>
      <start>8</start>
      <end>10</end>
      <status>modified</status>
      <modifiedWord>老视</modifiedWord>
      <trackRevisions>false</trackRevisions>
    </reviewItem>
    <reviewItem>
      <errorID>5a87fb4d-21c2-417f-8eb5-2f3e9a94ba26</errorID>
      <errorWord>!</errorWord>
      <group>L1_Format</group>
      <groupName>格式问题</groupName>
      <ability>L2_HalfPunc_CN</ability>
      <abilityName>全半角问题</abilityName>
      <candidateList>
        <item>！</item>
      </candidateList>
      <explain>文本全半角错误。</explain>
      <paraID>3F75781D</paraID>
      <start>92</start>
      <end>93</end>
      <status>modified</status>
      <modifiedWord>！</modifiedWord>
      <trackRevisions>false</trackRevisions>
    </reviewItem>
    <reviewItem>
      <errorID>e6f3625b-5cf4-4972-b007-8a1d320fc470</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3A716A28</paraID>
      <start>11</start>
      <end>13</end>
      <status>modified</status>
      <modifiedWord>老视</modifiedWord>
      <trackRevisions>false</trackRevisions>
    </reviewItem>
    <reviewItem>
      <errorID>afc61db5-4d3e-4799-b739-4eae15c84569</errorID>
      <errorWord>，</errorWord>
      <group>L1_Punc</group>
      <groupName>标点问题</groupName>
      <ability>L2_Punc_CN</ability>
      <abilityName>标点符号问题</abilityName>
      <candidateList>
        <item>、</item>
      </candidateList>
      <explain/>
      <paraID> 58D6DF2</paraID>
      <start>89</start>
      <end>90</end>
      <status>modified</status>
      <modifiedWord>、</modifiedWord>
      <trackRevisions>false</trackRevisions>
    </reviewItem>
    <reviewItem>
      <errorID>789cb1ec-d087-4192-809f-b084a0918c58</errorID>
      <errorWord>!</errorWord>
      <group>L1_Punc</group>
      <groupName>标点问题</groupName>
      <ability>L2_Punc_CN</ability>
      <abilityName>标点符号问题</abilityName>
      <candidateList>
        <item>！</item>
      </candidateList>
      <explain/>
      <paraID> 58D6DF2</paraID>
      <start>92</start>
      <end>93</end>
      <status>modified</status>
      <modifiedWord>！</modifiedWord>
      <trackRevisions>false</trackRevisions>
    </reviewItem>
    <reviewItem>
      <errorID>5a5c4c7d-603f-4aff-8a6b-55c2bd5c70e3</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7458CE67</paraID>
      <start>10</start>
      <end>12</end>
      <status>modified</status>
      <modifiedWord>老视</modifiedWord>
      <trackRevisions>false</trackRevisions>
    </reviewItem>
    <reviewItem>
      <errorID>80883e47-c9b8-41da-9e23-407eabb4a17c</errorID>
      <errorWord>后面表</errorWord>
      <group>L1_Word</group>
      <groupName>字词问题</groupName>
      <ability>L2_Typo</ability>
      <abilityName>字词错误</abilityName>
      <candidateList>
        <item>表面</item>
      </candidateList>
      <explain/>
      <paraID>44D8839A</paraID>
      <start>19</start>
      <end>21</end>
      <status>modified</status>
      <modifiedWord>表面</modifiedWord>
      <trackRevisions>false</trackRevisions>
    </reviewItem>
    <reviewItem>
      <errorID>4488f90d-1294-49e9-88ad-79bcab29b264</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3A32DBBB</paraID>
      <start>12</start>
      <end>14</end>
      <status>modified</status>
      <modifiedWord>老视</modifiedWord>
      <trackRevisions>false</trackRevisions>
    </reviewItem>
    <reviewItem>
      <errorID>b6d43265-dc8f-4e1c-97db-a3dc4d4eb86f</errorID>
      <errorWord>!</errorWord>
      <group>L1_Format</group>
      <groupName>格式问题</groupName>
      <ability>L2_HalfPunc_CN</ability>
      <abilityName>全半角问题</abilityName>
      <candidateList>
        <item>！</item>
      </candidateList>
      <explain>文本全半角错误。</explain>
      <paraID>4BFD2546</paraID>
      <start>92</start>
      <end>93</end>
      <status>modified</status>
      <modifiedWord>！</modifiedWord>
      <trackRevisions>false</trackRevisions>
    </reviewItem>
    <reviewItem>
      <errorID>25a7ba72-e4be-4010-ba5e-18d9601ddc33</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6348F8A2</paraID>
      <start>15</start>
      <end>17</end>
      <status>modified</status>
      <modifiedWord>老视</modifiedWord>
      <trackRevisions>false</trackRevisions>
    </reviewItem>
    <reviewItem>
      <errorID>fa59c82a-8b32-4115-97d4-a8e711ec8a56</errorID>
      <errorWord>!</errorWord>
      <group>L1_Format</group>
      <groupName>格式问题</groupName>
      <ability>L2_HalfPunc_CN</ability>
      <abilityName>全半角问题</abilityName>
      <candidateList>
        <item>！</item>
      </candidateList>
      <explain>文本全半角错误。</explain>
      <paraID> 4FA37A4</paraID>
      <start>92</start>
      <end>93</end>
      <status>modified</status>
      <modifiedWord>！</modifiedWord>
      <trackRevisions>false</trackRevisions>
    </reviewItem>
    <reviewItem>
      <errorID>1eea0740-721f-41b3-bd73-defaf94ce368</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57FCDE01</paraID>
      <start>12</start>
      <end>14</end>
      <status>modified</status>
      <modifiedWord>老视</modifiedWord>
      <trackRevisions>false</trackRevisions>
    </reviewItem>
    <reviewItem>
      <errorID>0464a7a7-7091-4374-aa40-ce8da9d7a11a</errorID>
      <errorWord>!</errorWord>
      <group>L1_Format</group>
      <groupName>格式问题</groupName>
      <ability>L2_HalfPunc_CN</ability>
      <abilityName>全半角问题</abilityName>
      <candidateList>
        <item>！</item>
      </candidateList>
      <explain>文本全半角错误。</explain>
      <paraID>4AC27B8E</paraID>
      <start>92</start>
      <end>93</end>
      <status>modified</status>
      <modifiedWord>！</modifiedWord>
      <trackRevisions>false</trackRevisions>
    </reviewItem>
    <reviewItem>
      <errorID>9bdd6fb3-f035-4415-940f-b4c26a9384e0</errorID>
      <errorWord>老花</errorWord>
      <group>L1_Knowledge</group>
      <groupName>知识性问题</groupName>
      <ability>L2_Term</ability>
      <abilityName>专业术语</abilityName>
      <candidateList>
        <item>老视</item>
      </candidateList>
      <explain>医学名词[老花]为不规范表述或旧称，其规范书面表述为[老视]。</explain>
      <paraID>27C6DFB3</paraID>
      <start>15</start>
      <end>17</end>
      <status>modified</status>
      <modifiedWord>老视</modifiedWord>
      <trackRevisions>false</trackRevisions>
    </reviewItem>
    <reviewItem>
      <errorID>d9b06d52-0b50-471e-8932-ba4cabe29b31</errorID>
      <errorWord>!</errorWord>
      <group>L1_Format</group>
      <groupName>格式问题</groupName>
      <ability>L2_HalfPunc_CN</ability>
      <abilityName>全半角问题</abilityName>
      <candidateList>
        <item>！</item>
      </candidateList>
      <explain>文本全半角错误。</explain>
      <paraID>23F180E0</paraID>
      <start>92</start>
      <end>93</end>
      <status>modified</status>
      <modifiedWord>！</modifiedWord>
      <trackRevisions>false</trackRevisions>
    </reviewItem>
    <reviewItem>
      <errorID>e8501f9d-246b-43b3-936b-266616dd2178</errorID>
      <errorWord>更</errorWord>
      <group>L1_Word</group>
      <groupName>字词问题</groupName>
      <ability>L2_Typo</ability>
      <abilityName>字词错误</abilityName>
      <candidateList>
        <item>更加</item>
      </candidateList>
      <explain>〈副〉表示程度上又深了一层或者数量上进一步增加或减少：公家的书，应该～爱护｜天色渐亮，晨星～稀少了。</explain>
      <paraID>2E697C6A</paraID>
      <start>54</start>
      <end>56</end>
      <status>modified</status>
      <modifiedWord>更加</modifiedWord>
      <trackRevisions>false</trackRevisions>
    </reviewItem>
    <reviewItem>
      <errorID>79cadcff-f895-4c72-a22a-afd03cb857d0</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2ADEE2C4</paraID>
      <start>35</start>
      <end>36</end>
      <status>modified</status>
      <modifiedWord>使</modifiedWord>
      <trackRevisions>false</trackRevisions>
    </reviewItem>
    <reviewItem>
      <errorID>8ab76a17-b592-438f-8681-398969e104b2</errorID>
      <errorWord>架</errorWord>
      <group>L1_Word</group>
      <groupName>字词问题</groupName>
      <ability>L2_Typo</ability>
      <abilityName>字词错误</abilityName>
      <candidateList>
        <item>加</item>
      </candidateList>
      <explain/>
      <paraID>2ADEE2C4</paraID>
      <start>52</start>
      <end>53</end>
      <status>modified</status>
      <modifiedWord>加</modifiedWord>
      <trackRevisions>false</trackRevisions>
    </reviewItem>
    <reviewItem>
      <errorID>a705dede-e592-46c0-80f3-72da358b420d</errorID>
      <errorWord>更</errorWord>
      <group>L1_Word</group>
      <groupName>字词问题</groupName>
      <ability>L2_Typo</ability>
      <abilityName>字词错误</abilityName>
      <candidateList>
        <item>更加</item>
      </candidateList>
      <explain>〈副〉表示程度上又深了一层或者数量上进一步增加或减少：公家的书，应该～爱护｜天色渐亮，晨星～稀少了。</explain>
      <paraID>14B44EC2</paraID>
      <start>54</start>
      <end>56</end>
      <status>modified</status>
      <modifiedWord>更加</modifiedWord>
      <trackRevisions>false</trackRevisions>
    </reviewItem>
    <reviewItem>
      <errorID>7a491752-f10d-41cb-b121-6f78a3c6e544</errorID>
      <errorWord>更</errorWord>
      <group>L1_Word</group>
      <groupName>字词问题</groupName>
      <ability>L2_Typo</ability>
      <abilityName>字词错误</abilityName>
      <candidateList>
        <item>更加</item>
      </candidateList>
      <explain>〈副〉表示程度上又深了一层或者数量上进一步增加或减少：公家的书，应该～爱护｜天色渐亮，晨星～稀少了。</explain>
      <paraID>2F8D6AF1</paraID>
      <start>54</start>
      <end>56</end>
      <status>modified</status>
      <modifiedWord>更加</modifiedWord>
      <trackRevisions>false</trackRevisions>
    </reviewItem>
    <reviewItem>
      <errorID>dab1ba1c-bb52-4a26-ae19-65f7fa7256c1</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449B0094</paraID>
      <start>34</start>
      <end>35</end>
      <status>modified</status>
      <modifiedWord>使</modifiedWord>
      <trackRevisions>false</trackRevisions>
    </reviewItem>
    <reviewItem>
      <errorID>966cd66d-e549-4f3f-9727-9561aa781d44</errorID>
      <errorWord>架</errorWord>
      <group>L1_Word</group>
      <groupName>字词问题</groupName>
      <ability>L2_Typo</ability>
      <abilityName>字词错误</abilityName>
      <candidateList>
        <item>角</item>
      </candidateList>
      <explain>存在发音相近字词的误用。</explain>
      <paraID>449B0094</paraID>
      <start>51</start>
      <end>52</end>
      <status>modified</status>
      <modifiedWord>角</modifiedWord>
      <trackRevisions>false</trackRevisions>
    </reviewItem>
    <reviewItem>
      <errorID>d19db583-4776-4c46-924b-9e9fb170de0e</errorID>
      <errorWord>更</errorWord>
      <group>L1_Word</group>
      <groupName>字词问题</groupName>
      <ability>L2_Typo</ability>
      <abilityName>字词错误</abilityName>
      <candidateList>
        <item>更加</item>
      </candidateList>
      <explain>〈副〉表示程度上又深了一层或者数量上进一步增加或减少：公家的书，应该～爱护｜天色渐亮，晨星～稀少了。</explain>
      <paraID>387EF989</paraID>
      <start>54</start>
      <end>56</end>
      <status>modified</status>
      <modifiedWord>更加</modifiedWord>
      <trackRevisions>false</trackRevisions>
    </reviewItem>
    <reviewItem>
      <errorID>9dffc1a4-8f7e-4339-93c7-81cdff7476d8</errorID>
      <errorWord>更</errorWord>
      <group>L1_Word</group>
      <groupName>字词问题</groupName>
      <ability>L2_Typo</ability>
      <abilityName>字词错误</abilityName>
      <candidateList>
        <item>更加</item>
      </candidateList>
      <explain>〈副〉表示程度上又深了一层或者数量上进一步增加或减少：公家的书，应该～爱护｜天色渐亮，晨星～稀少了。</explain>
      <paraID>11E74690</paraID>
      <start>54</start>
      <end>56</end>
      <status>modified</status>
      <modifiedWord>更加</modifiedWord>
      <trackRevisions>false</trackRevisions>
    </reviewItem>
    <reviewItem>
      <errorID>de326e4f-4b8a-41e2-995d-da4efa247244</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1DC7549C</paraID>
      <start>34</start>
      <end>35</end>
      <status>modified</status>
      <modifiedWord>使</modifiedWord>
      <trackRevisions>false</trackRevisions>
    </reviewItem>
    <reviewItem>
      <errorID>1e0b2837-2c2e-4c4c-9c3e-b7ccada06aac</errorID>
      <errorWord>架</errorWord>
      <group>L1_Word</group>
      <groupName>字词问题</groupName>
      <ability>L2_Typo</ability>
      <abilityName>字词错误</abilityName>
      <candidateList>
        <item>加</item>
      </candidateList>
      <explain/>
      <paraID>1DC7549C</paraID>
      <start>51</start>
      <end>52</end>
      <status>modified</status>
      <modifiedWord>加</modifiedWord>
      <trackRevisions>false</trackRevisions>
    </reviewItem>
    <reviewItem>
      <errorID>053c8cf5-4dd9-4084-a102-9891f1457245</errorID>
      <errorWord>更</errorWord>
      <group>L1_Word</group>
      <groupName>字词问题</groupName>
      <ability>L2_Typo</ability>
      <abilityName>字词错误</abilityName>
      <candidateList>
        <item>更加</item>
      </candidateList>
      <explain>〈副〉表示程度上又深了一层或者数量上进一步增加或减少：公家的书，应该～爱护｜天色渐亮，晨星～稀少了。</explain>
      <paraID>29ACE921</paraID>
      <start>54</start>
      <end>56</end>
      <status>modified</status>
      <modifiedWord>更加</modifiedWord>
      <trackRevisions>false</trackRevisions>
    </reviewItem>
    <reviewItem>
      <errorID>b8801f64-8b22-4dee-958a-3bd2e722cff8</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7BF59261</paraID>
      <start>35</start>
      <end>36</end>
      <status>modified</status>
      <modifiedWord>使</modifiedWord>
      <trackRevisions>false</trackRevisions>
    </reviewItem>
    <reviewItem>
      <errorID>bae92ba6-ff56-4f9f-a4d0-285883b4e310</errorID>
      <errorWord>架</errorWord>
      <group>L1_Word</group>
      <groupName>字词问题</groupName>
      <ability>L2_Typo</ability>
      <abilityName>字词错误</abilityName>
      <candidateList>
        <item>加</item>
      </candidateList>
      <explain/>
      <paraID>7BF59261</paraID>
      <start>52</start>
      <end>53</end>
      <status>modified</status>
      <modifiedWord>加</modifiedWord>
      <trackRevisions>false</trackRevisions>
    </reviewItem>
    <reviewItem>
      <errorID>9a007fe3-d9eb-4af3-b5b8-4a4c8abc88b4</errorID>
      <errorWord>受到</errorWord>
      <group>L1_Word</group>
      <groupName>字词问题</groupName>
      <ability>L2_Typo</ability>
      <abilityName>字词错误</abilityName>
      <candidateList>
        <item>受</item>
      </candidateList>
      <explain>〈动〉❶接受：～贿｜～教育｜～到帮助。❷遭受：～灾｜～批评｜～委屈。❸忍受；禁受：～不了｜～得住。❹适合：～吃（吃着有味）｜～看（看着舒服）｜～听（听着入耳）。</explain>
      <paraID>53118EDB</paraID>
      <start>72</start>
      <end>73</end>
      <status>modified</status>
      <modifiedWord>受</modifiedWord>
      <trackRevisions>false</trackRevisions>
    </reviewItem>
    <reviewItem>
      <errorID>502c35ad-0629-4d8b-965b-de14b5034f0d</errorID>
      <errorWord>受到</errorWord>
      <group>L1_Word</group>
      <groupName>字词问题</groupName>
      <ability>L2_Typo</ability>
      <abilityName>字词错误</abilityName>
      <candidateList>
        <item>受</item>
      </candidateList>
      <explain>〈动〉❶接受：～贿｜～教育｜～到帮助。❷遭受：～灾｜～批评｜～委屈。❸忍受；禁受：～不了｜～得住。❹适合：～吃（吃着有味）｜～看（看着舒服）｜～听（听着入耳）。</explain>
      <paraID>62B49D2D</paraID>
      <start>72</start>
      <end>73</end>
      <status>modified</status>
      <modifiedWord>受</modifiedWord>
      <trackRevisions>false</trackRevisions>
    </reviewItem>
    <reviewItem>
      <errorID>336c4c20-6c82-44be-8a77-c50893cb3621</errorID>
      <errorWord>成效</errorWord>
      <group>L1_Word</group>
      <groupName>字词问题</groupName>
      <ability>L2_Typo</ability>
      <abilityName>字词错误</abilityName>
      <candidateList>
        <item>成像</item>
      </candidateList>
      <explain>〈动〉〈形〉成图像或影像。</explain>
      <paraID>451B4F6D</paraID>
      <start>40</start>
      <end>42</end>
      <status>modified</status>
      <modifiedWord>成像</modifiedWord>
      <trackRevisions>false</trackRevisions>
    </reviewItem>
    <reviewItem>
      <errorID>bea01e78-7954-4d02-b9a4-359ab534d932</errorID>
      <errorWord>成效</errorWord>
      <group>L1_Word</group>
      <groupName>字词问题</groupName>
      <ability>L2_Typo</ability>
      <abilityName>字词错误</abilityName>
      <candidateList>
        <item>成像</item>
      </candidateList>
      <explain>〈动〉〈形〉成图像或影像。</explain>
      <paraID>5AB6D03A</paraID>
      <start>40</start>
      <end>42</end>
      <status>modified</status>
      <modifiedWord>成像</modifiedWord>
      <trackRevisions>false</trackRevisions>
    </reviewItem>
    <reviewItem>
      <errorID>1bf4f3f3-bd66-44d3-87b9-8246ba773f36</errorID>
      <errorWord>成效</errorWord>
      <group>L1_Word</group>
      <groupName>字词问题</groupName>
      <ability>L2_Typo</ability>
      <abilityName>字词错误</abilityName>
      <candidateList>
        <item>成像</item>
      </candidateList>
      <explain>〈动〉〈形〉成图像或影像。</explain>
      <paraID>162AA09E</paraID>
      <start>40</start>
      <end>42</end>
      <status>modified</status>
      <modifiedWord>成像</modifiedWord>
      <trackRevisions>false</trackRevisions>
    </reviewItem>
    <reviewItem>
      <errorID>a1a96450-ecc4-447a-aa63-c108ab2a31a2</errorID>
      <errorWord>成效</errorWord>
      <group>L1_Word</group>
      <groupName>字词问题</groupName>
      <ability>L2_Typo</ability>
      <abilityName>字词错误</abilityName>
      <candidateList>
        <item>成像</item>
      </candidateList>
      <explain>〈动〉〈形〉成图像或影像。</explain>
      <paraID>6B9E1B03</paraID>
      <start>40</start>
      <end>42</end>
      <status>modified</status>
      <modifiedWord>成像</modifiedWord>
      <trackRevisions>false</trackRevisions>
    </reviewItem>
    <reviewItem>
      <errorID>30dfcb86-3fd5-4d29-a632-9a53ab38afa4</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3387CD93</paraID>
      <start>34</start>
      <end>35</end>
      <status>modified</status>
      <modifiedWord>使</modifiedWord>
      <trackRevisions>false</trackRevisions>
    </reviewItem>
    <reviewItem>
      <errorID>fd5bf206-7126-444a-a870-fd451b186b1d</errorID>
      <errorWord>架</errorWord>
      <group>L1_Word</group>
      <groupName>字词问题</groupName>
      <ability>L2_Typo</ability>
      <abilityName>字词错误</abilityName>
      <candidateList>
        <item>角</item>
      </candidateList>
      <explain>存在发音相近字词的误用。</explain>
      <paraID>3387CD93</paraID>
      <start>51</start>
      <end>52</end>
      <status>modified</status>
      <modifiedWord>角</modifiedWord>
      <trackRevisions>false</trackRevisions>
    </reviewItem>
    <reviewItem>
      <errorID>33fa9669-e599-4f4b-9c45-fedcaf52a0fa</errorID>
      <errorWord>行</errorWord>
      <group>L1_Word</group>
      <groupName>字词问题</groupName>
      <ability>L2_Typo</ability>
      <abilityName>字词错误</abilityName>
      <candidateList>
        <item>性</item>
      </candidateList>
      <explain>存在发音相同字词的误用。</explain>
      <paraID>45ECEEF6</paraID>
      <start>30</start>
      <end>31</end>
      <status>modified</status>
      <modifiedWord>性</modifiedWord>
      <trackRevisions>false</trackRevisions>
    </reviewItem>
    <reviewItem>
      <errorID>6177615f-010f-45f4-ba40-8bdfea1c61ee</errorID>
      <errorWord>行</errorWord>
      <group>L1_Word</group>
      <groupName>字词问题</groupName>
      <ability>L2_Typo</ability>
      <abilityName>字词错误</abilityName>
      <candidateList>
        <item>性</item>
      </candidateList>
      <explain>存在发音相同字词的误用。</explain>
      <paraID>1BADAFA3</paraID>
      <start>30</start>
      <end>31</end>
      <status>modified</status>
      <modifiedWord>性</modifiedWord>
      <trackRevisions>false</trackRevisions>
    </reviewItem>
    <reviewItem>
      <errorID>41ff79b2-a04b-4ecb-9e7b-3b5b08715188</errorID>
      <errorWord>行</errorWord>
      <group>L1_Word</group>
      <groupName>字词问题</groupName>
      <ability>L2_Typo</ability>
      <abilityName>字词错误</abilityName>
      <candidateList>
        <item>性</item>
      </candidateList>
      <explain>存在发音相同字词的误用。</explain>
      <paraID>18CB4151</paraID>
      <start>30</start>
      <end>31</end>
      <status>modified</status>
      <modifiedWord>性</modifiedWord>
      <trackRevisions>false</trackRevisions>
    </reviewItem>
    <reviewItem>
      <errorID>ee0e0f23-b086-4691-bace-e4bdd6e84e29</errorID>
      <errorWord>行</errorWord>
      <group>L1_Word</group>
      <groupName>字词问题</groupName>
      <ability>L2_Typo</ability>
      <abilityName>字词错误</abilityName>
      <candidateList>
        <item>性</item>
      </candidateList>
      <explain>存在发音相同字词的误用。</explain>
      <paraID>719569A8</paraID>
      <start>30</start>
      <end>31</end>
      <status>modified</status>
      <modifiedWord>性</modifiedWord>
      <trackRevisions>false</trackRevisions>
    </reviewItem>
    <reviewItem>
      <errorID>01523286-7b8d-42fc-ae09-3cc1b8b70d09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521BCB36</paraID>
      <start>0</start>
      <end>2</end>
      <status>modified</status>
      <modifiedWord>一、</modifiedWord>
      <trackRevisions>false</trackRevisions>
    </reviewItem>
    <reviewItem>
      <errorID>c2caa67e-9fbd-47ca-905c-163e5fc95873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7556AA5C</paraID>
      <start>0</start>
      <end>2</end>
      <status>modified</status>
      <modifiedWord>一、</modifiedWord>
      <trackRevisions>false</trackRevisions>
    </reviewItem>
    <reviewItem>
      <errorID>d94b9edf-94c5-45a6-a77b-9d0b1a0132ee</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1C6AC188</paraID>
      <start>34</start>
      <end>35</end>
      <status>modified</status>
      <modifiedWord>使</modifiedWord>
      <trackRevisions>false</trackRevisions>
    </reviewItem>
    <reviewItem>
      <errorID>45229dcf-a2f2-44f3-8055-c6d45f5e1f91</errorID>
      <errorWord>架</errorWord>
      <group>L1_Word</group>
      <groupName>字词问题</groupName>
      <ability>L2_Typo</ability>
      <abilityName>字词错误</abilityName>
      <candidateList>
        <item>角</item>
      </candidateList>
      <explain>存在发音相近字词的误用。</explain>
      <paraID>1C6AC188</paraID>
      <start>51</start>
      <end>52</end>
      <status>modified</status>
      <modifiedWord>角</modifiedWord>
      <trackRevisions>false</trackRevisions>
    </reviewItem>
    <reviewItem>
      <errorID>2f2d78b3-38bf-4a6e-b735-2628a64060f0</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2BF78B17</paraID>
      <start>34</start>
      <end>35</end>
      <status>modified</status>
      <modifiedWord>使</modifiedWord>
      <trackRevisions>false</trackRevisions>
    </reviewItem>
    <reviewItem>
      <errorID>92319c2b-c11a-427c-89c7-845bc455e355</errorID>
      <errorWord>架</errorWord>
      <group>L1_Word</group>
      <groupName>字词问题</groupName>
      <ability>L2_Typo</ability>
      <abilityName>字词错误</abilityName>
      <candidateList>
        <item>角</item>
      </candidateList>
      <explain>存在发音相近字词的误用。</explain>
      <paraID>2BF78B17</paraID>
      <start>51</start>
      <end>52</end>
      <status>modified</status>
      <modifiedWord>角</modifiedWord>
      <trackRevisions>false</trackRevisions>
    </reviewItem>
    <reviewItem>
      <errorID>9ad5513e-e3a4-43af-be15-120acfe3777c</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441E249D</paraID>
      <start>34</start>
      <end>35</end>
      <status>modified</status>
      <modifiedWord>使</modifiedWord>
      <trackRevisions>false</trackRevisions>
    </reviewItem>
    <reviewItem>
      <errorID>fbc28a46-7170-4f37-8d3e-301c747ec590</errorID>
      <errorWord>架</errorWord>
      <group>L1_Word</group>
      <groupName>字词问题</groupName>
      <ability>L2_Typo</ability>
      <abilityName>字词错误</abilityName>
      <candidateList>
        <item>角</item>
      </candidateList>
      <explain>存在发音相近字词的误用。</explain>
      <paraID>441E249D</paraID>
      <start>51</start>
      <end>52</end>
      <status>modified</status>
      <modifiedWord>角</modifiedWord>
      <trackRevisions>false</trackRevisions>
    </reviewItem>
    <reviewItem>
      <errorID>d298cadb-b376-4601-aa5c-12117b823749</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53F1E6FE</paraID>
      <start>34</start>
      <end>35</end>
      <status>modified</status>
      <modifiedWord>使</modifiedWord>
      <trackRevisions>false</trackRevisions>
    </reviewItem>
    <reviewItem>
      <errorID>d99b116d-5c09-4439-b537-6cd18faa96af</errorID>
      <errorWord>架</errorWord>
      <group>L1_Word</group>
      <groupName>字词问题</groupName>
      <ability>L2_Typo</ability>
      <abilityName>字词错误</abilityName>
      <candidateList>
        <item>角</item>
      </candidateList>
      <explain>存在发音相近字词的误用。</explain>
      <paraID>53F1E6FE</paraID>
      <start>51</start>
      <end>52</end>
      <status>modified</status>
      <modifiedWord>角</modifiedWord>
      <trackRevisions>false</trackRevisions>
    </reviewItem>
    <reviewItem>
      <errorID>d71ef40c-adf9-41a5-9623-7de12659dcac</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1DFBD7E6</paraID>
      <start>34</start>
      <end>35</end>
      <status>modified</status>
      <modifiedWord>使</modifiedWord>
      <trackRevisions>false</trackRevisions>
    </reviewItem>
    <reviewItem>
      <errorID>dc0fe342-014b-4eb7-9b22-c05ffbf0ef31</errorID>
      <errorWord>架</errorWord>
      <group>L1_Word</group>
      <groupName>字词问题</groupName>
      <ability>L2_Typo</ability>
      <abilityName>字词错误</abilityName>
      <candidateList>
        <item>角</item>
      </candidateList>
      <explain>存在发音相近字词的误用。</explain>
      <paraID>1DFBD7E6</paraID>
      <start>51</start>
      <end>52</end>
      <status>modified</status>
      <modifiedWord>角</modifiedWord>
      <trackRevisions>false</trackRevisions>
    </reviewItem>
    <reviewItem>
      <errorID>e83c4d2e-8876-49f9-9c17-ea29df6b3440</errorID>
      <errorWord>自认</errorWord>
      <group>L1_Word</group>
      <groupName>字词问题</groupName>
      <ability>L2_Typo</ability>
      <abilityName>字词错误</abilityName>
      <candidateList>
        <item>自然</item>
      </candidateList>
      <explain>〈形〉不勉强；不局促；不呆板：态度很～｜他是初次演出，但演得挺～。</explain>
      <paraID>42507B2A</paraID>
      <start>85</start>
      <end>87</end>
      <status>modified</status>
      <modifiedWord>自然</modifiedWord>
      <trackRevisions>false</trackRevisions>
    </reviewItem>
    <reviewItem>
      <errorID>81562a26-cf35-489a-a6ce-88c560233109</errorID>
      <errorWord>自认</errorWord>
      <group>L1_Word</group>
      <groupName>字词问题</groupName>
      <ability>L2_Typo</ability>
      <abilityName>字词错误</abilityName>
      <candidateList>
        <item>自然</item>
      </candidateList>
      <explain>〈形〉不勉强；不局促；不呆板：态度很～｜他是初次演出，但演得挺～。</explain>
      <paraID>48C571D1</paraID>
      <start>85</start>
      <end>87</end>
      <status>modified</status>
      <modifiedWord>自然</modifiedWord>
      <trackRevisions>false</trackRevisions>
    </reviewItem>
    <reviewItem>
      <errorID>085d479e-7e2d-4e67-9e06-f84c45876e38</errorID>
      <errorWord>自认</errorWord>
      <group>L1_Word</group>
      <groupName>字词问题</groupName>
      <ability>L2_Typo</ability>
      <abilityName>字词错误</abilityName>
      <candidateList>
        <item>自然</item>
      </candidateList>
      <explain>〈形〉不勉强；不局促；不呆板：态度很～｜他是初次演出，但演得挺～。</explain>
      <paraID>1C1282D0</paraID>
      <start>85</start>
      <end>87</end>
      <status>modified</status>
      <modifiedWord>自然</modifiedWord>
      <trackRevisions>false</trackRevisions>
    </reviewItem>
    <reviewItem>
      <errorID>9cf1cf5c-b0d5-4a2e-aa9b-e42982183d85</errorID>
      <errorWord>用视</errorWord>
      <group>L1_Word</group>
      <groupName>字词问题</groupName>
      <ability>L2_Typo</ability>
      <abilityName>字词错误</abilityName>
      <candidateList>
        <item>近视</item>
      </candidateList>
      <explain/>
      <paraID>41483780</paraID>
      <start>39</start>
      <end>41</end>
      <status>modified</status>
      <modifiedWord>近视</modifiedWord>
      <trackRevisions>false</trackRevisions>
    </reviewItem>
    <reviewItem>
      <errorID>11a234a8-388a-4e43-9d0c-3c083b01653c</errorID>
      <errorWord>用视</errorWord>
      <group>L1_Word</group>
      <groupName>字词问题</groupName>
      <ability>L2_Typo</ability>
      <abilityName>字词错误</abilityName>
      <candidateList>
        <item>近视</item>
      </candidateList>
      <explain/>
      <paraID>4AA75845</paraID>
      <start>39</start>
      <end>41</end>
      <status>modified</status>
      <modifiedWord>近视</modifiedWord>
      <trackRevisions>false</trackRevisions>
    </reviewItem>
    <reviewItem>
      <errorID>d76dcbb4-0f07-4dfe-bdc9-c9c53e1890f2</errorID>
      <errorWord>:</errorWord>
      <group>L1_Format</group>
      <groupName>格式问题</groupName>
      <ability>L2_HalfPunc_CN</ability>
      <abilityName>全半角问题</abilityName>
      <candidateList>
        <item>：</item>
      </candidateList>
      <explain>文本全半角错误。</explain>
      <paraID> 15BF4B1</paraID>
      <start>11</start>
      <end>12</end>
      <status>modified</status>
      <modifiedWord>：</modifiedWord>
      <trackRevisions>false</trackRevisions>
    </reviewItem>
    <reviewItem>
      <errorID>b6f0e344-9983-4068-bc50-81fdcda9191d</errorID>
      <errorWord>:</errorWord>
      <group>L1_Format</group>
      <groupName>格式问题</groupName>
      <ability>L2_HalfPunc_CN</ability>
      <abilityName>全半角问题</abilityName>
      <candidateList>
        <item>：</item>
      </candidateList>
      <explain>文本全半角错误。</explain>
      <paraID>3F896970</paraID>
      <start>11</start>
      <end>12</end>
      <status>modified</status>
      <modifiedWord>：</modifiedWord>
      <trackRevisions>false</trackRevisions>
    </reviewItem>
    <reviewItem>
      <errorID>f27347ef-875e-4fbc-966c-02a0b90e5766</errorID>
      <errorWord>:</errorWord>
      <group>L1_Format</group>
      <groupName>格式问题</groupName>
      <ability>L2_HalfPunc_CN</ability>
      <abilityName>全半角问题</abilityName>
      <candidateList>
        <item>：</item>
      </candidateList>
      <explain>文本全半角错误。</explain>
      <paraID> E96CEB9</paraID>
      <start>11</start>
      <end>12</end>
      <status>modified</status>
      <modifiedWord>：</modifiedWord>
      <trackRevisions>false</trackRevisions>
    </reviewItem>
    <reviewItem>
      <errorID>0fa68c9b-917b-48a2-b6b4-bd511a03b17d</errorID>
      <errorWord>:</errorWord>
      <group>L1_Format</group>
      <groupName>格式问题</groupName>
      <ability>L2_HalfPunc_CN</ability>
      <abilityName>全半角问题</abilityName>
      <candidateList>
        <item>：</item>
      </candidateList>
      <explain>文本全半角错误。</explain>
      <paraID>711ACBDF</paraID>
      <start>11</start>
      <end>12</end>
      <status>modified</status>
      <modifiedWord>：</modifiedWord>
      <trackRevisions>false</trackRevisions>
    </reviewItem>
    <reviewItem>
      <errorID>5efa6de4-711a-4ede-bdaf-2148a1e9cb15</errorID>
      <errorWord>:</errorWord>
      <group>L1_Format</group>
      <groupName>格式问题</groupName>
      <ability>L2_HalfPunc_CN</ability>
      <abilityName>全半角问题</abilityName>
      <candidateList>
        <item>：</item>
      </candidateList>
      <explain>文本全半角错误。</explain>
      <paraID>5E74D752</paraID>
      <start>11</start>
      <end>12</end>
      <status>modified</status>
      <modifiedWord>：</modifiedWord>
      <trackRevisions>false</trackRevisions>
    </reviewItem>
    <reviewItem>
      <errorID>c181f915-ccd0-490f-8fc5-6b36c6559c52</errorID>
      <errorWord>:</errorWord>
      <group>L1_Format</group>
      <groupName>格式问题</groupName>
      <ability>L2_HalfPunc_CN</ability>
      <abilityName>全半角问题</abilityName>
      <candidateList>
        <item>：</item>
      </candidateList>
      <explain>文本全半角错误。</explain>
      <paraID>25D29828</paraID>
      <start>11</start>
      <end>12</end>
      <status>modified</status>
      <modifiedWord>：</modifiedWord>
      <trackRevisions>false</trackRevisions>
    </reviewItem>
    <reviewItem>
      <errorID>dc36a503-40c3-4842-8e8a-342fddeb9687</errorID>
      <errorWord>:</errorWord>
      <group>L1_Format</group>
      <groupName>格式问题</groupName>
      <ability>L2_HalfPunc_CN</ability>
      <abilityName>全半角问题</abilityName>
      <candidateList>
        <item>：</item>
      </candidateList>
      <explain>文本全半角错误。</explain>
      <paraID>7FDB6D9E</paraID>
      <start>11</start>
      <end>12</end>
      <status>modified</status>
      <modifiedWord>：</modifiedWord>
      <trackRevisions>false</trackRevisions>
    </reviewItem>
    <reviewItem>
      <errorID>4224b3a8-74ad-4fc6-b24d-25c5125ac9e5</errorID>
      <errorWord>:</errorWord>
      <group>L1_Format</group>
      <groupName>格式问题</groupName>
      <ability>L2_HalfPunc_CN</ability>
      <abilityName>全半角问题</abilityName>
      <candidateList>
        <item>：</item>
      </candidateList>
      <explain>文本全半角错误。</explain>
      <paraID>435EACC1</paraID>
      <start>11</start>
      <end>12</end>
      <status>modified</status>
      <modifiedWord>：</modifiedWord>
      <trackRevisions>false</trackRevisions>
    </reviewItem>
    <reviewItem>
      <errorID>5ba0655b-51d8-4a9e-b5b2-087a8dc6ede9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EFF187F</paraID>
      <start>32</start>
      <end>33</end>
      <status>modified</status>
      <modifiedWord>—</modifiedWord>
      <trackRevisions>false</trackRevisions>
    </reviewItem>
    <reviewItem>
      <errorID>59a85fda-c124-4946-baa8-1be7bbf21d86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68A4BDE6</paraID>
      <start>32</start>
      <end>33</end>
      <status>modified</status>
      <modifiedWord>—</modifiedWord>
      <trackRevisions>false</trackRevisions>
    </reviewItem>
    <reviewItem>
      <errorID>5e1f5fa1-88a0-45fa-a393-10bfd1c359f2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470CB72A</paraID>
      <start>32</start>
      <end>33</end>
      <status>modified</status>
      <modifiedWord>—</modifiedWord>
      <trackRevisions>false</trackRevisions>
    </reviewItem>
    <reviewItem>
      <errorID>0dbbe5d2-4a4b-450d-b133-f98e87e3f3fd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563339D6</paraID>
      <start>32</start>
      <end>33</end>
      <status>modified</status>
      <modifiedWord>—</modifiedWord>
      <trackRevisions>false</trackRevisions>
    </reviewItem>
    <reviewItem>
      <errorID>2ba8789b-80e1-4060-87f7-8a6aacb86147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48D6AE17</paraID>
      <start>32</start>
      <end>33</end>
      <status>modified</status>
      <modifiedWord>—</modifiedWord>
      <trackRevisions>false</trackRevisions>
    </reviewItem>
    <reviewItem>
      <errorID>2525303a-bf4e-41d4-901f-f0100ab86155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204D9629</paraID>
      <start>32</start>
      <end>33</end>
      <status>modified</status>
      <modifiedWord>—</modifiedWord>
      <trackRevisions>false</trackRevisions>
    </reviewItem>
    <reviewItem>
      <errorID>e72255e7-d309-48cf-ae3d-241373b47d97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1B7398B9</paraID>
      <start>32</start>
      <end>33</end>
      <status>modified</status>
      <modifiedWord>—</modifiedWord>
      <trackRevisions>false</trackRevisions>
    </reviewItem>
    <reviewItem>
      <errorID>4cf699fa-abca-445e-9093-db7188c0c6d6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16E77B19</paraID>
      <start>32</start>
      <end>33</end>
      <status>modified</status>
      <modifiedWord>—</modifiedWord>
      <trackRevisions>false</trackRevisions>
    </reviewItem>
    <reviewItem>
      <errorID>8c5e2612-2750-43a0-b105-ff390c707b96</errorID>
      <errorWord>视像不等</errorWord>
      <group>L1_Knowledge</group>
      <groupName>知识性问题</groupName>
      <ability>L2_Term</ability>
      <abilityName>专业术语</abilityName>
      <candidateList>
        <item>影像不等</item>
      </candidateList>
      <explain>医学名词[视像不等]为不规范表述或旧称，其规范书面表述为[影像不等]。</explain>
      <paraID>30EB1601</paraID>
      <start>167</start>
      <end>171</end>
      <status>modified</status>
      <modifiedWord>影像不等</modifiedWord>
      <trackRevisions>false</trackRevisions>
    </reviewItem>
    <reviewItem>
      <errorID>b169dcd3-d53a-4057-bead-3d2e20760080</errorID>
      <errorWord>视像不等</errorWord>
      <group>L1_Knowledge</group>
      <groupName>知识性问题</groupName>
      <ability>L2_Term</ability>
      <abilityName>专业术语</abilityName>
      <candidateList>
        <item>影像不等</item>
      </candidateList>
      <explain>医学名词[视像不等]为不规范表述或旧称，其规范书面表述为[影像不等]。</explain>
      <paraID> 3ABCA3C</paraID>
      <start>167</start>
      <end>171</end>
      <status>modified</status>
      <modifiedWord>影像不等</modifiedWord>
      <trackRevisions>false</trackRevisions>
    </reviewItem>
    <reviewItem>
      <errorID>3a9f941a-4024-4889-b864-29663fdb98d3</errorID>
      <errorWord>受到</errorWord>
      <group>L1_Word</group>
      <groupName>字词问题</groupName>
      <ability>L2_Typo</ability>
      <abilityName>字词错误</abilityName>
      <candidateList>
        <item>受</item>
      </candidateList>
      <explain>〈动〉❶接受：～贿｜～教育｜～到帮助。❷遭受：～灾｜～批评｜～委屈。❸忍受；禁受：～不了｜～得住。❹适合：～吃（吃着有味）｜～看（看着舒服）｜～听（听着入耳）。</explain>
      <paraID>195F2977</paraID>
      <start>72</start>
      <end>73</end>
      <status>modified</status>
      <modifiedWord>受</modifiedWord>
      <trackRevisions>false</trackRevisions>
    </reviewItem>
    <reviewItem>
      <errorID>618123fa-e5ff-4b6c-ae00-e5afeb864420</errorID>
      <errorWord>受到</errorWord>
      <group>L1_Word</group>
      <groupName>字词问题</groupName>
      <ability>L2_Typo</ability>
      <abilityName>字词错误</abilityName>
      <candidateList>
        <item>受</item>
      </candidateList>
      <explain>〈动〉❶接受：～贿｜～教育｜～到帮助。❷遭受：～灾｜～批评｜～委屈。❸忍受；禁受：～不了｜～得住。❹适合：～吃（吃着有味）｜～看（看着舒服）｜～听（听着入耳）。</explain>
      <paraID>25A7C6E4</paraID>
      <start>72</start>
      <end>73</end>
      <status>modified</status>
      <modifiedWord>受</modifiedWord>
      <trackRevisions>false</trackRevisions>
    </reviewItem>
    <reviewItem>
      <errorID>5f035ba1-3eac-429e-82a9-65cfd6581629</errorID>
      <errorWord>(</errorWord>
      <group>L1_Format</group>
      <groupName>格式问题</groupName>
      <ability>L2_HalfPunc_CN</ability>
      <abilityName>全半角问题</abilityName>
      <candidateList>
        <item>（</item>
      </candidateList>
      <explain>文本全半角错误。</explain>
      <paraID>3154518A</paraID>
      <start>76</start>
      <end>77</end>
      <status>modified</status>
      <modifiedWord>（</modifiedWord>
      <trackRevisions>false</trackRevisions>
    </reviewItem>
    <reviewItem>
      <errorID>3a5314b3-5f8f-4586-afad-cecfb2e36cd8</errorID>
      <errorWord>)</errorWord>
      <group>L1_Format</group>
      <groupName>格式问题</groupName>
      <ability>L2_HalfPunc_CN</ability>
      <abilityName>全半角问题</abilityName>
      <candidateList>
        <item>）</item>
      </candidateList>
      <explain>文本全半角错误。</explain>
      <paraID>3154518A</paraID>
      <start>83</start>
      <end>84</end>
      <status>modified</status>
      <modifiedWord>）</modifiedWord>
      <trackRevisions>false</trackRevisions>
    </reviewItem>
    <reviewItem>
      <errorID>736fc0eb-717e-4701-b206-60d4e612ce8f</errorID>
      <errorWord>(</errorWord>
      <group>L1_Format</group>
      <groupName>格式问题</groupName>
      <ability>L2_HalfPunc_CN</ability>
      <abilityName>全半角问题</abilityName>
      <candidateList>
        <item>（</item>
      </candidateList>
      <explain>文本全半角错误。</explain>
      <paraID>11663145</paraID>
      <start>76</start>
      <end>77</end>
      <status>modified</status>
      <modifiedWord>（</modifiedWord>
      <trackRevisions>false</trackRevisions>
    </reviewItem>
    <reviewItem>
      <errorID>578ccc15-a002-4ea4-b1e3-a2b0694d7a8e</errorID>
      <errorWord>)</errorWord>
      <group>L1_Format</group>
      <groupName>格式问题</groupName>
      <ability>L2_HalfPunc_CN</ability>
      <abilityName>全半角问题</abilityName>
      <candidateList>
        <item>）</item>
      </candidateList>
      <explain>文本全半角错误。</explain>
      <paraID>11663145</paraID>
      <start>83</start>
      <end>84</end>
      <status>modified</status>
      <modifiedWord>）</modifiedWord>
      <trackRevisions>false</trackRevisions>
    </reviewItem>
    <reviewItem>
      <errorID>a7db4dbb-4ed1-4f89-a789-e0e5fb459dce</errorID>
      <errorWord>(</errorWord>
      <group>L1_Format</group>
      <groupName>格式问题</groupName>
      <ability>L2_HalfPunc_CN</ability>
      <abilityName>全半角问题</abilityName>
      <candidateList>
        <item>（</item>
      </candidateList>
      <explain>文本全半角错误。</explain>
      <paraID>5AD95414</paraID>
      <start>76</start>
      <end>77</end>
      <status>modified</status>
      <modifiedWord>（</modifiedWord>
      <trackRevisions>false</trackRevisions>
    </reviewItem>
    <reviewItem>
      <errorID>cca596dd-544a-4540-8d91-efb92821fda5</errorID>
      <errorWord>)</errorWord>
      <group>L1_Format</group>
      <groupName>格式问题</groupName>
      <ability>L2_HalfPunc_CN</ability>
      <abilityName>全半角问题</abilityName>
      <candidateList>
        <item>）</item>
      </candidateList>
      <explain>文本全半角错误。</explain>
      <paraID>5AD95414</paraID>
      <start>83</start>
      <end>84</end>
      <status>modified</status>
      <modifiedWord>）</modifiedWord>
      <trackRevisions>false</trackRevisions>
    </reviewItem>
    <reviewItem>
      <errorID>ffe5b58b-d1f9-4946-83e4-e2c8e29cc2d7</errorID>
      <errorWord>(</errorWord>
      <group>L1_Format</group>
      <groupName>格式问题</groupName>
      <ability>L2_HalfPunc_CN</ability>
      <abilityName>全半角问题</abilityName>
      <candidateList>
        <item>（</item>
      </candidateList>
      <explain>文本全半角错误。</explain>
      <paraID>628A101A</paraID>
      <start>76</start>
      <end>77</end>
      <status>modified</status>
      <modifiedWord>（</modifiedWord>
      <trackRevisions>false</trackRevisions>
    </reviewItem>
    <reviewItem>
      <errorID>7e9e1285-6b37-40bf-a400-cc43fe2d7b52</errorID>
      <errorWord>)</errorWord>
      <group>L1_Format</group>
      <groupName>格式问题</groupName>
      <ability>L2_HalfPunc_CN</ability>
      <abilityName>全半角问题</abilityName>
      <candidateList>
        <item>）</item>
      </candidateList>
      <explain>文本全半角错误。</explain>
      <paraID>628A101A</paraID>
      <start>83</start>
      <end>84</end>
      <status>modified</status>
      <modifiedWord>）</modifiedWord>
      <trackRevisions>false</trackRevisions>
    </reviewItem>
    <reviewItem>
      <errorID>7328d70b-24ae-4a05-82bf-5a4e16b05a98</errorID>
      <errorWord>干眼症</errorWord>
      <group>L1_Knowledge</group>
      <groupName>知识性问题</groupName>
      <ability>L2_Term</ability>
      <abilityName>专业术语</abilityName>
      <candidateList>
        <item>眼干燥症</item>
      </candidateList>
      <explain>医学名词[干眼症]为不规范表述或旧称，其规范书面表述为[眼干燥症]。</explain>
      <paraID> 5EE2E49</paraID>
      <start>48</start>
      <end>52</end>
      <status>modified</status>
      <modifiedWord>眼干燥症</modifiedWord>
      <trackRevisions>false</trackRevisions>
    </reviewItem>
    <reviewItem>
      <errorID>57a0a66a-bf83-4d43-b2ee-94840dd18174</errorID>
      <errorWord>脑</errorWord>
      <group>L1_Word</group>
      <groupName>字词问题</groupName>
      <ability>L2_Typo</ability>
      <abilityName>字词错误</abilityName>
      <candidateList>
        <item>脑或</item>
      </candidateList>
      <explain/>
      <paraID> 5EE2E49</paraID>
      <start>95</start>
      <end>97</end>
      <status>modified</status>
      <modifiedWord>脑或</modifiedWord>
      <trackRevisions>false</trackRevisions>
    </reviewItem>
    <reviewItem>
      <errorID>45a98f4f-f496-4f46-b38d-7b326573e91a</errorID>
      <errorWord>;</errorWord>
      <group>L1_Format</group>
      <groupName>格式问题</groupName>
      <ability>L2_HalfPunc_CN</ability>
      <abilityName>全半角问题</abilityName>
      <candidateList>
        <item>；</item>
      </candidateList>
      <explain>文本全半角错误。</explain>
      <paraID> 5EE2E49</paraID>
      <start>124</start>
      <end>125</end>
      <status>modified</status>
      <modifiedWord>；</modifiedWord>
      <trackRevisions>false</trackRevisions>
    </reviewItem>
    <reviewItem>
      <errorID>36e182c4-ed61-4010-917f-11a206f9709b</errorID>
      <errorWord>;</errorWord>
      <group>L1_Format</group>
      <groupName>格式问题</groupName>
      <ability>L2_HalfPunc_CN</ability>
      <abilityName>全半角问题</abilityName>
      <candidateList>
        <item>；</item>
      </candidateList>
      <explain>文本全半角错误。</explain>
      <paraID> 5EE2E49</paraID>
      <start>151</start>
      <end>152</end>
      <status>modified</status>
      <modifiedWord>；</modifiedWord>
      <trackRevisions>false</trackRevisions>
    </reviewItem>
    <reviewItem>
      <errorID>49b7321e-576c-42bd-8018-d1ed64a731e9</errorID>
      <errorWord>;</errorWord>
      <group>L1_Format</group>
      <groupName>格式问题</groupName>
      <ability>L2_HalfPunc_CN</ability>
      <abilityName>全半角问题</abilityName>
      <candidateList>
        <item>；</item>
      </candidateList>
      <explain>文本全半角错误。</explain>
      <paraID> 5EE2E49</paraID>
      <start>164</start>
      <end>165</end>
      <status>modified</status>
      <modifiedWord>；</modifiedWord>
      <trackRevisions>false</trackRevisions>
    </reviewItem>
    <reviewItem>
      <errorID>10a1d59e-c4e8-4304-9c0f-93a21d828438</errorID>
      <errorWord>干眼症</errorWord>
      <group>L1_Knowledge</group>
      <groupName>知识性问题</groupName>
      <ability>L2_Term</ability>
      <abilityName>专业术语</abilityName>
      <candidateList>
        <item>眼干燥症</item>
      </candidateList>
      <explain>医学名词[干眼症]为不规范表述或旧称，其规范书面表述为[眼干燥症]。</explain>
      <paraID>6E45BAB0</paraID>
      <start>48</start>
      <end>52</end>
      <status>modified</status>
      <modifiedWord>眼干燥症</modifiedWord>
      <trackRevisions>false</trackRevisions>
    </reviewItem>
    <reviewItem>
      <errorID>aadfc0c2-3329-4d7d-b1c5-0e5a60508ea2</errorID>
      <errorWord>脑</errorWord>
      <group>L1_Word</group>
      <groupName>字词问题</groupName>
      <ability>L2_Typo</ability>
      <abilityName>字词错误</abilityName>
      <candidateList>
        <item>脑或</item>
      </candidateList>
      <explain/>
      <paraID>6E45BAB0</paraID>
      <start>95</start>
      <end>97</end>
      <status>modified</status>
      <modifiedWord>脑或</modifiedWord>
      <trackRevisions>false</trackRevisions>
    </reviewItem>
    <reviewItem>
      <errorID>5891aae2-34d8-4388-ab6b-7f2be58f9812</errorID>
      <errorWord>;</errorWord>
      <group>L1_Format</group>
      <groupName>格式问题</groupName>
      <ability>L2_HalfPunc_CN</ability>
      <abilityName>全半角问题</abilityName>
      <candidateList>
        <item>；</item>
      </candidateList>
      <explain>文本全半角错误。</explain>
      <paraID>6E45BAB0</paraID>
      <start>124</start>
      <end>125</end>
      <status>modified</status>
      <modifiedWord>；</modifiedWord>
      <trackRevisions>false</trackRevisions>
    </reviewItem>
    <reviewItem>
      <errorID>398b6769-4635-4ddb-808c-e83153e4cc06</errorID>
      <errorWord>;</errorWord>
      <group>L1_Format</group>
      <groupName>格式问题</groupName>
      <ability>L2_HalfPunc_CN</ability>
      <abilityName>全半角问题</abilityName>
      <candidateList>
        <item>；</item>
      </candidateList>
      <explain>文本全半角错误。</explain>
      <paraID>6E45BAB0</paraID>
      <start>151</start>
      <end>152</end>
      <status>modified</status>
      <modifiedWord>；</modifiedWord>
      <trackRevisions>false</trackRevisions>
    </reviewItem>
    <reviewItem>
      <errorID>572b5ebc-c5ea-4e2a-bc43-f645b5037ca1</errorID>
      <errorWord>;</errorWord>
      <group>L1_Format</group>
      <groupName>格式问题</groupName>
      <ability>L2_HalfPunc_CN</ability>
      <abilityName>全半角问题</abilityName>
      <candidateList>
        <item>；</item>
      </candidateList>
      <explain>文本全半角错误。</explain>
      <paraID>6E45BAB0</paraID>
      <start>164</start>
      <end>165</end>
      <status>modified</status>
      <modifiedWord>；</modifiedWord>
      <trackRevisions>false</trackRevisions>
    </reviewItem>
    <reviewItem>
      <errorID>a1d94168-cbd0-49fb-ab53-c7a21e2e29da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13534248</paraID>
      <start>0</start>
      <end>2</end>
      <status>modified</status>
      <modifiedWord>一、</modifiedWord>
      <trackRevisions>false</trackRevisions>
    </reviewItem>
    <reviewItem>
      <errorID>2307c52b-0e38-4f61-a322-1a0b4128c5ae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3BE6009</paraID>
      <start>0</start>
      <end>2</end>
      <status>modified</status>
      <modifiedWord>一、</modifiedWord>
      <trackRevisions>false</trackRevisions>
    </reviewItem>
    <reviewItem>
      <errorID>61d2e8ce-2931-4d19-b3ee-26f43e3a179d</errorID>
      <errorWord>能</errorWord>
      <group>L1_Word</group>
      <groupName>字词问题</groupName>
      <ability>L2_Typo</ability>
      <abilityName>字词错误</abilityName>
      <candidateList>
        <item>能是</item>
      </candidateList>
      <explain/>
      <paraID>5EA66086</paraID>
      <start>81</start>
      <end>83</end>
      <status>modified</status>
      <modifiedWord>能是</modifiedWord>
      <trackRevisions>false</trackRevisions>
    </reviewItem>
    <reviewItem>
      <errorID>bc069ede-c02d-448c-9a3d-8afa7f650cc9</errorID>
      <errorWord>方</errorWord>
      <group>L1_Word</group>
      <groupName>字词问题</groupName>
      <ability>L2_Typo</ability>
      <abilityName>字词错误</abilityName>
      <candidateList>
        <item>方案</item>
      </candidateList>
      <explain/>
      <paraID>5EA66086</paraID>
      <start>176</start>
      <end>178</end>
      <status>modified</status>
      <modifiedWord>方案</modifiedWord>
      <trackRevisions>false</trackRevisions>
    </reviewItem>
    <reviewItem>
      <errorID>ac0bb9c2-b114-42c5-9300-6a28f4c61cc7</errorID>
      <errorWord>范</errorWord>
      <group>L1_Word</group>
      <groupName>字词问题</groupName>
      <ability>L2_Typo</ability>
      <abilityName>字词错误</abilityName>
      <candidateList>
        <item>范围</item>
      </candidateList>
      <explain>❶〈名〉周围界限：地区～｜工作～｜活动～｜他们谈话的～很广，涉及政治、科学、文学等各方面。❷〈书〉〈动〉限制；概括：纵横四溢，不可～。</explain>
      <paraID>5EA66086</paraID>
      <start>248</start>
      <end>250</end>
      <status>modified</status>
      <modifiedWord>范围</modifiedWord>
      <trackRevisions>false</trackRevisions>
    </reviewItem>
    <reviewItem>
      <errorID>e46cc323-5837-4b4f-bd7d-887cf314d6ab</errorID>
      <errorWord>能</errorWord>
      <group>L1_Word</group>
      <groupName>字词问题</groupName>
      <ability>L2_Typo</ability>
      <abilityName>字词错误</abilityName>
      <candidateList>
        <item>能是</item>
      </candidateList>
      <explain/>
      <paraID>7D736FD5</paraID>
      <start>81</start>
      <end>83</end>
      <status>modified</status>
      <modifiedWord>能是</modifiedWord>
      <trackRevisions>false</trackRevisions>
    </reviewItem>
    <reviewItem>
      <errorID>e2d8a1be-08da-44ac-85f3-99454bc8fb94</errorID>
      <errorWord>方</errorWord>
      <group>L1_Word</group>
      <groupName>字词问题</groupName>
      <ability>L2_Typo</ability>
      <abilityName>字词错误</abilityName>
      <candidateList>
        <item>方案</item>
      </candidateList>
      <explain/>
      <paraID>7D736FD5</paraID>
      <start>176</start>
      <end>178</end>
      <status>modified</status>
      <modifiedWord>方案</modifiedWord>
      <trackRevisions>false</trackRevisions>
    </reviewItem>
    <reviewItem>
      <errorID>2f5929f5-eadd-4fcd-b4a6-d95bf518bef4</errorID>
      <errorWord>范</errorWord>
      <group>L1_Word</group>
      <groupName>字词问题</groupName>
      <ability>L2_Typo</ability>
      <abilityName>字词错误</abilityName>
      <candidateList>
        <item>范围</item>
      </candidateList>
      <explain>❶〈名〉周围界限：地区～｜工作～｜活动～｜他们谈话的～很广，涉及政治、科学、文学等各方面。❷〈书〉〈动〉限制；概括：纵横四溢，不可～。</explain>
      <paraID>7D736FD5</paraID>
      <start>248</start>
      <end>250</end>
      <status>modified</status>
      <modifiedWord>范围</modifiedWord>
      <trackRevisions>false</trackRevisions>
    </reviewItem>
    <reviewItem>
      <errorID>4c948003-763a-46a2-841e-c24111dec77a</errorID>
      <errorWord>能</errorWord>
      <group>L1_Word</group>
      <groupName>字词问题</groupName>
      <ability>L2_Typo</ability>
      <abilityName>字词错误</abilityName>
      <candidateList>
        <item>能是</item>
      </candidateList>
      <explain/>
      <paraID>503F1AB8</paraID>
      <start>81</start>
      <end>83</end>
      <status>modified</status>
      <modifiedWord>能是</modifiedWord>
      <trackRevisions>false</trackRevisions>
    </reviewItem>
    <reviewItem>
      <errorID>affd0b76-4d2b-4bba-903c-c39e7b13ff24</errorID>
      <errorWord>方</errorWord>
      <group>L1_Word</group>
      <groupName>字词问题</groupName>
      <ability>L2_Typo</ability>
      <abilityName>字词错误</abilityName>
      <candidateList>
        <item>方案</item>
      </candidateList>
      <explain/>
      <paraID>503F1AB8</paraID>
      <start>176</start>
      <end>178</end>
      <status>modified</status>
      <modifiedWord>方案</modifiedWord>
      <trackRevisions>false</trackRevisions>
    </reviewItem>
    <reviewItem>
      <errorID>ee3c9c86-e927-4282-a179-6d059450791b</errorID>
      <errorWord>范</errorWord>
      <group>L1_Word</group>
      <groupName>字词问题</groupName>
      <ability>L2_Typo</ability>
      <abilityName>字词错误</abilityName>
      <candidateList>
        <item>范围</item>
      </candidateList>
      <explain>❶〈名〉周围界限：地区～｜工作～｜活动～｜他们谈话的～很广，涉及政治、科学、文学等各方面。❷〈书〉〈动〉限制；概括：纵横四溢，不可～。</explain>
      <paraID>503F1AB8</paraID>
      <start>248</start>
      <end>250</end>
      <status>modified</status>
      <modifiedWord>范围</modifiedWord>
      <trackRevisions>false</trackRevisions>
    </reviewItem>
    <reviewItem>
      <errorID>f888e046-22ee-4692-8c4d-5829d27dfc33</errorID>
      <errorWord>行</errorWord>
      <group>L1_Word</group>
      <groupName>字词问题</groupName>
      <ability>L2_Typo</ability>
      <abilityName>字词错误</abilityName>
      <candidateList>
        <item>性</item>
      </candidateList>
      <explain>存在发音相同字词的误用。</explain>
      <paraID>7A0E0131</paraID>
      <start>30</start>
      <end>31</end>
      <status>modified</status>
      <modifiedWord>性</modifiedWord>
      <trackRevisions>false</trackRevisions>
    </reviewItem>
    <reviewItem>
      <errorID>ed92b2db-0d22-4853-b792-ea373df48d87</errorID>
      <errorWord>行</errorWord>
      <group>L1_Word</group>
      <groupName>字词问题</groupName>
      <ability>L2_Typo</ability>
      <abilityName>字词错误</abilityName>
      <candidateList>
        <item>性</item>
      </candidateList>
      <explain>存在发音相同字词的误用。</explain>
      <paraID>41444154</paraID>
      <start>30</start>
      <end>31</end>
      <status>modified</status>
      <modifiedWord>性</modifiedWord>
      <trackRevisions>false</trackRevisions>
    </reviewItem>
    <reviewItem>
      <errorID>45dfe778-c6fa-4dee-93f4-6ca656ffc76e</errorID>
      <errorWord>行</errorWord>
      <group>L1_Word</group>
      <groupName>字词问题</groupName>
      <ability>L2_Typo</ability>
      <abilityName>字词错误</abilityName>
      <candidateList>
        <item>性</item>
      </candidateList>
      <explain>存在发音相同字词的误用。</explain>
      <paraID>3FFEC9EA</paraID>
      <start>30</start>
      <end>31</end>
      <status>modified</status>
      <modifiedWord>性</modifiedWord>
      <trackRevisions>false</trackRevisions>
    </reviewItem>
    <reviewItem>
      <errorID>cd6fe058-db92-423b-9fee-9fb9078ad9bf</errorID>
      <errorWord>行</errorWord>
      <group>L1_Word</group>
      <groupName>字词问题</groupName>
      <ability>L2_Typo</ability>
      <abilityName>字词错误</abilityName>
      <candidateList>
        <item>性</item>
      </candidateList>
      <explain>存在发音相同字词的误用。</explain>
      <paraID>4D6B9B2D</paraID>
      <start>30</start>
      <end>31</end>
      <status>modified</status>
      <modifiedWord>性</modifiedWord>
      <trackRevisions>false</trackRevisions>
    </reviewItem>
    <reviewItem>
      <errorID>1920e152-df45-4eb8-aebd-a51cad535c3b</errorID>
      <errorWord>行</errorWord>
      <group>L1_Word</group>
      <groupName>字词问题</groupName>
      <ability>L2_Typo</ability>
      <abilityName>字词错误</abilityName>
      <candidateList>
        <item>性</item>
      </candidateList>
      <explain>存在发音相同字词的误用。</explain>
      <paraID>5172CA38</paraID>
      <start>30</start>
      <end>31</end>
      <status>modified</status>
      <modifiedWord>性</modifiedWord>
      <trackRevisions>false</trackRevisions>
    </reviewItem>
    <reviewItem>
      <errorID>afb08050-fff3-4284-b152-102de9057662</errorID>
      <errorWord>行</errorWord>
      <group>L1_Word</group>
      <groupName>字词问题</groupName>
      <ability>L2_Typo</ability>
      <abilityName>字词错误</abilityName>
      <candidateList>
        <item>性</item>
      </candidateList>
      <explain>存在发音相同字词的误用。</explain>
      <paraID> 3351BAA</paraID>
      <start>30</start>
      <end>31</end>
      <status>modified</status>
      <modifiedWord>性</modifiedWord>
      <trackRevisions>false</trackRevisions>
    </reviewItem>
    <reviewItem>
      <errorID>d48b6a00-fe66-48d6-aef2-d7238f9c09da</errorID>
      <errorWord>行</errorWord>
      <group>L1_Word</group>
      <groupName>字词问题</groupName>
      <ability>L2_Typo</ability>
      <abilityName>字词错误</abilityName>
      <candidateList>
        <item>性</item>
      </candidateList>
      <explain>存在发音相同字词的误用。</explain>
      <paraID>72C270D9</paraID>
      <start>30</start>
      <end>31</end>
      <status>modified</status>
      <modifiedWord>性</modifiedWord>
      <trackRevisions>false</trackRevisions>
    </reviewItem>
    <reviewItem>
      <errorID>4633f6cd-7dfe-4b13-b58f-11bfde4be87a</errorID>
      <errorWord>行</errorWord>
      <group>L1_Word</group>
      <groupName>字词问题</groupName>
      <ability>L2_Typo</ability>
      <abilityName>字词错误</abilityName>
      <candidateList>
        <item>性</item>
      </candidateList>
      <explain>存在发音相同字词的误用。</explain>
      <paraID> 1B12777</paraID>
      <start>30</start>
      <end>31</end>
      <status>modified</status>
      <modifiedWord>性</modifiedWord>
      <trackRevisions>false</trackRevisions>
    </reviewItem>
    <reviewItem>
      <errorID>574d8919-57ee-49ef-b15c-96e998b13b66</errorID>
      <errorWord>行</errorWord>
      <group>L1_Word</group>
      <groupName>字词问题</groupName>
      <ability>L2_Typo</ability>
      <abilityName>字词错误</abilityName>
      <candidateList>
        <item>性</item>
      </candidateList>
      <explain>存在发音相同字词的误用。</explain>
      <paraID>293D7128</paraID>
      <start>30</start>
      <end>31</end>
      <status>modified</status>
      <modifiedWord>性</modifiedWord>
      <trackRevisions>false</trackRevisions>
    </reviewItem>
    <reviewItem>
      <errorID>6e049f92-bad7-4d8d-9f73-dd66d6470f09</errorID>
      <errorWord>行</errorWord>
      <group>L1_Word</group>
      <groupName>字词问题</groupName>
      <ability>L2_Typo</ability>
      <abilityName>字词错误</abilityName>
      <candidateList>
        <item>性</item>
      </candidateList>
      <explain>存在发音相同字词的误用。</explain>
      <paraID>318882F4</paraID>
      <start>30</start>
      <end>31</end>
      <status>modified</status>
      <modifiedWord>性</modifiedWord>
      <trackRevisions>false</trackRevisions>
    </reviewItem>
    <reviewItem>
      <errorID>6edd6244-6a18-42b0-854e-fd51d4079d86</errorID>
      <errorWord>行</errorWord>
      <group>L1_Word</group>
      <groupName>字词问题</groupName>
      <ability>L2_Typo</ability>
      <abilityName>字词错误</abilityName>
      <candidateList>
        <item>性</item>
      </candidateList>
      <explain>存在发音相同字词的误用。</explain>
      <paraID>766CF189</paraID>
      <start>30</start>
      <end>31</end>
      <status>modified</status>
      <modifiedWord>性</modifiedWord>
      <trackRevisions>false</trackRevisions>
    </reviewItem>
    <reviewItem>
      <errorID>eafae431-25fa-45d2-87a0-452846e3a19e</errorID>
      <errorWord>行</errorWord>
      <group>L1_Word</group>
      <groupName>字词问题</groupName>
      <ability>L2_Typo</ability>
      <abilityName>字词错误</abilityName>
      <candidateList>
        <item>性</item>
      </candidateList>
      <explain>存在发音相同字词的误用。</explain>
      <paraID>482109DD</paraID>
      <start>30</start>
      <end>31</end>
      <status>modified</status>
      <modifiedWord>性</modifiedWord>
      <trackRevisions>false</trackRevisions>
    </reviewItem>
    <reviewItem>
      <errorID>baaae900-5b93-424e-9a44-60296fa618fe</errorID>
      <errorWord>行</errorWord>
      <group>L1_Word</group>
      <groupName>字词问题</groupName>
      <ability>L2_Typo</ability>
      <abilityName>字词错误</abilityName>
      <candidateList>
        <item>性</item>
      </candidateList>
      <explain>存在发音相同字词的误用。</explain>
      <paraID>473D8917</paraID>
      <start>30</start>
      <end>31</end>
      <status>modified</status>
      <modifiedWord>性</modifiedWord>
      <trackRevisions>false</trackRevisions>
    </reviewItem>
    <reviewItem>
      <errorID>6557deea-a1b2-4b3b-851e-03404772b4b3</errorID>
      <errorWord>行</errorWord>
      <group>L1_Word</group>
      <groupName>字词问题</groupName>
      <ability>L2_Typo</ability>
      <abilityName>字词错误</abilityName>
      <candidateList>
        <item>性</item>
      </candidateList>
      <explain>存在发音相同字词的误用。</explain>
      <paraID> AAFB0FB</paraID>
      <start>30</start>
      <end>31</end>
      <status>modified</status>
      <modifiedWord>性</modifiedWord>
      <trackRevisions>false</trackRevisions>
    </reviewItem>
    <reviewItem>
      <errorID>3657ea24-057c-4ae0-8bf2-aa186564c9a3</errorID>
      <errorWord>延缓延缓</errorWord>
      <group>L1_Word</group>
      <groupName>字词问题</groupName>
      <ability>L2_Typo</ability>
      <abilityName>字词错误</abilityName>
      <candidateList>
        <item>延缓</item>
      </candidateList>
      <explain/>
      <paraID>27A21EAC</paraID>
      <start>70</start>
      <end>72</end>
      <status>modified</status>
      <modifiedWord>延缓</modifiedWord>
      <trackRevisions>false</trackRevisions>
    </reviewItem>
    <reviewItem>
      <errorID>7d0b4e29-c831-4e7f-a85f-3274758cf86e</errorID>
      <errorWord>延缓延缓</errorWord>
      <group>L1_Word</group>
      <groupName>字词问题</groupName>
      <ability>L2_Typo</ability>
      <abilityName>字词错误</abilityName>
      <candidateList>
        <item>延缓</item>
      </candidateList>
      <explain/>
      <paraID>471C713D</paraID>
      <start>69</start>
      <end>71</end>
      <status>modified</status>
      <modifiedWord>延缓</modifiedWord>
      <trackRevisions>false</trackRevisions>
    </reviewItem>
    <reviewItem>
      <errorID>76785656-a8dd-4c0c-b4da-580e022c6f79</errorID>
      <errorWord>延缓延缓</errorWord>
      <group>L1_Word</group>
      <groupName>字词问题</groupName>
      <ability>L2_Typo</ability>
      <abilityName>字词错误</abilityName>
      <candidateList>
        <item>延缓</item>
      </candidateList>
      <explain/>
      <paraID>5367FE56</paraID>
      <start>68</start>
      <end>70</end>
      <status>modified</status>
      <modifiedWord>延缓</modifiedWord>
      <trackRevisions>false</trackRevisions>
    </reviewItem>
    <reviewItem>
      <errorID>4563ee56-58f7-4fad-8adb-044fdec41bfd</errorID>
      <errorWord>延缓延缓</errorWord>
      <group>L1_Word</group>
      <groupName>字词问题</groupName>
      <ability>L2_Typo</ability>
      <abilityName>字词错误</abilityName>
      <candidateList>
        <item>延缓</item>
      </candidateList>
      <explain/>
      <paraID>50444534</paraID>
      <start>69</start>
      <end>71</end>
      <status>modified</status>
      <modifiedWord>延缓</modifiedWord>
      <trackRevisions>false</trackRevisions>
    </reviewItem>
    <reviewItem>
      <errorID>d2862db0-ed7f-41fd-9374-3a21df722ce3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A19C660</paraID>
      <start>148</start>
      <end>149</end>
      <status>modified</status>
      <modifiedWord>地</modifiedWord>
      <trackRevisions>false</trackRevisions>
    </reviewItem>
    <reviewItem>
      <errorID>7b51b7ca-f5a7-4fa6-ad07-e90abb70d203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7E8B94D1</paraID>
      <start>148</start>
      <end>149</end>
      <status>modified</status>
      <modifiedWord>地</modifiedWord>
      <trackRevisions>false</trackRevisions>
    </reviewItem>
    <reviewItem>
      <errorID>165f85c6-75d5-4cdc-a13a-4552530fdc17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48A5D76F</paraID>
      <start>148</start>
      <end>149</end>
      <status>modified</status>
      <modifiedWord>地</modifiedWord>
      <trackRevisions>false</trackRevisions>
    </reviewItem>
    <reviewItem>
      <errorID>f0ff9631-c5db-4bd3-a3c6-5d49583f5b09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291BFAD4</paraID>
      <start>148</start>
      <end>149</end>
      <status>modified</status>
      <modifiedWord>地</modifiedWord>
      <trackRevisions>false</trackRevisions>
    </reviewItem>
    <reviewItem>
      <errorID>1c1f38a0-d8dc-417a-aa1f-ae87908f0408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52321384</paraID>
      <start>148</start>
      <end>149</end>
      <status>modified</status>
      <modifiedWord>地</modifiedWord>
      <trackRevisions>false</trackRevisions>
    </reviewItem>
    <reviewItem>
      <errorID>f5bf35e6-db83-47e9-9923-2f0fe86d748d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2CF6397A</paraID>
      <start>148</start>
      <end>149</end>
      <status>modified</status>
      <modifiedWord>地</modifiedWord>
      <trackRevisions>false</trackRevisions>
    </reviewItem>
    <reviewItem>
      <errorID>96629df7-8f6d-43ab-b5f0-51d5988ea3b8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77BE980D</paraID>
      <start>148</start>
      <end>149</end>
      <status>modified</status>
      <modifiedWord>地</modifiedWord>
      <trackRevisions>false</trackRevisions>
    </reviewItem>
    <reviewItem>
      <errorID>f6ca24ab-c07c-4815-b85b-66c16906fe58</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360E42FF</paraID>
      <start>34</start>
      <end>35</end>
      <status>modified</status>
      <modifiedWord>使</modifiedWord>
      <trackRevisions>false</trackRevisions>
    </reviewItem>
    <reviewItem>
      <errorID>3b087266-9c0b-4957-9bce-32e6f09d5948</errorID>
      <errorWord>架</errorWord>
      <group>L1_Word</group>
      <groupName>字词问题</groupName>
      <ability>L2_Typo</ability>
      <abilityName>字词错误</abilityName>
      <candidateList>
        <item>角</item>
      </candidateList>
      <explain>存在发音相近字词的误用。</explain>
      <paraID>360E42FF</paraID>
      <start>51</start>
      <end>52</end>
      <status>modified</status>
      <modifiedWord>角</modifiedWord>
      <trackRevisions>false</trackRevisions>
    </reviewItem>
    <reviewItem>
      <errorID>c92ad274-8034-41e7-8c34-8d47f99133ab</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36E37AC0</paraID>
      <start>34</start>
      <end>35</end>
      <status>modified</status>
      <modifiedWord>使</modifiedWord>
      <trackRevisions>false</trackRevisions>
    </reviewItem>
    <reviewItem>
      <errorID>903a78e8-465f-45e7-ab84-7f258f2b74f4</errorID>
      <errorWord>架</errorWord>
      <group>L1_Word</group>
      <groupName>字词问题</groupName>
      <ability>L2_Typo</ability>
      <abilityName>字词错误</abilityName>
      <candidateList>
        <item>角</item>
      </candidateList>
      <explain>存在发音相近字词的误用。</explain>
      <paraID>36E37AC0</paraID>
      <start>51</start>
      <end>52</end>
      <status>modified</status>
      <modifiedWord>角</modifiedWord>
      <trackRevisions>false</trackRevisions>
    </reviewItem>
    <reviewItem>
      <errorID>8d6a6817-a218-44e5-993b-43012c5e417a</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352F9636</paraID>
      <start>34</start>
      <end>35</end>
      <status>modified</status>
      <modifiedWord>使</modifiedWord>
      <trackRevisions>false</trackRevisions>
    </reviewItem>
    <reviewItem>
      <errorID>4345f3b5-c110-4078-ab57-0a1e402c3345</errorID>
      <errorWord>架</errorWord>
      <group>L1_Word</group>
      <groupName>字词问题</groupName>
      <ability>L2_Typo</ability>
      <abilityName>字词错误</abilityName>
      <candidateList>
        <item>角</item>
      </candidateList>
      <explain>存在发音相近字词的误用。</explain>
      <paraID>352F9636</paraID>
      <start>51</start>
      <end>52</end>
      <status>modified</status>
      <modifiedWord>角</modifiedWord>
      <trackRevisions>false</trackRevisions>
    </reviewItem>
    <reviewItem>
      <errorID>2017f090-568b-4d8c-b507-bb99818a86b6</errorID>
      <errorWord>始</errorWord>
      <group>L1_Word</group>
      <groupName>字词问题</groupName>
      <ability>L2_Typo</ability>
      <abilityName>字词错误</abilityName>
      <candidateList>
        <item>使</item>
      </candidateList>
      <explain>奉使命办事的人：～节｜大～｜公～｜特～｜学～（科举时代派到各省去主持考试的官员）。</explain>
      <paraID>5C8B7790</paraID>
      <start>34</start>
      <end>35</end>
      <status>modified</status>
      <modifiedWord>使</modifiedWord>
      <trackRevisions>false</trackRevisions>
    </reviewItem>
    <reviewItem>
      <errorID>fd587180-e72c-4e5f-bff8-bcf7e8104e06</errorID>
      <errorWord>架</errorWord>
      <group>L1_Word</group>
      <groupName>字词问题</groupName>
      <ability>L2_Typo</ability>
      <abilityName>字词错误</abilityName>
      <candidateList>
        <item>角</item>
      </candidateList>
      <explain>存在发音相近字词的误用。</explain>
      <paraID>5C8B7790</paraID>
      <start>51</start>
      <end>52</end>
      <status>modified</status>
      <modifiedWord>角</modifiedWord>
      <trackRevisions>false</trackRevisions>
    </reviewItem>
    <reviewItem>
      <errorID>f0151f3a-f774-4c64-a7bd-60f160c0ec48</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56998831</paraID>
      <start>49</start>
      <end>51</end>
      <status>modified</status>
      <modifiedWord>反应</modifiedWord>
      <trackRevisions>false</trackRevisions>
    </reviewItem>
    <reviewItem>
      <errorID>1ff766a3-8097-4911-8bf2-d0e151aeca70</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1F5C748B</paraID>
      <start>49</start>
      <end>51</end>
      <status>modified</status>
      <modifiedWord>反应</modifiedWord>
      <trackRevisions>false</trackRevisions>
    </reviewItem>
    <reviewItem>
      <errorID>f60bc554-71f6-43c8-a8e1-e2d01246e4bb</errorID>
      <errorWord>：。</errorWord>
      <group>L1_Punc</group>
      <groupName>标点问题</groupName>
      <ability>L2_Punc_CN</ability>
      <abilityName>标点符号问题</abilityName>
      <candidateList>
        <item>：</item>
      </candidateList>
      <explain/>
      <paraID>4C1A35B8</paraID>
      <start>117</start>
      <end>118</end>
      <status>modified</status>
      <modifiedWord>：</modifiedWord>
      <trackRevisions>false</trackRevisions>
    </reviewItem>
    <reviewItem>
      <errorID>940899a2-9fab-460f-bcc2-4ab05028ef2f</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6FCC6B67</paraID>
      <start>49</start>
      <end>51</end>
      <status>modified</status>
      <modifiedWord>反应</modifiedWord>
      <trackRevisions>false</trackRevisions>
    </reviewItem>
    <reviewItem>
      <errorID>d9861d14-ee45-42b9-9db6-9d0fd60abd8e</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145E5A7E</paraID>
      <start>49</start>
      <end>51</end>
      <status>modified</status>
      <modifiedWord>反应</modifiedWord>
      <trackRevisions>false</trackRevisions>
    </reviewItem>
    <reviewItem>
      <errorID>fea9849e-2467-4e33-8348-6d2f1a64ee38</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329A2D20</paraID>
      <start>49</start>
      <end>51</end>
      <status>modified</status>
      <modifiedWord>反应</modifiedWord>
      <trackRevisions>false</trackRevisions>
    </reviewItem>
    <reviewItem>
      <errorID>f5077f3e-253d-45ab-abc8-174398ed8a23</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507470B7</paraID>
      <start>49</start>
      <end>51</end>
      <status>modified</status>
      <modifiedWord>反应</modifiedWord>
      <trackRevisions>false</trackRevisions>
    </reviewItem>
    <reviewItem>
      <errorID>8e2f2c40-5031-4637-a1e2-51c24aa692d3</errorID>
      <errorWord>，，</errorWord>
      <group>L1_Punc</group>
      <groupName>标点问题</groupName>
      <ability>L2_Punc_CN</ability>
      <abilityName>标点符号问题</abilityName>
      <candidateList>
        <item>，</item>
      </candidateList>
      <explain/>
      <paraID>6C5EF9BB</paraID>
      <start>128</start>
      <end>129</end>
      <status>modified</status>
      <modifiedWord>，</modifiedWord>
      <trackRevisions>false</trackRevisions>
    </reviewItem>
    <reviewItem>
      <errorID>c68d7916-e69f-4098-915f-98e69ebce5bd</errorID>
      <errorWord>，，</errorWord>
      <group>L1_Punc</group>
      <groupName>标点问题</groupName>
      <ability>L2_Punc_CN</ability>
      <abilityName>标点符号问题</abilityName>
      <candidateList>
        <item>，</item>
      </candidateList>
      <explain/>
      <paraID>420BE1B5</paraID>
      <start>128</start>
      <end>129</end>
      <status>modified</status>
      <modifiedWord>，</modifiedWord>
      <trackRevisions>false</trackRevisions>
    </reviewItem>
    <reviewItem>
      <errorID>4c640ce4-e3c1-4baf-8727-e3f9f20ea2da</errorID>
      <errorWord>，，</errorWord>
      <group>L1_Punc</group>
      <groupName>标点问题</groupName>
      <ability>L2_Punc_CN</ability>
      <abilityName>标点符号问题</abilityName>
      <candidateList>
        <item>，</item>
      </candidateList>
      <explain/>
      <paraID>3B3C3B48</paraID>
      <start>128</start>
      <end>129</end>
      <status>modified</status>
      <modifiedWord>，</modifiedWord>
      <trackRevisions>false</trackRevisions>
    </reviewItem>
    <reviewItem>
      <errorID>78156471-0207-4610-909d-b8e1430487cf</errorID>
      <errorWord>，，</errorWord>
      <group>L1_Punc</group>
      <groupName>标点问题</groupName>
      <ability>L2_Punc_CN</ability>
      <abilityName>标点符号问题</abilityName>
      <candidateList>
        <item>，</item>
      </candidateList>
      <explain/>
      <paraID>4893FED8</paraID>
      <start>129</start>
      <end>130</end>
      <status>modified</status>
      <modifiedWord>，</modifiedWord>
      <trackRevisions>false</trackRevisions>
    </reviewItem>
    <reviewItem>
      <errorID>7b0db9c5-440f-4dde-9ffa-0c85dcd278c3</errorID>
      <errorWord>，，</errorWord>
      <group>L1_Punc</group>
      <groupName>标点问题</groupName>
      <ability>L2_Punc_CN</ability>
      <abilityName>标点符号问题</abilityName>
      <candidateList>
        <item>，</item>
      </candidateList>
      <explain/>
      <paraID>2DB8F6C6</paraID>
      <start>129</start>
      <end>130</end>
      <status>modified</status>
      <modifiedWord>，</modifiedWord>
      <trackRevisions>false</trackRevisions>
    </reviewItem>
    <reviewItem>
      <errorID>b3f185c6-5f96-4ac9-acc3-c841fc019412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37F8A58C</paraID>
      <start>78</start>
      <end>79</end>
      <status>modified</status>
      <modifiedWord>地</modifiedWord>
      <trackRevisions>false</trackRevisions>
    </reviewItem>
    <reviewItem>
      <errorID>4e51162d-0091-4f3b-9992-e193175cceb1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304CA0C9</paraID>
      <start>78</start>
      <end>79</end>
      <status>modified</status>
      <modifiedWord>地</modifiedWord>
      <trackRevisions>false</trackRevisions>
    </reviewItem>
    <reviewItem>
      <errorID>0e4074bb-c0a3-439e-b632-cb2d29493514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74BC951D</paraID>
      <start>78</start>
      <end>79</end>
      <status>modified</status>
      <modifiedWord>地</modifiedWord>
      <trackRevisions>false</trackRevisions>
    </reviewItem>
    <reviewItem>
      <errorID>85b7f10f-042c-48c3-879b-7569de4c00c5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3B852909</paraID>
      <start>78</start>
      <end>79</end>
      <status>modified</status>
      <modifiedWord>地</modifiedWord>
      <trackRevisions>false</trackRevisions>
    </reviewItem>
    <reviewItem>
      <errorID>427ede83-eba7-4682-b9d7-9feed89d0491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7C62A013</paraID>
      <start>78</start>
      <end>79</end>
      <status>modified</status>
      <modifiedWord>地</modifiedWord>
      <trackRevisions>false</trackRevisions>
    </reviewItem>
    <reviewItem>
      <errorID>43193783-0a45-4d4e-8e93-65aed5c2d1cf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4FFF70A2</paraID>
      <start>78</start>
      <end>79</end>
      <status>modified</status>
      <modifiedWord>地</modifiedWord>
      <trackRevisions>false</trackRevisions>
    </reviewItem>
    <reviewItem>
      <errorID>40b8ea85-4b6b-4562-9019-fb22d9f34b35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53B2D0A9</paraID>
      <start>78</start>
      <end>79</end>
      <status>modified</status>
      <modifiedWord>地</modifiedWord>
      <trackRevisions>false</trackRevisions>
    </reviewItem>
    <reviewItem>
      <errorID>1413ba9a-ad16-4cda-90b6-3bb04af3f146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221A3976</paraID>
      <start>78</start>
      <end>79</end>
      <status>modified</status>
      <modifiedWord>地</modifiedWord>
      <trackRevisions>false</trackRevisions>
    </reviewItem>
    <reviewItem>
      <errorID>d4a992f2-4594-4b81-aed8-dcedb72a6be8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1309EDAA</paraID>
      <start>78</start>
      <end>79</end>
      <status>modified</status>
      <modifiedWord>地</modifiedWord>
      <trackRevisions>false</trackRevisions>
    </reviewItem>
    <reviewItem>
      <errorID>d4e78fe4-6bda-4476-8503-660bd93a9794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42C7F36E</paraID>
      <start>78</start>
      <end>79</end>
      <status>modified</status>
      <modifiedWord>地</modifiedWord>
      <trackRevisions>false</trackRevisions>
    </reviewItem>
    <reviewItem>
      <errorID>1204a0f0-2349-4959-be0c-11731c948776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6B6C0568</paraID>
      <start>78</start>
      <end>79</end>
      <status>modified</status>
      <modifiedWord>地</modifiedWord>
      <trackRevisions>false</trackRevisions>
    </reviewItem>
    <reviewItem>
      <errorID>beb3c2f8-3053-401e-b939-b31a4c3657bd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7B8B0A4D</paraID>
      <start>78</start>
      <end>79</end>
      <status>modified</status>
      <modifiedWord>地</modifiedWord>
      <trackRevisions>false</trackRevisions>
    </reviewItem>
    <reviewItem>
      <errorID>aa853da2-7ff1-4b82-b37a-416f4e904468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4F5B8A46</paraID>
      <start>78</start>
      <end>79</end>
      <status>modified</status>
      <modifiedWord>地</modifiedWord>
      <trackRevisions>false</trackRevisions>
    </reviewItem>
    <reviewItem>
      <errorID>787b04b5-1b69-46ae-b9b7-076faf4f5c7f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4CC94967</paraID>
      <start>78</start>
      <end>79</end>
      <status>modified</status>
      <modifiedWord>地</modifiedWord>
      <trackRevisions>false</trackRevisions>
    </reviewItem>
    <reviewItem>
      <errorID>c2648e9f-3b97-416e-9b57-c5d5992047e7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4E606B1B</paraID>
      <start>78</start>
      <end>79</end>
      <status>modified</status>
      <modifiedWord>地</modifiedWord>
      <trackRevisions>false</trackRevisions>
    </reviewItem>
    <reviewItem>
      <errorID>84474c16-7da0-4548-aaee-47310529d35f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71FD89D8</paraID>
      <start>78</start>
      <end>79</end>
      <status>modified</status>
      <modifiedWord>地</modifiedWord>
      <trackRevisions>false</trackRevisions>
    </reviewItem>
    <reviewItem>
      <errorID>b4f7e581-0b81-403c-834d-37d024fd7ebc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277F0790</paraID>
      <start>78</start>
      <end>79</end>
      <status>modified</status>
      <modifiedWord>地</modifiedWord>
      <trackRevisions>false</trackRevisions>
    </reviewItem>
    <reviewItem>
      <errorID>f0636188-a95d-4bbb-835d-88c757048676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2E889AF0</paraID>
      <start>78</start>
      <end>79</end>
      <status>modified</status>
      <modifiedWord>地</modifiedWord>
      <trackRevisions>false</trackRevisions>
    </reviewItem>
    <reviewItem>
      <errorID>d248262b-2862-4b43-9a09-88a9da2a7ab2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6E1217ED</paraID>
      <start>78</start>
      <end>79</end>
      <status>modified</status>
      <modifiedWord>地</modifiedWord>
      <trackRevisions>false</trackRevisions>
    </reviewItem>
    <reviewItem>
      <errorID>e531ac38-6bf7-4cb3-a105-af60b0770a23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2DF575D</paraID>
      <start>78</start>
      <end>79</end>
      <status>modified</status>
      <modifiedWord>地</modifiedWord>
      <trackRevisions>false</trackRevisions>
    </reviewItem>
    <reviewItem>
      <errorID>4e5a321b-3a68-46d4-87e3-4b98dfc18723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7B87F10C</paraID>
      <start>78</start>
      <end>79</end>
      <status>modified</status>
      <modifiedWord>地</modifiedWord>
      <trackRevisions>false</trackRevisions>
    </reviewItem>
    <reviewItem>
      <errorID>c20c26f9-782a-423e-9741-df6a3fc9b60d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D38ED8E</paraID>
      <start>78</start>
      <end>79</end>
      <status>modified</status>
      <modifiedWord>地</modifiedWord>
      <trackRevisions>false</trackRevisions>
    </reviewItem>
    <reviewItem>
      <errorID>3a10aada-c762-4031-a5a9-c022690724a5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44C1388E</paraID>
      <start>78</start>
      <end>79</end>
      <status>modified</status>
      <modifiedWord>地</modifiedWord>
      <trackRevisions>false</trackRevisions>
    </reviewItem>
    <reviewItem>
      <errorID>8b9fcb60-fdf9-46a7-acde-91423e422a8d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21127C54</paraID>
      <start>78</start>
      <end>79</end>
      <status>modified</status>
      <modifiedWord>地</modifiedWord>
      <trackRevisions>false</trackRevisions>
    </reviewItem>
    <reviewItem>
      <errorID>2f6caa4a-5020-411b-af72-3e4e9d053328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232415A5</paraID>
      <start>78</start>
      <end>79</end>
      <status>modified</status>
      <modifiedWord>地</modifiedWord>
      <trackRevisions>false</trackRevisions>
    </reviewItem>
    <reviewItem>
      <errorID>63021d3a-045c-4db0-9374-d6024df58f5b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6E550B1</paraID>
      <start>78</start>
      <end>79</end>
      <status>modified</status>
      <modifiedWord>地</modifiedWord>
      <trackRevisions>false</trackRevisions>
    </reviewItem>
    <reviewItem>
      <errorID>05cbbd27-ecaf-4f45-9be6-c2d1e71f9e2d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654110B5</paraID>
      <start>78</start>
      <end>79</end>
      <status>modified</status>
      <modifiedWord>地</modifiedWord>
      <trackRevisions>false</trackRevisions>
    </reviewItem>
    <reviewItem>
      <errorID>dd74a679-b69a-400d-b070-796e01e7952c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63CE3EE2</paraID>
      <start>78</start>
      <end>79</end>
      <status>modified</status>
      <modifiedWord>地</modifiedWord>
      <trackRevisions>false</trackRevisions>
    </reviewItem>
    <reviewItem>
      <errorID>5712fb18-e213-4287-9482-1e9d9a65fc47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78EEBE82</paraID>
      <start>78</start>
      <end>79</end>
      <status>modified</status>
      <modifiedWord>地</modifiedWord>
      <trackRevisions>false</trackRevisions>
    </reviewItem>
    <reviewItem>
      <errorID>1de68c6b-99dc-4b7d-82a7-1248a81ed779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127115E2</paraID>
      <start>78</start>
      <end>79</end>
      <status>modified</status>
      <modifiedWord>地</modifiedWord>
      <trackRevisions>false</trackRevisions>
    </reviewItem>
    <reviewItem>
      <errorID>99d83281-7749-4e97-9869-02b3e046adc9</errorID>
      <errorWord>。；</errorWord>
      <group>L1_Punc</group>
      <groupName>标点问题</groupName>
      <ability>L2_Punc_CN</ability>
      <abilityName>标点符号问题</abilityName>
      <candidateList>
        <item>。</item>
      </candidateList>
      <explain/>
      <paraID>1363AEBA</paraID>
      <start>108</start>
      <end>109</end>
      <status>modified</status>
      <modifiedWord>。</modifiedWord>
      <trackRevisions>false</trackRevisions>
    </reviewItem>
    <reviewItem>
      <errorID>f3619db8-9acc-440b-ae81-dde8d0a3357f</errorID>
      <errorWord>。；</errorWord>
      <group>L1_Punc</group>
      <groupName>标点问题</groupName>
      <ability>L2_Punc_CN</ability>
      <abilityName>标点符号问题</abilityName>
      <candidateList>
        <item>。</item>
      </candidateList>
      <explain/>
      <paraID>22256E26</paraID>
      <start>143</start>
      <end>144</end>
      <status>modified</status>
      <modifiedWord>。</modifiedWord>
      <trackRevisions>false</trackRevisions>
    </reviewItem>
    <reviewItem>
      <errorID>7a3c7d38-2b32-44d0-bc32-f05c4a5d04b3</errorID>
      <errorWord>。；</errorWord>
      <group>L1_Punc</group>
      <groupName>标点问题</groupName>
      <ability>L2_Punc_CN</ability>
      <abilityName>标点符号问题</abilityName>
      <candidateList>
        <item>。</item>
      </candidateList>
      <explain/>
      <paraID>4954B286</paraID>
      <start>170</start>
      <end>171</end>
      <status>modified</status>
      <modifiedWord>。</modifiedWord>
      <trackRevisions>false</trackRevisions>
    </reviewItem>
    <reviewItem>
      <errorID>fda9a5fd-5b3b-4aab-b07b-eda45e979a12</errorID>
      <errorWord>。；</errorWord>
      <group>L1_Punc</group>
      <groupName>标点问题</groupName>
      <ability>L2_Punc_CN</ability>
      <abilityName>标点符号问题</abilityName>
      <candidateList>
        <item>。</item>
      </candidateList>
      <explain/>
      <paraID> B5186E8</paraID>
      <start>105</start>
      <end>106</end>
      <status>modified</status>
      <modifiedWord>。</modifiedWord>
      <trackRevisions>false</trackRevisions>
    </reviewItem>
    <reviewItem>
      <errorID>1c7c1629-d293-4a3d-9ccd-f18530fc43de</errorID>
      <errorWord>。；</errorWord>
      <group>L1_Punc</group>
      <groupName>标点问题</groupName>
      <ability>L2_Punc_CN</ability>
      <abilityName>标点符号问题</abilityName>
      <candidateList>
        <item>。</item>
      </candidateList>
      <explain/>
      <paraID> 3F5E376</paraID>
      <start>140</start>
      <end>141</end>
      <status>modified</status>
      <modifiedWord>。</modifiedWord>
      <trackRevisions>false</trackRevisions>
    </reviewItem>
    <reviewItem>
      <errorID>e86cf8d7-a2cc-4f54-8407-2642d94213ed</errorID>
      <errorWord>，；</errorWord>
      <group>L1_Punc</group>
      <groupName>标点问题</groupName>
      <ability>L2_Punc_CN</ability>
      <abilityName>标点符号问题</abilityName>
      <candidateList>
        <item>，</item>
      </candidateList>
      <explain/>
      <paraID>1C9FF9C9</paraID>
      <start>183</start>
      <end>184</end>
      <status>modified</status>
      <modifiedWord>，</modifiedWord>
      <trackRevisions>false</trackRevisions>
    </reviewItem>
    <reviewItem>
      <errorID>9caf1ab0-9241-4ca0-b028-dd5e27f16076</errorID>
      <errorWord>。；</errorWord>
      <group>L1_Punc</group>
      <groupName>标点问题</groupName>
      <ability>L2_Punc_CN</ability>
      <abilityName>标点符号问题</abilityName>
      <candidateList>
        <item>。</item>
      </candidateList>
      <explain/>
      <paraID>79C71735</paraID>
      <start>195</start>
      <end>196</end>
      <status>modified</status>
      <modifiedWord>。</modifiedWord>
      <trackRevisions>false</trackRevisions>
    </reviewItem>
    <reviewItem>
      <errorID>68f70136-4db8-416b-b597-8eef64e395d2</errorID>
      <errorWord>，；</errorWord>
      <group>L1_Punc</group>
      <groupName>标点问题</groupName>
      <ability>L2_Punc_CN</ability>
      <abilityName>标点符号问题</abilityName>
      <candidateList>
        <item>，</item>
      </candidateList>
      <explain/>
      <paraID>57D583F1</paraID>
      <start>191</start>
      <end>192</end>
      <status>modified</status>
      <modifiedWord>，</modifiedWord>
      <trackRevisions>false</trackRevisions>
    </reviewItem>
    <reviewItem>
      <errorID>ddbdcedd-6aec-4e61-97b4-19092f9f3a53</errorID>
      <errorWord>，；</errorWord>
      <group>L1_Punc</group>
      <groupName>标点问题</groupName>
      <ability>L2_Punc_CN</ability>
      <abilityName>标点符号问题</abilityName>
      <candidateList>
        <item>，</item>
      </candidateList>
      <explain/>
      <paraID> DA6E67B</paraID>
      <start>191</start>
      <end>192</end>
      <status>modified</status>
      <modifiedWord>，</modifiedWord>
      <trackRevisions>false</trackRevisions>
    </reviewItem>
    <reviewItem>
      <errorID>1538cf79-3c96-4784-87f8-689ca4bf5476</errorID>
      <errorWord>，；</errorWord>
      <group>L1_Punc</group>
      <groupName>标点问题</groupName>
      <ability>L2_Punc_CN</ability>
      <abilityName>标点符号问题</abilityName>
      <candidateList>
        <item>，</item>
      </candidateList>
      <explain/>
      <paraID> 9805DD2</paraID>
      <start>191</start>
      <end>192</end>
      <status>modified</status>
      <modifiedWord>，</modifiedWord>
      <trackRevisions>false</trackRevisions>
    </reviewItem>
    <reviewItem>
      <errorID>568440f1-6231-4c47-9217-2a1b6b952f40</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17C33012</paraID>
      <start>49</start>
      <end>51</end>
      <status>modified</status>
      <modifiedWord>反应</modifiedWord>
      <trackRevisions>false</trackRevisions>
    </reviewItem>
    <reviewItem>
      <errorID>39a66890-45d3-4499-9a07-2640b4c17a68</errorID>
      <errorWord>.</errorWord>
      <group>L1_Format</group>
      <groupName>格式问题</groupName>
      <ability>L2_HalfPunc_CN</ability>
      <abilityName>全半角问题</abilityName>
      <candidateList>
        <item>。</item>
      </candidateList>
      <explain>文本全半角错误。</explain>
      <paraID>17C33012</paraID>
      <start>142</start>
      <end>143</end>
      <status>modified</status>
      <modifiedWord>。</modifiedWord>
      <trackRevisions>false</trackRevisions>
    </reviewItem>
    <reviewItem>
      <errorID>45c71e87-1975-4b91-bb39-c2438db19541</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7356BD0D</paraID>
      <start>49</start>
      <end>51</end>
      <status>modified</status>
      <modifiedWord>反应</modifiedWord>
      <trackRevisions>false</trackRevisions>
    </reviewItem>
    <reviewItem>
      <errorID>9eb6b01a-6330-4814-ac29-ff74ef814c03</errorID>
      <errorWord>.</errorWord>
      <group>L1_Format</group>
      <groupName>格式问题</groupName>
      <ability>L2_HalfPunc_CN</ability>
      <abilityName>全半角问题</abilityName>
      <candidateList>
        <item>。</item>
      </candidateList>
      <explain>文本全半角错误。</explain>
      <paraID>7356BD0D</paraID>
      <start>142</start>
      <end>143</end>
      <status>modified</status>
      <modifiedWord>。</modifiedWord>
      <trackRevisions>false</trackRevisions>
    </reviewItem>
    <reviewItem>
      <errorID>0d1d8d05-d683-40c0-b38f-7d82219cb518</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39C3BD59</paraID>
      <start>61</start>
      <end>63</end>
      <status>modified</status>
      <modifiedWord>反应</modifiedWord>
      <trackRevisions>false</trackRevisions>
    </reviewItem>
    <reviewItem>
      <errorID>70720873-e397-4553-b8ca-49bf42464705</errorID>
      <errorWord>.</errorWord>
      <group>L1_Format</group>
      <groupName>格式问题</groupName>
      <ability>L2_HalfPunc_CN</ability>
      <abilityName>全半角问题</abilityName>
      <candidateList>
        <item>。</item>
      </candidateList>
      <explain>文本全半角错误。</explain>
      <paraID>39C3BD59</paraID>
      <start>154</start>
      <end>155</end>
      <status>modified</status>
      <modifiedWord>。</modifiedWord>
      <trackRevisions>false</trackRevisions>
    </reviewItem>
    <reviewItem>
      <errorID>dddb2491-e9e5-4eff-b4a4-5ac179f38d32</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4DCCA05C</paraID>
      <start>49</start>
      <end>51</end>
      <status>modified</status>
      <modifiedWord>反应</modifiedWord>
      <trackRevisions>false</trackRevisions>
    </reviewItem>
    <reviewItem>
      <errorID>c22a5d74-40ae-4eff-bb6b-612534ea8955</errorID>
      <errorWord>.</errorWord>
      <group>L1_Format</group>
      <groupName>格式问题</groupName>
      <ability>L2_HalfPunc_CN</ability>
      <abilityName>全半角问题</abilityName>
      <candidateList>
        <item>。</item>
      </candidateList>
      <explain>文本全半角错误。</explain>
      <paraID>4DCCA05C</paraID>
      <start>142</start>
      <end>143</end>
      <status>modified</status>
      <modifiedWord>。</modifiedWord>
      <trackRevisions>false</trackRevisions>
    </reviewItem>
    <reviewItem>
      <errorID>4bab30ba-6271-4457-b728-e6576718641c</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4BE1FE5F</paraID>
      <start>49</start>
      <end>51</end>
      <status>modified</status>
      <modifiedWord>反应</modifiedWord>
      <trackRevisions>false</trackRevisions>
    </reviewItem>
    <reviewItem>
      <errorID>247f049a-ca64-4bc6-b10a-cab8bbc8e41a</errorID>
      <errorWord>.</errorWord>
      <group>L1_Format</group>
      <groupName>格式问题</groupName>
      <ability>L2_HalfPunc_CN</ability>
      <abilityName>全半角问题</abilityName>
      <candidateList>
        <item>。</item>
      </candidateList>
      <explain>文本全半角错误。</explain>
      <paraID>4BE1FE5F</paraID>
      <start>142</start>
      <end>143</end>
      <status>modified</status>
      <modifiedWord>。</modifiedWord>
      <trackRevisions>false</trackRevisions>
    </reviewItem>
    <reviewItem>
      <errorID>e2be5a9b-a989-4a50-9038-de67146bd7d8</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2EB95E39</paraID>
      <start>61</start>
      <end>63</end>
      <status>modified</status>
      <modifiedWord>反应</modifiedWord>
      <trackRevisions>false</trackRevisions>
    </reviewItem>
    <reviewItem>
      <errorID>40f98d92-0b92-4d37-80b3-ba85adee5921</errorID>
      <errorWord>.</errorWord>
      <group>L1_Format</group>
      <groupName>格式问题</groupName>
      <ability>L2_HalfPunc_CN</ability>
      <abilityName>全半角问题</abilityName>
      <candidateList>
        <item>。</item>
      </candidateList>
      <explain>文本全半角错误。</explain>
      <paraID>2EB95E39</paraID>
      <start>154</start>
      <end>155</end>
      <status>modified</status>
      <modifiedWord>。</modifiedWord>
      <trackRevisions>false</trackRevisions>
    </reviewItem>
    <reviewItem>
      <errorID>edb05e68-4cca-418f-97aa-a22fb2f248e4</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46755807</paraID>
      <start>49</start>
      <end>51</end>
      <status>modified</status>
      <modifiedWord>反应</modifiedWord>
      <trackRevisions>false</trackRevisions>
    </reviewItem>
    <reviewItem>
      <errorID>f2bf295e-e23f-4ccd-935f-4116b017c2db</errorID>
      <errorWord>.</errorWord>
      <group>L1_Format</group>
      <groupName>格式问题</groupName>
      <ability>L2_HalfPunc_CN</ability>
      <abilityName>全半角问题</abilityName>
      <candidateList>
        <item>。</item>
      </candidateList>
      <explain>文本全半角错误。</explain>
      <paraID>46755807</paraID>
      <start>142</start>
      <end>143</end>
      <status>modified</status>
      <modifiedWord>。</modifiedWord>
      <trackRevisions>false</trackRevisions>
    </reviewItem>
    <reviewItem>
      <errorID>14dbbd5a-7e9c-47fb-9aec-f8d577625f30</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307CA877</paraID>
      <start>49</start>
      <end>51</end>
      <status>modified</status>
      <modifiedWord>反应</modifiedWord>
      <trackRevisions>false</trackRevisions>
    </reviewItem>
    <reviewItem>
      <errorID>b7958c9f-6be4-4bce-8e1c-700636890f17</errorID>
      <errorWord>.</errorWord>
      <group>L1_Format</group>
      <groupName>格式问题</groupName>
      <ability>L2_HalfPunc_CN</ability>
      <abilityName>全半角问题</abilityName>
      <candidateList>
        <item>。</item>
      </candidateList>
      <explain>文本全半角错误。</explain>
      <paraID>307CA877</paraID>
      <start>142</start>
      <end>143</end>
      <status>modified</status>
      <modifiedWord>。</modifiedWord>
      <trackRevisions>false</trackRevisions>
    </reviewItem>
    <reviewItem>
      <errorID>69973727-1a97-4825-989c-35387408ab4f</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58F13DCD</paraID>
      <start>61</start>
      <end>63</end>
      <status>modified</status>
      <modifiedWord>反应</modifiedWord>
      <trackRevisions>false</trackRevisions>
    </reviewItem>
    <reviewItem>
      <errorID>f97e4011-a9ac-40f9-b543-9efdaf55bebd</errorID>
      <errorWord>.</errorWord>
      <group>L1_Format</group>
      <groupName>格式问题</groupName>
      <ability>L2_HalfPunc_CN</ability>
      <abilityName>全半角问题</abilityName>
      <candidateList>
        <item>。</item>
      </candidateList>
      <explain>文本全半角错误。</explain>
      <paraID>58F13DCD</paraID>
      <start>154</start>
      <end>155</end>
      <status>modified</status>
      <modifiedWord>。</modifiedWord>
      <trackRevisions>false</trackRevisions>
    </reviewItem>
    <reviewItem>
      <errorID>09aa7be7-ad61-41e4-b9df-a6536608f01d</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205206D5</paraID>
      <start>49</start>
      <end>51</end>
      <status>modified</status>
      <modifiedWord>反应</modifiedWord>
      <trackRevisions>false</trackRevisions>
    </reviewItem>
    <reviewItem>
      <errorID>9912fd4d-44c8-42a6-a1d8-63e35e1b6929</errorID>
      <errorWord>.</errorWord>
      <group>L1_Format</group>
      <groupName>格式问题</groupName>
      <ability>L2_HalfPunc_CN</ability>
      <abilityName>全半角问题</abilityName>
      <candidateList>
        <item>。</item>
      </candidateList>
      <explain>文本全半角错误。</explain>
      <paraID>205206D5</paraID>
      <start>142</start>
      <end>143</end>
      <status>modified</status>
      <modifiedWord>。</modifiedWord>
      <trackRevisions>false</trackRevisions>
    </reviewItem>
    <reviewItem>
      <errorID>85d4d720-a44b-46a9-a340-ea3de1af52d8</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6C145658</paraID>
      <start>49</start>
      <end>51</end>
      <status>modified</status>
      <modifiedWord>反应</modifiedWord>
      <trackRevisions>false</trackRevisions>
    </reviewItem>
    <reviewItem>
      <errorID>50b89264-7f2d-4091-a04d-da4647bfe7d9</errorID>
      <errorWord>.</errorWord>
      <group>L1_Format</group>
      <groupName>格式问题</groupName>
      <ability>L2_HalfPunc_CN</ability>
      <abilityName>全半角问题</abilityName>
      <candidateList>
        <item>。</item>
      </candidateList>
      <explain>文本全半角错误。</explain>
      <paraID>6C145658</paraID>
      <start>142</start>
      <end>143</end>
      <status>modified</status>
      <modifiedWord>。</modifiedWord>
      <trackRevisions>false</trackRevisions>
    </reviewItem>
    <reviewItem>
      <errorID>260c55fc-9084-432f-aaa0-f1a3b71d0cbb</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17BD57B9</paraID>
      <start>61</start>
      <end>63</end>
      <status>modified</status>
      <modifiedWord>反应</modifiedWord>
      <trackRevisions>false</trackRevisions>
    </reviewItem>
    <reviewItem>
      <errorID>7bb76c55-ebb4-4cba-94d4-f7bead88d077</errorID>
      <errorWord>.</errorWord>
      <group>L1_Format</group>
      <groupName>格式问题</groupName>
      <ability>L2_HalfPunc_CN</ability>
      <abilityName>全半角问题</abilityName>
      <candidateList>
        <item>。</item>
      </candidateList>
      <explain>文本全半角错误。</explain>
      <paraID>17BD57B9</paraID>
      <start>154</start>
      <end>155</end>
      <status>modified</status>
      <modifiedWord>。</modifiedWord>
      <trackRevisions>false</trackRevisions>
    </reviewItem>
    <reviewItem>
      <errorID>9d8ab127-9a87-4913-acf3-4915285923a5</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6A64B9C8</paraID>
      <start>49</start>
      <end>51</end>
      <status>modified</status>
      <modifiedWord>反应</modifiedWord>
      <trackRevisions>false</trackRevisions>
    </reviewItem>
    <reviewItem>
      <errorID>4df5fc6a-221c-4f02-bd93-6aaa057771cb</errorID>
      <errorWord>.</errorWord>
      <group>L1_Format</group>
      <groupName>格式问题</groupName>
      <ability>L2_HalfPunc_CN</ability>
      <abilityName>全半角问题</abilityName>
      <candidateList>
        <item>。</item>
      </candidateList>
      <explain>文本全半角错误。</explain>
      <paraID>6A64B9C8</paraID>
      <start>142</start>
      <end>143</end>
      <status>modified</status>
      <modifiedWord>。</modifiedWord>
      <trackRevisions>false</trackRevisions>
    </reviewItem>
    <reviewItem>
      <errorID>3b98e5ba-3be2-45e0-ac50-a64f61df7c13</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 A873CFB</paraID>
      <start>49</start>
      <end>51</end>
      <status>modified</status>
      <modifiedWord>反应</modifiedWord>
      <trackRevisions>false</trackRevisions>
    </reviewItem>
    <reviewItem>
      <errorID>d11bb0ad-8226-4093-8604-f64bb8c27c92</errorID>
      <errorWord>.</errorWord>
      <group>L1_Format</group>
      <groupName>格式问题</groupName>
      <ability>L2_HalfPunc_CN</ability>
      <abilityName>全半角问题</abilityName>
      <candidateList>
        <item>。</item>
      </candidateList>
      <explain>文本全半角错误。</explain>
      <paraID> A873CFB</paraID>
      <start>142</start>
      <end>143</end>
      <status>modified</status>
      <modifiedWord>。</modifiedWord>
      <trackRevisions>false</trackRevisions>
    </reviewItem>
    <reviewItem>
      <errorID>0f4213f6-f24d-4b6a-9954-6bb6e15c4794</errorID>
      <errorWord>耐用一</errorWord>
      <group>L1_Word</group>
      <groupName>字词问题</groupName>
      <ability>L2_Typo</ability>
      <abilityName>字词错误</abilityName>
      <candidateList>
        <item>耐用</item>
      </candidateList>
      <explain/>
      <paraID>41B9C98C</paraID>
      <start>84</start>
      <end>86</end>
      <status>modified</status>
      <modifiedWord>耐用</modifiedWord>
      <trackRevisions>false</trackRevisions>
    </reviewItem>
    <reviewItem>
      <errorID>22547a1a-2357-47a3-bbb6-1ced65b61000</errorID>
      <errorWord>车固</errorWord>
      <group>L1_Word</group>
      <groupName>字词问题</groupName>
      <ability>L2_Typo</ability>
      <abilityName>字词错误</abilityName>
      <candidateList>
        <item>坚固</item>
      </candidateList>
      <explain/>
      <paraID>41B9C98C</paraID>
      <start>97</start>
      <end>99</end>
      <status>modified</status>
      <modifiedWord>坚固</modifiedWord>
      <trackRevisions>false</trackRevisions>
    </reviewItem>
    <reviewItem>
      <errorID>aeac5e17-1cf7-46a1-9f7b-4be18149a27a</errorID>
      <errorWord>-</errorWord>
      <group>L1_Format</group>
      <groupName>格式问题</groupName>
      <ability>L2_HalfPunc_CN</ability>
      <abilityName>全半角问题</abilityName>
      <candidateList>
        <item>－</item>
      </candidateList>
      <explain>文本全半角错误。</explain>
      <paraID>41B9C98C</paraID>
      <start>134</start>
      <end>135</end>
      <status>modified</status>
      <modifiedWord>－</modifiedWord>
      <trackRevisions>false</trackRevisions>
    </reviewItem>
    <reviewItem>
      <errorID>33cfc9a9-1b49-4041-9221-de53f7481e47</errorID>
      <errorWord>-</errorWord>
      <group>L1_Format</group>
      <groupName>格式问题</groupName>
      <ability>L2_HalfPunc_CN</ability>
      <abilityName>全半角问题</abilityName>
      <candidateList>
        <item>－</item>
      </candidateList>
      <explain>文本全半角错误。</explain>
      <paraID>41B9C98C</paraID>
      <start>135</start>
      <end>136</end>
      <status>modified</status>
      <modifiedWord>－</modifiedWord>
      <trackRevisions>false</trackRevisions>
    </reviewItem>
    <reviewItem>
      <errorID>25bd2523-21d4-41b7-82c4-d07a667be537</errorID>
      <errorWord>以</errorWord>
      <group>L1_Word</group>
      <groupName>字词问题</groupName>
      <ability>L2_Typo</ability>
      <abilityName>字词错误</abilityName>
      <candidateList>
        <item>以为</item>
      </candidateList>
      <explain/>
      <paraID>41B9C98C</paraID>
      <start>170</start>
      <end>172</end>
      <status>modified</status>
      <modifiedWord>以为</modifiedWord>
      <trackRevisions>false</trackRevisions>
    </reviewItem>
    <reviewItem>
      <errorID>082a1d30-a09e-47f4-93a4-c05f06175a1d</errorID>
      <errorWord>-</errorWord>
      <group>L1_Format</group>
      <groupName>格式问题</groupName>
      <ability>L2_HalfPunc_CN</ability>
      <abilityName>全半角问题</abilityName>
      <candidateList>
        <item>－</item>
      </candidateList>
      <explain>文本全半角错误。</explain>
      <paraID>41B9C98C</paraID>
      <start>198</start>
      <end>199</end>
      <status>modified</status>
      <modifiedWord>－</modifiedWord>
      <trackRevisions>false</trackRevisions>
    </reviewItem>
    <reviewItem>
      <errorID>2179ddb4-5317-4d03-a636-39091fdf9d3f</errorID>
      <errorWord>-</errorWord>
      <group>L1_Format</group>
      <groupName>格式问题</groupName>
      <ability>L2_HalfPunc_CN</ability>
      <abilityName>全半角问题</abilityName>
      <candidateList>
        <item>－</item>
      </candidateList>
      <explain>文本全半角错误。</explain>
      <paraID>41B9C98C</paraID>
      <start>199</start>
      <end>200</end>
      <status>modified</status>
      <modifiedWord>－</modifiedWord>
      <trackRevisions>false</trackRevisions>
    </reviewItem>
    <reviewItem>
      <errorID>cb4f50de-b6bf-4ef3-92af-2e3c9b8ea78b</errorID>
      <errorWord>-</errorWord>
      <group>L1_Format</group>
      <groupName>格式问题</groupName>
      <ability>L2_HalfPunc_CN</ability>
      <abilityName>全半角问题</abilityName>
      <candidateList>
        <item>－</item>
      </candidateList>
      <explain>文本全半角错误。</explain>
      <paraID>41B9C98C</paraID>
      <start>237</start>
      <end>238</end>
      <status>modified</status>
      <modifiedWord>－</modifiedWord>
      <trackRevisions>false</trackRevisions>
    </reviewItem>
    <reviewItem>
      <errorID>3baa6556-e0fc-4d34-a6b8-3b47b810bafa</errorID>
      <errorWord>-</errorWord>
      <group>L1_Format</group>
      <groupName>格式问题</groupName>
      <ability>L2_HalfPunc_CN</ability>
      <abilityName>全半角问题</abilityName>
      <candidateList>
        <item>－</item>
      </candidateList>
      <explain>文本全半角错误。</explain>
      <paraID>41B9C98C</paraID>
      <start>290</start>
      <end>291</end>
      <status>modified</status>
      <modifiedWord>－</modifiedWord>
      <trackRevisions>false</trackRevisions>
    </reviewItem>
    <reviewItem>
      <errorID>78c48498-5ff7-43a3-8f25-9963a1d79ab5</errorID>
      <errorWord>-</errorWord>
      <group>L1_Format</group>
      <groupName>格式问题</groupName>
      <ability>L2_HalfPunc_CN</ability>
      <abilityName>全半角问题</abilityName>
      <candidateList>
        <item>－</item>
      </candidateList>
      <explain>文本全半角错误。</explain>
      <paraID>41B9C98C</paraID>
      <start>291</start>
      <end>292</end>
      <status>modified</status>
      <modifiedWord>－</modifiedWord>
      <trackRevisions>false</trackRevisions>
    </reviewItem>
    <reviewItem>
      <errorID>8e024134-5700-40ad-afa8-b5c57e28685e</errorID>
      <errorWord>-</errorWord>
      <group>L1_Format</group>
      <groupName>格式问题</groupName>
      <ability>L2_HalfPunc_CN</ability>
      <abilityName>全半角问题</abilityName>
      <candidateList>
        <item>－</item>
      </candidateList>
      <explain>文本全半角错误。</explain>
      <paraID>41B9C98C</paraID>
      <start>356</start>
      <end>357</end>
      <status>modified</status>
      <modifiedWord>－</modifiedWord>
      <trackRevisions>false</trackRevisions>
    </reviewItem>
    <reviewItem>
      <errorID>7343fefc-8b18-4887-b3fb-31a9fb28188f</errorID>
      <errorWord>-</errorWord>
      <group>L1_Format</group>
      <groupName>格式问题</groupName>
      <ability>L2_HalfPunc_CN</ability>
      <abilityName>全半角问题</abilityName>
      <candidateList>
        <item>－</item>
      </candidateList>
      <explain>文本全半角错误。</explain>
      <paraID>41B9C98C</paraID>
      <start>357</start>
      <end>358</end>
      <status>modified</status>
      <modifiedWord>－</modifiedWord>
      <trackRevisions>false</trackRevisions>
    </reviewItem>
    <reviewItem>
      <errorID>007208dc-f639-4eba-964d-1334cae347f6</errorID>
      <errorWord>耐用一</errorWord>
      <group>L1_Word</group>
      <groupName>字词问题</groupName>
      <ability>L2_Typo</ability>
      <abilityName>字词错误</abilityName>
      <candidateList>
        <item>耐用</item>
      </candidateList>
      <explain/>
      <paraID>2948185F</paraID>
      <start>84</start>
      <end>86</end>
      <status>modified</status>
      <modifiedWord>耐用</modifiedWord>
      <trackRevisions>false</trackRevisions>
    </reviewItem>
    <reviewItem>
      <errorID>9cf65d62-e7d5-4a84-8543-c5f2f9710a71</errorID>
      <errorWord>车固</errorWord>
      <group>L1_Word</group>
      <groupName>字词问题</groupName>
      <ability>L2_Typo</ability>
      <abilityName>字词错误</abilityName>
      <candidateList>
        <item>坚固</item>
      </candidateList>
      <explain/>
      <paraID>2948185F</paraID>
      <start>97</start>
      <end>99</end>
      <status>modified</status>
      <modifiedWord>坚固</modifiedWord>
      <trackRevisions>false</trackRevisions>
    </reviewItem>
    <reviewItem>
      <errorID>04dfc997-3da2-46a1-a731-ce7e24fe960f</errorID>
      <errorWord>-</errorWord>
      <group>L1_Format</group>
      <groupName>格式问题</groupName>
      <ability>L2_HalfPunc_CN</ability>
      <abilityName>全半角问题</abilityName>
      <candidateList>
        <item>－</item>
      </candidateList>
      <explain>文本全半角错误。</explain>
      <paraID>2948185F</paraID>
      <start>134</start>
      <end>135</end>
      <status>modified</status>
      <modifiedWord>－</modifiedWord>
      <trackRevisions>false</trackRevisions>
    </reviewItem>
    <reviewItem>
      <errorID>974e8362-cf83-4c8a-a50c-3d0b0aa85d37</errorID>
      <errorWord>-</errorWord>
      <group>L1_Format</group>
      <groupName>格式问题</groupName>
      <ability>L2_HalfPunc_CN</ability>
      <abilityName>全半角问题</abilityName>
      <candidateList>
        <item>－</item>
      </candidateList>
      <explain>文本全半角错误。</explain>
      <paraID>2948185F</paraID>
      <start>135</start>
      <end>136</end>
      <status>modified</status>
      <modifiedWord>－</modifiedWord>
      <trackRevisions>false</trackRevisions>
    </reviewItem>
    <reviewItem>
      <errorID>1285077e-19ff-43f0-b088-185ff097a79d</errorID>
      <errorWord>以</errorWord>
      <group>L1_Word</group>
      <groupName>字词问题</groupName>
      <ability>L2_Typo</ability>
      <abilityName>字词错误</abilityName>
      <candidateList>
        <item>以为</item>
      </candidateList>
      <explain/>
      <paraID>2948185F</paraID>
      <start>169</start>
      <end>171</end>
      <status>modified</status>
      <modifiedWord>以为</modifiedWord>
      <trackRevisions>false</trackRevisions>
    </reviewItem>
    <reviewItem>
      <errorID>ce1b20bd-f2b7-4642-9d49-05c712844215</errorID>
      <errorWord>-</errorWord>
      <group>L1_Format</group>
      <groupName>格式问题</groupName>
      <ability>L2_HalfPunc_CN</ability>
      <abilityName>全半角问题</abilityName>
      <candidateList>
        <item>－</item>
      </candidateList>
      <explain>文本全半角错误。</explain>
      <paraID>2948185F</paraID>
      <start>197</start>
      <end>198</end>
      <status>modified</status>
      <modifiedWord>－</modifiedWord>
      <trackRevisions>false</trackRevisions>
    </reviewItem>
    <reviewItem>
      <errorID>78538646-cb32-42af-834a-41b5c47295d7</errorID>
      <errorWord>-</errorWord>
      <group>L1_Format</group>
      <groupName>格式问题</groupName>
      <ability>L2_HalfPunc_CN</ability>
      <abilityName>全半角问题</abilityName>
      <candidateList>
        <item>－</item>
      </candidateList>
      <explain>文本全半角错误。</explain>
      <paraID>2948185F</paraID>
      <start>198</start>
      <end>199</end>
      <status>modified</status>
      <modifiedWord>－</modifiedWord>
      <trackRevisions>false</trackRevisions>
    </reviewItem>
    <reviewItem>
      <errorID>845af6d2-6dcc-40c6-9176-3c02745d25ee</errorID>
      <errorWord>-</errorWord>
      <group>L1_Format</group>
      <groupName>格式问题</groupName>
      <ability>L2_HalfPunc_CN</ability>
      <abilityName>全半角问题</abilityName>
      <candidateList>
        <item>－</item>
      </candidateList>
      <explain>文本全半角错误。</explain>
      <paraID>2948185F</paraID>
      <start>236</start>
      <end>237</end>
      <status>modified</status>
      <modifiedWord>－</modifiedWord>
      <trackRevisions>false</trackRevisions>
    </reviewItem>
    <reviewItem>
      <errorID>3f09e1c4-d0ae-4ffa-b6d7-2c9f4dae132f</errorID>
      <errorWord>-</errorWord>
      <group>L1_Format</group>
      <groupName>格式问题</groupName>
      <ability>L2_HalfPunc_CN</ability>
      <abilityName>全半角问题</abilityName>
      <candidateList>
        <item>－</item>
      </candidateList>
      <explain>文本全半角错误。</explain>
      <paraID>2948185F</paraID>
      <start>289</start>
      <end>290</end>
      <status>modified</status>
      <modifiedWord>－</modifiedWord>
      <trackRevisions>false</trackRevisions>
    </reviewItem>
    <reviewItem>
      <errorID>877fa48e-3e40-4183-9047-4ad0eca5f9f1</errorID>
      <errorWord>-</errorWord>
      <group>L1_Format</group>
      <groupName>格式问题</groupName>
      <ability>L2_HalfPunc_CN</ability>
      <abilityName>全半角问题</abilityName>
      <candidateList>
        <item>－</item>
      </candidateList>
      <explain>文本全半角错误。</explain>
      <paraID>2948185F</paraID>
      <start>290</start>
      <end>291</end>
      <status>modified</status>
      <modifiedWord>－</modifiedWord>
      <trackRevisions>false</trackRevisions>
    </reviewItem>
    <reviewItem>
      <errorID>dddd779d-0482-4599-8ff8-b24f8d03a4b9</errorID>
      <errorWord>-</errorWord>
      <group>L1_Format</group>
      <groupName>格式问题</groupName>
      <ability>L2_HalfPunc_CN</ability>
      <abilityName>全半角问题</abilityName>
      <candidateList>
        <item>－</item>
      </candidateList>
      <explain>文本全半角错误。</explain>
      <paraID>2948185F</paraID>
      <start>355</start>
      <end>356</end>
      <status>modified</status>
      <modifiedWord>－</modifiedWord>
      <trackRevisions>false</trackRevisions>
    </reviewItem>
    <reviewItem>
      <errorID>d535ed38-1007-4390-b917-d9718645dcf1</errorID>
      <errorWord>-</errorWord>
      <group>L1_Format</group>
      <groupName>格式问题</groupName>
      <ability>L2_HalfPunc_CN</ability>
      <abilityName>全半角问题</abilityName>
      <candidateList>
        <item>－</item>
      </candidateList>
      <explain>文本全半角错误。</explain>
      <paraID>2948185F</paraID>
      <start>356</start>
      <end>357</end>
      <status>modified</status>
      <modifiedWord>－</modifiedWord>
      <trackRevisions>false</trackRevisions>
    </reviewItem>
    <reviewItem>
      <errorID>1ebab70a-8088-475b-96ab-7f94e72029bf</errorID>
      <errorWord>耐用一</errorWord>
      <group>L1_Word</group>
      <groupName>字词问题</groupName>
      <ability>L2_Typo</ability>
      <abilityName>字词错误</abilityName>
      <candidateList>
        <item>耐用</item>
      </candidateList>
      <explain/>
      <paraID>378C6973</paraID>
      <start>84</start>
      <end>86</end>
      <status>modified</status>
      <modifiedWord>耐用</modifiedWord>
      <trackRevisions>false</trackRevisions>
    </reviewItem>
    <reviewItem>
      <errorID>30a583d3-e5dd-4b5e-9b1d-5e316ac28243</errorID>
      <errorWord>车固</errorWord>
      <group>L1_Word</group>
      <groupName>字词问题</groupName>
      <ability>L2_Typo</ability>
      <abilityName>字词错误</abilityName>
      <candidateList>
        <item>坚固</item>
      </candidateList>
      <explain/>
      <paraID>378C6973</paraID>
      <start>97</start>
      <end>99</end>
      <status>modified</status>
      <modifiedWord>坚固</modifiedWord>
      <trackRevisions>false</trackRevisions>
    </reviewItem>
    <reviewItem>
      <errorID>2d60300c-e2dd-4827-8ed1-10df43f0b624</errorID>
      <errorWord>-</errorWord>
      <group>L1_Format</group>
      <groupName>格式问题</groupName>
      <ability>L2_HalfPunc_CN</ability>
      <abilityName>全半角问题</abilityName>
      <candidateList>
        <item>－</item>
      </candidateList>
      <explain>文本全半角错误。</explain>
      <paraID>378C6973</paraID>
      <start>134</start>
      <end>135</end>
      <status>modified</status>
      <modifiedWord>－</modifiedWord>
      <trackRevisions>false</trackRevisions>
    </reviewItem>
    <reviewItem>
      <errorID>1729ed2d-efd5-4f80-a88f-85d1001fe09d</errorID>
      <errorWord>-</errorWord>
      <group>L1_Format</group>
      <groupName>格式问题</groupName>
      <ability>L2_HalfPunc_CN</ability>
      <abilityName>全半角问题</abilityName>
      <candidateList>
        <item>－</item>
      </candidateList>
      <explain>文本全半角错误。</explain>
      <paraID>378C6973</paraID>
      <start>135</start>
      <end>136</end>
      <status>modified</status>
      <modifiedWord>－</modifiedWord>
      <trackRevisions>false</trackRevisions>
    </reviewItem>
    <reviewItem>
      <errorID>999d0703-4e88-40be-b287-b6fe38c7efaf</errorID>
      <errorWord>以</errorWord>
      <group>L1_Word</group>
      <groupName>字词问题</groupName>
      <ability>L2_Typo</ability>
      <abilityName>字词错误</abilityName>
      <candidateList>
        <item>以为</item>
      </candidateList>
      <explain/>
      <paraID>378C6973</paraID>
      <start>169</start>
      <end>171</end>
      <status>modified</status>
      <modifiedWord>以为</modifiedWord>
      <trackRevisions>false</trackRevisions>
    </reviewItem>
    <reviewItem>
      <errorID>c9035fbd-9075-4657-884d-f31818607bcc</errorID>
      <errorWord>-</errorWord>
      <group>L1_Format</group>
      <groupName>格式问题</groupName>
      <ability>L2_HalfPunc_CN</ability>
      <abilityName>全半角问题</abilityName>
      <candidateList>
        <item>－</item>
      </candidateList>
      <explain>文本全半角错误。</explain>
      <paraID>378C6973</paraID>
      <start>197</start>
      <end>198</end>
      <status>modified</status>
      <modifiedWord>－</modifiedWord>
      <trackRevisions>false</trackRevisions>
    </reviewItem>
    <reviewItem>
      <errorID>67f01078-9f80-4229-a78c-bcbf8f36e10e</errorID>
      <errorWord>-</errorWord>
      <group>L1_Format</group>
      <groupName>格式问题</groupName>
      <ability>L2_HalfPunc_CN</ability>
      <abilityName>全半角问题</abilityName>
      <candidateList>
        <item>－</item>
      </candidateList>
      <explain>文本全半角错误。</explain>
      <paraID>378C6973</paraID>
      <start>198</start>
      <end>199</end>
      <status>modified</status>
      <modifiedWord>－</modifiedWord>
      <trackRevisions>false</trackRevisions>
    </reviewItem>
    <reviewItem>
      <errorID>1f76f069-db90-49d3-841c-7525b30c6392</errorID>
      <errorWord>-</errorWord>
      <group>L1_Format</group>
      <groupName>格式问题</groupName>
      <ability>L2_HalfPunc_CN</ability>
      <abilityName>全半角问题</abilityName>
      <candidateList>
        <item>－</item>
      </candidateList>
      <explain>文本全半角错误。</explain>
      <paraID>378C6973</paraID>
      <start>236</start>
      <end>237</end>
      <status>modified</status>
      <modifiedWord>－</modifiedWord>
      <trackRevisions>false</trackRevisions>
    </reviewItem>
    <reviewItem>
      <errorID>8246beb1-da7c-488c-8fdd-669acceec44c</errorID>
      <errorWord>-</errorWord>
      <group>L1_Format</group>
      <groupName>格式问题</groupName>
      <ability>L2_HalfPunc_CN</ability>
      <abilityName>全半角问题</abilityName>
      <candidateList>
        <item>－</item>
      </candidateList>
      <explain>文本全半角错误。</explain>
      <paraID>378C6973</paraID>
      <start>289</start>
      <end>290</end>
      <status>modified</status>
      <modifiedWord>－</modifiedWord>
      <trackRevisions>false</trackRevisions>
    </reviewItem>
    <reviewItem>
      <errorID>7aed255b-7eaf-4f4b-ab4c-0867114c44bc</errorID>
      <errorWord>-</errorWord>
      <group>L1_Format</group>
      <groupName>格式问题</groupName>
      <ability>L2_HalfPunc_CN</ability>
      <abilityName>全半角问题</abilityName>
      <candidateList>
        <item>－</item>
      </candidateList>
      <explain>文本全半角错误。</explain>
      <paraID>378C6973</paraID>
      <start>290</start>
      <end>291</end>
      <status>modified</status>
      <modifiedWord>－</modifiedWord>
      <trackRevisions>false</trackRevisions>
    </reviewItem>
    <reviewItem>
      <errorID>fff81e36-84ab-438e-832d-647a1b4dd3a9</errorID>
      <errorWord>-</errorWord>
      <group>L1_Format</group>
      <groupName>格式问题</groupName>
      <ability>L2_HalfPunc_CN</ability>
      <abilityName>全半角问题</abilityName>
      <candidateList>
        <item>－</item>
      </candidateList>
      <explain>文本全半角错误。</explain>
      <paraID>378C6973</paraID>
      <start>355</start>
      <end>356</end>
      <status>modified</status>
      <modifiedWord>－</modifiedWord>
      <trackRevisions>false</trackRevisions>
    </reviewItem>
    <reviewItem>
      <errorID>a50036df-29d2-437c-a05b-90a338a342b9</errorID>
      <errorWord>-</errorWord>
      <group>L1_Format</group>
      <groupName>格式问题</groupName>
      <ability>L2_HalfPunc_CN</ability>
      <abilityName>全半角问题</abilityName>
      <candidateList>
        <item>－</item>
      </candidateList>
      <explain>文本全半角错误。</explain>
      <paraID>378C6973</paraID>
      <start>356</start>
      <end>357</end>
      <status>modified</status>
      <modifiedWord>－</modifiedWord>
      <trackRevisions>false</trackRevisions>
    </reviewItem>
    <reviewItem>
      <errorID>65f8558b-dcfe-45af-a715-3e782ed31eba</errorID>
      <errorWord>耐用一</errorWord>
      <group>L1_Word</group>
      <groupName>字词问题</groupName>
      <ability>L2_Typo</ability>
      <abilityName>字词错误</abilityName>
      <candidateList>
        <item>耐用</item>
      </candidateList>
      <explain/>
      <paraID>20024E56</paraID>
      <start>84</start>
      <end>86</end>
      <status>modified</status>
      <modifiedWord>耐用</modifiedWord>
      <trackRevisions>false</trackRevisions>
    </reviewItem>
    <reviewItem>
      <errorID>0bcbfa94-8eab-4358-b368-cb1767a20ef6</errorID>
      <errorWord>车固</errorWord>
      <group>L1_Word</group>
      <groupName>字词问题</groupName>
      <ability>L2_Typo</ability>
      <abilityName>字词错误</abilityName>
      <candidateList>
        <item>坚固</item>
      </candidateList>
      <explain/>
      <paraID>20024E56</paraID>
      <start>97</start>
      <end>99</end>
      <status>modified</status>
      <modifiedWord>坚固</modifiedWord>
      <trackRevisions>false</trackRevisions>
    </reviewItem>
    <reviewItem>
      <errorID>ead8b2b1-967f-4a55-9d74-e4983441949d</errorID>
      <errorWord>-</errorWord>
      <group>L1_Format</group>
      <groupName>格式问题</groupName>
      <ability>L2_HalfPunc_CN</ability>
      <abilityName>全半角问题</abilityName>
      <candidateList>
        <item>－</item>
      </candidateList>
      <explain>文本全半角错误。</explain>
      <paraID>20024E56</paraID>
      <start>134</start>
      <end>135</end>
      <status>modified</status>
      <modifiedWord>－</modifiedWord>
      <trackRevisions>false</trackRevisions>
    </reviewItem>
    <reviewItem>
      <errorID>fac1c155-3bf0-4f16-8afc-08634b5d76d3</errorID>
      <errorWord>-</errorWord>
      <group>L1_Format</group>
      <groupName>格式问题</groupName>
      <ability>L2_HalfPunc_CN</ability>
      <abilityName>全半角问题</abilityName>
      <candidateList>
        <item>－</item>
      </candidateList>
      <explain>文本全半角错误。</explain>
      <paraID>20024E56</paraID>
      <start>135</start>
      <end>136</end>
      <status>modified</status>
      <modifiedWord>－</modifiedWord>
      <trackRevisions>false</trackRevisions>
    </reviewItem>
    <reviewItem>
      <errorID>0b40e068-1d70-4f42-ba15-516bfab17c6a</errorID>
      <errorWord>以</errorWord>
      <group>L1_Word</group>
      <groupName>字词问题</groupName>
      <ability>L2_Typo</ability>
      <abilityName>字词错误</abilityName>
      <candidateList>
        <item>以为</item>
      </candidateList>
      <explain/>
      <paraID>20024E56</paraID>
      <start>169</start>
      <end>171</end>
      <status>modified</status>
      <modifiedWord>以为</modifiedWord>
      <trackRevisions>false</trackRevisions>
    </reviewItem>
    <reviewItem>
      <errorID>42f593b1-bb05-406a-bd99-bd47f0d25884</errorID>
      <errorWord>-</errorWord>
      <group>L1_Format</group>
      <groupName>格式问题</groupName>
      <ability>L2_HalfPunc_CN</ability>
      <abilityName>全半角问题</abilityName>
      <candidateList>
        <item>－</item>
      </candidateList>
      <explain>文本全半角错误。</explain>
      <paraID>20024E56</paraID>
      <start>197</start>
      <end>198</end>
      <status>modified</status>
      <modifiedWord>－</modifiedWord>
      <trackRevisions>false</trackRevisions>
    </reviewItem>
    <reviewItem>
      <errorID>7906c451-a22b-4712-9b88-f103e2f64c31</errorID>
      <errorWord>-</errorWord>
      <group>L1_Format</group>
      <groupName>格式问题</groupName>
      <ability>L2_HalfPunc_CN</ability>
      <abilityName>全半角问题</abilityName>
      <candidateList>
        <item>－</item>
      </candidateList>
      <explain>文本全半角错误。</explain>
      <paraID>20024E56</paraID>
      <start>198</start>
      <end>199</end>
      <status>modified</status>
      <modifiedWord>－</modifiedWord>
      <trackRevisions>false</trackRevisions>
    </reviewItem>
    <reviewItem>
      <errorID>5515783a-b76a-499d-a286-f80c2ebbd75c</errorID>
      <errorWord>-</errorWord>
      <group>L1_Format</group>
      <groupName>格式问题</groupName>
      <ability>L2_HalfPunc_CN</ability>
      <abilityName>全半角问题</abilityName>
      <candidateList>
        <item>－</item>
      </candidateList>
      <explain>文本全半角错误。</explain>
      <paraID>20024E56</paraID>
      <start>236</start>
      <end>237</end>
      <status>modified</status>
      <modifiedWord>－</modifiedWord>
      <trackRevisions>false</trackRevisions>
    </reviewItem>
    <reviewItem>
      <errorID>76b20c21-9300-4743-b8f9-3eb87bc7712e</errorID>
      <errorWord>-</errorWord>
      <group>L1_Format</group>
      <groupName>格式问题</groupName>
      <ability>L2_HalfPunc_CN</ability>
      <abilityName>全半角问题</abilityName>
      <candidateList>
        <item>－</item>
      </candidateList>
      <explain>文本全半角错误。</explain>
      <paraID>20024E56</paraID>
      <start>289</start>
      <end>290</end>
      <status>modified</status>
      <modifiedWord>－</modifiedWord>
      <trackRevisions>false</trackRevisions>
    </reviewItem>
    <reviewItem>
      <errorID>de38e281-ebf5-4df1-85f4-a79d2bde9740</errorID>
      <errorWord>-</errorWord>
      <group>L1_Format</group>
      <groupName>格式问题</groupName>
      <ability>L2_HalfPunc_CN</ability>
      <abilityName>全半角问题</abilityName>
      <candidateList>
        <item>－</item>
      </candidateList>
      <explain>文本全半角错误。</explain>
      <paraID>20024E56</paraID>
      <start>290</start>
      <end>291</end>
      <status>modified</status>
      <modifiedWord>－</modifiedWord>
      <trackRevisions>false</trackRevisions>
    </reviewItem>
    <reviewItem>
      <errorID>4b64305c-37b5-44d3-af44-9f8840862204</errorID>
      <errorWord>-</errorWord>
      <group>L1_Format</group>
      <groupName>格式问题</groupName>
      <ability>L2_HalfPunc_CN</ability>
      <abilityName>全半角问题</abilityName>
      <candidateList>
        <item>－</item>
      </candidateList>
      <explain>文本全半角错误。</explain>
      <paraID>20024E56</paraID>
      <start>355</start>
      <end>356</end>
      <status>modified</status>
      <modifiedWord>－</modifiedWord>
      <trackRevisions>false</trackRevisions>
    </reviewItem>
    <reviewItem>
      <errorID>4883613d-809b-46c3-ad7b-0a3218dcdccf</errorID>
      <errorWord>-</errorWord>
      <group>L1_Format</group>
      <groupName>格式问题</groupName>
      <ability>L2_HalfPunc_CN</ability>
      <abilityName>全半角问题</abilityName>
      <candidateList>
        <item>－</item>
      </candidateList>
      <explain>文本全半角错误。</explain>
      <paraID>20024E56</paraID>
      <start>356</start>
      <end>357</end>
      <status>modified</status>
      <modifiedWord>－</modifiedWord>
      <trackRevisions>false</trackRevisions>
    </reviewItem>
    <reviewItem>
      <errorID>cfb7f500-0e5b-4538-afc3-7e1f4c43b335</errorID>
      <errorWord>耐用一</errorWord>
      <group>L1_Word</group>
      <groupName>字词问题</groupName>
      <ability>L2_Typo</ability>
      <abilityName>字词错误</abilityName>
      <candidateList>
        <item>耐用</item>
      </candidateList>
      <explain/>
      <paraID>69A9DBEE</paraID>
      <start>84</start>
      <end>86</end>
      <status>modified</status>
      <modifiedWord>耐用</modifiedWord>
      <trackRevisions>false</trackRevisions>
    </reviewItem>
    <reviewItem>
      <errorID>de65b3b9-b21d-41de-889a-ba94bac8da32</errorID>
      <errorWord>车固</errorWord>
      <group>L1_Word</group>
      <groupName>字词问题</groupName>
      <ability>L2_Typo</ability>
      <abilityName>字词错误</abilityName>
      <candidateList>
        <item>坚固</item>
      </candidateList>
      <explain/>
      <paraID>69A9DBEE</paraID>
      <start>97</start>
      <end>99</end>
      <status>modified</status>
      <modifiedWord>坚固</modifiedWord>
      <trackRevisions>false</trackRevisions>
    </reviewItem>
    <reviewItem>
      <errorID>b0304f2a-04db-4d56-b15c-9102f414b57f</errorID>
      <errorWord>-</errorWord>
      <group>L1_Format</group>
      <groupName>格式问题</groupName>
      <ability>L2_HalfPunc_CN</ability>
      <abilityName>全半角问题</abilityName>
      <candidateList>
        <item>－</item>
      </candidateList>
      <explain>文本全半角错误。</explain>
      <paraID>69A9DBEE</paraID>
      <start>134</start>
      <end>135</end>
      <status>modified</status>
      <modifiedWord>－</modifiedWord>
      <trackRevisions>false</trackRevisions>
    </reviewItem>
    <reviewItem>
      <errorID>3d8c55db-21d1-491f-87a0-d22f045f32dd</errorID>
      <errorWord>-</errorWord>
      <group>L1_Format</group>
      <groupName>格式问题</groupName>
      <ability>L2_HalfPunc_CN</ability>
      <abilityName>全半角问题</abilityName>
      <candidateList>
        <item>－</item>
      </candidateList>
      <explain>文本全半角错误。</explain>
      <paraID>69A9DBEE</paraID>
      <start>135</start>
      <end>136</end>
      <status>modified</status>
      <modifiedWord>－</modifiedWord>
      <trackRevisions>false</trackRevisions>
    </reviewItem>
    <reviewItem>
      <errorID>eb7bc55e-29f7-4f7d-9ef8-d2b32d25c8c4</errorID>
      <errorWord>以</errorWord>
      <group>L1_Word</group>
      <groupName>字词问题</groupName>
      <ability>L2_Typo</ability>
      <abilityName>字词错误</abilityName>
      <candidateList>
        <item>以为</item>
      </candidateList>
      <explain/>
      <paraID>69A9DBEE</paraID>
      <start>169</start>
      <end>171</end>
      <status>modified</status>
      <modifiedWord>以为</modifiedWord>
      <trackRevisions>false</trackRevisions>
    </reviewItem>
    <reviewItem>
      <errorID>a319c74b-bf90-42a5-8829-3cf3b7e8d002</errorID>
      <errorWord>-</errorWord>
      <group>L1_Format</group>
      <groupName>格式问题</groupName>
      <ability>L2_HalfPunc_CN</ability>
      <abilityName>全半角问题</abilityName>
      <candidateList>
        <item>－</item>
      </candidateList>
      <explain>文本全半角错误。</explain>
      <paraID>69A9DBEE</paraID>
      <start>197</start>
      <end>198</end>
      <status>modified</status>
      <modifiedWord>－</modifiedWord>
      <trackRevisions>false</trackRevisions>
    </reviewItem>
    <reviewItem>
      <errorID>cdcc6c53-4379-49d7-adca-8a2287ae7877</errorID>
      <errorWord>-</errorWord>
      <group>L1_Format</group>
      <groupName>格式问题</groupName>
      <ability>L2_HalfPunc_CN</ability>
      <abilityName>全半角问题</abilityName>
      <candidateList>
        <item>－</item>
      </candidateList>
      <explain>文本全半角错误。</explain>
      <paraID>69A9DBEE</paraID>
      <start>198</start>
      <end>199</end>
      <status>modified</status>
      <modifiedWord>－</modifiedWord>
      <trackRevisions>false</trackRevisions>
    </reviewItem>
    <reviewItem>
      <errorID>04b7fb09-cae3-44eb-8469-687b362387e9</errorID>
      <errorWord>-</errorWord>
      <group>L1_Format</group>
      <groupName>格式问题</groupName>
      <ability>L2_HalfPunc_CN</ability>
      <abilityName>全半角问题</abilityName>
      <candidateList>
        <item>－</item>
      </candidateList>
      <explain>文本全半角错误。</explain>
      <paraID>69A9DBEE</paraID>
      <start>236</start>
      <end>237</end>
      <status>modified</status>
      <modifiedWord>－</modifiedWord>
      <trackRevisions>false</trackRevisions>
    </reviewItem>
    <reviewItem>
      <errorID>87af9f3c-5cfd-4f4a-a0b6-2a636e5a582e</errorID>
      <errorWord>-</errorWord>
      <group>L1_Format</group>
      <groupName>格式问题</groupName>
      <ability>L2_HalfPunc_CN</ability>
      <abilityName>全半角问题</abilityName>
      <candidateList>
        <item>－</item>
      </candidateList>
      <explain>文本全半角错误。</explain>
      <paraID>69A9DBEE</paraID>
      <start>289</start>
      <end>290</end>
      <status>modified</status>
      <modifiedWord>－</modifiedWord>
      <trackRevisions>false</trackRevisions>
    </reviewItem>
    <reviewItem>
      <errorID>cd884071-555a-4630-9a18-ff60b2809e4b</errorID>
      <errorWord>-</errorWord>
      <group>L1_Format</group>
      <groupName>格式问题</groupName>
      <ability>L2_HalfPunc_CN</ability>
      <abilityName>全半角问题</abilityName>
      <candidateList>
        <item>－</item>
      </candidateList>
      <explain>文本全半角错误。</explain>
      <paraID>69A9DBEE</paraID>
      <start>290</start>
      <end>291</end>
      <status>modified</status>
      <modifiedWord>－</modifiedWord>
      <trackRevisions>false</trackRevisions>
    </reviewItem>
    <reviewItem>
      <errorID>46e25298-dbfa-4301-af98-13d3e440b947</errorID>
      <errorWord>-</errorWord>
      <group>L1_Format</group>
      <groupName>格式问题</groupName>
      <ability>L2_HalfPunc_CN</ability>
      <abilityName>全半角问题</abilityName>
      <candidateList>
        <item>－</item>
      </candidateList>
      <explain>文本全半角错误。</explain>
      <paraID>69A9DBEE</paraID>
      <start>355</start>
      <end>356</end>
      <status>modified</status>
      <modifiedWord>－</modifiedWord>
      <trackRevisions>false</trackRevisions>
    </reviewItem>
    <reviewItem>
      <errorID>1846f5be-deca-432d-bf18-48e828bb36d7</errorID>
      <errorWord>-</errorWord>
      <group>L1_Format</group>
      <groupName>格式问题</groupName>
      <ability>L2_HalfPunc_CN</ability>
      <abilityName>全半角问题</abilityName>
      <candidateList>
        <item>－</item>
      </candidateList>
      <explain>文本全半角错误。</explain>
      <paraID>69A9DBEE</paraID>
      <start>356</start>
      <end>357</end>
      <status>modified</status>
      <modifiedWord>－</modifiedWord>
      <trackRevisions>false</trackRevisions>
    </reviewItem>
    <reviewItem>
      <errorID>f27e7cb6-b216-4077-baac-68bc4a719009</errorID>
      <errorWord>耐用一</errorWord>
      <group>L1_Word</group>
      <groupName>字词问题</groupName>
      <ability>L2_Typo</ability>
      <abilityName>字词错误</abilityName>
      <candidateList>
        <item>耐用</item>
      </candidateList>
      <explain/>
      <paraID>5E1E850E</paraID>
      <start>83</start>
      <end>85</end>
      <status>modified</status>
      <modifiedWord>耐用</modifiedWord>
      <trackRevisions>false</trackRevisions>
    </reviewItem>
    <reviewItem>
      <errorID>537349a2-869e-40fe-9805-a17871a1a62f</errorID>
      <errorWord>车固</errorWord>
      <group>L1_Word</group>
      <groupName>字词问题</groupName>
      <ability>L2_Typo</ability>
      <abilityName>字词错误</abilityName>
      <candidateList>
        <item>坚固</item>
      </candidateList>
      <explain/>
      <paraID>5E1E850E</paraID>
      <start>96</start>
      <end>98</end>
      <status>modified</status>
      <modifiedWord>坚固</modifiedWord>
      <trackRevisions>false</trackRevisions>
    </reviewItem>
    <reviewItem>
      <errorID>29ea7659-edb3-476b-88ca-2460d1d3282e</errorID>
      <errorWord>-</errorWord>
      <group>L1_Format</group>
      <groupName>格式问题</groupName>
      <ability>L2_HalfPunc_CN</ability>
      <abilityName>全半角问题</abilityName>
      <candidateList>
        <item>－</item>
      </candidateList>
      <explain>文本全半角错误。</explain>
      <paraID>5E1E850E</paraID>
      <start>133</start>
      <end>134</end>
      <status>modified</status>
      <modifiedWord>－</modifiedWord>
      <trackRevisions>false</trackRevisions>
    </reviewItem>
    <reviewItem>
      <errorID>34efb477-e611-4ac8-9fda-6c3868e40ffe</errorID>
      <errorWord>-</errorWord>
      <group>L1_Format</group>
      <groupName>格式问题</groupName>
      <ability>L2_HalfPunc_CN</ability>
      <abilityName>全半角问题</abilityName>
      <candidateList>
        <item>－</item>
      </candidateList>
      <explain>文本全半角错误。</explain>
      <paraID>5E1E850E</paraID>
      <start>134</start>
      <end>135</end>
      <status>modified</status>
      <modifiedWord>－</modifiedWord>
      <trackRevisions>false</trackRevisions>
    </reviewItem>
    <reviewItem>
      <errorID>6ade5d0c-0c79-4085-9115-b71d190088eb</errorID>
      <errorWord>以</errorWord>
      <group>L1_Word</group>
      <groupName>字词问题</groupName>
      <ability>L2_Typo</ability>
      <abilityName>字词错误</abilityName>
      <candidateList>
        <item>以为</item>
      </candidateList>
      <explain/>
      <paraID>5E1E850E</paraID>
      <start>168</start>
      <end>170</end>
      <status>modified</status>
      <modifiedWord>以为</modifiedWord>
      <trackRevisions>false</trackRevisions>
    </reviewItem>
    <reviewItem>
      <errorID>a90b080f-6706-4a2e-826a-a2ca103c89b4</errorID>
      <errorWord>-</errorWord>
      <group>L1_Format</group>
      <groupName>格式问题</groupName>
      <ability>L2_HalfPunc_CN</ability>
      <abilityName>全半角问题</abilityName>
      <candidateList>
        <item>－</item>
      </candidateList>
      <explain>文本全半角错误。</explain>
      <paraID>5E1E850E</paraID>
      <start>196</start>
      <end>197</end>
      <status>modified</status>
      <modifiedWord>－</modifiedWord>
      <trackRevisions>false</trackRevisions>
    </reviewItem>
    <reviewItem>
      <errorID>47f5a08d-5393-4f44-adfd-f80339792a7f</errorID>
      <errorWord>-</errorWord>
      <group>L1_Format</group>
      <groupName>格式问题</groupName>
      <ability>L2_HalfPunc_CN</ability>
      <abilityName>全半角问题</abilityName>
      <candidateList>
        <item>－</item>
      </candidateList>
      <explain>文本全半角错误。</explain>
      <paraID>5E1E850E</paraID>
      <start>197</start>
      <end>198</end>
      <status>modified</status>
      <modifiedWord>－</modifiedWord>
      <trackRevisions>false</trackRevisions>
    </reviewItem>
    <reviewItem>
      <errorID>79917d19-d797-45ef-86c1-e7629dffe0db</errorID>
      <errorWord>-</errorWord>
      <group>L1_Format</group>
      <groupName>格式问题</groupName>
      <ability>L2_HalfPunc_CN</ability>
      <abilityName>全半角问题</abilityName>
      <candidateList>
        <item>－</item>
      </candidateList>
      <explain>文本全半角错误。</explain>
      <paraID>5E1E850E</paraID>
      <start>235</start>
      <end>236</end>
      <status>modified</status>
      <modifiedWord>－</modifiedWord>
      <trackRevisions>false</trackRevisions>
    </reviewItem>
    <reviewItem>
      <errorID>0564ea3c-08d2-4499-a679-ca4815dfde01</errorID>
      <errorWord>-</errorWord>
      <group>L1_Format</group>
      <groupName>格式问题</groupName>
      <ability>L2_HalfPunc_CN</ability>
      <abilityName>全半角问题</abilityName>
      <candidateList>
        <item>－</item>
      </candidateList>
      <explain>文本全半角错误。</explain>
      <paraID>5E1E850E</paraID>
      <start>288</start>
      <end>289</end>
      <status>modified</status>
      <modifiedWord>－</modifiedWord>
      <trackRevisions>false</trackRevisions>
    </reviewItem>
    <reviewItem>
      <errorID>25a584af-8e51-472b-9491-21b42d9f1c6e</errorID>
      <errorWord>-</errorWord>
      <group>L1_Format</group>
      <groupName>格式问题</groupName>
      <ability>L2_HalfPunc_CN</ability>
      <abilityName>全半角问题</abilityName>
      <candidateList>
        <item>－</item>
      </candidateList>
      <explain>文本全半角错误。</explain>
      <paraID>5E1E850E</paraID>
      <start>289</start>
      <end>290</end>
      <status>modified</status>
      <modifiedWord>－</modifiedWord>
      <trackRevisions>false</trackRevisions>
    </reviewItem>
    <reviewItem>
      <errorID>6479bedc-7adf-4f27-99da-37eb42717f63</errorID>
      <errorWord>-</errorWord>
      <group>L1_Format</group>
      <groupName>格式问题</groupName>
      <ability>L2_HalfPunc_CN</ability>
      <abilityName>全半角问题</abilityName>
      <candidateList>
        <item>－</item>
      </candidateList>
      <explain>文本全半角错误。</explain>
      <paraID>5E1E850E</paraID>
      <start>354</start>
      <end>355</end>
      <status>modified</status>
      <modifiedWord>－</modifiedWord>
      <trackRevisions>false</trackRevisions>
    </reviewItem>
    <reviewItem>
      <errorID>88f4cc1c-5636-4e9c-8954-1328e9f1d040</errorID>
      <errorWord>-</errorWord>
      <group>L1_Format</group>
      <groupName>格式问题</groupName>
      <ability>L2_HalfPunc_CN</ability>
      <abilityName>全半角问题</abilityName>
      <candidateList>
        <item>－</item>
      </candidateList>
      <explain>文本全半角错误。</explain>
      <paraID>5E1E850E</paraID>
      <start>355</start>
      <end>356</end>
      <status>modified</status>
      <modifiedWord>－</modifiedWord>
      <trackRevisions>false</trackRevisions>
    </reviewItem>
    <reviewItem>
      <errorID>14ccf6dc-69b2-45fc-878a-5f4165cc256b</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5E1E850E</paraID>
      <start>417</start>
      <end>419</end>
      <status>modified</status>
      <modifiedWord>反应</modifiedWord>
      <trackRevisions>false</trackRevisions>
    </reviewItem>
    <reviewItem>
      <errorID>0232f7a0-acfd-4e67-ab47-662d9d14f5d3</errorID>
      <errorWord>耐用一</errorWord>
      <group>L1_Word</group>
      <groupName>字词问题</groupName>
      <ability>L2_Typo</ability>
      <abilityName>字词错误</abilityName>
      <candidateList>
        <item>耐用</item>
      </candidateList>
      <explain/>
      <paraID>268915B3</paraID>
      <start>84</start>
      <end>86</end>
      <status>modified</status>
      <modifiedWord>耐用</modifiedWord>
      <trackRevisions>false</trackRevisions>
    </reviewItem>
    <reviewItem>
      <errorID>a057fda3-8802-40be-81ce-00a756d5f0d0</errorID>
      <errorWord>车固</errorWord>
      <group>L1_Word</group>
      <groupName>字词问题</groupName>
      <ability>L2_Typo</ability>
      <abilityName>字词错误</abilityName>
      <candidateList>
        <item>坚固</item>
      </candidateList>
      <explain/>
      <paraID>268915B3</paraID>
      <start>97</start>
      <end>99</end>
      <status>modified</status>
      <modifiedWord>坚固</modifiedWord>
      <trackRevisions>false</trackRevisions>
    </reviewItem>
    <reviewItem>
      <errorID>c8c2914a-244f-455d-a4ff-6f63765a31b0</errorID>
      <errorWord>-</errorWord>
      <group>L1_Format</group>
      <groupName>格式问题</groupName>
      <ability>L2_HalfPunc_CN</ability>
      <abilityName>全半角问题</abilityName>
      <candidateList>
        <item>－</item>
      </candidateList>
      <explain>文本全半角错误。</explain>
      <paraID>268915B3</paraID>
      <start>134</start>
      <end>135</end>
      <status>modified</status>
      <modifiedWord>－</modifiedWord>
      <trackRevisions>false</trackRevisions>
    </reviewItem>
    <reviewItem>
      <errorID>6b4ab094-f4f8-4d6a-82b0-4b7b581e4366</errorID>
      <errorWord>-</errorWord>
      <group>L1_Format</group>
      <groupName>格式问题</groupName>
      <ability>L2_HalfPunc_CN</ability>
      <abilityName>全半角问题</abilityName>
      <candidateList>
        <item>－</item>
      </candidateList>
      <explain>文本全半角错误。</explain>
      <paraID>268915B3</paraID>
      <start>135</start>
      <end>136</end>
      <status>modified</status>
      <modifiedWord>－</modifiedWord>
      <trackRevisions>false</trackRevisions>
    </reviewItem>
    <reviewItem>
      <errorID>4ddf175c-3f62-4b68-b50a-8da5aadf833f</errorID>
      <errorWord>以</errorWord>
      <group>L1_Word</group>
      <groupName>字词问题</groupName>
      <ability>L2_Typo</ability>
      <abilityName>字词错误</abilityName>
      <candidateList>
        <item>以为</item>
      </candidateList>
      <explain/>
      <paraID>268915B3</paraID>
      <start>169</start>
      <end>171</end>
      <status>modified</status>
      <modifiedWord>以为</modifiedWord>
      <trackRevisions>false</trackRevisions>
    </reviewItem>
    <reviewItem>
      <errorID>5b7acd8f-bdf6-46ee-95d5-6d634f2e19e9</errorID>
      <errorWord>-</errorWord>
      <group>L1_Format</group>
      <groupName>格式问题</groupName>
      <ability>L2_HalfPunc_CN</ability>
      <abilityName>全半角问题</abilityName>
      <candidateList>
        <item>－</item>
      </candidateList>
      <explain>文本全半角错误。</explain>
      <paraID>268915B3</paraID>
      <start>197</start>
      <end>198</end>
      <status>modified</status>
      <modifiedWord>－</modifiedWord>
      <trackRevisions>false</trackRevisions>
    </reviewItem>
    <reviewItem>
      <errorID>3aae6206-5e84-40e1-8e85-abb5bbb930ac</errorID>
      <errorWord>-</errorWord>
      <group>L1_Format</group>
      <groupName>格式问题</groupName>
      <ability>L2_HalfPunc_CN</ability>
      <abilityName>全半角问题</abilityName>
      <candidateList>
        <item>－</item>
      </candidateList>
      <explain>文本全半角错误。</explain>
      <paraID>268915B3</paraID>
      <start>198</start>
      <end>199</end>
      <status>modified</status>
      <modifiedWord>－</modifiedWord>
      <trackRevisions>false</trackRevisions>
    </reviewItem>
    <reviewItem>
      <errorID>ced7c7b0-d55f-4b5c-8db0-eb13da2d8641</errorID>
      <errorWord>-</errorWord>
      <group>L1_Format</group>
      <groupName>格式问题</groupName>
      <ability>L2_HalfPunc_CN</ability>
      <abilityName>全半角问题</abilityName>
      <candidateList>
        <item>－</item>
      </candidateList>
      <explain>文本全半角错误。</explain>
      <paraID>268915B3</paraID>
      <start>236</start>
      <end>237</end>
      <status>modified</status>
      <modifiedWord>－</modifiedWord>
      <trackRevisions>false</trackRevisions>
    </reviewItem>
    <reviewItem>
      <errorID>158a55ea-3686-4a12-b56e-97b037f4bf9f</errorID>
      <errorWord>-</errorWord>
      <group>L1_Format</group>
      <groupName>格式问题</groupName>
      <ability>L2_HalfPunc_CN</ability>
      <abilityName>全半角问题</abilityName>
      <candidateList>
        <item>－</item>
      </candidateList>
      <explain>文本全半角错误。</explain>
      <paraID>268915B3</paraID>
      <start>289</start>
      <end>290</end>
      <status>modified</status>
      <modifiedWord>－</modifiedWord>
      <trackRevisions>false</trackRevisions>
    </reviewItem>
    <reviewItem>
      <errorID>f149180d-1333-4cc9-8311-59661249b5c6</errorID>
      <errorWord>-</errorWord>
      <group>L1_Format</group>
      <groupName>格式问题</groupName>
      <ability>L2_HalfPunc_CN</ability>
      <abilityName>全半角问题</abilityName>
      <candidateList>
        <item>－</item>
      </candidateList>
      <explain>文本全半角错误。</explain>
      <paraID>268915B3</paraID>
      <start>290</start>
      <end>291</end>
      <status>modified</status>
      <modifiedWord>－</modifiedWord>
      <trackRevisions>false</trackRevisions>
    </reviewItem>
    <reviewItem>
      <errorID>015d2c88-5d13-4408-8450-cfd23490320a</errorID>
      <errorWord>-</errorWord>
      <group>L1_Format</group>
      <groupName>格式问题</groupName>
      <ability>L2_HalfPunc_CN</ability>
      <abilityName>全半角问题</abilityName>
      <candidateList>
        <item>－</item>
      </candidateList>
      <explain>文本全半角错误。</explain>
      <paraID>268915B3</paraID>
      <start>355</start>
      <end>356</end>
      <status>modified</status>
      <modifiedWord>－</modifiedWord>
      <trackRevisions>false</trackRevisions>
    </reviewItem>
    <reviewItem>
      <errorID>c2e53a27-4cff-4aed-9b19-dd72f48d7047</errorID>
      <errorWord>-</errorWord>
      <group>L1_Format</group>
      <groupName>格式问题</groupName>
      <ability>L2_HalfPunc_CN</ability>
      <abilityName>全半角问题</abilityName>
      <candidateList>
        <item>－</item>
      </candidateList>
      <explain>文本全半角错误。</explain>
      <paraID>268915B3</paraID>
      <start>356</start>
      <end>357</end>
      <status>modified</status>
      <modifiedWord>－</modifiedWord>
      <trackRevisions>false</trackRevisions>
    </reviewItem>
    <reviewItem>
      <errorID>a3f1e7f6-ff26-45d9-92ad-3964936045aa</errorID>
      <errorWord>耐用一</errorWord>
      <group>L1_Word</group>
      <groupName>字词问题</groupName>
      <ability>L2_Typo</ability>
      <abilityName>字词错误</abilityName>
      <candidateList>
        <item>耐用</item>
      </candidateList>
      <explain/>
      <paraID>31C9D232</paraID>
      <start>84</start>
      <end>86</end>
      <status>modified</status>
      <modifiedWord>耐用</modifiedWord>
      <trackRevisions>false</trackRevisions>
    </reviewItem>
    <reviewItem>
      <errorID>8becc773-4904-416b-afd7-b4b6af7bad65</errorID>
      <errorWord>车固</errorWord>
      <group>L1_Word</group>
      <groupName>字词问题</groupName>
      <ability>L2_Typo</ability>
      <abilityName>字词错误</abilityName>
      <candidateList>
        <item>坚固</item>
      </candidateList>
      <explain/>
      <paraID>31C9D232</paraID>
      <start>97</start>
      <end>99</end>
      <status>modified</status>
      <modifiedWord>坚固</modifiedWord>
      <trackRevisions>false</trackRevisions>
    </reviewItem>
    <reviewItem>
      <errorID>eb4677c1-588a-4352-81db-162ec42723e5</errorID>
      <errorWord>-</errorWord>
      <group>L1_Format</group>
      <groupName>格式问题</groupName>
      <ability>L2_HalfPunc_CN</ability>
      <abilityName>全半角问题</abilityName>
      <candidateList>
        <item>－</item>
      </candidateList>
      <explain>文本全半角错误。</explain>
      <paraID>31C9D232</paraID>
      <start>134</start>
      <end>135</end>
      <status>modified</status>
      <modifiedWord>－</modifiedWord>
      <trackRevisions>false</trackRevisions>
    </reviewItem>
    <reviewItem>
      <errorID>42f5335e-ba0b-4422-8c7e-9407a7022b32</errorID>
      <errorWord>-</errorWord>
      <group>L1_Format</group>
      <groupName>格式问题</groupName>
      <ability>L2_HalfPunc_CN</ability>
      <abilityName>全半角问题</abilityName>
      <candidateList>
        <item>－</item>
      </candidateList>
      <explain>文本全半角错误。</explain>
      <paraID>31C9D232</paraID>
      <start>135</start>
      <end>136</end>
      <status>modified</status>
      <modifiedWord>－</modifiedWord>
      <trackRevisions>false</trackRevisions>
    </reviewItem>
    <reviewItem>
      <errorID>761cbb67-7a89-4993-b1e1-a909cd3027fa</errorID>
      <errorWord>以</errorWord>
      <group>L1_Word</group>
      <groupName>字词问题</groupName>
      <ability>L2_Typo</ability>
      <abilityName>字词错误</abilityName>
      <candidateList>
        <item>以为</item>
      </candidateList>
      <explain/>
      <paraID>31C9D232</paraID>
      <start>169</start>
      <end>171</end>
      <status>modified</status>
      <modifiedWord>以为</modifiedWord>
      <trackRevisions>false</trackRevisions>
    </reviewItem>
    <reviewItem>
      <errorID>e915e642-d135-485b-a00f-f186311219e4</errorID>
      <errorWord>-</errorWord>
      <group>L1_Format</group>
      <groupName>格式问题</groupName>
      <ability>L2_HalfPunc_CN</ability>
      <abilityName>全半角问题</abilityName>
      <candidateList>
        <item>－</item>
      </candidateList>
      <explain>文本全半角错误。</explain>
      <paraID>31C9D232</paraID>
      <start>197</start>
      <end>198</end>
      <status>modified</status>
      <modifiedWord>－</modifiedWord>
      <trackRevisions>false</trackRevisions>
    </reviewItem>
    <reviewItem>
      <errorID>79d3c1af-7e57-4d68-87bb-a688fda0f677</errorID>
      <errorWord>-</errorWord>
      <group>L1_Format</group>
      <groupName>格式问题</groupName>
      <ability>L2_HalfPunc_CN</ability>
      <abilityName>全半角问题</abilityName>
      <candidateList>
        <item>－</item>
      </candidateList>
      <explain>文本全半角错误。</explain>
      <paraID>31C9D232</paraID>
      <start>198</start>
      <end>199</end>
      <status>modified</status>
      <modifiedWord>－</modifiedWord>
      <trackRevisions>false</trackRevisions>
    </reviewItem>
    <reviewItem>
      <errorID>abd74b2f-ccb5-4fba-aaed-cb61c750cfa8</errorID>
      <errorWord>-</errorWord>
      <group>L1_Format</group>
      <groupName>格式问题</groupName>
      <ability>L2_HalfPunc_CN</ability>
      <abilityName>全半角问题</abilityName>
      <candidateList>
        <item>－</item>
      </candidateList>
      <explain>文本全半角错误。</explain>
      <paraID>31C9D232</paraID>
      <start>236</start>
      <end>237</end>
      <status>modified</status>
      <modifiedWord>－</modifiedWord>
      <trackRevisions>false</trackRevisions>
    </reviewItem>
    <reviewItem>
      <errorID>f4aaf1d0-3ab0-4b24-8957-279c6098f86b</errorID>
      <errorWord>-</errorWord>
      <group>L1_Format</group>
      <groupName>格式问题</groupName>
      <ability>L2_HalfPunc_CN</ability>
      <abilityName>全半角问题</abilityName>
      <candidateList>
        <item>－</item>
      </candidateList>
      <explain>文本全半角错误。</explain>
      <paraID>31C9D232</paraID>
      <start>289</start>
      <end>290</end>
      <status>modified</status>
      <modifiedWord>－</modifiedWord>
      <trackRevisions>false</trackRevisions>
    </reviewItem>
    <reviewItem>
      <errorID>1ddaa504-a5a3-4126-8187-12d34a55e999</errorID>
      <errorWord>-</errorWord>
      <group>L1_Format</group>
      <groupName>格式问题</groupName>
      <ability>L2_HalfPunc_CN</ability>
      <abilityName>全半角问题</abilityName>
      <candidateList>
        <item>－</item>
      </candidateList>
      <explain>文本全半角错误。</explain>
      <paraID>31C9D232</paraID>
      <start>290</start>
      <end>291</end>
      <status>modified</status>
      <modifiedWord>－</modifiedWord>
      <trackRevisions>false</trackRevisions>
    </reviewItem>
    <reviewItem>
      <errorID>c68660e0-2ccc-4770-abd1-b227e6ae78e5</errorID>
      <errorWord>-</errorWord>
      <group>L1_Format</group>
      <groupName>格式问题</groupName>
      <ability>L2_HalfPunc_CN</ability>
      <abilityName>全半角问题</abilityName>
      <candidateList>
        <item>－</item>
      </candidateList>
      <explain>文本全半角错误。</explain>
      <paraID>31C9D232</paraID>
      <start>355</start>
      <end>356</end>
      <status>modified</status>
      <modifiedWord>－</modifiedWord>
      <trackRevisions>false</trackRevisions>
    </reviewItem>
    <reviewItem>
      <errorID>feffdd8d-218a-42bf-acd7-70079d64ed47</errorID>
      <errorWord>-</errorWord>
      <group>L1_Format</group>
      <groupName>格式问题</groupName>
      <ability>L2_HalfPunc_CN</ability>
      <abilityName>全半角问题</abilityName>
      <candidateList>
        <item>－</item>
      </candidateList>
      <explain>文本全半角错误。</explain>
      <paraID>31C9D232</paraID>
      <start>356</start>
      <end>357</end>
      <status>modified</status>
      <modifiedWord>－</modifiedWord>
      <trackRevisions>false</trackRevisions>
    </reviewItem>
    <reviewItem>
      <errorID>c65db3be-42c0-40ac-8589-01aeef26a467</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31C9D232</paraID>
      <start>418</start>
      <end>420</end>
      <status>modified</status>
      <modifiedWord>反应</modifiedWord>
      <trackRevisions>false</trackRevisions>
    </reviewItem>
    <reviewItem>
      <errorID>1f7512a9-920e-49e6-a610-5e4548b110a4</errorID>
      <errorWord>超博</errorWord>
      <group>L1_Word</group>
      <groupName>字词问题</groupName>
      <ability>L2_Typo</ability>
      <abilityName>字词错误</abilityName>
      <candidateList>
        <item>超薄</item>
      </candidateList>
      <explain/>
      <paraID>67B27978</paraID>
      <start>28</start>
      <end>30</end>
      <status>modified</status>
      <modifiedWord>超薄</modifiedWord>
      <trackRevisions>false</trackRevisions>
    </reviewItem>
    <reviewItem>
      <errorID>0340340e-04fa-4d85-bb4e-953bcdc3a901</errorID>
      <errorWord>超博</errorWord>
      <group>L1_Word</group>
      <groupName>字词问题</groupName>
      <ability>L2_Typo</ability>
      <abilityName>字词错误</abilityName>
      <candidateList>
        <item>超薄</item>
      </candidateList>
      <explain/>
      <paraID> BF5C682</paraID>
      <start>28</start>
      <end>30</end>
      <status>modified</status>
      <modifiedWord>超薄</modifiedWord>
      <trackRevisions>false</trackRevisions>
    </reviewItem>
    <reviewItem>
      <errorID>6c520b18-9bdf-4e53-b9ac-b257b3786bac</errorID>
      <errorWord>超博</errorWord>
      <group>L1_Word</group>
      <groupName>字词问题</groupName>
      <ability>L2_Typo</ability>
      <abilityName>字词错误</abilityName>
      <candidateList>
        <item>超薄</item>
      </candidateList>
      <explain/>
      <paraID>4F00E557</paraID>
      <start>28</start>
      <end>30</end>
      <status>modified</status>
      <modifiedWord>超薄</modifiedWord>
      <trackRevisions>false</trackRevisions>
    </reviewItem>
    <reviewItem>
      <errorID>718faf95-154e-4389-bef9-7dea2b7d6bcb</errorID>
      <errorWord>超博</errorWord>
      <group>L1_Word</group>
      <groupName>字词问题</groupName>
      <ability>L2_Typo</ability>
      <abilityName>字词错误</abilityName>
      <candidateList>
        <item>超薄</item>
      </candidateList>
      <explain/>
      <paraID>6C2C9FEC</paraID>
      <start>28</start>
      <end>30</end>
      <status>modified</status>
      <modifiedWord>超薄</modifiedWord>
      <trackRevisions>false</trackRevisions>
    </reviewItem>
    <reviewItem>
      <errorID>45d533a1-96c7-486b-ab62-391401ae55e7</errorID>
      <errorWord>超博</errorWord>
      <group>L1_Word</group>
      <groupName>字词问题</groupName>
      <ability>L2_Typo</ability>
      <abilityName>字词错误</abilityName>
      <candidateList>
        <item>超薄</item>
      </candidateList>
      <explain/>
      <paraID>67EBC9F8</paraID>
      <start>28</start>
      <end>30</end>
      <status>modified</status>
      <modifiedWord>超薄</modifiedWord>
      <trackRevisions>false</trackRevisions>
    </reviewItem>
    <reviewItem>
      <errorID>23875c24-cf17-4d1c-aa9e-b8cb5b4c87b1</errorID>
      <errorWord>超博</errorWord>
      <group>L1_Word</group>
      <groupName>字词问题</groupName>
      <ability>L2_Typo</ability>
      <abilityName>字词错误</abilityName>
      <candidateList>
        <item>超薄</item>
      </candidateList>
      <explain/>
      <paraID>57BE7C9C</paraID>
      <start>28</start>
      <end>30</end>
      <status>modified</status>
      <modifiedWord>超薄</modifiedWord>
      <trackRevisions>false</trackRevisions>
    </reviewItem>
    <reviewItem>
      <errorID>64002bb6-225d-4883-9512-2b2c5309dfed</errorID>
      <errorWord>超博</errorWord>
      <group>L1_Word</group>
      <groupName>字词问题</groupName>
      <ability>L2_Typo</ability>
      <abilityName>字词错误</abilityName>
      <candidateList>
        <item>超薄</item>
      </candidateList>
      <explain/>
      <paraID>775F1103</paraID>
      <start>28</start>
      <end>30</end>
      <status>modified</status>
      <modifiedWord>超薄</modifiedWord>
      <trackRevisions>false</trackRevisions>
    </reviewItem>
    <reviewItem>
      <errorID>84bf6c50-c3fc-4e25-8136-3053c9db70a2</errorID>
      <errorWord>超博</errorWord>
      <group>L1_Word</group>
      <groupName>字词问题</groupName>
      <ability>L2_Typo</ability>
      <abilityName>字词错误</abilityName>
      <candidateList>
        <item>超薄</item>
      </candidateList>
      <explain/>
      <paraID>40EAADBA</paraID>
      <start>28</start>
      <end>30</end>
      <status>modified</status>
      <modifiedWord>超薄</modifiedWord>
      <trackRevisions>false</trackRevisions>
    </reviewItem>
    <reviewItem>
      <errorID>a083e5e9-da2c-4e95-8397-bed8acf191c0</errorID>
      <errorWord>(</errorWord>
      <group>L1_Format</group>
      <groupName>格式问题</groupName>
      <ability>L2_HalfPunc_CN</ability>
      <abilityName>全半角问题</abilityName>
      <candidateList>
        <item>（</item>
      </candidateList>
      <explain>文本全半角错误。</explain>
      <paraID>29FB9B25</paraID>
      <start>76</start>
      <end>77</end>
      <status>modified</status>
      <modifiedWord>（</modifiedWord>
      <trackRevisions>false</trackRevisions>
    </reviewItem>
    <reviewItem>
      <errorID>07d5e7df-c5b5-469e-a6be-13ba986765ed</errorID>
      <errorWord>)</errorWord>
      <group>L1_Format</group>
      <groupName>格式问题</groupName>
      <ability>L2_HalfPunc_CN</ability>
      <abilityName>全半角问题</abilityName>
      <candidateList>
        <item>）</item>
      </candidateList>
      <explain>文本全半角错误。</explain>
      <paraID>29FB9B25</paraID>
      <start>83</start>
      <end>84</end>
      <status>modified</status>
      <modifiedWord>）</modifiedWord>
      <trackRevisions>false</trackRevisions>
    </reviewItem>
    <reviewItem>
      <errorID>3bc5f8cc-516c-4808-83d4-1c427973f70e</errorID>
      <errorWord>(</errorWord>
      <group>L1_Format</group>
      <groupName>格式问题</groupName>
      <ability>L2_HalfPunc_CN</ability>
      <abilityName>全半角问题</abilityName>
      <candidateList>
        <item>（</item>
      </candidateList>
      <explain>文本全半角错误。</explain>
      <paraID> 18E1FF9</paraID>
      <start>76</start>
      <end>77</end>
      <status>modified</status>
      <modifiedWord>（</modifiedWord>
      <trackRevisions>false</trackRevisions>
    </reviewItem>
    <reviewItem>
      <errorID>533e1e36-7799-43b3-964c-945408436dac</errorID>
      <errorWord>)</errorWord>
      <group>L1_Format</group>
      <groupName>格式问题</groupName>
      <ability>L2_HalfPunc_CN</ability>
      <abilityName>全半角问题</abilityName>
      <candidateList>
        <item>）</item>
      </candidateList>
      <explain>文本全半角错误。</explain>
      <paraID> 18E1FF9</paraID>
      <start>83</start>
      <end>84</end>
      <status>modified</status>
      <modifiedWord>）</modifiedWord>
      <trackRevisions>false</trackRevisions>
    </reviewItem>
    <reviewItem>
      <errorID>fd6f3304-17fd-4806-bcf8-dae2af0acca7</errorID>
      <errorWord>（</errorWord>
      <group>L1_Format</group>
      <groupName>格式问题</groupName>
      <ability>L2_HalfPunc_CN</ability>
      <abilityName>全半角问题</abilityName>
      <candidateList>
        <item>(</item>
      </candidateList>
      <explain>文本全半角错误。</explain>
      <paraID>3A4C55B0</paraID>
      <start>0</start>
      <end>1</end>
      <status>modified</status>
      <modifiedWord>(</modifiedWord>
      <trackRevisions>false</trackRevisions>
    </reviewItem>
    <reviewItem>
      <errorID>d5ca3c80-0602-4661-b968-56bb91d4a9ce</errorID>
      <errorWord>）</errorWord>
      <group>L1_Format</group>
      <groupName>格式问题</groupName>
      <ability>L2_HalfPunc_CN</ability>
      <abilityName>全半角问题</abilityName>
      <candidateList>
        <item>)</item>
      </candidateList>
      <explain>文本全半角错误。</explain>
      <paraID>3A4C55B0</paraID>
      <start>8</start>
      <end>9</end>
      <status>modified</status>
      <modifiedWord>)</modifiedWord>
      <trackRevisions>false</trackRevisions>
    </reviewItem>
    <reviewItem>
      <errorID>4dcef6a2-13b9-4c0b-81eb-e85854ac8e5e</errorID>
      <errorWord>(</errorWord>
      <group>L1_Format</group>
      <groupName>格式问题</groupName>
      <ability>L2_HalfPunc_CN</ability>
      <abilityName>全半角问题</abilityName>
      <candidateList>
        <item>（</item>
      </candidateList>
      <explain>文本全半角错误。</explain>
      <paraID>1D39D0C2</paraID>
      <start>46</start>
      <end>47</end>
      <status>modified</status>
      <modifiedWord>（</modifiedWord>
      <trackRevisions>false</trackRevisions>
    </reviewItem>
    <reviewItem>
      <errorID>1143cd66-b0a6-4648-a1c0-1a3c17cf41b3</errorID>
      <errorWord>)</errorWord>
      <group>L1_Format</group>
      <groupName>格式问题</groupName>
      <ability>L2_HalfPunc_CN</ability>
      <abilityName>全半角问题</abilityName>
      <candidateList>
        <item>）</item>
      </candidateList>
      <explain>文本全半角错误。</explain>
      <paraID>1D39D0C2</paraID>
      <start>58</start>
      <end>59</end>
      <status>modified</status>
      <modifiedWord>）</modifiedWord>
      <trackRevisions>false</trackRevisions>
    </reviewItem>
    <reviewItem>
      <errorID>cac3cb75-c449-43d1-ae18-f2b8ddfc9331</errorID>
      <errorWord>：/。</errorWord>
      <group>L1_Punc</group>
      <groupName>标点问题</groupName>
      <ability>L2_Punc_CN</ability>
      <abilityName>标点符号问题</abilityName>
      <candidateList>
        <item>：</item>
      </candidateList>
      <explain/>
      <paraID>5E73E0E9</paraID>
      <start>4</start>
      <end>5</end>
      <status>modified</status>
      <modifiedWord>：</modifiedWord>
      <trackRevisions>false</trackRevisions>
    </reviewItem>
    <reviewItem>
      <errorID>3d423fbf-8e06-4dec-bf26-4e8ef357d512</errorID>
      <errorWord>，</errorWord>
      <group>L1_Word</group>
      <groupName>字词问题</groupName>
      <ability>L2_Typo</ability>
      <abilityName>字词错误</abilityName>
      <candidateList>
        <item>，在</item>
      </candidateList>
      <explain/>
      <paraID>3CF5CE7D</paraID>
      <start>47</start>
      <end>49</end>
      <status>modified</status>
      <modifiedWord>，在</modifiedWord>
      <trackRevisions>false</trackRevisions>
    </reviewItem>
    <reviewItem>
      <errorID>e6068220-28c7-473b-b123-f32b334cac00</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50975702</paraID>
      <start>83</start>
      <end>86</end>
      <status>modified</status>
      <modifiedWord>必需的</modifiedWord>
      <trackRevisions>false</trackRevisions>
    </reviewItem>
    <reviewItem>
      <errorID>90360962-52dc-435b-962f-9821f52c9ac2</errorID>
      <errorWord>：。</errorWord>
      <group>L1_Punc</group>
      <groupName>标点问题</groupName>
      <ability>L2_Punc_CN</ability>
      <abilityName>标点符号问题</abilityName>
      <candidateList>
        <item>：</item>
      </candidateList>
      <explain/>
      <paraID>4ED5CA22</paraID>
      <start>5</start>
      <end>6</end>
      <status>modified</status>
      <modifiedWord>：</modifiedWord>
      <trackRevisions>false</trackRevisions>
    </reviewItem>
    <reviewItem>
      <errorID>b131bc44-f97b-40c1-a987-3f712405d261</errorID>
      <errorWord>（</errorWord>
      <group>L1_Punc</group>
      <groupName>标点问题</groupName>
      <ability>L2_Punc_CN</ability>
      <abilityName>标点符号问题</abilityName>
      <candidateList/>
      <explain>同一形式括号套用。</explain>
      <paraID>3FC3C5B8</paraID>
      <start>146</start>
      <end>147</end>
      <status>ignored</status>
      <modifiedWord/>
      <trackRevisions>false</trackRevisions>
    </reviewItem>
    <reviewItem>
      <errorID>7ebba754-3f9c-4952-b46d-4dc4cf6486ab</errorID>
      <errorWord>）</errorWord>
      <group>L1_Punc</group>
      <groupName>标点问题</groupName>
      <ability>L2_Punc_CN</ability>
      <abilityName>标点符号问题</abilityName>
      <candidateList/>
      <explain>同一形式括号套用。</explain>
      <paraID>3FC3C5B8</paraID>
      <start>169</start>
      <end>170</end>
      <status>ignored</status>
      <modifiedWord/>
      <trackRevisions>false</trackRevisions>
    </reviewItem>
    <reviewItem>
      <errorID>b4a9d6a2-08cf-4816-a6a5-3d9e64b1442a</errorID>
      <errorWord>（</errorWord>
      <group>L1_Punc</group>
      <groupName>标点问题</groupName>
      <ability>L2_Punc_CN</ability>
      <abilityName>标点符号问题</abilityName>
      <candidateList/>
      <explain>同一形式括号套用。</explain>
      <paraID>3FC3C5B8</paraID>
      <start>187</start>
      <end>188</end>
      <status>ignored</status>
      <modifiedWord/>
      <trackRevisions>false</trackRevisions>
    </reviewItem>
    <reviewItem>
      <errorID>a9337b1d-d3e6-4d14-854f-29e8caa74f08</errorID>
      <errorWord>）</errorWord>
      <group>L1_Punc</group>
      <groupName>标点问题</groupName>
      <ability>L2_Punc_CN</ability>
      <abilityName>标点符号问题</abilityName>
      <candidateList/>
      <explain>同一形式括号套用。</explain>
      <paraID>3FC3C5B8</paraID>
      <start>210</start>
      <end>211</end>
      <status>ignored</status>
      <modifiedWord/>
      <trackRevisions>false</trackRevisions>
    </reviewItem>
    <reviewItem>
      <errorID>c3d9640d-6833-44ac-8000-af56e254c63a</errorID>
      <errorWord>（</errorWord>
      <group>L1_Format</group>
      <groupName>格式问题</groupName>
      <ability>L2_HalfPunc_CN</ability>
      <abilityName>全半角问题</abilityName>
      <candidateList>
        <item>(</item>
      </candidateList>
      <explain>文本全半角错误。</explain>
      <paraID>3ABFEA3D</paraID>
      <start>4</start>
      <end>5</end>
      <status>modified</status>
      <modifiedWord>(</modifiedWord>
      <trackRevisions>false</trackRevisions>
    </reviewItem>
    <reviewItem>
      <errorID>2638dd7c-9069-497d-8e84-8117261ff263</errorID>
      <errorWord>）</errorWord>
      <group>L1_Format</group>
      <groupName>格式问题</groupName>
      <ability>L2_HalfPunc_CN</ability>
      <abilityName>全半角问题</abilityName>
      <candidateList>
        <item>)</item>
      </candidateList>
      <explain>文本全半角错误。</explain>
      <paraID>3ABFEA3D</paraID>
      <start>6</start>
      <end>7</end>
      <status>modified</status>
      <modifiedWord>)</modifiedWord>
      <trackRevisions>false</trackRevisions>
    </reviewItem>
    <reviewItem>
      <errorID>68e92c15-82c5-4be3-b4fd-6b713378a91f</errorID>
      <errorWord>（</errorWord>
      <group>L1_Format</group>
      <groupName>格式问题</groupName>
      <ability>L2_HalfPunc_CN</ability>
      <abilityName>全半角问题</abilityName>
      <candidateList>
        <item>(</item>
      </candidateList>
      <explain>文本全半角错误。</explain>
      <paraID>6F1E2D84</paraID>
      <start>4</start>
      <end>5</end>
      <status>modified</status>
      <modifiedWord>(</modifiedWord>
      <trackRevisions>false</trackRevisions>
    </reviewItem>
    <reviewItem>
      <errorID>41ce093c-fce4-4a3e-9e76-51088e4f3aa1</errorID>
      <errorWord>）</errorWord>
      <group>L1_Format</group>
      <groupName>格式问题</groupName>
      <ability>L2_HalfPunc_CN</ability>
      <abilityName>全半角问题</abilityName>
      <candidateList>
        <item>)</item>
      </candidateList>
      <explain>文本全半角错误。</explain>
      <paraID>6F1E2D84</paraID>
      <start>6</start>
      <end>7</end>
      <status>modified</status>
      <modifiedWord>)</modifiedWord>
      <trackRevisions>false</trackRevisions>
    </reviewItem>
    <reviewItem>
      <errorID>e0fe53ed-9087-4e11-b704-5c375c97baae</errorID>
      <errorWord>以下的</errorWord>
      <group>L1_Word</group>
      <groupName>字词问题</groupName>
      <ability>L2_Typo</ability>
      <abilityName>字词错误</abilityName>
      <candidateList>
        <item>以下</item>
      </candidateList>
      <explain/>
      <paraID>5DBA751F</paraID>
      <start>42</start>
      <end>44</end>
      <status>modified</status>
      <modifiedWord>以下</modifiedWord>
      <trackRevisions>false</trackRevisions>
    </reviewItem>
    <reviewItem>
      <errorID>2cc12b84-c3bd-4c1d-8a30-871d882b07ea</errorID>
      <errorWord>须</errorWord>
      <group>L1_Word</group>
      <groupName>字词问题</groupName>
      <ability>L2_Typo</ability>
      <abilityName>字词错误</abilityName>
      <candidateList>
        <item>需</item>
      </candidateList>
      <explain>存在发音相同字词的误用。</explain>
      <paraID>557AD1F6</paraID>
      <start>6</start>
      <end>7</end>
      <status>modified</status>
      <modifiedWord>需</modifiedWord>
      <trackRevisions>false</trackRevisions>
    </reviewItem>
    <reviewItem>
      <errorID>4147e070-ae5a-4187-8beb-e91636c6dc46</errorID>
      <errorWord>，</errorWord>
      <group>L1_Word</group>
      <groupName>字词问题</groupName>
      <ability>L2_Typo</ability>
      <abilityName>字词错误</abilityName>
      <candidateList>
        <item>，使</item>
      </candidateList>
      <explain/>
      <paraID>7DB1B148</paraID>
      <start>32</start>
      <end>34</end>
      <status>modified</status>
      <modifiedWord>，使</modifiedWord>
      <trackRevisions>false</trackRevisions>
    </reviewItem>
    <reviewItem>
      <errorID>e368f3d6-333d-4ad9-9eca-aec24c79c7e7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24EB0108</paraID>
      <start>15</start>
      <end>17</end>
      <status>modified</status>
      <modifiedWord>”“</modifiedWord>
      <trackRevisions>false</trackRevisions>
    </reviewItem>
    <reviewItem>
      <errorID>4a802c6d-c4a3-466c-a93f-0e1b334aa574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273C3CE0</paraID>
      <start>51</start>
      <end>53</end>
      <status>modified</status>
      <modifiedWord>》《</modifiedWord>
      <trackRevisions>false</trackRevisions>
    </reviewItem>
    <reviewItem>
      <errorID>711a1e06-1841-44f5-9ab6-b7907bb89de3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273C3CE0</paraID>
      <start>69</start>
      <end>71</end>
      <status>modified</status>
      <modifiedWord>》《</modifiedWord>
      <trackRevisions>false</trackRevisions>
    </reviewItem>
    <reviewItem>
      <errorID>6a19e774-e14a-44db-86fb-fddb1c8ad62a</errorID>
      <errorWord>法律、法规</errorWord>
      <group>L1_Word</group>
      <groupName>字词问题</groupName>
      <ability>L2_Typo</ability>
      <abilityName>字词错误</abilityName>
      <candidateList>
        <item>法律法规</item>
      </candidateList>
      <explain/>
      <paraID>15D43429</paraID>
      <start>25</start>
      <end>29</end>
      <status>modified</status>
      <modifiedWord>法律法规</modifiedWord>
      <trackRevisions>false</trackRevisions>
    </reviewItem>
    <reviewItem>
      <errorID>62809456-60d7-47e9-adde-b31df4d02504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26E63FE8</paraID>
      <start>203</start>
      <end>208</end>
      <status>modified</status>
      <modifiedWord>4%—6%</modifiedWord>
      <trackRevisions>false</trackRevisions>
    </reviewItem>
    <reviewItem>
      <errorID>3b010a1a-0754-4d13-a943-dd610bdb1117</errorID>
      <errorWord>操作合</errorWord>
      <group>L1_Word</group>
      <groupName>字词问题</groupName>
      <ability>L2_Typo</ability>
      <abilityName>字词错误</abilityName>
      <candidateList>
        <item>操作台</item>
      </candidateList>
      <explain/>
      <paraID>45C46832</paraID>
      <start>9</start>
      <end>12</end>
      <status>modified</status>
      <modifiedWord>操作台</modifiedWord>
      <trackRevisions>false</trackRevisions>
    </reviewItem>
    <reviewItem>
      <errorID>64487b35-83ad-4f14-8720-9269d623e5d2</errorID>
      <errorWord>”中</errorWord>
      <group>L1_Word</group>
      <groupName>字词问题</groupName>
      <ability>L2_Typo</ability>
      <abilityName>字词错误</abilityName>
      <candidateList>
        <item>”</item>
      </candidateList>
      <explain/>
      <paraID>58A5C194</paraID>
      <start>190</start>
      <end>191</end>
      <status>modified</status>
      <modifiedWord>”</modifiedWord>
      <trackRevisions>false</trackRevisions>
    </reviewItem>
    <reviewItem>
      <errorID>df3e80c7-1b4f-4d31-8b47-779a269fe676</errorID>
      <errorWord>间</errorWord>
      <group>L1_Word</group>
      <groupName>字词问题</groupName>
      <ability>L2_Typo</ability>
      <abilityName>字词错误</abilityName>
      <candidateList>
        <item>间之</item>
      </candidateList>
      <explain/>
      <paraID>6A002FFE</paraID>
      <start>41</start>
      <end>43</end>
      <status>modified</status>
      <modifiedWord>间之</modifiedWord>
      <trackRevisions>false</trackRevisions>
    </reviewItem>
    <reviewItem>
      <errorID>a3eda1a1-de02-4d1e-a678-97701ce0661f</errorID>
      <errorWord>会</errorWord>
      <group>L1_Word</group>
      <groupName>字词问题</groupName>
      <ability>L2_Typo</ability>
      <abilityName>字词错误</abilityName>
      <candidateList>
        <item>会在</item>
      </candidateList>
      <explain/>
      <paraID>63200844</paraID>
      <start>13</start>
      <end>15</end>
      <status>modified</status>
      <modifiedWord>会在</modifiedWord>
      <trackRevisions>false</trackRevisions>
    </reviewItem>
    <reviewItem>
      <errorID>a19a15b0-4fb5-438d-9850-7f1921bdb7a7</errorID>
      <errorWord>随</errorWord>
      <group>L1_Word</group>
      <groupName>字词问题</groupName>
      <ability>L2_Typo</ability>
      <abilityName>字词错误</abilityName>
      <candidateList>
        <item>对</item>
      </candidateList>
      <explain>存在发音相近字词的误用。</explain>
      <paraID>5EE30AAF</paraID>
      <start>16</start>
      <end>17</end>
      <status>modified</status>
      <modifiedWord>对</modifiedWord>
      <trackRevisions>false</trackRevisions>
    </reviewItem>
    <reviewItem>
      <errorID>4d8fccfa-dd11-4dc1-93de-17e767ed105b</errorID>
      <errorWord>法律、法规</errorWord>
      <group>L1_Word</group>
      <groupName>字词问题</groupName>
      <ability>L2_Typo</ability>
      <abilityName>字词错误</abilityName>
      <candidateList>
        <item>法律法规</item>
      </candidateList>
      <explain/>
      <paraID>32E6C4BC</paraID>
      <start>0</start>
      <end>4</end>
      <status>modified</status>
      <modifiedWord>法律法规</modifiedWord>
      <trackRevisions>false</trackRevisions>
    </reviewItem>
    <reviewItem>
      <errorID>ba19a453-d65f-407b-bdf3-d66b5b5bf0bb</errorID>
      <errorWord>-</errorWord>
      <group>L1_Format</group>
      <groupName>格式问题</groupName>
      <ability>L2_HalfPunc_CN</ability>
      <abilityName>全半角问题</abilityName>
      <candidateList>
        <item>－</item>
      </candidateList>
      <explain>文本全半角错误。</explain>
      <paraID> FF6598E</paraID>
      <start>20</start>
      <end>21</end>
      <status>modified</status>
      <modifiedWord>－</modifiedWord>
      <trackRevisions>false</trackRevisions>
    </reviewItem>
    <reviewItem>
      <errorID>8cf5156f-0c0a-4983-9544-86da7e468d1d</errorID>
      <errorWord>，</errorWord>
      <group>L1_Word</group>
      <groupName>字词问题</groupName>
      <ability>L2_Typo</ability>
      <abilityName>字词错误</abilityName>
      <candidateList>
        <item>，并</item>
      </candidateList>
      <explain/>
      <paraID>59A7DF9A</paraID>
      <start>63</start>
      <end>65</end>
      <status>modified</status>
      <modifiedWord>，并</modifiedWord>
      <trackRevisions>false</trackRevisions>
    </reviewItem>
    <reviewItem>
      <errorID>6bca37b5-b7ca-4314-b1b0-c48672e0fede</errorID>
      <errorWord>原则做出结论</errorWord>
      <group>L1_Word</group>
      <groupName>字词问题</groupName>
      <ability>L2_Typo</ability>
      <abilityName>字词错误</abilityName>
      <candidateList>
        <item>原则作出结论</item>
      </candidateList>
      <explain/>
      <paraID> 34DD1F6</paraID>
      <start>114</start>
      <end>120</end>
      <status>modified</status>
      <modifiedWord>原则作出结论</modifiedWord>
      <trackRevisions>false</trackRevisions>
    </reviewItem>
    <reviewItem>
      <errorID>9ef89a50-0bc2-452c-b464-d0b7a52f8dd9</errorID>
      <errorWord>，</errorWord>
      <group>L1_Word</group>
      <groupName>字词问题</groupName>
      <ability>L2_Typo</ability>
      <abilityName>字词错误</abilityName>
      <candidateList>
        <item>，并</item>
      </candidateList>
      <explain/>
      <paraID>7E42B05F</paraID>
      <start>63</start>
      <end>65</end>
      <status>modified</status>
      <modifiedWord>，并</modifiedWord>
      <trackRevisions>false</trackRevisions>
    </reviewItem>
    <reviewItem>
      <errorID>f0259586-6d4e-455b-a19a-3a5b9c18fede</errorID>
      <errorWord>原则做出结论</errorWord>
      <group>L1_Word</group>
      <groupName>字词问题</groupName>
      <ability>L2_Typo</ability>
      <abilityName>字词错误</abilityName>
      <candidateList>
        <item>原则作出结论</item>
      </candidateList>
      <explain/>
      <paraID>23EDCACB</paraID>
      <start>114</start>
      <end>120</end>
      <status>modified</status>
      <modifiedWord>原则作出结论</modifiedWord>
      <trackRevisions>false</trackRevisions>
    </reviewItem>
    <reviewItem>
      <errorID>abbd1a35-48d2-4556-b9bc-ff693b0df9f3</errorID>
      <errorWord>(</errorWord>
      <group>L1_Format</group>
      <groupName>格式问题</groupName>
      <ability>L2_HalfPunc_CN</ability>
      <abilityName>全半角问题</abilityName>
      <candidateList>
        <item>（</item>
      </candidateList>
      <explain>文本全半角错误。</explain>
      <paraID>3FF18E3B</paraID>
      <start>4</start>
      <end>5</end>
      <status>modified</status>
      <modifiedWord>（</modifiedWord>
      <trackRevisions>false</trackRevisions>
    </reviewItem>
    <reviewItem>
      <errorID>e7c38ab0-e607-4703-a8b8-b944bb7852ae</errorID>
      <errorWord>)</errorWord>
      <group>L1_Format</group>
      <groupName>格式问题</groupName>
      <ability>L2_HalfPunc_CN</ability>
      <abilityName>全半角问题</abilityName>
      <candidateList>
        <item>）</item>
      </candidateList>
      <explain>文本全半角错误。</explain>
      <paraID>3FF18E3B</paraID>
      <start>15</start>
      <end>16</end>
      <status>modified</status>
      <modifiedWord>）</modifiedWord>
      <trackRevisions>false</trackRevisions>
    </reviewItem>
    <reviewItem>
      <errorID>7aa5b7d7-daa0-4922-82ce-6571ef6065b5</errorID>
      <errorWord>晰</errorWord>
      <group>L1_Word</group>
      <groupName>字词问题</groupName>
      <ability>L2_Typo</ability>
      <abilityName>字词错误</abilityName>
      <candidateList>
        <item>晰地</item>
      </candidateList>
      <explain/>
      <paraID>3DA299E9</paraID>
      <start>74</start>
      <end>76</end>
      <status>modified</status>
      <modifiedWord>晰地</modifiedWord>
      <trackRevisions>false</trackRevisions>
    </reviewItem>
    <reviewItem>
      <errorID>98615158-8ddc-4a34-ab78-b0e96c457f6d</errorID>
      <errorWord>考</errorWord>
      <group>L1_Word</group>
      <groupName>字词问题</groupName>
      <ability>L2_Typo</ability>
      <abilityName>字词错误</abilityName>
      <candidateList>
        <item>考使</item>
      </candidateList>
      <explain/>
      <paraID>11EE08E1</paraID>
      <start>14</start>
      <end>16</end>
      <status>modified</status>
      <modifiedWord>考使</modifiedWord>
      <trackRevisions>false</trackRevisions>
    </reviewItem>
    <reviewItem>
      <errorID>383c63ae-c24e-4d1d-b7c1-e83fd86327fc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157E25C9</paraID>
      <start>15</start>
      <end>17</end>
      <status>modified</status>
      <modifiedWord>》《</modifiedWord>
      <trackRevisions>false</trackRevisions>
    </reviewItem>
    <reviewItem>
      <errorID>f8c328d5-1638-4d13-8927-5caffc6f4eb2</errorID>
      <errorWord>法律、法规</errorWord>
      <group>L1_Word</group>
      <groupName>字词问题</groupName>
      <ability>L2_Typo</ability>
      <abilityName>字词错误</abilityName>
      <candidateList>
        <item>法律法规</item>
      </candidateList>
      <explain/>
      <paraID>157E25C9</paraID>
      <start>29</start>
      <end>33</end>
      <status>modified</status>
      <modifiedWord>法律法规</modifiedWord>
      <trackRevisions>false</trackRevisions>
    </reviewItem>
    <reviewItem>
      <errorID>e30828c9-4ac4-40ac-b1a8-635adb122d96</errorID>
      <errorWord>接受</errorWord>
      <group>L1_Word</group>
      <groupName>字词问题</groupName>
      <ability>L2_Typo</ability>
      <abilityName>字词错误</abilityName>
      <candidateList>
        <item>接收</item>
      </candidateList>
      <explain>存在发音相同字词的误用。</explain>
      <paraID> 107F95D</paraID>
      <start>32</start>
      <end>34</end>
      <status>modified</status>
      <modifiedWord>接收</modifiedWord>
      <trackRevisions>false</trackRevisions>
    </reviewItem>
    <reviewItem>
      <errorID>d2526cfb-a176-4f8f-8def-56659c4172ee</errorID>
      <errorWord>其它</errorWord>
      <group>L1_Word</group>
      <groupName>字词问题</groupName>
      <ability>L2_Alias</ability>
      <abilityName>也作/曾用词</abilityName>
      <candidateList>
        <item>其他</item>
      </candidateList>
      <explain>词汇[其它]为不规范表述或旧称，其规范书面表述为[其他]。</explain>
      <paraID>12266E98</paraID>
      <start>23</start>
      <end>25</end>
      <status>modified</status>
      <modifiedWord>其他</modifiedWord>
      <trackRevisions>false</trackRevisions>
    </reviewItem>
    <reviewItem>
      <errorID>8c1b4118-0fe5-4d6d-b982-bffe30bb4c0d</errorID>
      <errorWord>作</errorWord>
      <group>L1_Word</group>
      <groupName>字词问题</groupName>
      <ability>L2_Typo</ability>
      <abilityName>字词错误</abilityName>
      <candidateList>
        <item>做</item>
      </candidateList>
      <explain>存在发音相同字词的误用。</explain>
      <paraID>17714DF1</paraID>
      <start>56</start>
      <end>57</end>
      <status>modified</status>
      <modifiedWord>做</modifiedWord>
      <trackRevisions>false</trackRevisions>
    </reviewItem>
    <reviewItem>
      <errorID>4629b94b-1109-4493-a6c8-c3ac5fed6503</errorID>
      <errorWord>属</errorWord>
      <group>L1_Word</group>
      <groupName>字词问题</groupName>
      <ability>L2_Typo</ability>
      <abilityName>字词错误</abilityName>
      <candidateList>
        <item>属于</item>
      </candidateList>
      <explain/>
      <paraID> 49450E5</paraID>
      <start>42</start>
      <end>44</end>
      <status>modified</status>
      <modifiedWord>属于</modifiedWord>
      <trackRevisions>false</trackRevisions>
    </reviewItem>
    <reviewItem>
      <errorID>e8b3cfcc-2d5f-4916-8883-e4ba21a3937a</errorID>
      <errorWord>款额</errorWord>
      <group>L1_Word</group>
      <groupName>字词问题</groupName>
      <ability>L2_Typo</ability>
      <abilityName>字词错误</abilityName>
      <candidateList>
        <item>款</item>
      </candidateList>
      <explain/>
      <paraID>13397102</paraID>
      <start>245</start>
      <end>246</end>
      <status>modified</status>
      <modifiedWord>款</modifiedWord>
      <trackRevisions>false</trackRevisions>
    </reviewItem>
    <reviewItem>
      <errorID>3d9a4925-2f6d-47a0-bfd8-0b6a5f2add87</errorID>
      <errorWord>其它</errorWord>
      <group>L1_Word</group>
      <groupName>字词问题</groupName>
      <ability>L2_Alias</ability>
      <abilityName>也作/曾用词</abilityName>
      <candidateList>
        <item>其他</item>
      </candidateList>
      <explain>词汇[其它]为不规范表述或旧称，其规范书面表述为[其他]。</explain>
      <paraID>7C72A8C1</paraID>
      <start>30</start>
      <end>32</end>
      <status>modified</status>
      <modifiedWord>其他</modifiedWord>
      <trackRevisions>false</trackRevisions>
    </reviewItem>
    <reviewItem>
      <errorID>8fbba2bc-54b1-4bc5-9e2b-71ff5546703e</errorID>
      <errorWord>问题的</errorWord>
      <group>L1_Word</group>
      <groupName>字词问题</groupName>
      <ability>L2_Typo</ability>
      <abilityName>字词错误</abilityName>
      <candidateList>
        <item>问题</item>
      </candidateList>
      <explain>〈名〉❶要求回答或解释的题目：这次考试一共有五个～｜我想答复一下这一类的～。❷须要研究讨论并加以解决的矛盾、疑难：思想～｜这种药治感冒很解决～。❸关键；重要之点：重要的～在善于学习。❹事故或麻烦：那部车床又出～了。</explain>
      <paraID>7C72A8C1</paraID>
      <start>39</start>
      <end>41</end>
      <status>modified</status>
      <modifiedWord>问题</modifiedWord>
      <trackRevisions>false</trackRevisions>
    </reviewItem>
    <reviewItem>
      <errorID>da95fc6e-4f89-4274-87b1-708a2fe1f812</errorID>
      <errorWord>其它</errorWord>
      <group>L1_Word</group>
      <groupName>字词问题</groupName>
      <ability>L2_Alias</ability>
      <abilityName>也作/曾用词</abilityName>
      <candidateList>
        <item>其他</item>
      </candidateList>
      <explain>词汇[其它]为不规范表述或旧称，其规范书面表述为[其他]。</explain>
      <paraID>6A214E3E</paraID>
      <start>3</start>
      <end>5</end>
      <status>modified</status>
      <modifiedWord>其他</modifiedWord>
      <trackRevisions>false</trackRevisions>
    </reviewItem>
    <reviewItem>
      <errorID>685c15d7-74a7-4175-b45c-c0a4c7a09cce</errorID>
      <errorWord>签</errorWord>
      <group>L1_Word</group>
      <groupName>字词问题</groupName>
      <ability>L2_Typo</ability>
      <abilityName>字词错误</abilityName>
      <candidateList>
        <item>签订</item>
      </candidateList>
      <explain>〈动〉订立条约或合同并签字：两国～了贸易议定书和支付协定。</explain>
      <paraID>3872BD6F</paraID>
      <start>35</start>
      <end>37</end>
      <status>modified</status>
      <modifiedWord>签订</modifiedWord>
      <trackRevisions>false</trackRevisions>
    </reviewItem>
    <reviewItem>
      <errorID>b9dc8750-5be0-497b-be77-82f8310751e0</errorID>
      <errorWord>另</errorWord>
      <group>L1_Word</group>
      <groupName>字词问题</groupName>
      <ability>L2_Typo</ability>
      <abilityName>字词错误</abilityName>
      <candidateList>
        <item>另行</item>
      </candidateList>
      <explain/>
      <paraID>483EE589</paraID>
      <start>44</start>
      <end>46</end>
      <status>modified</status>
      <modifiedWord>另行</modifiedWord>
      <trackRevisions>false</trackRevisions>
    </reviewItem>
    <reviewItem>
      <errorID>aabcbcdf-5c3c-4ed9-979e-d4db7bde5032</errorID>
      <errorWord>法律、法规</errorWord>
      <group>L1_Word</group>
      <groupName>字词问题</groupName>
      <ability>L2_Typo</ability>
      <abilityName>字词错误</abilityName>
      <candidateList>
        <item>法律法规</item>
      </candidateList>
      <explain/>
      <paraID>48B468B1</paraID>
      <start>43</start>
      <end>47</end>
      <status>modified</status>
      <modifiedWord>法律法规</modifiedWord>
      <trackRevisions>false</trackRevisions>
    </reviewItem>
    <reviewItem>
      <errorID>6e4f79a6-8d37-4d0c-ac97-e0da4ab675f9</errorID>
      <errorWord>[2011]300号</errorWord>
      <group>L1_Knowledge</group>
      <groupName>知识性问题</groupName>
      <ability>L2_Knowledge</ability>
      <abilityName>其他知识</abilityName>
      <candidateList>
        <item>〔2011〕300号</item>
      </candidateList>
      <explain>发文字号格式错误。</explain>
      <paraID>778DE45E</paraID>
      <start>27</start>
      <end>37</end>
      <status>modified</status>
      <modifiedWord>〔2011〕300号</modifiedWord>
      <trackRevisions>false</trackRevisions>
    </reviewItem>
    <reviewItem>
      <errorID>3279f933-c343-4d20-a84d-443ddc133f90</errorID>
      <errorWord>(</errorWord>
      <group>L1_Format</group>
      <groupName>格式问题</groupName>
      <ability>L2_HalfPunc_CN</ability>
      <abilityName>全半角问题</abilityName>
      <candidateList>
        <item>（</item>
      </candidateList>
      <explain>文本全半角错误。</explain>
      <paraID>734BC9F5</paraID>
      <start>6</start>
      <end>7</end>
      <status>modified</status>
      <modifiedWord>（</modifiedWord>
      <trackRevisions>false</trackRevisions>
    </reviewItem>
    <reviewItem>
      <errorID>4580e7a2-39fa-4863-bbfd-148908c22e48</errorID>
      <errorWord>)</errorWord>
      <group>L1_Format</group>
      <groupName>格式问题</groupName>
      <ability>L2_HalfPunc_CN</ability>
      <abilityName>全半角问题</abilityName>
      <candidateList>
        <item>）</item>
      </candidateList>
      <explain>文本全半角错误。</explain>
      <paraID>734BC9F5</paraID>
      <start>8</start>
      <end>9</end>
      <status>modified</status>
      <modifiedWord>）</modifiedWord>
      <trackRevisions>false</trackRevisions>
    </reviewItem>
    <reviewItem>
      <errorID>24df09b2-13e3-45ac-b7dc-01f86aef6c9d</errorID>
      <errorWord>:</errorWord>
      <group>L1_Format</group>
      <groupName>格式问题</groupName>
      <ability>L2_HalfPunc_CN</ability>
      <abilityName>全半角问题</abilityName>
      <candidateList>
        <item>：</item>
      </candidateList>
      <explain>文本全半角错误。</explain>
      <paraID>283336BA</paraID>
      <start>1</start>
      <end>2</end>
      <status>modified</status>
      <modifiedWord>：</modifiedWord>
      <trackRevisions>false</trackRevisions>
    </reviewItem>
    <reviewItem>
      <errorID>891e5836-8c10-4e19-985b-03f13e0931b4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40C47477</paraID>
      <start>13</start>
      <end>15</end>
      <status>modified</status>
      <modifiedWord>”“</modifiedWord>
      <trackRevisions>false</trackRevisions>
    </reviewItem>
    <reviewItem>
      <errorID>8fd7a13f-5b8b-4e48-a95d-25749d8702bc</errorID>
      <errorWord>......</errorWord>
      <group>L1_Punc</group>
      <groupName>标点问题</groupName>
      <ability>L2_Punc_CN</ability>
      <abilityName>标点符号问题</abilityName>
      <candidateList>
        <item>……</item>
      </candidateList>
      <explain/>
      <paraID>5688FBB4</paraID>
      <start>0</start>
      <end>2</end>
      <status>modified</status>
      <modifiedWord>……</modifiedWord>
      <trackRevisions>false</trackRevisions>
    </reviewItem>
    <reviewItem>
      <errorID>8c2bcc1d-c5c0-4502-8669-f798f92f5bc6</errorID>
      <errorWord>〔2017〕 141号</errorWord>
      <group>L1_Knowledge</group>
      <groupName>知识性问题</groupName>
      <ability>L2_Knowledge</ability>
      <abilityName>其他知识</abilityName>
      <candidateList>
        <item>〔2017〕141号</item>
      </candidateList>
      <explain>发文字号格式错误。</explain>
      <paraID>561D001E</paraID>
      <start>49</start>
      <end>59</end>
      <status>modified</status>
      <modifiedWord>〔2017〕141号</modifiedWord>
      <trackRevisions>false</trackRevisions>
    </reviewItem>
    <reviewItem>
      <errorID>0f41e5aa-cb6f-41f9-97e5-4ed36b5341d4</errorID>
      <errorWord>股东大会</errorWord>
      <group>L1_Word</group>
      <groupName>字词问题</groupName>
      <ability>L2_Typo</ability>
      <abilityName>字词错误</abilityName>
      <candidateList>
        <item>股东会</item>
      </candidateList>
      <explain/>
      <paraID>3EC03D98</paraID>
      <start>113</start>
      <end>116</end>
      <status>modified</status>
      <modifiedWord>股东会</modifiedWord>
      <trackRevisions>false</trackRevisions>
    </reviewItem>
    <reviewItem>
      <errorID>fab4534d-771f-4a59-9aa5-e89d7611f2bd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37E90870</paraID>
      <start>36</start>
      <end>38</end>
      <status>modified</status>
      <modifiedWord>”“</modifiedWord>
      <trackRevisions>false</trackRevisions>
    </reviewItem>
    <reviewItem>
      <errorID>ddb47d76-80cc-452a-8c03-c50a26d669a3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695E6C2D</paraID>
      <start>37</start>
      <end>39</end>
      <status>modified</status>
      <modifiedWord>”“</modifiedWord>
      <trackRevisions>false</trackRevisions>
    </reviewItem>
    <reviewItem>
      <errorID>c14a2c7b-2f76-4a7e-8d80-394535078844</errorID>
      <errorWord>税</errorWord>
      <group>L1_Word</group>
      <groupName>字词问题</groupName>
      <ability>L2_Typo</ability>
      <abilityName>字词错误</abilityName>
      <candidateList>
        <item>税务</item>
      </candidateList>
      <explain/>
      <paraID>60177DDA</paraID>
      <start>4</start>
      <end>6</end>
      <status>modified</status>
      <modifiedWord>税务</modifiedWord>
      <trackRevisions>false</trackRevisions>
    </reviewItem>
    <reviewItem>
      <errorID>b1c9450b-ef31-4018-8414-58e1f45cea8e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2D4D76E</paraID>
      <start>53</start>
      <end>55</end>
      <status>modified</status>
      <modifiedWord>质疑</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BCD452-6A19-4423-A4F8-6C88D771A5DE}">
  <ds:schemaRefs/>
</ds:datastoreItem>
</file>

<file path=customXml/itemProps3.xml><?xml version="1.0" encoding="utf-8"?>
<ds:datastoreItem xmlns:ds="http://schemas.openxmlformats.org/officeDocument/2006/customXml" ds:itemID="{52d72ea7-b504-4ff0-ac08-7a885bf1c057}">
  <ds:schemaRefs/>
</ds:datastoreItem>
</file>

<file path=docProps/app.xml><?xml version="1.0" encoding="utf-8"?>
<Properties xmlns="http://schemas.openxmlformats.org/officeDocument/2006/extended-properties" xmlns:vt="http://schemas.openxmlformats.org/officeDocument/2006/docPropsVTypes">
  <Template>Normal</Template>
  <Company>云之龙咨询集</Company>
  <Pages>164</Pages>
  <Words>3598</Words>
  <Characters>4103</Characters>
  <Lines>1083</Lines>
  <Paragraphs>305</Paragraphs>
  <TotalTime>3</TotalTime>
  <ScaleCrop>false</ScaleCrop>
  <LinksUpToDate>false</LinksUpToDate>
  <CharactersWithSpaces>4157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服务</cp:category>
  <dcterms:created xsi:type="dcterms:W3CDTF">2024-12-13T08:51:00Z</dcterms:created>
  <dc:creator>云之龙咨询集团有</dc:creator>
  <cp:keywords>2021.1</cp:keywords>
  <cp:lastModifiedBy>DD</cp:lastModifiedBy>
  <dcterms:modified xsi:type="dcterms:W3CDTF">2026-07-16T02:37:22Z</dcterms:modified>
  <dc:title>公开招标采</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eyJoZGlkIjoiNDE2YjgxOTQxNTZjMDFmYWU1YTMyNWY2ZWI2YzRlYjQiLCJ1c2VySWQiOiIyODA1ODEzMTAifQ==</vt:lpwstr>
  </property>
  <property fmtid="{D5CDD505-2E9C-101B-9397-08002B2CF9AE}" pid="3" name="KSOProductBuildVer">
    <vt:lpwstr>2052-12.1.0.22215</vt:lpwstr>
  </property>
  <property fmtid="{D5CDD505-2E9C-101B-9397-08002B2CF9AE}" pid="4" name="ICV">
    <vt:lpwstr>EF3AAE3015314EA69C5F48E00283F930_13</vt:lpwstr>
  </property>
</Properties>
</file>