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EB198">
      <w:pPr>
        <w:spacing w:before="240" w:after="120" w:line="600" w:lineRule="exact"/>
        <w:jc w:val="center"/>
        <w:rPr>
          <w:rFonts w:hint="eastAsia" w:ascii="方正小标宋简体" w:hAnsi="宋体" w:eastAsia="方正小标宋简体"/>
          <w:color w:val="auto"/>
          <w:sz w:val="52"/>
          <w:szCs w:val="52"/>
          <w:highlight w:val="none"/>
        </w:rPr>
      </w:pPr>
      <w:bookmarkStart w:id="151" w:name="_GoBack"/>
    </w:p>
    <w:p w14:paraId="659FE9EF">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42DE6E3C">
      <w:pPr>
        <w:spacing w:line="360" w:lineRule="auto"/>
        <w:jc w:val="center"/>
        <w:rPr>
          <w:rFonts w:ascii="方正小标宋简体" w:hAnsi="方正小标宋简体" w:eastAsia="方正小标宋简体" w:cs="方正小标宋简体"/>
          <w:b/>
          <w:color w:val="auto"/>
          <w:sz w:val="44"/>
          <w:szCs w:val="44"/>
          <w:highlight w:val="none"/>
        </w:rPr>
      </w:pPr>
    </w:p>
    <w:p w14:paraId="6A37C9AA">
      <w:pPr>
        <w:spacing w:line="360" w:lineRule="auto"/>
        <w:jc w:val="center"/>
        <w:rPr>
          <w:rFonts w:ascii="方正小标宋简体" w:hAnsi="方正小标宋简体" w:eastAsia="方正小标宋简体" w:cs="方正小标宋简体"/>
          <w:b/>
          <w:color w:val="auto"/>
          <w:sz w:val="44"/>
          <w:szCs w:val="44"/>
          <w:highlight w:val="none"/>
        </w:rPr>
      </w:pPr>
    </w:p>
    <w:p w14:paraId="79405EBD">
      <w:pPr>
        <w:spacing w:before="120" w:line="360" w:lineRule="auto"/>
        <w:jc w:val="center"/>
        <w:rPr>
          <w:rFonts w:ascii="华文新魏" w:hAnsi="宋体" w:eastAsia="华文新魏"/>
          <w:color w:val="auto"/>
          <w:sz w:val="72"/>
          <w:szCs w:val="72"/>
          <w:highlight w:val="none"/>
        </w:rPr>
      </w:pPr>
      <w:r>
        <w:rPr>
          <w:rFonts w:hint="eastAsia" w:ascii="华文新魏" w:hAnsi="宋体" w:eastAsia="华文新魏"/>
          <w:color w:val="auto"/>
          <w:sz w:val="120"/>
          <w:szCs w:val="120"/>
          <w:highlight w:val="none"/>
        </w:rPr>
        <w:t>招 标 文 件</w:t>
      </w:r>
    </w:p>
    <w:p w14:paraId="357F6CA6">
      <w:pPr>
        <w:spacing w:before="120" w:line="360" w:lineRule="auto"/>
        <w:jc w:val="center"/>
        <w:rPr>
          <w:rFonts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（全流程电子化采购-远程异地评标）</w:t>
      </w:r>
    </w:p>
    <w:p w14:paraId="7477FD09">
      <w:pPr>
        <w:spacing w:line="360" w:lineRule="auto"/>
        <w:rPr>
          <w:rFonts w:ascii="仿宋_GB2312" w:hAnsi="宋体" w:eastAsia="仿宋_GB2312"/>
          <w:color w:val="auto"/>
          <w:sz w:val="30"/>
          <w:szCs w:val="72"/>
          <w:highlight w:val="none"/>
        </w:rPr>
      </w:pPr>
    </w:p>
    <w:p w14:paraId="3A332F37">
      <w:pPr>
        <w:pStyle w:val="24"/>
        <w:spacing w:line="360" w:lineRule="auto"/>
        <w:ind w:left="1501" w:hanging="1506"/>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：2026年-2028年万秀区农村义务教育学生营养改善计划食品进行集中配送项目</w:t>
      </w:r>
    </w:p>
    <w:p w14:paraId="58A72F04">
      <w:pPr>
        <w:spacing w:line="360" w:lineRule="auto"/>
        <w:rPr>
          <w:rFonts w:ascii="仿宋_GB2312" w:hAnsi="宋体" w:eastAsia="仿宋_GB2312"/>
          <w:color w:val="auto"/>
          <w:sz w:val="30"/>
          <w:szCs w:val="72"/>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WZZC2026-G3-030016-YZLZ</w:t>
      </w:r>
      <w:r>
        <w:rPr>
          <w:rFonts w:hint="eastAsia" w:ascii="仿宋_GB2312" w:hAnsi="宋体" w:eastAsia="仿宋_GB2312"/>
          <w:b/>
          <w:color w:val="auto"/>
          <w:sz w:val="30"/>
          <w:szCs w:val="48"/>
          <w:highlight w:val="none"/>
        </w:rPr>
        <w:t xml:space="preserve"> </w:t>
      </w:r>
    </w:p>
    <w:p w14:paraId="20C384B9">
      <w:pPr>
        <w:pStyle w:val="24"/>
        <w:spacing w:line="360" w:lineRule="auto"/>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采 购 人：梧州市万秀区教育局 </w:t>
      </w:r>
    </w:p>
    <w:p w14:paraId="07C75FA3">
      <w:pPr>
        <w:pStyle w:val="24"/>
        <w:spacing w:line="360" w:lineRule="auto"/>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06ACAD0F">
      <w:pPr>
        <w:pStyle w:val="24"/>
        <w:spacing w:line="360" w:lineRule="auto"/>
        <w:ind w:firstLine="1125"/>
        <w:rPr>
          <w:rFonts w:ascii="仿宋_GB2312" w:hAnsi="宋体" w:eastAsia="仿宋_GB2312"/>
          <w:b/>
          <w:bCs/>
          <w:color w:val="auto"/>
          <w:sz w:val="30"/>
          <w:szCs w:val="30"/>
          <w:highlight w:val="none"/>
        </w:rPr>
      </w:pPr>
    </w:p>
    <w:p w14:paraId="2977DECF">
      <w:pPr>
        <w:pStyle w:val="24"/>
        <w:spacing w:line="360" w:lineRule="auto"/>
        <w:ind w:firstLine="841"/>
        <w:rPr>
          <w:rFonts w:ascii="仿宋_GB2312" w:hAnsi="宋体" w:eastAsia="仿宋_GB2312"/>
          <w:color w:val="auto"/>
          <w:highlight w:val="none"/>
        </w:rPr>
      </w:pPr>
      <w:r>
        <w:rPr>
          <w:rFonts w:hint="eastAsia" w:ascii="仿宋_GB2312" w:hAnsi="宋体" w:eastAsia="仿宋_GB2312"/>
          <w:b/>
          <w:bCs/>
          <w:color w:val="auto"/>
          <w:sz w:val="30"/>
          <w:szCs w:val="30"/>
          <w:highlight w:val="none"/>
        </w:rPr>
        <w:t xml:space="preserve">               2026年</w:t>
      </w:r>
      <w:r>
        <w:rPr>
          <w:rFonts w:hint="eastAsia" w:ascii="仿宋_GB2312" w:hAnsi="宋体" w:eastAsia="仿宋_GB2312"/>
          <w:b/>
          <w:bCs/>
          <w:color w:val="auto"/>
          <w:sz w:val="30"/>
          <w:szCs w:val="30"/>
          <w:highlight w:val="none"/>
          <w:lang w:val="en-US" w:eastAsia="zh-CN"/>
        </w:rPr>
        <w:t>8</w:t>
      </w:r>
      <w:r>
        <w:rPr>
          <w:rFonts w:hint="eastAsia" w:ascii="仿宋_GB2312" w:hAnsi="宋体" w:eastAsia="仿宋_GB2312"/>
          <w:b/>
          <w:bCs/>
          <w:color w:val="auto"/>
          <w:sz w:val="30"/>
          <w:szCs w:val="30"/>
          <w:highlight w:val="none"/>
        </w:rPr>
        <w:t>月</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日</w:t>
      </w:r>
    </w:p>
    <w:p w14:paraId="433150AC">
      <w:pPr>
        <w:spacing w:line="360" w:lineRule="auto"/>
        <w:jc w:val="center"/>
        <w:rPr>
          <w:rFonts w:ascii="宋体" w:hAnsi="宋体"/>
          <w:b/>
          <w:color w:val="auto"/>
          <w:sz w:val="44"/>
          <w:szCs w:val="44"/>
          <w:highlight w:val="none"/>
        </w:rPr>
        <w:sectPr>
          <w:headerReference r:id="rId3" w:type="first"/>
          <w:footerReference r:id="rId5" w:type="first"/>
          <w:footerReference r:id="rId4" w:type="default"/>
          <w:pgSz w:w="11910" w:h="16840"/>
          <w:pgMar w:top="1520" w:right="1500" w:bottom="280" w:left="1680" w:header="720" w:footer="720" w:gutter="0"/>
          <w:pgNumType w:start="0"/>
          <w:cols w:space="720" w:num="1"/>
          <w:titlePg/>
        </w:sectPr>
      </w:pPr>
    </w:p>
    <w:p w14:paraId="2A4D7177">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7806A6B6">
      <w:pPr>
        <w:spacing w:line="400" w:lineRule="exact"/>
        <w:jc w:val="center"/>
        <w:rPr>
          <w:rFonts w:ascii="宋体" w:hAnsi="宋体"/>
          <w:b/>
          <w:color w:val="auto"/>
          <w:sz w:val="44"/>
          <w:szCs w:val="44"/>
          <w:highlight w:val="none"/>
        </w:rPr>
      </w:pPr>
    </w:p>
    <w:p w14:paraId="32369512">
      <w:pPr>
        <w:pStyle w:val="32"/>
        <w:tabs>
          <w:tab w:val="right" w:leader="dot" w:pos="8730"/>
          <w:tab w:val="clear" w:pos="8398"/>
        </w:tabs>
        <w:rPr>
          <w:color w:val="auto"/>
          <w:highlight w:val="none"/>
        </w:rPr>
      </w:pPr>
      <w:r>
        <w:rPr>
          <w:rFonts w:ascii="仿宋_GB2312" w:eastAsia="仿宋_GB2312"/>
          <w:b w:val="0"/>
          <w:color w:val="auto"/>
          <w:highlight w:val="none"/>
        </w:rPr>
        <w:fldChar w:fldCharType="begin"/>
      </w:r>
      <w:r>
        <w:rPr>
          <w:rFonts w:ascii="仿宋_GB2312" w:eastAsia="仿宋_GB2312"/>
          <w:b w:val="0"/>
          <w:color w:val="auto"/>
          <w:highlight w:val="none"/>
        </w:rPr>
        <w:instrText xml:space="preserve"> </w:instrText>
      </w:r>
      <w:r>
        <w:rPr>
          <w:rFonts w:hint="eastAsia" w:ascii="仿宋_GB2312" w:eastAsia="仿宋_GB2312"/>
          <w:b w:val="0"/>
          <w:color w:val="auto"/>
          <w:highlight w:val="none"/>
        </w:rPr>
        <w:instrText xml:space="preserve">TOC \o "1-2" \h \z \u</w:instrText>
      </w:r>
      <w:r>
        <w:rPr>
          <w:rFonts w:ascii="仿宋_GB2312" w:eastAsia="仿宋_GB2312"/>
          <w:b w:val="0"/>
          <w:color w:val="auto"/>
          <w:highlight w:val="none"/>
        </w:rPr>
        <w:instrText xml:space="preserve"> </w:instrText>
      </w:r>
      <w:r>
        <w:rPr>
          <w:rFonts w:ascii="仿宋_GB2312" w:eastAsia="仿宋_GB2312"/>
          <w:b w:val="0"/>
          <w:color w:val="auto"/>
          <w:highlight w:val="none"/>
        </w:rPr>
        <w:fldChar w:fldCharType="separate"/>
      </w:r>
      <w:r>
        <w:rPr>
          <w:color w:val="auto"/>
          <w:highlight w:val="none"/>
        </w:rPr>
        <w:fldChar w:fldCharType="begin"/>
      </w:r>
      <w:r>
        <w:rPr>
          <w:color w:val="auto"/>
          <w:highlight w:val="none"/>
        </w:rPr>
        <w:instrText xml:space="preserve"> HYPERLINK \l "_Toc26956" </w:instrText>
      </w:r>
      <w:r>
        <w:rPr>
          <w:color w:val="auto"/>
          <w:highlight w:val="none"/>
        </w:rPr>
        <w:fldChar w:fldCharType="separate"/>
      </w:r>
      <w:r>
        <w:rPr>
          <w:rFonts w:hint="eastAsia"/>
          <w:color w:val="auto"/>
          <w:highlight w:val="none"/>
        </w:rPr>
        <w:t>第一章  招标公告（远程异地评标）</w:t>
      </w:r>
      <w:r>
        <w:rPr>
          <w:color w:val="auto"/>
          <w:highlight w:val="none"/>
        </w:rPr>
        <w:tab/>
      </w:r>
      <w:r>
        <w:rPr>
          <w:color w:val="auto"/>
          <w:highlight w:val="none"/>
        </w:rPr>
        <w:fldChar w:fldCharType="begin"/>
      </w:r>
      <w:r>
        <w:rPr>
          <w:color w:val="auto"/>
          <w:highlight w:val="none"/>
        </w:rPr>
        <w:instrText xml:space="preserve"> PAGEREF _Toc26956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73019E3D">
      <w:pPr>
        <w:pStyle w:val="32"/>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"_Toc27979"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_Toc27979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0208E09">
      <w:pPr>
        <w:pStyle w:val="32"/>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"_Toc25688" </w:instrText>
      </w:r>
      <w:r>
        <w:rPr>
          <w:color w:val="auto"/>
          <w:highlight w:val="none"/>
        </w:rPr>
        <w:fldChar w:fldCharType="separate"/>
      </w:r>
      <w:r>
        <w:rPr>
          <w:rFonts w:hint="eastAsia"/>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_Toc25688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1BF5BD1F">
      <w:pPr>
        <w:pStyle w:val="32"/>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"_Toc15687" </w:instrText>
      </w:r>
      <w:r>
        <w:rPr>
          <w:color w:val="auto"/>
          <w:highlight w:val="none"/>
        </w:rPr>
        <w:fldChar w:fldCharType="separate"/>
      </w:r>
      <w:r>
        <w:rPr>
          <w:rFonts w:hint="eastAsia"/>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_Toc15687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3D651D89">
      <w:pPr>
        <w:pStyle w:val="32"/>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"_Toc25250" </w:instrText>
      </w:r>
      <w:r>
        <w:rPr>
          <w:color w:val="auto"/>
          <w:highlight w:val="none"/>
        </w:rPr>
        <w:fldChar w:fldCharType="separate"/>
      </w:r>
      <w:r>
        <w:rPr>
          <w:rFonts w:hint="eastAsia"/>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_Toc25250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6B2AF15A">
      <w:pPr>
        <w:pStyle w:val="32"/>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6979E8B4">
      <w:pPr>
        <w:tabs>
          <w:tab w:val="right" w:leader="dot" w:pos="8789"/>
        </w:tabs>
        <w:spacing w:line="500" w:lineRule="atLeast"/>
        <w:rPr>
          <w:rFonts w:ascii="仿宋_GB2312" w:hAnsi="宋体" w:eastAsia="仿宋_GB2312"/>
          <w:color w:val="auto"/>
          <w:sz w:val="24"/>
          <w:highlight w:val="none"/>
        </w:rPr>
      </w:pPr>
      <w:r>
        <w:rPr>
          <w:rFonts w:ascii="仿宋_GB2312" w:hAnsi="宋体" w:eastAsia="仿宋_GB2312"/>
          <w:color w:val="auto"/>
          <w:highlight w:val="none"/>
        </w:rPr>
        <w:fldChar w:fldCharType="end"/>
      </w:r>
    </w:p>
    <w:p w14:paraId="04E12786">
      <w:pPr>
        <w:spacing w:before="120" w:line="480" w:lineRule="exact"/>
        <w:rPr>
          <w:rFonts w:ascii="仿宋_GB2312" w:hAnsi="宋体" w:eastAsia="仿宋_GB2312"/>
          <w:color w:val="auto"/>
          <w:sz w:val="30"/>
          <w:highlight w:val="none"/>
        </w:rPr>
      </w:pPr>
    </w:p>
    <w:p w14:paraId="4CB5E2E5">
      <w:pPr>
        <w:rPr>
          <w:color w:val="auto"/>
          <w:highlight w:val="none"/>
        </w:rPr>
      </w:pPr>
    </w:p>
    <w:p w14:paraId="78CE5343">
      <w:pPr>
        <w:spacing w:before="120" w:line="480" w:lineRule="exact"/>
        <w:rPr>
          <w:rFonts w:ascii="仿宋_GB2312" w:hAnsi="宋体" w:eastAsia="仿宋_GB2312"/>
          <w:color w:val="auto"/>
          <w:sz w:val="30"/>
          <w:highlight w:val="none"/>
        </w:rPr>
      </w:pPr>
    </w:p>
    <w:p w14:paraId="1E5D3D02">
      <w:pPr>
        <w:spacing w:before="120" w:line="480" w:lineRule="exact"/>
        <w:rPr>
          <w:rFonts w:ascii="仿宋_GB2312" w:hAnsi="宋体" w:eastAsia="仿宋_GB2312"/>
          <w:color w:val="auto"/>
          <w:sz w:val="30"/>
          <w:highlight w:val="none"/>
        </w:rPr>
      </w:pPr>
    </w:p>
    <w:p w14:paraId="79FA3F61">
      <w:pPr>
        <w:pStyle w:val="16"/>
        <w:rPr>
          <w:rFonts w:ascii="宋体" w:hAnsi="宋体" w:cs="宋体"/>
          <w:b/>
          <w:bCs/>
          <w:color w:val="auto"/>
          <w:highlight w:val="none"/>
        </w:rPr>
      </w:pPr>
      <w:bookmarkStart w:id="0" w:name="_Toc254970630"/>
      <w:bookmarkStart w:id="1" w:name="_Toc254970489"/>
    </w:p>
    <w:p w14:paraId="271CD197">
      <w:pPr>
        <w:pStyle w:val="2"/>
        <w:keepNext w:val="0"/>
        <w:keepLines w:val="0"/>
        <w:tabs>
          <w:tab w:val="left" w:pos="0"/>
          <w:tab w:val="left" w:pos="3165"/>
          <w:tab w:val="center" w:pos="4153"/>
        </w:tabs>
        <w:spacing w:before="0" w:after="0" w:line="360" w:lineRule="auto"/>
        <w:jc w:val="center"/>
        <w:rPr>
          <w:color w:val="auto"/>
          <w:highlight w:val="none"/>
        </w:rPr>
        <w:sectPr>
          <w:footerReference r:id="rId7" w:type="first"/>
          <w:footerReference r:id="rId6" w:type="default"/>
          <w:pgSz w:w="11910" w:h="16840"/>
          <w:pgMar w:top="1520" w:right="1500" w:bottom="280" w:left="1680" w:header="720" w:footer="720" w:gutter="0"/>
          <w:pgNumType w:start="1"/>
          <w:cols w:space="720" w:num="1"/>
          <w:titlePg/>
        </w:sectPr>
      </w:pPr>
      <w:bookmarkStart w:id="2" w:name="_Toc26956"/>
    </w:p>
    <w:p w14:paraId="7B3C3AE3">
      <w:pPr>
        <w:pStyle w:val="2"/>
        <w:keepNext w:val="0"/>
        <w:keepLines w:val="0"/>
        <w:tabs>
          <w:tab w:val="left" w:pos="0"/>
          <w:tab w:val="left" w:pos="3165"/>
          <w:tab w:val="center" w:pos="4153"/>
        </w:tabs>
        <w:spacing w:before="0" w:after="0" w:line="360" w:lineRule="auto"/>
        <w:jc w:val="center"/>
        <w:rPr>
          <w:color w:val="auto"/>
          <w:highlight w:val="none"/>
        </w:rPr>
      </w:pPr>
      <w:r>
        <w:rPr>
          <w:rFonts w:hint="eastAsia"/>
          <w:color w:val="auto"/>
          <w:highlight w:val="none"/>
        </w:rPr>
        <w:t>第一章</w:t>
      </w:r>
      <w:bookmarkEnd w:id="0"/>
      <w:bookmarkEnd w:id="1"/>
      <w:bookmarkStart w:id="3" w:name="_Toc28359001"/>
      <w:bookmarkStart w:id="4" w:name="_Toc35393789"/>
      <w:r>
        <w:rPr>
          <w:rFonts w:hint="eastAsia"/>
          <w:color w:val="auto"/>
          <w:highlight w:val="none"/>
        </w:rPr>
        <w:t xml:space="preserve"> 招标公告</w:t>
      </w:r>
      <w:bookmarkEnd w:id="2"/>
      <w:bookmarkEnd w:id="3"/>
      <w:bookmarkEnd w:id="4"/>
      <w:r>
        <w:rPr>
          <w:rFonts w:hint="eastAsia"/>
          <w:color w:val="auto"/>
          <w:highlight w:val="none"/>
        </w:rPr>
        <w:t>（远程异地评标）</w:t>
      </w:r>
    </w:p>
    <w:p w14:paraId="50AC1611">
      <w:pPr>
        <w:spacing w:line="360" w:lineRule="auto"/>
        <w:rPr>
          <w:rFonts w:ascii="宋体" w:hAnsi="宋体"/>
          <w:color w:val="auto"/>
          <w:szCs w:val="21"/>
          <w:highlight w:val="none"/>
        </w:rPr>
      </w:pPr>
    </w:p>
    <w:p w14:paraId="74D770E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项目概况</w:t>
      </w:r>
    </w:p>
    <w:p w14:paraId="081328E2">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u w:val="single"/>
        </w:rPr>
        <w:t>2026年-2028年万秀区农村义务教育学生营养改善计划食品进行集中配送项目</w:t>
      </w:r>
      <w:r>
        <w:rPr>
          <w:rFonts w:hint="eastAsia" w:ascii="宋体" w:hAnsi="宋体"/>
          <w:color w:val="auto"/>
          <w:szCs w:val="21"/>
          <w:highlight w:val="none"/>
        </w:rPr>
        <w:t>招标项目的潜在投标人应在广西政府采购云平台（https://www.gcy.zfcg.gxzf.gov.cn/）获取（下载）招标文件，并于</w:t>
      </w:r>
      <w:r>
        <w:rPr>
          <w:rFonts w:hint="eastAsia" w:ascii="宋体" w:hAnsi="宋体"/>
          <w:color w:val="auto"/>
          <w:szCs w:val="21"/>
          <w:highlight w:val="none"/>
          <w:u w:val="single"/>
        </w:rPr>
        <w:t>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27</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北京时间）前按要求递交（上传）投标</w:t>
      </w:r>
      <w:r>
        <w:rPr>
          <w:rFonts w:ascii="宋体" w:hAnsi="宋体"/>
          <w:bCs/>
          <w:color w:val="auto"/>
          <w:szCs w:val="21"/>
          <w:highlight w:val="none"/>
        </w:rPr>
        <w:t>文件</w:t>
      </w:r>
      <w:r>
        <w:rPr>
          <w:rFonts w:hint="eastAsia" w:ascii="宋体" w:hAnsi="宋体"/>
          <w:color w:val="auto"/>
          <w:szCs w:val="21"/>
          <w:highlight w:val="none"/>
        </w:rPr>
        <w:t>。</w:t>
      </w:r>
    </w:p>
    <w:p w14:paraId="62142D5B">
      <w:pPr>
        <w:spacing w:line="360" w:lineRule="auto"/>
        <w:rPr>
          <w:rFonts w:ascii="宋体" w:hAnsi="宋体"/>
          <w:color w:val="auto"/>
          <w:szCs w:val="21"/>
          <w:highlight w:val="none"/>
        </w:rPr>
      </w:pPr>
    </w:p>
    <w:p w14:paraId="3B1CF24C">
      <w:pPr>
        <w:spacing w:line="360" w:lineRule="auto"/>
        <w:rPr>
          <w:rFonts w:ascii="黑体" w:hAnsi="黑体" w:eastAsia="黑体"/>
          <w:b/>
          <w:bCs/>
          <w:color w:val="auto"/>
          <w:sz w:val="24"/>
          <w:highlight w:val="none"/>
        </w:rPr>
      </w:pPr>
      <w:bookmarkStart w:id="5" w:name="_Hlk24379207"/>
      <w:bookmarkStart w:id="6" w:name="_Toc35393621"/>
      <w:bookmarkStart w:id="7" w:name="_Toc35393790"/>
      <w:bookmarkStart w:id="8" w:name="_Toc28359079"/>
      <w:bookmarkStart w:id="9" w:name="_Toc28359002"/>
      <w:r>
        <w:rPr>
          <w:rFonts w:hint="eastAsia" w:ascii="黑体" w:hAnsi="黑体" w:eastAsia="黑体"/>
          <w:b/>
          <w:bCs/>
          <w:color w:val="auto"/>
          <w:sz w:val="24"/>
          <w:highlight w:val="none"/>
        </w:rPr>
        <w:t>一、项目基本情况</w:t>
      </w:r>
      <w:bookmarkEnd w:id="5"/>
      <w:bookmarkEnd w:id="6"/>
      <w:bookmarkEnd w:id="7"/>
      <w:bookmarkEnd w:id="8"/>
      <w:bookmarkEnd w:id="9"/>
    </w:p>
    <w:p w14:paraId="60881936">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WZZC2026-G3-030016-YZLZ</w:t>
      </w:r>
    </w:p>
    <w:p w14:paraId="603C1105">
      <w:pPr>
        <w:spacing w:line="360" w:lineRule="auto"/>
        <w:ind w:firstLine="420"/>
        <w:rPr>
          <w:rFonts w:ascii="宋体" w:hAnsi="宋体"/>
          <w:color w:val="auto"/>
          <w:szCs w:val="21"/>
          <w:highlight w:val="none"/>
        </w:rPr>
      </w:pPr>
      <w:r>
        <w:rPr>
          <w:rFonts w:hint="eastAsia" w:ascii="宋体" w:hAnsi="宋体"/>
          <w:color w:val="auto"/>
          <w:szCs w:val="21"/>
          <w:highlight w:val="none"/>
        </w:rPr>
        <w:t>项目名称：2026年-2028年万秀区农村义务教育学生营养改善计划食品进行集中配送项目</w:t>
      </w:r>
    </w:p>
    <w:p w14:paraId="2302613A">
      <w:pPr>
        <w:spacing w:line="360" w:lineRule="auto"/>
        <w:ind w:firstLine="420"/>
        <w:rPr>
          <w:rFonts w:ascii="宋体" w:hAnsi="宋体"/>
          <w:color w:val="auto"/>
          <w:szCs w:val="21"/>
          <w:highlight w:val="none"/>
          <w:u w:val="single"/>
        </w:rPr>
      </w:pPr>
      <w:r>
        <w:rPr>
          <w:rFonts w:hint="eastAsia"/>
          <w:color w:val="auto"/>
          <w:highlight w:val="none"/>
        </w:rPr>
        <w:t>预算总金额（元）</w:t>
      </w:r>
      <w:r>
        <w:rPr>
          <w:rFonts w:hint="eastAsia" w:ascii="宋体" w:hAnsi="宋体"/>
          <w:color w:val="auto"/>
          <w:szCs w:val="21"/>
          <w:highlight w:val="none"/>
        </w:rPr>
        <w:t>：</w:t>
      </w:r>
      <w:r>
        <w:rPr>
          <w:rFonts w:hint="eastAsia" w:ascii="宋体" w:hAnsi="宋体"/>
          <w:color w:val="auto"/>
          <w:szCs w:val="21"/>
          <w:highlight w:val="none"/>
          <w:u w:val="single"/>
        </w:rPr>
        <w:t>11000000.00</w:t>
      </w:r>
    </w:p>
    <w:p w14:paraId="0CCD5253">
      <w:pPr>
        <w:spacing w:line="360" w:lineRule="auto"/>
        <w:ind w:firstLine="420"/>
        <w:rPr>
          <w:rFonts w:ascii="宋体" w:hAnsi="宋体"/>
          <w:color w:val="auto"/>
          <w:szCs w:val="21"/>
          <w:highlight w:val="none"/>
        </w:rPr>
      </w:pPr>
      <w:r>
        <w:rPr>
          <w:rFonts w:hint="eastAsia" w:ascii="宋体" w:hAnsi="宋体"/>
          <w:color w:val="auto"/>
          <w:szCs w:val="21"/>
          <w:highlight w:val="none"/>
        </w:rPr>
        <w:t>最高限价（如有）：折扣≤98%</w:t>
      </w:r>
    </w:p>
    <w:p w14:paraId="3BDBF0A0">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48"/>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4"/>
        <w:gridCol w:w="2400"/>
        <w:gridCol w:w="900"/>
        <w:gridCol w:w="4941"/>
      </w:tblGrid>
      <w:tr w14:paraId="45AC2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55" w:type="dxa"/>
            <w:gridSpan w:val="4"/>
            <w:tcBorders>
              <w:top w:val="single" w:color="auto" w:sz="4" w:space="0"/>
              <w:left w:val="single" w:color="auto" w:sz="4" w:space="0"/>
              <w:bottom w:val="single" w:color="auto" w:sz="4" w:space="0"/>
              <w:right w:val="single" w:color="auto" w:sz="4" w:space="0"/>
            </w:tcBorders>
            <w:vAlign w:val="center"/>
          </w:tcPr>
          <w:p w14:paraId="7FAB05FC">
            <w:pPr>
              <w:spacing w:line="360" w:lineRule="auto"/>
              <w:ind w:firstLine="420"/>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rPr>
              <w:t>分标；预算金额：</w:t>
            </w:r>
            <w:r>
              <w:rPr>
                <w:rFonts w:hint="eastAsia" w:ascii="宋体" w:hAnsi="宋体"/>
                <w:color w:val="auto"/>
                <w:szCs w:val="21"/>
                <w:highlight w:val="none"/>
                <w:u w:val="single"/>
              </w:rPr>
              <w:t>11000000.00元</w:t>
            </w:r>
          </w:p>
        </w:tc>
      </w:tr>
      <w:tr w14:paraId="49269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dxa"/>
            <w:tcBorders>
              <w:top w:val="single" w:color="auto" w:sz="4" w:space="0"/>
              <w:left w:val="single" w:color="auto" w:sz="4" w:space="0"/>
              <w:bottom w:val="single" w:color="auto" w:sz="4" w:space="0"/>
              <w:right w:val="single" w:color="auto" w:sz="4" w:space="0"/>
            </w:tcBorders>
            <w:vAlign w:val="center"/>
          </w:tcPr>
          <w:p w14:paraId="3EBE2FEE">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400" w:type="dxa"/>
            <w:tcBorders>
              <w:top w:val="single" w:color="auto" w:sz="4" w:space="0"/>
              <w:left w:val="single" w:color="auto" w:sz="4" w:space="0"/>
              <w:bottom w:val="single" w:color="auto" w:sz="4" w:space="0"/>
              <w:right w:val="single" w:color="auto" w:sz="4" w:space="0"/>
            </w:tcBorders>
            <w:vAlign w:val="center"/>
          </w:tcPr>
          <w:p w14:paraId="21419CC6">
            <w:pPr>
              <w:spacing w:line="36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900" w:type="dxa"/>
            <w:tcBorders>
              <w:top w:val="single" w:color="auto" w:sz="4" w:space="0"/>
              <w:left w:val="single" w:color="auto" w:sz="4" w:space="0"/>
              <w:bottom w:val="single" w:color="auto" w:sz="4" w:space="0"/>
              <w:right w:val="single" w:color="auto" w:sz="4" w:space="0"/>
            </w:tcBorders>
            <w:vAlign w:val="center"/>
          </w:tcPr>
          <w:p w14:paraId="6D280D34">
            <w:pPr>
              <w:spacing w:line="360" w:lineRule="auto"/>
              <w:jc w:val="center"/>
              <w:rPr>
                <w:rFonts w:ascii="宋体" w:hAnsi="宋体"/>
                <w:color w:val="auto"/>
                <w:szCs w:val="21"/>
                <w:highlight w:val="none"/>
              </w:rPr>
            </w:pPr>
            <w:r>
              <w:rPr>
                <w:rFonts w:hint="eastAsia" w:ascii="宋体" w:hAnsi="宋体"/>
                <w:color w:val="auto"/>
                <w:szCs w:val="21"/>
                <w:highlight w:val="none"/>
              </w:rPr>
              <w:t>数量及</w:t>
            </w:r>
          </w:p>
          <w:p w14:paraId="348F635A">
            <w:pPr>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4941" w:type="dxa"/>
            <w:tcBorders>
              <w:top w:val="single" w:color="auto" w:sz="4" w:space="0"/>
              <w:left w:val="single" w:color="auto" w:sz="4" w:space="0"/>
              <w:bottom w:val="single" w:color="auto" w:sz="4" w:space="0"/>
              <w:right w:val="single" w:color="auto" w:sz="4" w:space="0"/>
            </w:tcBorders>
            <w:vAlign w:val="center"/>
          </w:tcPr>
          <w:p w14:paraId="7BE3370D">
            <w:pPr>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1DE1F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4" w:type="dxa"/>
            <w:tcBorders>
              <w:top w:val="single" w:color="auto" w:sz="4" w:space="0"/>
              <w:left w:val="single" w:color="auto" w:sz="4" w:space="0"/>
              <w:bottom w:val="single" w:color="auto" w:sz="4" w:space="0"/>
              <w:right w:val="single" w:color="auto" w:sz="4" w:space="0"/>
            </w:tcBorders>
            <w:vAlign w:val="center"/>
          </w:tcPr>
          <w:p w14:paraId="373D7B64">
            <w:pPr>
              <w:spacing w:line="360" w:lineRule="auto"/>
              <w:jc w:val="center"/>
              <w:rPr>
                <w:rFonts w:ascii="宋体" w:hAnsi="宋体"/>
                <w:color w:val="auto"/>
                <w:szCs w:val="21"/>
                <w:highlight w:val="none"/>
              </w:rPr>
            </w:pPr>
            <w:r>
              <w:rPr>
                <w:rFonts w:hint="eastAsia" w:ascii="宋体" w:hAnsi="宋体"/>
                <w:color w:val="auto"/>
                <w:szCs w:val="21"/>
                <w:highlight w:val="none"/>
              </w:rPr>
              <w:t>01</w:t>
            </w:r>
          </w:p>
        </w:tc>
        <w:tc>
          <w:tcPr>
            <w:tcW w:w="2400" w:type="dxa"/>
            <w:tcBorders>
              <w:top w:val="single" w:color="auto" w:sz="4" w:space="0"/>
              <w:left w:val="single" w:color="auto" w:sz="4" w:space="0"/>
              <w:bottom w:val="single" w:color="auto" w:sz="4" w:space="0"/>
              <w:right w:val="single" w:color="auto" w:sz="4" w:space="0"/>
            </w:tcBorders>
            <w:vAlign w:val="center"/>
          </w:tcPr>
          <w:p w14:paraId="4CB38A30">
            <w:pPr>
              <w:spacing w:line="360" w:lineRule="auto"/>
              <w:rPr>
                <w:rFonts w:ascii="宋体" w:hAnsi="宋体"/>
                <w:color w:val="auto"/>
                <w:szCs w:val="21"/>
                <w:highlight w:val="none"/>
              </w:rPr>
            </w:pPr>
            <w:r>
              <w:rPr>
                <w:rFonts w:hint="eastAsia" w:ascii="宋体" w:hAnsi="宋体"/>
                <w:color w:val="auto"/>
                <w:szCs w:val="21"/>
                <w:highlight w:val="none"/>
              </w:rPr>
              <w:t>2026年-2028年万秀区农村义务教育学生营养改善计划食品进行集中配送项目</w:t>
            </w:r>
          </w:p>
        </w:tc>
        <w:tc>
          <w:tcPr>
            <w:tcW w:w="900" w:type="dxa"/>
            <w:tcBorders>
              <w:top w:val="single" w:color="auto" w:sz="4" w:space="0"/>
              <w:left w:val="single" w:color="auto" w:sz="4" w:space="0"/>
              <w:bottom w:val="single" w:color="auto" w:sz="4" w:space="0"/>
              <w:right w:val="single" w:color="auto" w:sz="4" w:space="0"/>
            </w:tcBorders>
            <w:vAlign w:val="center"/>
          </w:tcPr>
          <w:p w14:paraId="1EC92BA1">
            <w:pPr>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4941" w:type="dxa"/>
            <w:tcBorders>
              <w:top w:val="single" w:color="auto" w:sz="4" w:space="0"/>
              <w:left w:val="single" w:color="auto" w:sz="4" w:space="0"/>
              <w:bottom w:val="single" w:color="auto" w:sz="4" w:space="0"/>
              <w:right w:val="single" w:color="auto" w:sz="4" w:space="0"/>
            </w:tcBorders>
            <w:vAlign w:val="center"/>
          </w:tcPr>
          <w:p w14:paraId="5C2A771B">
            <w:pPr>
              <w:spacing w:line="300" w:lineRule="auto"/>
              <w:rPr>
                <w:color w:val="auto"/>
                <w:highlight w:val="none"/>
              </w:rPr>
            </w:pPr>
            <w:r>
              <w:rPr>
                <w:rFonts w:hint="eastAsia"/>
                <w:color w:val="auto"/>
                <w:highlight w:val="none"/>
              </w:rPr>
              <w:t>一</w:t>
            </w:r>
            <w:r>
              <w:rPr>
                <w:color w:val="auto"/>
                <w:highlight w:val="none"/>
              </w:rPr>
              <w:t>、工作内容和范围：</w:t>
            </w:r>
          </w:p>
          <w:p w14:paraId="269B9150">
            <w:pPr>
              <w:spacing w:line="360" w:lineRule="auto"/>
              <w:ind w:firstLine="420"/>
              <w:rPr>
                <w:rFonts w:ascii="宋体" w:hAnsi="宋体"/>
                <w:color w:val="auto"/>
                <w:szCs w:val="21"/>
                <w:highlight w:val="none"/>
              </w:rPr>
            </w:pPr>
            <w:r>
              <w:rPr>
                <w:rFonts w:hint="eastAsia" w:ascii="宋体" w:hAnsi="宋体" w:cs="宋体"/>
                <w:color w:val="auto"/>
                <w:szCs w:val="21"/>
                <w:highlight w:val="none"/>
              </w:rPr>
              <w:t>按照采购人的具体要求，将食堂需要的食品在规定时间内保质保量配送到采购人指定地点。凡是《中华人民共和国食品安全法》禁止经营的食品一律不得采购和使用，严禁配送“三无”食品、有毒、有害、过期、变质、假冒伪劣等不合格食品以及高盐、高糖、高脂食品和酒精饮料。供应商应负责物资的供应、包装、运输、交货以及途中冷链和售后服务等工作。</w:t>
            </w:r>
            <w:r>
              <w:rPr>
                <w:rFonts w:hint="eastAsia" w:ascii="宋体" w:hAnsi="宋体"/>
                <w:color w:val="auto"/>
                <w:szCs w:val="21"/>
                <w:highlight w:val="none"/>
              </w:rPr>
              <w:t>具体详见采购需求。</w:t>
            </w:r>
          </w:p>
        </w:tc>
      </w:tr>
    </w:tbl>
    <w:p w14:paraId="740CDAB0">
      <w:pPr>
        <w:spacing w:line="360" w:lineRule="auto"/>
        <w:ind w:firstLine="420"/>
        <w:rPr>
          <w:rFonts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s="宋体"/>
          <w:color w:val="auto"/>
          <w:szCs w:val="21"/>
          <w:highlight w:val="none"/>
        </w:rPr>
        <w:t>2年。</w:t>
      </w:r>
    </w:p>
    <w:p w14:paraId="2C2E7C56">
      <w:pPr>
        <w:spacing w:line="360" w:lineRule="auto"/>
        <w:ind w:firstLine="420"/>
        <w:rPr>
          <w:rFonts w:ascii="宋体" w:hAnsi="宋体"/>
          <w:color w:val="auto"/>
          <w:szCs w:val="21"/>
          <w:highlight w:val="none"/>
        </w:rPr>
      </w:pPr>
      <w:r>
        <w:rPr>
          <w:rFonts w:hint="eastAsia" w:ascii="宋体" w:hAnsi="宋体"/>
          <w:color w:val="auto"/>
          <w:szCs w:val="21"/>
          <w:highlight w:val="none"/>
        </w:rPr>
        <w:t>本项目（是）接受联合体投标。</w:t>
      </w:r>
    </w:p>
    <w:p w14:paraId="0E64C663">
      <w:pPr>
        <w:spacing w:line="360" w:lineRule="auto"/>
        <w:rPr>
          <w:rFonts w:ascii="黑体" w:hAnsi="黑体" w:eastAsia="黑体"/>
          <w:b/>
          <w:bCs/>
          <w:color w:val="auto"/>
          <w:sz w:val="24"/>
          <w:highlight w:val="none"/>
        </w:rPr>
      </w:pPr>
      <w:bookmarkStart w:id="10" w:name="_Toc28359003"/>
      <w:bookmarkStart w:id="11" w:name="_Toc28359080"/>
      <w:bookmarkStart w:id="12" w:name="_Toc35393791"/>
      <w:bookmarkStart w:id="13" w:name="_Toc35393622"/>
      <w:r>
        <w:rPr>
          <w:rFonts w:hint="eastAsia" w:ascii="黑体" w:hAnsi="黑体" w:eastAsia="黑体"/>
          <w:b/>
          <w:bCs/>
          <w:color w:val="auto"/>
          <w:sz w:val="24"/>
          <w:highlight w:val="none"/>
        </w:rPr>
        <w:t>二、申请人的资格要求：</w:t>
      </w:r>
      <w:bookmarkEnd w:id="10"/>
      <w:bookmarkEnd w:id="11"/>
      <w:bookmarkEnd w:id="12"/>
      <w:bookmarkEnd w:id="13"/>
    </w:p>
    <w:p w14:paraId="4B1B80F5">
      <w:pPr>
        <w:spacing w:line="360" w:lineRule="auto"/>
        <w:ind w:firstLine="420"/>
        <w:rPr>
          <w:rFonts w:ascii="宋体" w:hAnsi="宋体"/>
          <w:color w:val="auto"/>
          <w:szCs w:val="21"/>
          <w:highlight w:val="none"/>
        </w:rPr>
      </w:pPr>
      <w:bookmarkStart w:id="14" w:name="_Hlk51746371"/>
      <w:bookmarkStart w:id="15" w:name="_Toc28359081"/>
      <w:bookmarkStart w:id="16" w:name="_Toc35393623"/>
      <w:bookmarkStart w:id="17" w:name="_Toc35393792"/>
      <w:bookmarkStart w:id="18" w:name="_Toc28359004"/>
      <w:r>
        <w:rPr>
          <w:rFonts w:hint="eastAsia" w:ascii="宋体" w:hAnsi="宋体"/>
          <w:color w:val="auto"/>
          <w:szCs w:val="21"/>
          <w:highlight w:val="none"/>
        </w:rPr>
        <w:t>1.满足《中华人民共和国政府采购法》第二十二条规定；</w:t>
      </w:r>
    </w:p>
    <w:p w14:paraId="792F0B4C">
      <w:pPr>
        <w:spacing w:line="360" w:lineRule="auto"/>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color w:val="auto"/>
          <w:highlight w:val="none"/>
        </w:rPr>
        <w:t>本项目属于专门面向</w:t>
      </w:r>
      <w:r>
        <w:rPr>
          <w:rFonts w:hint="eastAsia"/>
          <w:b/>
          <w:bCs/>
          <w:color w:val="auto"/>
          <w:highlight w:val="none"/>
          <w:lang w:eastAsia="zh-CN"/>
        </w:rPr>
        <w:t>小微</w:t>
      </w:r>
      <w:r>
        <w:rPr>
          <w:rFonts w:hint="eastAsia"/>
          <w:color w:val="auto"/>
          <w:highlight w:val="none"/>
        </w:rPr>
        <w:t>企业采购的项目，服务的承接单位为符合政策要求的</w:t>
      </w:r>
      <w:r>
        <w:rPr>
          <w:rFonts w:hint="eastAsia"/>
          <w:b/>
          <w:bCs/>
          <w:color w:val="auto"/>
          <w:highlight w:val="none"/>
        </w:rPr>
        <w:t>小型或微型</w:t>
      </w:r>
      <w:r>
        <w:rPr>
          <w:rFonts w:hint="eastAsia"/>
          <w:color w:val="auto"/>
          <w:highlight w:val="none"/>
        </w:rPr>
        <w:t>企业（包括监狱企业及</w:t>
      </w:r>
      <w:r>
        <w:rPr>
          <w:color w:val="auto"/>
          <w:highlight w:val="none"/>
        </w:rPr>
        <w:t>残疾人福利性单位</w:t>
      </w:r>
      <w:r>
        <w:rPr>
          <w:rFonts w:hint="eastAsia"/>
          <w:color w:val="auto"/>
          <w:highlight w:val="none"/>
        </w:rPr>
        <w:t>），须提供中小企业声明函【如属于残疾人福利性单位的提供残疾人福利性单位声明函，属于监狱企业的提供由省级以上监狱管理局、戒毒管理局（含新疆生产建设兵团）出具的属于监狱企业的证明文件】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olor w:val="auto"/>
          <w:szCs w:val="21"/>
          <w:highlight w:val="none"/>
        </w:rPr>
        <w:t>。</w:t>
      </w:r>
    </w:p>
    <w:p w14:paraId="6913A63B">
      <w:pPr>
        <w:spacing w:line="360" w:lineRule="auto"/>
        <w:ind w:firstLine="420"/>
        <w:rPr>
          <w:rFonts w:ascii="宋体" w:hAnsi="宋体"/>
          <w:color w:val="auto"/>
          <w:szCs w:val="21"/>
          <w:highlight w:val="none"/>
        </w:rPr>
      </w:pPr>
      <w:r>
        <w:rPr>
          <w:rFonts w:hint="eastAsia" w:ascii="宋体" w:hAnsi="宋体"/>
          <w:color w:val="auto"/>
          <w:szCs w:val="21"/>
          <w:highlight w:val="none"/>
        </w:rPr>
        <w:t>3.本项目的特定资格要求：投标人有效的《食品经营许可证》复印件，许可证主体业态需为“食品销售经营者</w:t>
      </w:r>
      <w:r>
        <w:rPr>
          <w:rFonts w:hint="eastAsia" w:ascii="宋体" w:hAnsi="宋体"/>
          <w:color w:val="auto"/>
          <w:szCs w:val="21"/>
          <w:highlight w:val="none"/>
          <w:lang w:eastAsia="zh-CN"/>
        </w:rPr>
        <w:t>”</w:t>
      </w:r>
      <w:r>
        <w:rPr>
          <w:rFonts w:hint="eastAsia" w:ascii="宋体" w:hAnsi="宋体"/>
          <w:color w:val="auto"/>
          <w:szCs w:val="21"/>
          <w:highlight w:val="none"/>
        </w:rPr>
        <w:t>，如供应商的食品经营许可证与营业执照合并办理的，须提供扫描营业执照二维码后的有效备案信息截图；如为联合体投标的，则联合体各方均必须满足申请人的资格要求第1、2条及特定行业法定准入要求即具备有效的《食品经营许可证》，许可证主体业态需为“食品销售经营者”。（</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bookmarkEnd w:id="14"/>
    <w:p w14:paraId="5C09B5BC">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15"/>
      <w:bookmarkEnd w:id="16"/>
      <w:bookmarkEnd w:id="17"/>
      <w:bookmarkEnd w:id="18"/>
    </w:p>
    <w:p w14:paraId="7B8DD5E5">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时间：</w:t>
      </w:r>
      <w:r>
        <w:rPr>
          <w:rFonts w:ascii="宋体" w:hAnsi="宋体" w:cs="宋体"/>
          <w:bCs/>
          <w:color w:val="auto"/>
          <w:szCs w:val="21"/>
          <w:highlight w:val="none"/>
        </w:rPr>
        <w:t xml:space="preserve"> </w:t>
      </w:r>
      <w:r>
        <w:rPr>
          <w:rFonts w:hint="eastAsia" w:ascii="宋体" w:hAnsi="宋体" w:cs="宋体"/>
          <w:bCs/>
          <w:color w:val="auto"/>
          <w:szCs w:val="21"/>
          <w:highlight w:val="none"/>
        </w:rPr>
        <w:t>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日至2026年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13</w:t>
      </w:r>
      <w:r>
        <w:rPr>
          <w:rFonts w:hint="eastAsia" w:ascii="宋体" w:hAnsi="宋体" w:cs="宋体"/>
          <w:bCs/>
          <w:color w:val="auto"/>
          <w:szCs w:val="21"/>
          <w:highlight w:val="none"/>
        </w:rPr>
        <w:t>日，每天上午8:00至12:00，15:00至18:00（北京时间，法定节假日除外）。</w:t>
      </w:r>
    </w:p>
    <w:p w14:paraId="0B53A1EA">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22773AE4">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531B0F19">
      <w:pPr>
        <w:spacing w:line="360" w:lineRule="auto"/>
        <w:ind w:firstLine="540"/>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bCs/>
          <w:color w:val="auto"/>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501F1CDB">
      <w:pPr>
        <w:spacing w:line="360" w:lineRule="auto"/>
        <w:rPr>
          <w:rFonts w:ascii="黑体" w:hAnsi="黑体" w:eastAsia="黑体"/>
          <w:b/>
          <w:bCs/>
          <w:color w:val="auto"/>
          <w:sz w:val="24"/>
          <w:highlight w:val="none"/>
        </w:rPr>
      </w:pPr>
      <w:bookmarkStart w:id="19" w:name="_Toc28359005"/>
      <w:bookmarkStart w:id="20" w:name="_Toc28359082"/>
      <w:bookmarkStart w:id="21" w:name="_Toc35393624"/>
      <w:bookmarkStart w:id="22" w:name="_Toc35393793"/>
      <w:r>
        <w:rPr>
          <w:rFonts w:hint="eastAsia" w:ascii="黑体" w:hAnsi="黑体" w:eastAsia="黑体"/>
          <w:b/>
          <w:bCs/>
          <w:color w:val="auto"/>
          <w:sz w:val="24"/>
          <w:highlight w:val="none"/>
        </w:rPr>
        <w:t>四、提交投标文件</w:t>
      </w:r>
      <w:bookmarkEnd w:id="19"/>
      <w:bookmarkEnd w:id="20"/>
      <w:r>
        <w:rPr>
          <w:rFonts w:hint="eastAsia" w:ascii="黑体" w:hAnsi="黑体" w:eastAsia="黑体"/>
          <w:b/>
          <w:bCs/>
          <w:color w:val="auto"/>
          <w:sz w:val="24"/>
          <w:highlight w:val="none"/>
        </w:rPr>
        <w:t>截止时间、开标时间和地点</w:t>
      </w:r>
      <w:bookmarkEnd w:id="21"/>
      <w:bookmarkEnd w:id="22"/>
    </w:p>
    <w:p w14:paraId="54A2D12D">
      <w:pPr>
        <w:spacing w:line="360" w:lineRule="auto"/>
        <w:ind w:firstLine="420"/>
        <w:rPr>
          <w:rFonts w:ascii="宋体" w:hAnsi="宋体" w:cs="宋体"/>
          <w:color w:val="auto"/>
          <w:szCs w:val="21"/>
          <w:highlight w:val="none"/>
        </w:rPr>
      </w:pPr>
      <w:bookmarkStart w:id="23" w:name="_Toc28359084"/>
      <w:bookmarkStart w:id="24" w:name="_Toc35393794"/>
      <w:bookmarkStart w:id="25" w:name="_Toc35393625"/>
      <w:bookmarkStart w:id="26" w:name="_Toc28359007"/>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27</w:t>
      </w:r>
      <w:r>
        <w:rPr>
          <w:rFonts w:hint="eastAsia" w:ascii="宋体" w:hAnsi="宋体"/>
          <w:bCs/>
          <w:color w:val="auto"/>
          <w:szCs w:val="21"/>
          <w:highlight w:val="none"/>
        </w:rPr>
        <w:t>日09时30分（北京时间）</w:t>
      </w:r>
    </w:p>
    <w:p w14:paraId="053FA077">
      <w:pPr>
        <w:spacing w:line="360" w:lineRule="auto"/>
        <w:ind w:firstLine="420"/>
        <w:rPr>
          <w:rFonts w:ascii="宋体" w:hAnsi="宋体"/>
          <w:color w:val="auto"/>
          <w:szCs w:val="21"/>
          <w:highlight w:val="none"/>
        </w:rPr>
      </w:pPr>
      <w:r>
        <w:rPr>
          <w:rFonts w:hint="eastAsia" w:ascii="宋体" w:hAnsi="宋体"/>
          <w:color w:val="auto"/>
          <w:szCs w:val="21"/>
          <w:highlight w:val="none"/>
        </w:rPr>
        <w:t>地点：广西政府采购云平台（https://www.gcy.zfcg.gxzf.gov.cn/）</w:t>
      </w:r>
    </w:p>
    <w:p w14:paraId="74FBA508">
      <w:pPr>
        <w:spacing w:line="360" w:lineRule="auto"/>
        <w:ind w:firstLine="420"/>
        <w:rPr>
          <w:rFonts w:ascii="宋体" w:hAnsi="宋体"/>
          <w:color w:val="auto"/>
          <w:szCs w:val="21"/>
          <w:highlight w:val="none"/>
        </w:rPr>
      </w:pPr>
      <w:r>
        <w:rPr>
          <w:rFonts w:hint="eastAsia" w:ascii="宋体" w:hAnsi="宋体"/>
          <w:color w:val="auto"/>
          <w:szCs w:val="21"/>
          <w:highlight w:val="none"/>
        </w:rPr>
        <w:t>投标地点：</w:t>
      </w:r>
      <w:bookmarkStart w:id="27" w:name="OLE_LINK1"/>
      <w:r>
        <w:rPr>
          <w:rFonts w:hint="eastAsia" w:ascii="宋体" w:hAnsi="宋体"/>
          <w:color w:val="auto"/>
          <w:szCs w:val="21"/>
          <w:highlight w:val="none"/>
        </w:rPr>
        <w:t>广西政府采购云平台（https://www.gcy.zfcg.gxzf.gov.cn/）</w:t>
      </w:r>
      <w:bookmarkEnd w:id="27"/>
    </w:p>
    <w:p w14:paraId="2A72A845">
      <w:pPr>
        <w:spacing w:line="360" w:lineRule="auto"/>
        <w:ind w:firstLine="420"/>
        <w:rPr>
          <w:rFonts w:ascii="宋体" w:hAnsi="宋体"/>
          <w:color w:val="auto"/>
          <w:szCs w:val="21"/>
          <w:highlight w:val="none"/>
        </w:rPr>
      </w:pPr>
      <w:r>
        <w:rPr>
          <w:rFonts w:hint="eastAsia" w:ascii="宋体" w:hAnsi="宋体"/>
          <w:color w:val="auto"/>
          <w:szCs w:val="21"/>
          <w:highlight w:val="none"/>
        </w:rPr>
        <w:t>开标地点：</w:t>
      </w:r>
      <w:r>
        <w:rPr>
          <w:rFonts w:hint="eastAsia"/>
          <w:color w:val="auto"/>
          <w:highlight w:val="none"/>
        </w:rPr>
        <w:t>广西壮族自治区梧州市长洲区三龙大道72号红岭大厦8楼政采类（开标室）</w:t>
      </w:r>
    </w:p>
    <w:p w14:paraId="478A5F6B">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3"/>
      <w:bookmarkEnd w:id="24"/>
      <w:bookmarkEnd w:id="25"/>
      <w:bookmarkEnd w:id="26"/>
    </w:p>
    <w:p w14:paraId="227B752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7549EE25">
      <w:pPr>
        <w:spacing w:line="360" w:lineRule="auto"/>
        <w:rPr>
          <w:rFonts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六、其他补充事宜</w:t>
      </w:r>
      <w:bookmarkEnd w:id="28"/>
      <w:bookmarkEnd w:id="29"/>
    </w:p>
    <w:p w14:paraId="3041FC40">
      <w:pPr>
        <w:spacing w:line="360" w:lineRule="auto"/>
        <w:ind w:firstLine="420"/>
        <w:rPr>
          <w:rFonts w:ascii="宋体" w:hAnsi="宋体" w:cs="宋体"/>
          <w:color w:val="auto"/>
          <w:szCs w:val="21"/>
          <w:highlight w:val="none"/>
        </w:rPr>
      </w:pPr>
      <w:bookmarkStart w:id="30" w:name="_Hlk37429585"/>
      <w:bookmarkStart w:id="31" w:name="_Hlk37429595"/>
      <w:bookmarkStart w:id="32" w:name="_Toc28359085"/>
      <w:bookmarkStart w:id="33" w:name="_Toc28359008"/>
      <w:bookmarkStart w:id="34" w:name="_Toc35393796"/>
      <w:bookmarkStart w:id="35" w:name="_Toc35393627"/>
      <w:r>
        <w:rPr>
          <w:rFonts w:hint="eastAsia" w:ascii="宋体" w:hAnsi="宋体" w:cs="宋体"/>
          <w:color w:val="auto"/>
          <w:szCs w:val="21"/>
          <w:highlight w:val="none"/>
        </w:rPr>
        <w:t>1.网上查询地址</w:t>
      </w:r>
    </w:p>
    <w:p w14:paraId="6E76F1FF">
      <w:pPr>
        <w:spacing w:line="360" w:lineRule="auto"/>
        <w:ind w:left="210" w:firstLine="424"/>
        <w:rPr>
          <w:rFonts w:ascii="宋体" w:hAnsi="宋体" w:cs="宋体"/>
          <w:iCs/>
          <w:color w:val="auto"/>
          <w:szCs w:val="21"/>
          <w:highlight w:val="none"/>
        </w:rPr>
      </w:pPr>
      <w:r>
        <w:rPr>
          <w:rFonts w:ascii="宋体" w:hAnsi="宋体" w:cs="宋体"/>
          <w:iCs/>
          <w:color w:val="auto"/>
          <w:szCs w:val="21"/>
          <w:highlight w:val="none"/>
        </w:rPr>
        <w:t>http</w:t>
      </w:r>
      <w:r>
        <w:rPr>
          <w:rFonts w:hint="eastAsia" w:ascii="宋体" w:hAnsi="宋体" w:cs="宋体"/>
          <w:iCs/>
          <w:color w:val="auto"/>
          <w:szCs w:val="21"/>
          <w:highlight w:val="none"/>
        </w:rPr>
        <w:t>://</w:t>
      </w:r>
      <w:r>
        <w:rPr>
          <w:color w:val="auto"/>
          <w:highlight w:val="none"/>
        </w:rPr>
        <w:fldChar w:fldCharType="begin"/>
      </w:r>
      <w:r>
        <w:rPr>
          <w:color w:val="auto"/>
          <w:highlight w:val="none"/>
        </w:rPr>
        <w:instrText xml:space="preserve"> HYPERLINK "http://www.ccgp.gov.cn（中国政府采购网）、zfcg.gxzf.gov.cn（广西壮族自治区政府采购网）" </w:instrText>
      </w:r>
      <w:r>
        <w:rPr>
          <w:color w:val="auto"/>
          <w:highlight w:val="none"/>
        </w:rPr>
        <w:fldChar w:fldCharType="separate"/>
      </w:r>
      <w:r>
        <w:rPr>
          <w:rStyle w:val="56"/>
          <w:rFonts w:hint="eastAsia" w:ascii="宋体" w:hAnsi="宋体" w:cs="宋体"/>
          <w:iCs/>
          <w:color w:val="auto"/>
          <w:szCs w:val="21"/>
          <w:highlight w:val="none"/>
          <w:u w:val="none"/>
        </w:rPr>
        <w:t>www.ccgp.gov.cn（中国政府采购网）、http://zfcg.gxzf.gov.cn（广西壮族自治区政府采购网）</w:t>
      </w:r>
      <w:r>
        <w:rPr>
          <w:rStyle w:val="56"/>
          <w:rFonts w:hint="eastAsia" w:ascii="宋体" w:hAnsi="宋体" w:cs="宋体"/>
          <w:iCs/>
          <w:color w:val="auto"/>
          <w:szCs w:val="21"/>
          <w:highlight w:val="none"/>
          <w:u w:val="none"/>
        </w:rPr>
        <w:fldChar w:fldCharType="end"/>
      </w:r>
      <w:r>
        <w:rPr>
          <w:rFonts w:hint="eastAsia" w:ascii="宋体" w:hAnsi="宋体" w:cs="宋体"/>
          <w:iCs/>
          <w:color w:val="auto"/>
          <w:szCs w:val="21"/>
          <w:highlight w:val="none"/>
        </w:rPr>
        <w:t>、http://117.141.250.58:10030/web/cgw/index.ptl（梧州市政府采购网）、http://ggzy.jgswj.gxzf.gov.cn/wzggzy/（全国公共资源交易平台·梧州）</w:t>
      </w:r>
      <w:bookmarkEnd w:id="30"/>
      <w:bookmarkEnd w:id="31"/>
    </w:p>
    <w:p w14:paraId="642EC02A">
      <w:pPr>
        <w:spacing w:line="360" w:lineRule="auto"/>
        <w:ind w:firstLine="424"/>
        <w:rPr>
          <w:rFonts w:ascii="宋体" w:hAnsi="宋体" w:cs="宋体"/>
          <w:iCs/>
          <w:color w:val="auto"/>
          <w:szCs w:val="21"/>
          <w:highlight w:val="none"/>
        </w:rPr>
      </w:pPr>
      <w:bookmarkStart w:id="36" w:name="_Hlk37429674"/>
      <w:r>
        <w:rPr>
          <w:rFonts w:hint="eastAsia" w:ascii="宋体" w:hAnsi="宋体"/>
          <w:iCs/>
          <w:color w:val="auto"/>
          <w:szCs w:val="21"/>
          <w:highlight w:val="none"/>
        </w:rPr>
        <w:t>2</w:t>
      </w:r>
      <w:r>
        <w:rPr>
          <w:rFonts w:ascii="宋体" w:hAnsi="宋体"/>
          <w:iCs/>
          <w:color w:val="auto"/>
          <w:szCs w:val="21"/>
          <w:highlight w:val="none"/>
        </w:rPr>
        <w:t>.</w:t>
      </w:r>
      <w:r>
        <w:rPr>
          <w:rFonts w:hint="eastAsia" w:ascii="宋体" w:hAnsi="宋体" w:cs="宋体"/>
          <w:iCs/>
          <w:color w:val="auto"/>
          <w:szCs w:val="21"/>
          <w:highlight w:val="none"/>
        </w:rPr>
        <w:t>本项目需要落实的政府采购政策</w:t>
      </w:r>
    </w:p>
    <w:p w14:paraId="708F0743">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3A1686C8">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（2）政府采购促进残疾人就业政策。</w:t>
      </w:r>
    </w:p>
    <w:p w14:paraId="0D3D80CC">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（3）政府采购支持监狱企业发展。</w:t>
      </w:r>
      <w:bookmarkEnd w:id="36"/>
    </w:p>
    <w:p w14:paraId="0B82D94B">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3.投标人</w:t>
      </w:r>
      <w:r>
        <w:rPr>
          <w:rFonts w:hint="eastAsia" w:ascii="宋体" w:hAnsi="宋体"/>
          <w:color w:val="auto"/>
          <w:szCs w:val="21"/>
          <w:highlight w:val="none"/>
        </w:rPr>
        <w:t>投标注意事项</w:t>
      </w:r>
    </w:p>
    <w:p w14:paraId="35D6DB27">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color w:val="auto"/>
          <w:highlight w:val="none"/>
        </w:rPr>
        <w:t>后缀名为“</w:t>
      </w:r>
      <w:r>
        <w:rPr>
          <w:color w:val="auto"/>
          <w:highlight w:val="none"/>
        </w:rPr>
        <w:t>jmbs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”查看电子投标具体操作流程。</w:t>
      </w:r>
    </w:p>
    <w:p w14:paraId="0EA236E5">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szCs w:val="21"/>
          <w:highlight w:val="none"/>
        </w:rPr>
        <w:t>，</w:t>
      </w:r>
      <w:r>
        <w:rPr>
          <w:rFonts w:hint="eastAsia" w:ascii="宋体" w:hAnsi="宋体"/>
          <w:color w:val="auto"/>
          <w:szCs w:val="21"/>
          <w:highlight w:val="none"/>
        </w:rPr>
        <w:t>依次进入“服务中心-入驻与配置”中查看CA数字证书办理操作流程。</w:t>
      </w:r>
      <w:r>
        <w:rPr>
          <w:rFonts w:hint="eastAsia" w:ascii="宋体" w:hAnsi="宋体" w:cs="宋体"/>
          <w:b/>
          <w:color w:val="auto"/>
          <w:szCs w:val="21"/>
          <w:highlight w:val="none"/>
        </w:rPr>
        <w:t>如在操作过程中遇到问题或者需要技术支持，请致电客服热线：95763或者0771-3381253</w:t>
      </w:r>
      <w:r>
        <w:rPr>
          <w:rFonts w:hint="eastAsia" w:ascii="宋体" w:hAnsi="宋体"/>
          <w:b/>
          <w:color w:val="auto"/>
          <w:szCs w:val="21"/>
          <w:highlight w:val="none"/>
        </w:rPr>
        <w:t>）</w:t>
      </w:r>
      <w:r>
        <w:rPr>
          <w:rFonts w:hint="eastAsia" w:ascii="宋体" w:hAnsi="宋体"/>
          <w:color w:val="auto"/>
          <w:szCs w:val="21"/>
          <w:highlight w:val="none"/>
        </w:rPr>
        <w:t>。</w:t>
      </w:r>
    </w:p>
    <w:p w14:paraId="0020AC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w:t>
      </w:r>
      <w:r>
        <w:rPr>
          <w:rFonts w:hint="eastAsia" w:ascii="宋体" w:hAnsi="宋体"/>
          <w:color w:val="auto"/>
          <w:szCs w:val="21"/>
          <w:highlight w:val="none"/>
        </w:rPr>
        <w:t>广西政府采购云平台</w:t>
      </w:r>
      <w:r>
        <w:rPr>
          <w:rFonts w:hint="eastAsia" w:ascii="宋体" w:hAnsi="宋体" w:cs="宋体"/>
          <w:color w:val="auto"/>
          <w:szCs w:val="21"/>
          <w:highlight w:val="none"/>
        </w:rPr>
        <w:t>电子开标大厅现场按规定时间对加密的投标文件进行解密，否则后果自负。</w:t>
      </w:r>
    </w:p>
    <w:p w14:paraId="00943A35">
      <w:pPr>
        <w:spacing w:line="360" w:lineRule="auto"/>
        <w:ind w:firstLine="424"/>
        <w:rPr>
          <w:rFonts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5189C544">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2"/>
      <w:bookmarkEnd w:id="33"/>
      <w:bookmarkEnd w:id="34"/>
      <w:bookmarkEnd w:id="35"/>
    </w:p>
    <w:p w14:paraId="2D61AAE4">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1.采购人信息</w:t>
      </w:r>
    </w:p>
    <w:p w14:paraId="16E5BC2E">
      <w:pPr>
        <w:spacing w:line="360" w:lineRule="auto"/>
        <w:ind w:firstLine="424"/>
        <w:jc w:val="left"/>
        <w:rPr>
          <w:rFonts w:ascii="宋体" w:hAnsi="宋体"/>
          <w:color w:val="auto"/>
          <w:szCs w:val="21"/>
          <w:highlight w:val="none"/>
        </w:rPr>
      </w:pPr>
      <w:bookmarkStart w:id="37" w:name="_Toc28359086"/>
      <w:bookmarkStart w:id="38" w:name="_Toc28359009"/>
      <w:r>
        <w:rPr>
          <w:rFonts w:hint="eastAsia" w:ascii="宋体" w:hAnsi="宋体"/>
          <w:color w:val="auto"/>
          <w:szCs w:val="21"/>
          <w:highlight w:val="none"/>
        </w:rPr>
        <w:t>名 称：梧州市万秀区教育局</w:t>
      </w:r>
    </w:p>
    <w:p w14:paraId="0670F1E7">
      <w:pPr>
        <w:spacing w:line="360" w:lineRule="auto"/>
        <w:ind w:firstLine="424"/>
        <w:jc w:val="left"/>
        <w:rPr>
          <w:rFonts w:ascii="宋体" w:hAnsi="宋体"/>
          <w:color w:val="auto"/>
          <w:szCs w:val="21"/>
          <w:highlight w:val="none"/>
        </w:rPr>
      </w:pPr>
      <w:r>
        <w:rPr>
          <w:rFonts w:hint="eastAsia" w:ascii="宋体" w:hAnsi="宋体"/>
          <w:color w:val="auto"/>
          <w:szCs w:val="21"/>
          <w:highlight w:val="none"/>
        </w:rPr>
        <w:t>地址：梧州市新兴一路6号</w:t>
      </w:r>
    </w:p>
    <w:p w14:paraId="0AF4CC09">
      <w:pPr>
        <w:spacing w:line="360" w:lineRule="auto"/>
        <w:ind w:firstLine="424"/>
        <w:jc w:val="left"/>
        <w:rPr>
          <w:rFonts w:ascii="宋体" w:hAnsi="宋体"/>
          <w:color w:val="auto"/>
          <w:szCs w:val="21"/>
          <w:highlight w:val="none"/>
        </w:rPr>
      </w:pPr>
      <w:r>
        <w:rPr>
          <w:rFonts w:hint="eastAsia" w:ascii="宋体" w:hAnsi="宋体"/>
          <w:color w:val="auto"/>
          <w:szCs w:val="21"/>
          <w:highlight w:val="none"/>
        </w:rPr>
        <w:t>联系方式：李健伟，0774-3953050</w:t>
      </w:r>
    </w:p>
    <w:p w14:paraId="4114D88E">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37"/>
      <w:bookmarkEnd w:id="38"/>
    </w:p>
    <w:p w14:paraId="57C485A5">
      <w:pPr>
        <w:spacing w:line="360" w:lineRule="auto"/>
        <w:ind w:firstLine="424"/>
        <w:rPr>
          <w:rFonts w:ascii="宋体" w:hAnsi="宋体"/>
          <w:color w:val="auto"/>
          <w:szCs w:val="21"/>
          <w:highlight w:val="none"/>
        </w:rPr>
      </w:pPr>
      <w:bookmarkStart w:id="39" w:name="_Toc28359087"/>
      <w:bookmarkStart w:id="40" w:name="_Toc28359010"/>
      <w:r>
        <w:rPr>
          <w:rFonts w:hint="eastAsia" w:ascii="宋体" w:hAnsi="宋体"/>
          <w:color w:val="auto"/>
          <w:szCs w:val="21"/>
          <w:highlight w:val="none"/>
        </w:rPr>
        <w:t>名 称：云之龙咨询集团有限公司　</w:t>
      </w:r>
    </w:p>
    <w:p w14:paraId="2947DE6A">
      <w:pPr>
        <w:spacing w:line="360" w:lineRule="auto"/>
        <w:ind w:firstLine="424"/>
        <w:rPr>
          <w:rFonts w:ascii="宋体" w:hAnsi="宋体"/>
          <w:color w:val="auto"/>
          <w:szCs w:val="21"/>
          <w:highlight w:val="none"/>
        </w:rPr>
      </w:pPr>
      <w:r>
        <w:rPr>
          <w:rFonts w:hint="eastAsia" w:ascii="宋体" w:hAnsi="宋体"/>
          <w:color w:val="auto"/>
          <w:szCs w:val="21"/>
          <w:highlight w:val="none"/>
        </w:rPr>
        <w:t>地　址：梧州市新兴三路30号神冠豪都B栋1单元1008号房</w:t>
      </w:r>
    </w:p>
    <w:p w14:paraId="452C4952">
      <w:pPr>
        <w:spacing w:line="360" w:lineRule="auto"/>
        <w:ind w:firstLine="424"/>
        <w:rPr>
          <w:rFonts w:ascii="宋体" w:hAnsi="宋体"/>
          <w:color w:val="auto"/>
          <w:szCs w:val="21"/>
          <w:highlight w:val="none"/>
        </w:rPr>
      </w:pPr>
      <w:r>
        <w:rPr>
          <w:rFonts w:hint="eastAsia" w:ascii="宋体" w:hAnsi="宋体"/>
          <w:color w:val="auto"/>
          <w:szCs w:val="21"/>
          <w:highlight w:val="none"/>
        </w:rPr>
        <w:t>联系方式：黄泳瑜、陈丽莹，0774-3859935</w:t>
      </w:r>
    </w:p>
    <w:p w14:paraId="4F05AD33">
      <w:pPr>
        <w:spacing w:line="360" w:lineRule="auto"/>
        <w:ind w:firstLine="424"/>
        <w:rPr>
          <w:rFonts w:ascii="宋体" w:hAnsi="宋体"/>
          <w:color w:val="auto"/>
          <w:szCs w:val="21"/>
          <w:highlight w:val="non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39"/>
      <w:bookmarkEnd w:id="40"/>
    </w:p>
    <w:p w14:paraId="27D25246">
      <w:pPr>
        <w:pStyle w:val="24"/>
        <w:spacing w:line="360" w:lineRule="auto"/>
        <w:ind w:firstLine="424"/>
        <w:rPr>
          <w:rFonts w:hAnsi="宋体"/>
          <w:color w:val="auto"/>
          <w:sz w:val="21"/>
          <w:highlight w:val="none"/>
        </w:rPr>
      </w:pPr>
      <w:r>
        <w:rPr>
          <w:rFonts w:hint="eastAsia" w:hAnsi="宋体"/>
          <w:color w:val="auto"/>
          <w:sz w:val="21"/>
          <w:highlight w:val="none"/>
        </w:rPr>
        <w:t>项目联系人：黄泳瑜、陈丽莹</w:t>
      </w:r>
    </w:p>
    <w:p w14:paraId="4AAB0B9D">
      <w:pPr>
        <w:spacing w:line="360" w:lineRule="auto"/>
        <w:ind w:firstLine="424"/>
        <w:rPr>
          <w:rFonts w:ascii="宋体" w:hAnsi="宋体"/>
          <w:color w:val="auto"/>
          <w:szCs w:val="21"/>
          <w:highlight w:val="none"/>
        </w:rPr>
      </w:pPr>
      <w:r>
        <w:rPr>
          <w:rFonts w:hint="eastAsia" w:ascii="宋体" w:hAnsi="宋体"/>
          <w:color w:val="auto"/>
          <w:szCs w:val="21"/>
          <w:highlight w:val="none"/>
        </w:rPr>
        <w:t>电　话：0774-3859935</w:t>
      </w:r>
    </w:p>
    <w:p w14:paraId="1EE96B1E">
      <w:pPr>
        <w:spacing w:line="360" w:lineRule="auto"/>
        <w:ind w:firstLine="424"/>
        <w:rPr>
          <w:color w:val="auto"/>
          <w:highlight w:val="none"/>
        </w:rPr>
      </w:pPr>
      <w:r>
        <w:rPr>
          <w:rFonts w:hint="eastAsia" w:ascii="宋体" w:hAnsi="宋体" w:cs="宋体"/>
          <w:color w:val="auto"/>
          <w:szCs w:val="21"/>
          <w:highlight w:val="none"/>
        </w:rPr>
        <w:t>附件：采购需求</w:t>
      </w:r>
    </w:p>
    <w:p w14:paraId="7BBF12A5">
      <w:pPr>
        <w:pStyle w:val="2"/>
        <w:keepNext w:val="0"/>
        <w:keepLines w:val="0"/>
        <w:tabs>
          <w:tab w:val="left" w:pos="0"/>
          <w:tab w:val="left" w:pos="3165"/>
          <w:tab w:val="center" w:pos="4153"/>
        </w:tabs>
        <w:spacing w:before="0" w:after="0" w:line="360" w:lineRule="auto"/>
        <w:jc w:val="center"/>
        <w:rPr>
          <w:color w:val="auto"/>
          <w:highlight w:val="none"/>
        </w:rPr>
      </w:pPr>
      <w:r>
        <w:rPr>
          <w:rFonts w:ascii="仿宋_GB2312" w:hAnsi="宋体" w:eastAsia="仿宋_GB2312"/>
          <w:color w:val="auto"/>
          <w:sz w:val="24"/>
          <w:szCs w:val="20"/>
          <w:highlight w:val="none"/>
        </w:rPr>
        <w:br w:type="page" w:clear="all"/>
      </w:r>
      <w:bookmarkStart w:id="41" w:name="_Toc27979"/>
      <w:r>
        <w:rPr>
          <w:rFonts w:hint="eastAsia"/>
          <w:color w:val="auto"/>
          <w:highlight w:val="none"/>
        </w:rPr>
        <w:t xml:space="preserve">第二章  </w:t>
      </w:r>
      <w:r>
        <w:rPr>
          <w:rFonts w:hint="eastAsia"/>
          <w:color w:val="auto"/>
          <w:highlight w:val="none"/>
        </w:rPr>
        <w:t>采购需求</w:t>
      </w:r>
      <w:bookmarkEnd w:id="41"/>
    </w:p>
    <w:p w14:paraId="6C3B3F59">
      <w:pPr>
        <w:spacing w:line="360" w:lineRule="auto"/>
        <w:jc w:val="left"/>
        <w:rPr>
          <w:rFonts w:ascii="宋体" w:hAnsi="宋体" w:cs="宋体"/>
          <w:color w:val="auto"/>
          <w:szCs w:val="21"/>
          <w:highlight w:val="none"/>
        </w:rPr>
      </w:pPr>
      <w:bookmarkStart w:id="42" w:name="_Toc254970490"/>
      <w:bookmarkStart w:id="43" w:name="_Toc254970631"/>
    </w:p>
    <w:p w14:paraId="37FA197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10AFC5DF">
      <w:pPr>
        <w:spacing w:line="360" w:lineRule="auto"/>
        <w:ind w:firstLine="420"/>
        <w:jc w:val="left"/>
        <w:rPr>
          <w:color w:val="auto"/>
          <w:highlight w:val="none"/>
        </w:rPr>
      </w:pPr>
      <w:r>
        <w:rPr>
          <w:rFonts w:hint="eastAsia"/>
          <w:color w:val="auto"/>
          <w:highlight w:val="none"/>
        </w:rPr>
        <w:t>1. 为落实政府采购政策需满足的要求</w:t>
      </w:r>
    </w:p>
    <w:p w14:paraId="4246B51B">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2D9EB662">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3CC7A4D2">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w:t>
      </w:r>
    </w:p>
    <w:p w14:paraId="520AD040">
      <w:pPr>
        <w:spacing w:line="360" w:lineRule="auto"/>
        <w:ind w:firstLine="424"/>
        <w:jc w:val="left"/>
        <w:rPr>
          <w:rStyle w:val="57"/>
          <w:color w:val="auto"/>
          <w:highlight w:val="none"/>
        </w:rPr>
      </w:pPr>
      <w:r>
        <w:rPr>
          <w:rFonts w:hint="eastAsia" w:ascii="宋体" w:hAnsi="宋体" w:cs="宋体"/>
          <w:color w:val="auto"/>
          <w:szCs w:val="21"/>
          <w:highlight w:val="none"/>
        </w:rPr>
        <w:t>4. 投标人应根据自身实际情况如实响应招标文件</w:t>
      </w:r>
      <w:r>
        <w:rPr>
          <w:rFonts w:hint="eastAsia" w:ascii="宋体" w:hAnsi="宋体"/>
          <w:color w:val="auto"/>
          <w:szCs w:val="21"/>
          <w:highlight w:val="none"/>
        </w:rPr>
        <w:t>，</w:t>
      </w:r>
      <w:r>
        <w:rPr>
          <w:rFonts w:hint="eastAsia" w:ascii="宋体" w:hAnsi="宋体" w:cs="宋体"/>
          <w:color w:val="auto"/>
          <w:szCs w:val="21"/>
          <w:highlight w:val="none"/>
        </w:rPr>
        <w:t>对招标文件提出的要求和条件作出明确响应</w:t>
      </w:r>
      <w:r>
        <w:rPr>
          <w:rFonts w:hint="eastAsia" w:ascii="宋体" w:hAnsi="宋体"/>
          <w:color w:val="auto"/>
          <w:sz w:val="22"/>
          <w:szCs w:val="22"/>
          <w:highlight w:val="none"/>
        </w:rPr>
        <w:t>，</w:t>
      </w:r>
      <w:r>
        <w:rPr>
          <w:rFonts w:hint="eastAsia" w:ascii="宋体" w:hAnsi="宋体"/>
          <w:b/>
          <w:bCs/>
          <w:color w:val="auto"/>
          <w:szCs w:val="21"/>
          <w:highlight w:val="none"/>
        </w:rPr>
        <w:t>否则将作无效响应处理</w:t>
      </w:r>
      <w:r>
        <w:rPr>
          <w:rFonts w:hint="eastAsia" w:ascii="宋体" w:hAnsi="宋体"/>
          <w:color w:val="auto"/>
          <w:szCs w:val="21"/>
          <w:highlight w:val="none"/>
        </w:rPr>
        <w:t>。</w:t>
      </w:r>
      <w:r>
        <w:rPr>
          <w:rFonts w:hint="eastAsia"/>
          <w:color w:val="auto"/>
          <w:highlight w:val="none"/>
        </w:rPr>
        <w:t>对于重要技术条款或技术参数应当在投标文件中提供技术支持资料，技术支持资料以招标文件中规定的形式为准，</w:t>
      </w:r>
      <w:r>
        <w:rPr>
          <w:rFonts w:hint="eastAsia"/>
          <w:b/>
          <w:bCs/>
          <w:color w:val="auto"/>
          <w:highlight w:val="none"/>
        </w:rPr>
        <w:t>否则将视为无效技术支持资料</w:t>
      </w:r>
      <w:r>
        <w:rPr>
          <w:rFonts w:hint="eastAsia"/>
          <w:color w:val="auto"/>
          <w:highlight w:val="none"/>
        </w:rPr>
        <w:t>。</w:t>
      </w:r>
    </w:p>
    <w:p w14:paraId="03E3F76D">
      <w:pPr>
        <w:spacing w:line="360" w:lineRule="auto"/>
        <w:ind w:firstLine="308"/>
        <w:jc w:val="left"/>
        <w:rPr>
          <w:color w:val="auto"/>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p>
    <w:p w14:paraId="5B97D1B6">
      <w:pPr>
        <w:spacing w:line="360" w:lineRule="auto"/>
        <w:ind w:firstLine="308"/>
        <w:jc w:val="left"/>
        <w:rPr>
          <w:color w:val="auto"/>
          <w:highlight w:val="none"/>
        </w:rPr>
      </w:pPr>
      <w:r>
        <w:rPr>
          <w:rFonts w:hint="eastAsia" w:ascii="宋体" w:hAnsi="宋体" w:cs="宋体"/>
          <w:color w:val="auto"/>
          <w:highlight w:val="none"/>
        </w:rPr>
        <w:t>6.所属行业依照</w:t>
      </w:r>
      <w:r>
        <w:rPr>
          <w:rFonts w:hint="eastAsia"/>
          <w:color w:val="auto"/>
          <w:highlight w:val="none"/>
        </w:rPr>
        <w:t>《中小企业划型标准规定》（工信部联企业〔2011〕300号）及《国民经济行业分类》（GB/T4754-2017）的有关规定执行。本项目标的所属行业均为</w:t>
      </w:r>
      <w:r>
        <w:rPr>
          <w:rFonts w:hint="eastAsia"/>
          <w:b/>
          <w:bCs/>
          <w:color w:val="auto"/>
          <w:highlight w:val="none"/>
        </w:rPr>
        <w:t>“</w:t>
      </w:r>
      <w:r>
        <w:rPr>
          <w:rFonts w:hint="eastAsia"/>
          <w:b/>
          <w:bCs/>
          <w:color w:val="auto"/>
          <w:szCs w:val="21"/>
          <w:highlight w:val="none"/>
        </w:rPr>
        <w:t>批发业</w:t>
      </w:r>
      <w:r>
        <w:rPr>
          <w:rFonts w:hint="eastAsia"/>
          <w:b/>
          <w:bCs/>
          <w:color w:val="auto"/>
          <w:highlight w:val="none"/>
        </w:rPr>
        <w:t>”</w:t>
      </w:r>
      <w:r>
        <w:rPr>
          <w:rFonts w:hint="eastAsia"/>
          <w:color w:val="auto"/>
          <w:highlight w:val="none"/>
        </w:rPr>
        <w:t>。</w:t>
      </w:r>
    </w:p>
    <w:p w14:paraId="3303853F">
      <w:pPr>
        <w:spacing w:line="360" w:lineRule="auto"/>
        <w:ind w:firstLine="308"/>
        <w:jc w:val="left"/>
        <w:rPr>
          <w:color w:val="auto"/>
          <w:highlight w:val="none"/>
        </w:rPr>
      </w:pPr>
      <w:r>
        <w:rPr>
          <w:rFonts w:hint="eastAsia"/>
          <w:color w:val="auto"/>
          <w:highlight w:val="none"/>
        </w:rPr>
        <w:t>7.采购需求中出现的相关国家标准、行业标准、地方标准，若项目执行后续出现新标准的，以新标准代替旧标准。</w:t>
      </w:r>
      <w:r>
        <w:rPr>
          <w:rFonts w:hint="eastAsia"/>
          <w:color w:val="auto"/>
          <w:highlight w:val="none"/>
        </w:rPr>
        <w:br w:type="page" w:clear="all"/>
      </w:r>
    </w:p>
    <w:p w14:paraId="424AD3C7">
      <w:pPr>
        <w:spacing w:line="360" w:lineRule="auto"/>
        <w:ind w:firstLine="1146"/>
        <w:jc w:val="left"/>
        <w:rPr>
          <w:rFonts w:ascii="宋体" w:hAnsi="宋体"/>
          <w:b/>
          <w:color w:val="auto"/>
          <w:szCs w:val="21"/>
          <w:highlight w:val="none"/>
        </w:rPr>
        <w:sectPr>
          <w:footerReference r:id="rId9" w:type="first"/>
          <w:footerReference r:id="rId8" w:type="default"/>
          <w:pgSz w:w="11911" w:h="16838"/>
          <w:pgMar w:top="1519" w:right="1502" w:bottom="278" w:left="1678" w:header="720" w:footer="720" w:gutter="0"/>
          <w:cols w:space="0" w:num="1"/>
          <w:titlePg/>
        </w:sectPr>
      </w:pPr>
    </w:p>
    <w:p w14:paraId="204431AD">
      <w:pPr>
        <w:spacing w:line="360" w:lineRule="auto"/>
        <w:ind w:firstLine="1360"/>
        <w:jc w:val="left"/>
        <w:rPr>
          <w:rFonts w:ascii="宋体" w:hAnsi="宋体" w:cs="Arial"/>
          <w:bCs/>
          <w:color w:val="auto"/>
          <w:szCs w:val="21"/>
          <w:highlight w:val="none"/>
          <w:u w:val="single"/>
        </w:rPr>
      </w:pPr>
      <w:r>
        <w:rPr>
          <w:rFonts w:hint="eastAsia" w:ascii="宋体" w:hAnsi="宋体"/>
          <w:b/>
          <w:color w:val="auto"/>
          <w:szCs w:val="21"/>
          <w:highlight w:val="none"/>
        </w:rPr>
        <w:t>采购预算：11000000.00元</w:t>
      </w:r>
      <w:bookmarkEnd w:id="42"/>
      <w:bookmarkEnd w:id="43"/>
    </w:p>
    <w:tbl>
      <w:tblPr>
        <w:tblStyle w:val="48"/>
        <w:tblW w:w="125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3"/>
        <w:gridCol w:w="1767"/>
        <w:gridCol w:w="538"/>
        <w:gridCol w:w="362"/>
        <w:gridCol w:w="8684"/>
      </w:tblGrid>
      <w:tr w14:paraId="263E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83" w:type="dxa"/>
            <w:vAlign w:val="center"/>
          </w:tcPr>
          <w:p w14:paraId="73326E12">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767" w:type="dxa"/>
            <w:vAlign w:val="center"/>
          </w:tcPr>
          <w:p w14:paraId="70B59987">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标的的名称</w:t>
            </w:r>
          </w:p>
        </w:tc>
        <w:tc>
          <w:tcPr>
            <w:tcW w:w="900" w:type="dxa"/>
            <w:gridSpan w:val="2"/>
            <w:vAlign w:val="center"/>
          </w:tcPr>
          <w:p w14:paraId="01CFCCF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w:t>
            </w:r>
          </w:p>
          <w:p w14:paraId="1BF6585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8684" w:type="dxa"/>
            <w:vAlign w:val="center"/>
          </w:tcPr>
          <w:p w14:paraId="54A73E0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b/>
                <w:bCs/>
                <w:color w:val="auto"/>
                <w:szCs w:val="21"/>
                <w:highlight w:val="none"/>
              </w:rPr>
              <w:t>▲</w:t>
            </w:r>
            <w:r>
              <w:rPr>
                <w:rFonts w:hint="eastAsia"/>
                <w:b/>
                <w:bCs/>
                <w:color w:val="auto"/>
                <w:szCs w:val="21"/>
                <w:highlight w:val="none"/>
              </w:rPr>
              <w:t>服务内容及</w:t>
            </w:r>
            <w:r>
              <w:rPr>
                <w:rFonts w:hint="eastAsia" w:ascii="宋体" w:hAnsi="宋体"/>
                <w:b/>
                <w:bCs/>
                <w:color w:val="auto"/>
                <w:szCs w:val="21"/>
                <w:highlight w:val="none"/>
              </w:rPr>
              <w:t>技术要求</w:t>
            </w:r>
          </w:p>
        </w:tc>
      </w:tr>
      <w:tr w14:paraId="61BC3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1183" w:type="dxa"/>
            <w:vAlign w:val="center"/>
          </w:tcPr>
          <w:p w14:paraId="2A406F66">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767" w:type="dxa"/>
            <w:vAlign w:val="center"/>
          </w:tcPr>
          <w:p w14:paraId="04FE5741">
            <w:pPr>
              <w:tabs>
                <w:tab w:val="left" w:pos="180"/>
                <w:tab w:val="left" w:pos="1620"/>
              </w:tabs>
              <w:spacing w:line="360" w:lineRule="auto"/>
              <w:jc w:val="center"/>
              <w:rPr>
                <w:rFonts w:ascii="宋体" w:hAnsi="宋体" w:cs="宋体"/>
                <w:color w:val="auto"/>
                <w:szCs w:val="21"/>
                <w:highlight w:val="none"/>
              </w:rPr>
            </w:pPr>
            <w:r>
              <w:rPr>
                <w:rFonts w:hint="eastAsia" w:ascii="宋体" w:hAnsi="宋体"/>
                <w:color w:val="auto"/>
                <w:szCs w:val="21"/>
                <w:highlight w:val="none"/>
              </w:rPr>
              <w:t>2026年-2028年万秀区农村义务教育学生营养改善计划食品进行集中配送项目</w:t>
            </w:r>
          </w:p>
        </w:tc>
        <w:tc>
          <w:tcPr>
            <w:tcW w:w="900" w:type="dxa"/>
            <w:gridSpan w:val="2"/>
            <w:vAlign w:val="center"/>
          </w:tcPr>
          <w:p w14:paraId="2C65F8C2">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8684" w:type="dxa"/>
            <w:shd w:val="clear" w:color="auto" w:fill="auto"/>
            <w:vAlign w:val="center"/>
          </w:tcPr>
          <w:p w14:paraId="3377354D">
            <w:pPr>
              <w:spacing w:line="300" w:lineRule="auto"/>
              <w:rPr>
                <w:color w:val="auto"/>
                <w:szCs w:val="21"/>
                <w:highlight w:val="none"/>
              </w:rPr>
            </w:pPr>
            <w:r>
              <w:rPr>
                <w:rFonts w:hint="eastAsia"/>
                <w:color w:val="auto"/>
                <w:szCs w:val="21"/>
                <w:highlight w:val="none"/>
              </w:rPr>
              <w:t>一</w:t>
            </w:r>
            <w:r>
              <w:rPr>
                <w:color w:val="auto"/>
                <w:szCs w:val="21"/>
                <w:highlight w:val="none"/>
              </w:rPr>
              <w:t>、工作内容和范围：</w:t>
            </w:r>
          </w:p>
          <w:p w14:paraId="47B23D11">
            <w:pPr>
              <w:spacing w:line="300" w:lineRule="auto"/>
              <w:ind w:firstLine="420"/>
              <w:rPr>
                <w:rFonts w:ascii="宋体" w:hAnsi="宋体" w:cs="宋体"/>
                <w:color w:val="auto"/>
                <w:szCs w:val="21"/>
                <w:highlight w:val="none"/>
              </w:rPr>
            </w:pPr>
            <w:r>
              <w:rPr>
                <w:rFonts w:hint="eastAsia" w:ascii="宋体" w:hAnsi="宋体" w:cs="宋体"/>
                <w:color w:val="auto"/>
                <w:szCs w:val="21"/>
                <w:highlight w:val="none"/>
              </w:rPr>
              <w:t>按照采购人的具体要求，将食堂需要的食品在规定时间内保质保量配送到采购人指定地点。凡是《中华人民共和国食品安全法》禁止经营的食品一律不得采购和使用，严禁配送“三无”食品、有毒、有害、过期、变质、假冒伪劣等不合格食品以及高盐、高糖、高脂食品和酒精饮料。</w:t>
            </w:r>
            <w:r>
              <w:rPr>
                <w:rFonts w:hint="eastAsia"/>
                <w:color w:val="auto"/>
                <w:highlight w:val="none"/>
              </w:rPr>
              <w:t>供应商</w:t>
            </w:r>
            <w:r>
              <w:rPr>
                <w:rFonts w:hint="eastAsia" w:ascii="宋体" w:hAnsi="宋体" w:cs="宋体"/>
                <w:color w:val="auto"/>
                <w:szCs w:val="21"/>
                <w:highlight w:val="none"/>
              </w:rPr>
              <w:t>应负责物资的供应、包装、运输、交货以及途中冷链和售后服务等工作。</w:t>
            </w:r>
          </w:p>
          <w:p w14:paraId="24FE6830">
            <w:pPr>
              <w:spacing w:line="300" w:lineRule="auto"/>
              <w:rPr>
                <w:color w:val="auto"/>
                <w:szCs w:val="21"/>
                <w:highlight w:val="none"/>
              </w:rPr>
            </w:pPr>
            <w:r>
              <w:rPr>
                <w:rFonts w:hint="eastAsia"/>
                <w:color w:val="auto"/>
                <w:szCs w:val="21"/>
                <w:highlight w:val="none"/>
              </w:rPr>
              <w:t>二</w:t>
            </w:r>
            <w:r>
              <w:rPr>
                <w:color w:val="auto"/>
                <w:szCs w:val="21"/>
                <w:highlight w:val="none"/>
              </w:rPr>
              <w:t>、</w:t>
            </w:r>
            <w:r>
              <w:rPr>
                <w:rFonts w:hint="eastAsia"/>
                <w:color w:val="auto"/>
                <w:szCs w:val="21"/>
                <w:highlight w:val="none"/>
              </w:rPr>
              <w:t>服务要求</w:t>
            </w:r>
            <w:r>
              <w:rPr>
                <w:color w:val="auto"/>
                <w:szCs w:val="21"/>
                <w:highlight w:val="none"/>
              </w:rPr>
              <w:t>：</w:t>
            </w:r>
          </w:p>
          <w:p w14:paraId="0B1EDF09">
            <w:pPr>
              <w:spacing w:line="300" w:lineRule="auto"/>
              <w:ind w:firstLine="420"/>
              <w:rPr>
                <w:rFonts w:ascii="宋体" w:hAnsi="宋体" w:cs="宋体"/>
                <w:b/>
                <w:color w:val="auto"/>
                <w:szCs w:val="21"/>
                <w:highlight w:val="none"/>
              </w:rPr>
            </w:pPr>
            <w:r>
              <w:rPr>
                <w:rFonts w:hint="eastAsia" w:ascii="宋体" w:hAnsi="宋体" w:cs="宋体"/>
                <w:bCs/>
                <w:color w:val="auto"/>
                <w:szCs w:val="21"/>
                <w:highlight w:val="none"/>
              </w:rPr>
              <w:t>配合采购人要求开展2026年-2028年万秀区农村义务教育学生营养改善计划食品进行集中配送采购项目所使用的米粮类、蔬菜类、食用油类、河粉、面包、鲜肉类、水产类、冰鲜类、豆奶制品类、禽蛋类、水果类、调味品、干货类预包装食品及散装类食品等。</w:t>
            </w:r>
          </w:p>
          <w:p w14:paraId="1CBF98DB">
            <w:pPr>
              <w:spacing w:line="300" w:lineRule="auto"/>
              <w:rPr>
                <w:color w:val="auto"/>
                <w:szCs w:val="21"/>
                <w:highlight w:val="none"/>
              </w:rPr>
            </w:pPr>
            <w:r>
              <w:rPr>
                <w:rFonts w:hint="eastAsia"/>
                <w:color w:val="auto"/>
                <w:szCs w:val="21"/>
                <w:highlight w:val="none"/>
              </w:rPr>
              <w:t>三</w:t>
            </w:r>
            <w:r>
              <w:rPr>
                <w:color w:val="auto"/>
                <w:szCs w:val="21"/>
                <w:highlight w:val="none"/>
              </w:rPr>
              <w:t>、</w:t>
            </w:r>
            <w:r>
              <w:rPr>
                <w:rFonts w:hint="eastAsia"/>
                <w:color w:val="auto"/>
                <w:szCs w:val="21"/>
                <w:highlight w:val="none"/>
              </w:rPr>
              <w:t>配送食品原辅材料要求及技术指标</w:t>
            </w:r>
            <w:r>
              <w:rPr>
                <w:color w:val="auto"/>
                <w:szCs w:val="21"/>
                <w:highlight w:val="none"/>
              </w:rPr>
              <w:t>：</w:t>
            </w:r>
          </w:p>
          <w:p w14:paraId="57411377">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通用总则：所有供货食材均须符合《中华人民共和国食品安全法》《中华人民共和国农产品质量安全法》及国家现行相关食品安全、质量标准，来源正规、安全无害、新鲜保质，严禁疫区、污染产区、不合格溯源食材入场；所有供货预包装食品或预包装产品均为经生产企业检验合格的正规合格产品，产品各项指标符合国家及行业现行标准，每批次供货均随附完整有效的产品合格证明、批次检验报告；包装密封完好、无毒无害，包装清晰印制生产企业名称、地址、联系电话、生产日期、保质期、执行标准、生产许可证号等完整信息，供货时食品剩余保质期不得少于总保质期的50%。</w:t>
            </w:r>
          </w:p>
          <w:p w14:paraId="0AD5DC96">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（一）米面类</w:t>
            </w:r>
          </w:p>
          <w:p w14:paraId="3971DDD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1.产品标准：产品标注有效食品生产许可证编号（SC编码），所有米面产品均为非转基因原料制作，</w:t>
            </w:r>
            <w:r>
              <w:rPr>
                <w:rFonts w:hint="eastAsia" w:ascii="宋体" w:hAnsi="宋体" w:cs="宋体"/>
                <w:color w:val="auto"/>
                <w:sz w:val="21"/>
                <w:szCs w:val="21"/>
                <w:highlight w:val="none"/>
              </w:rPr>
              <w:t>生产企业必须具备有效《食品生产许可证》</w:t>
            </w:r>
            <w:r>
              <w:rPr>
                <w:rFonts w:hint="eastAsia" w:ascii="宋体" w:hAnsi="宋体" w:cs="宋体"/>
                <w:bCs/>
                <w:color w:val="auto"/>
                <w:sz w:val="21"/>
                <w:szCs w:val="21"/>
                <w:highlight w:val="none"/>
              </w:rPr>
              <w:t>。</w:t>
            </w:r>
          </w:p>
          <w:p w14:paraId="5D90628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2.感官质量：产品新鲜无变质、无异味，完全符合国家食品安全相关要求；小麦粉色泽正常、质地均匀，为粉状或微粒状，无结块、无霉变、无杂质。</w:t>
            </w:r>
          </w:p>
          <w:p w14:paraId="1C646DD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3.保质期及原料要求：大米成品保质期不少于6个月，稻谷原料储存期不得超过原料保质周期，杜绝陈粮、过期原料加工产品。</w:t>
            </w:r>
          </w:p>
          <w:p w14:paraId="554FC9EA">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4.品类要求：大米、小麦粉均为市场常规流通合规品类，满足日常餐饮通用使用需求。</w:t>
            </w:r>
          </w:p>
          <w:p w14:paraId="067250C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（二）调味品类</w:t>
            </w:r>
          </w:p>
          <w:p w14:paraId="3C8AAB07">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1.资质与计量要求：产品标注有效食品生产许可证编号，产品计量精准，完全符合国家计量规范及相关行业标准。</w:t>
            </w:r>
          </w:p>
          <w:p w14:paraId="043B9F02">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2.包装及质保：采用符合食品安全国家标准无毒无害密封包装，包装密封性良好、无破损漏液；包装标识信息完整规范，供货剩余保质期不少于总保质期50%，无过期、临期不合格产品。</w:t>
            </w:r>
          </w:p>
          <w:p w14:paraId="0466CD89">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（三）蔬菜、禽蛋类</w:t>
            </w:r>
          </w:p>
          <w:p w14:paraId="20637BB5">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1.蔬菜类</w:t>
            </w:r>
          </w:p>
          <w:p w14:paraId="5CC1973E">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所有蔬菜色泽正常，失水率≤5%、无腐烂、无枯萎、无黄叶、无虫蛀；每批次蔬菜均需完成农药残留检测，检测数据完整登记、留存备案，中标供货商每日同步提供对应批次农药残留检测报告，做到证货同行。产品全程符合国家食品安全、农产品质量安全相关国家标准，严禁农残超标、重金属超标、污染蔬菜供货。</w:t>
            </w:r>
          </w:p>
          <w:p w14:paraId="05E7AE2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2.禽蛋类</w:t>
            </w:r>
          </w:p>
          <w:p w14:paraId="6153CC7B">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（1）来源要求：产品来源于非疫区正规养殖基地，来源可溯源，无疫病风险。</w:t>
            </w:r>
          </w:p>
          <w:p w14:paraId="45F230A6">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（2）感官标准：蛋壳清洁干净、完整无破损、无裂纹、无污渍；灯光透视观察，蛋体呈微红色，气室偏小，蛋黄不明显外露或仅中心微显阴影。</w:t>
            </w:r>
          </w:p>
          <w:p w14:paraId="37DB2A52">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（3）品质标准：鲜蛋破开后，蛋黄膜完整不破、凸起饱满、富有韧性，蛋清蛋黄分层清晰、色泽鲜亮，无散黄、无异味、无变质。</w:t>
            </w:r>
          </w:p>
          <w:p w14:paraId="3CED41DC">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（四）新鲜肉类</w:t>
            </w:r>
          </w:p>
          <w:p w14:paraId="4A61BFD3">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1.执行标准：鲜冻畜、禽肉类严格执行 GB 2707-2016《食品安全国家标准 鲜（冻）畜、禽产品》；鲜活水产品严格执行 GB 2733-2015《食品安全国家标准 鲜、冻动物性水产品》。</w:t>
            </w:r>
          </w:p>
          <w:p w14:paraId="0F964ED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2.供货要求：生猪等畜禽产品为定点屠宰、当日屠宰新鲜产品，每批次必须随货提供有效的《动物检疫合格证明》《肉品品质检验合格证明》（合称 “两证”），证货相符、批次一致、加盖出具单位公章；产品均来自非疫区，无疫病、无变质、无注水、无异味，肉质新鲜紧实。</w:t>
            </w:r>
          </w:p>
          <w:p w14:paraId="3BB20D9C">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（五）水果类</w:t>
            </w:r>
          </w:p>
          <w:p w14:paraId="6AA4CF5A">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所有水果品相完好、成熟度适中、色泽正常，失水率≤5%，无腐烂、无霉变、无冻伤、无严重磕碰损伤；果肉紧实、色泽正常，无腐败味、酸涩异味及其他异常气味，符合生鲜水果食用安全标准。</w:t>
            </w:r>
          </w:p>
          <w:p w14:paraId="3F2D17BA">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（六）鲜活水产类</w:t>
            </w:r>
          </w:p>
          <w:p w14:paraId="4923ABFB">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水产品鲜活度高、体态正常、反应灵敏，无伤病、无腐烂、无异味、无病毒、不含有毒有害物质；严禁采购江河、湖泊、近海等污染水域出产的水产品，产品来源于非疫区。如需预处理剖杀，需做到鱼鳞刮除干净、鱼鳃、内脏、腹内黑膜清理完整，处理干净、无残留杂质，保证食用卫生。</w:t>
            </w:r>
          </w:p>
          <w:p w14:paraId="0A89ACA7">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（七）冰鲜类</w:t>
            </w:r>
          </w:p>
          <w:p w14:paraId="34305827">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产品规格大小均匀、品相规整，体表色泽正常、肉质鲜亮有光泽；无异味、无杂质碎渣、无明显淤血斑块、无破皮破损；解冻后肉质状态、感官品质与新鲜产品基本一致，无变质、无腐坏。产品按标准部位规范分割，外包装箱体完好、无破损、无受潮。采用符合食品安全国家标准无毒无害密封包装，标识信息完整，供货剩余保质期不少于总保质期50%。</w:t>
            </w:r>
          </w:p>
          <w:p w14:paraId="78DE7B7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（八）河粉、米粉、豆制品、奶制品、糕点、饼干、面包、干货类</w:t>
            </w:r>
          </w:p>
          <w:p w14:paraId="5CFA20E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1.河粉、米粉</w:t>
            </w:r>
          </w:p>
          <w:p w14:paraId="249E0956">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（1）感官品质：产品呈自然白色或微黄色，具有新鲜大米特有清香，无酸味、馊味、异味；口感柔软劲道、有弹性、不粘牙、无砂石等杂质。</w:t>
            </w:r>
          </w:p>
          <w:p w14:paraId="076472A3">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（2）资质及标准：生产企业具备有效《食品生产许可证》，资质合规；产品严格执行国家相关食品安全标准。</w:t>
            </w:r>
          </w:p>
          <w:p w14:paraId="01DF442E">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（3）供货要求：中标供应商需提供2家及以上合规生产厂家供采购人择优选择，每批次供货附带完整出厂检验报告，做到证货同步。</w:t>
            </w:r>
          </w:p>
          <w:p w14:paraId="12022A32">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2.豆制品</w:t>
            </w:r>
          </w:p>
          <w:p w14:paraId="6729EF56">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产品严格执行 GB 2712-2014《食品安全国家标准 豆制品》；豆腐色泽洁白、形态完整、质地细腻、弹性良好，无酸味、无卤味、无异味；豆腐丝、豆腐干、豆腐泡等制品表面干爽无黏液、无霉变、无发酸变质现象，品质新鲜合规。</w:t>
            </w:r>
          </w:p>
          <w:p w14:paraId="264C5578">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3.奶制品</w:t>
            </w:r>
          </w:p>
          <w:p w14:paraId="5AE3BB79">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严格执行国家奶制品质量、食品安全标准；产品色泽乳白均匀、奶香纯正、无异味；包装完整密封、无破损、无胀袋、无漏液；无霉变、无酸败、无变质，供货剩余保质期不少于总保质期50%。</w:t>
            </w:r>
          </w:p>
          <w:p w14:paraId="028A6592">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4.糕点、饼干、面包</w:t>
            </w:r>
          </w:p>
          <w:p w14:paraId="11D91C6E">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（1）通用要求：具备产品固有色泽、香气与口感，无酸败、发霉、哈喇等异味，产品内外无虫蛀、霉变、污渍及其他外来污染物；供货剩余保质期不少于总保质期80%。所有预包装产品营养标签严格执行 GB 28050-2011《食</w:t>
            </w:r>
            <w:r>
              <w:rPr>
                <w:rFonts w:hint="eastAsia" w:ascii="宋体" w:hAnsi="宋体" w:cs="宋体"/>
                <w:color w:val="auto"/>
                <w:sz w:val="21"/>
                <w:szCs w:val="21"/>
                <w:highlight w:val="none"/>
              </w:rPr>
              <w:t>品安全国家标准</w:t>
            </w:r>
            <w:r>
              <w:rPr>
                <w:rFonts w:hint="eastAsia" w:ascii="Helvetica" w:hAnsi="Helvetica" w:cs="Helvetica"/>
                <w:color w:val="auto"/>
                <w:sz w:val="21"/>
                <w:szCs w:val="21"/>
                <w:highlight w:val="none"/>
                <w:shd w:val="clear" w:color="auto" w:fill="FFFFFF"/>
              </w:rPr>
              <w:t xml:space="preserve"> </w:t>
            </w:r>
            <w:r>
              <w:rPr>
                <w:rFonts w:hint="eastAsia" w:ascii="宋体" w:hAnsi="宋体" w:cs="宋体"/>
                <w:bCs/>
                <w:color w:val="auto"/>
                <w:sz w:val="21"/>
                <w:szCs w:val="21"/>
                <w:highlight w:val="none"/>
              </w:rPr>
              <w:t>预包装食品营养标签通则》，含人造奶油的产品必须清晰标注反式脂肪酸含量。</w:t>
            </w:r>
          </w:p>
          <w:p w14:paraId="5489206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（2）面包类：生产环境符合 GB 14881-2013《食品安全国家标准 食品生产通用卫生规范》，生产规范符合 GB 8957-2016《食品安全国家标准 糕点、面包卫生规范》，产品质量符合GB/T 20977-2024《糕点质量通则》及国家、行业相关标准。外观表面光滑规整、无裂纹、无塌陷、无异常膨胀，吐司直角边≥85°，色泽均匀呈金黄色至棕红色；内部气孔细密均匀、无大气泡、无硬芯，弹性适中、不易掉渣；按压回弹率≥70%（50g砝码加压10秒）；风味纯正，具备小麦焦香与发酵香气，无任何异味。</w:t>
            </w:r>
          </w:p>
          <w:p w14:paraId="5EE3738A">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（3）蛋糕类：切面细腻无颗粒、组织均匀，顶部无塌陷、无开裂；奶油裱花立体定型、不融化、不流淌，甜度适中、口感松软，无异味、无变质。</w:t>
            </w:r>
          </w:p>
          <w:p w14:paraId="3DF5F81B">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（4）饼干类：外形完整、无缺角、无碎裂，酥性饼干断面层次清晰；口感酥脆或松软，符合对应品类品质特征，无哈喇味、无受潮变软、无变质。</w:t>
            </w:r>
          </w:p>
          <w:p w14:paraId="1330C3C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5.干货类</w:t>
            </w:r>
          </w:p>
          <w:p w14:paraId="03458F6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干货原料干净无杂质、无泥沙、无虫蛀、无霉变、无受潮结块；形态均匀规整，保留产品固有本色与自然风味，无异味、无变质，供货剩余保质期不少于总保质期80%。</w:t>
            </w:r>
          </w:p>
          <w:p w14:paraId="039A07A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（九）食用油类</w:t>
            </w:r>
          </w:p>
          <w:p w14:paraId="3C5F7A88">
            <w:pPr>
              <w:pStyle w:val="18"/>
              <w:spacing w:line="300" w:lineRule="auto"/>
              <w:ind w:firstLine="420"/>
              <w:rPr>
                <w:rFonts w:hint="eastAsia" w:ascii="宋体" w:hAnsi="宋体" w:cs="宋体"/>
                <w:bCs/>
                <w:color w:val="auto"/>
                <w:sz w:val="21"/>
                <w:szCs w:val="21"/>
                <w:highlight w:val="none"/>
              </w:rPr>
            </w:pPr>
            <w:r>
              <w:rPr>
                <w:rFonts w:hint="eastAsia" w:ascii="宋体" w:hAnsi="宋体" w:cs="宋体"/>
                <w:bCs/>
                <w:color w:val="auto"/>
                <w:sz w:val="21"/>
                <w:szCs w:val="21"/>
                <w:highlight w:val="none"/>
              </w:rPr>
              <w:t>包含花生油、大豆油、食用调和油等各类食用油脂，产品严格执行GB 15196-2015《食品安全国家标准 食用油脂制品》及国家相关食用油质量安全标准；油品清澈透亮、无浑浊、无沉淀、无哈喇异味，色泽正常。产品外包装完好无损、无渗漏，包装清晰标注产品品名、生产厂家、净含量、生产日期、保质期、执行标准、生产许可证号等全部信息，货源正规、质量合格。</w:t>
            </w:r>
          </w:p>
          <w:p w14:paraId="10BAF947">
            <w:pPr>
              <w:numPr>
                <w:ilvl w:val="0"/>
                <w:numId w:val="0"/>
              </w:numPr>
              <w:rPr>
                <w:rFonts w:hint="eastAsia" w:ascii="宋体" w:hAnsi="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bidi="ar-SA"/>
              </w:rPr>
              <w:t>三、</w:t>
            </w:r>
            <w:r>
              <w:rPr>
                <w:rFonts w:hint="eastAsia" w:ascii="宋体" w:hAnsi="宋体" w:cs="宋体"/>
                <w:b/>
                <w:bCs w:val="0"/>
                <w:color w:val="auto"/>
                <w:sz w:val="21"/>
                <w:szCs w:val="21"/>
                <w:highlight w:val="none"/>
                <w:lang w:val="en-US" w:eastAsia="zh-CN"/>
              </w:rPr>
              <w:t>供货地点</w:t>
            </w:r>
          </w:p>
          <w:tbl>
            <w:tblPr>
              <w:tblStyle w:val="48"/>
              <w:tblW w:w="76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4"/>
              <w:gridCol w:w="5985"/>
            </w:tblGrid>
            <w:tr w14:paraId="146B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634" w:type="dxa"/>
                  <w:tcBorders>
                    <w:top w:val="single" w:color="000000" w:sz="4" w:space="0"/>
                    <w:left w:val="single" w:color="000000" w:sz="4" w:space="0"/>
                    <w:bottom w:val="single" w:color="000000" w:sz="4" w:space="0"/>
                    <w:right w:val="single" w:color="000000" w:sz="4" w:space="0"/>
                  </w:tcBorders>
                  <w:shd w:val="clear" w:color="auto" w:fill="969696"/>
                  <w:noWrap/>
                  <w:vAlign w:val="center"/>
                </w:tcPr>
                <w:p w14:paraId="122FD009">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序号</w:t>
                  </w:r>
                </w:p>
              </w:tc>
              <w:tc>
                <w:tcPr>
                  <w:tcW w:w="5985" w:type="dxa"/>
                  <w:tcBorders>
                    <w:top w:val="single" w:color="000000" w:sz="4" w:space="0"/>
                    <w:left w:val="single" w:color="000000" w:sz="4" w:space="0"/>
                    <w:bottom w:val="single" w:color="000000" w:sz="4" w:space="0"/>
                    <w:right w:val="single" w:color="000000" w:sz="4" w:space="0"/>
                  </w:tcBorders>
                  <w:shd w:val="clear" w:color="auto" w:fill="969696"/>
                  <w:noWrap/>
                  <w:vAlign w:val="center"/>
                </w:tcPr>
                <w:p w14:paraId="236248B7">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学校名称</w:t>
                  </w:r>
                </w:p>
              </w:tc>
            </w:tr>
            <w:tr w14:paraId="0B7E6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C402">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402A">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梧州市太和小学</w:t>
                  </w:r>
                </w:p>
              </w:tc>
            </w:tr>
            <w:tr w14:paraId="03D19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ADB2">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0D73">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梧州市河口小学</w:t>
                  </w:r>
                </w:p>
              </w:tc>
            </w:tr>
            <w:tr w14:paraId="5630B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A2A5">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EEE5">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梧州市旺步小学</w:t>
                  </w:r>
                </w:p>
              </w:tc>
            </w:tr>
            <w:tr w14:paraId="2D5D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47EB">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9960">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梧州市夏郢初级中学</w:t>
                  </w:r>
                </w:p>
              </w:tc>
            </w:tr>
            <w:tr w14:paraId="3E5EE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B886">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5</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6D36">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梧州市旺坡小学</w:t>
                  </w:r>
                </w:p>
              </w:tc>
            </w:tr>
            <w:tr w14:paraId="13894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25A4">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0216">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梧州市夏郢小学富教分校</w:t>
                  </w:r>
                </w:p>
              </w:tc>
            </w:tr>
            <w:tr w14:paraId="03C65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7DDF">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7</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0AC8">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梧州市旺坡小学锡坡分校</w:t>
                  </w:r>
                </w:p>
              </w:tc>
            </w:tr>
            <w:tr w14:paraId="5791E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FD96">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288B">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梧州市夏郢小学</w:t>
                  </w:r>
                </w:p>
              </w:tc>
            </w:tr>
            <w:tr w14:paraId="4547C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D200">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9</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9872">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梧州市城东镇中心小学</w:t>
                  </w:r>
                </w:p>
              </w:tc>
            </w:tr>
            <w:tr w14:paraId="1E20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F23A">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10</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2C54">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梧州市思扶小学</w:t>
                  </w:r>
                </w:p>
              </w:tc>
            </w:tr>
            <w:tr w14:paraId="7221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7C29">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11</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BEDE">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梧州市龙湖镇中心小学</w:t>
                  </w:r>
                </w:p>
              </w:tc>
            </w:tr>
            <w:tr w14:paraId="046D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8F0B">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12</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B8DC">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梧州市塘源小学</w:t>
                  </w:r>
                </w:p>
              </w:tc>
            </w:tr>
            <w:tr w14:paraId="626C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8D00">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13</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32F8">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梧州市华堂小学</w:t>
                  </w:r>
                </w:p>
              </w:tc>
            </w:tr>
            <w:tr w14:paraId="6ABAE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6243">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14</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04DD">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梧州市德安小学</w:t>
                  </w:r>
                </w:p>
              </w:tc>
            </w:tr>
            <w:tr w14:paraId="4BE80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CEF5">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15</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5B10">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梧州市保安小学</w:t>
                  </w:r>
                </w:p>
              </w:tc>
            </w:tr>
            <w:tr w14:paraId="28088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7C2E">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16</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F652">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梧州市儒岩小学</w:t>
                  </w:r>
                </w:p>
              </w:tc>
            </w:tr>
            <w:tr w14:paraId="68CC7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CA88">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17</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DF50">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梧州市泗马小学</w:t>
                  </w:r>
                </w:p>
              </w:tc>
            </w:tr>
            <w:tr w14:paraId="674F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9877">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18</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F68A">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梧州市毓秀小学</w:t>
                  </w:r>
                </w:p>
              </w:tc>
            </w:tr>
            <w:tr w14:paraId="73E5F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E533">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19</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549C">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梧州市民智小学</w:t>
                  </w:r>
                </w:p>
              </w:tc>
            </w:tr>
            <w:tr w14:paraId="76B0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E4CE">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20</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B9D7">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梧州市周睦小学</w:t>
                  </w:r>
                </w:p>
              </w:tc>
            </w:tr>
            <w:tr w14:paraId="4C3BB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049F">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21</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9174">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梧州市镇安小学</w:t>
                  </w:r>
                </w:p>
              </w:tc>
            </w:tr>
            <w:tr w14:paraId="74B0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8C36">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22</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C74E">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梧州市里秀小学</w:t>
                  </w:r>
                </w:p>
              </w:tc>
            </w:tr>
            <w:tr w14:paraId="788BE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0E15">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23</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93D7">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梧州市竹坡小学</w:t>
                  </w:r>
                </w:p>
              </w:tc>
            </w:tr>
            <w:tr w14:paraId="3BB21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0C11">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24</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9841">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梧州市夏郢中心小学</w:t>
                  </w:r>
                </w:p>
              </w:tc>
            </w:tr>
            <w:tr w14:paraId="4D6D1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AAD0">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25</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8258">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梧州市凤凰小学</w:t>
                  </w:r>
                </w:p>
              </w:tc>
            </w:tr>
            <w:tr w14:paraId="371B3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74BC">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26</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C25F">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梧州市答涓小学</w:t>
                  </w:r>
                </w:p>
              </w:tc>
            </w:tr>
            <w:tr w14:paraId="77E58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92A6">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27</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0A0C">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梧州市荣雁小学</w:t>
                  </w:r>
                </w:p>
              </w:tc>
            </w:tr>
            <w:tr w14:paraId="76300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2751">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28</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DB60">
                  <w:pPr>
                    <w:numPr>
                      <w:ilvl w:val="0"/>
                      <w:numId w:val="0"/>
                    </w:numPr>
                    <w:jc w:val="center"/>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梧州市双桥小学</w:t>
                  </w:r>
                </w:p>
              </w:tc>
            </w:tr>
          </w:tbl>
          <w:p w14:paraId="67E162C4">
            <w:pPr>
              <w:numPr>
                <w:ilvl w:val="0"/>
                <w:numId w:val="0"/>
              </w:numPr>
              <w:rPr>
                <w:rFonts w:hint="default" w:ascii="宋体" w:hAnsi="宋体" w:cs="宋体"/>
                <w:bCs/>
                <w:color w:val="auto"/>
                <w:sz w:val="21"/>
                <w:szCs w:val="21"/>
                <w:highlight w:val="none"/>
                <w:lang w:val="en-US" w:eastAsia="zh-CN"/>
              </w:rPr>
            </w:pPr>
          </w:p>
        </w:tc>
      </w:tr>
      <w:tr w14:paraId="5244F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534" w:type="dxa"/>
            <w:gridSpan w:val="5"/>
            <w:tcBorders>
              <w:top w:val="single" w:color="auto" w:sz="4" w:space="0"/>
              <w:left w:val="single" w:color="auto" w:sz="4" w:space="0"/>
              <w:bottom w:val="single" w:color="auto" w:sz="4" w:space="0"/>
              <w:right w:val="single" w:color="auto" w:sz="4" w:space="0"/>
            </w:tcBorders>
          </w:tcPr>
          <w:p w14:paraId="401EC0C3">
            <w:pPr>
              <w:spacing w:line="360" w:lineRule="auto"/>
              <w:rPr>
                <w:rFonts w:ascii="宋体" w:hAnsi="宋体"/>
                <w:b/>
                <w:bCs/>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一、商务要求</w:t>
            </w:r>
          </w:p>
        </w:tc>
      </w:tr>
      <w:tr w14:paraId="2AB1A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031FF8F9">
            <w:pPr>
              <w:spacing w:line="360" w:lineRule="auto"/>
              <w:jc w:val="center"/>
              <w:rPr>
                <w:rFonts w:ascii="宋体" w:hAnsi="宋体"/>
                <w:b/>
                <w:color w:val="auto"/>
                <w:szCs w:val="21"/>
                <w:highlight w:val="none"/>
              </w:rPr>
            </w:pPr>
            <w:r>
              <w:rPr>
                <w:rFonts w:hint="eastAsia" w:ascii="宋体" w:hAnsi="宋体" w:cs="宋体"/>
                <w:color w:val="auto"/>
                <w:szCs w:val="21"/>
                <w:highlight w:val="none"/>
              </w:rPr>
              <w:t>服务期限和地点</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7C9F2A04">
            <w:pPr>
              <w:spacing w:line="360" w:lineRule="auto"/>
              <w:rPr>
                <w:rFonts w:ascii="宋体" w:hAnsi="宋体" w:cs="宋体"/>
                <w:color w:val="auto"/>
                <w:szCs w:val="21"/>
                <w:highlight w:val="none"/>
              </w:rPr>
            </w:pPr>
            <w:r>
              <w:rPr>
                <w:rFonts w:hint="eastAsia" w:ascii="宋体" w:hAnsi="宋体" w:cs="宋体"/>
                <w:color w:val="auto"/>
                <w:szCs w:val="21"/>
                <w:highlight w:val="none"/>
              </w:rPr>
              <w:t>1.服务期限：2年。</w:t>
            </w:r>
          </w:p>
          <w:p w14:paraId="011BD930">
            <w:pPr>
              <w:spacing w:line="360" w:lineRule="auto"/>
              <w:rPr>
                <w:rFonts w:ascii="宋体" w:hAnsi="宋体"/>
                <w:b/>
                <w:color w:val="auto"/>
                <w:szCs w:val="21"/>
                <w:highlight w:val="none"/>
              </w:rPr>
            </w:pPr>
            <w:r>
              <w:rPr>
                <w:rFonts w:hint="eastAsia" w:ascii="宋体" w:hAnsi="宋体" w:cs="宋体"/>
                <w:color w:val="auto"/>
                <w:szCs w:val="21"/>
                <w:highlight w:val="none"/>
              </w:rPr>
              <w:t>2.服务地点：</w:t>
            </w:r>
            <w:r>
              <w:rPr>
                <w:rFonts w:hint="eastAsia" w:ascii="宋体" w:hAnsi="宋体"/>
                <w:color w:val="auto"/>
                <w:szCs w:val="21"/>
                <w:highlight w:val="none"/>
              </w:rPr>
              <w:t>广西梧州市万秀区采购人指定地点。</w:t>
            </w:r>
          </w:p>
        </w:tc>
      </w:tr>
      <w:tr w14:paraId="21C2C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C98BD8F">
            <w:pPr>
              <w:spacing w:line="360" w:lineRule="auto"/>
              <w:jc w:val="center"/>
              <w:rPr>
                <w:rFonts w:ascii="宋体" w:hAnsi="宋体"/>
                <w:b/>
                <w:color w:val="auto"/>
                <w:szCs w:val="21"/>
                <w:highlight w:val="none"/>
              </w:rPr>
            </w:pPr>
            <w:r>
              <w:rPr>
                <w:rFonts w:hint="eastAsia" w:ascii="宋体" w:hAnsi="宋体"/>
                <w:color w:val="auto"/>
                <w:szCs w:val="21"/>
                <w:highlight w:val="none"/>
              </w:rPr>
              <w:t>合同签订时间</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4AACE104">
            <w:pPr>
              <w:spacing w:line="360" w:lineRule="auto"/>
              <w:rPr>
                <w:rFonts w:ascii="宋体" w:hAnsi="宋体"/>
                <w:b/>
                <w:color w:val="auto"/>
                <w:szCs w:val="21"/>
                <w:highlight w:val="none"/>
              </w:rPr>
            </w:pPr>
            <w:r>
              <w:rPr>
                <w:rFonts w:hint="eastAsia" w:ascii="宋体" w:hAnsi="宋体"/>
                <w:color w:val="auto"/>
                <w:szCs w:val="21"/>
                <w:highlight w:val="none"/>
              </w:rPr>
              <w:t>自中标通知书发出之日起</w:t>
            </w:r>
            <w:r>
              <w:rPr>
                <w:rFonts w:hint="eastAsia" w:ascii="宋体" w:hAnsi="宋体"/>
                <w:color w:val="auto"/>
                <w:szCs w:val="21"/>
                <w:highlight w:val="none"/>
                <w:u w:val="single"/>
              </w:rPr>
              <w:t>15</w:t>
            </w:r>
            <w:r>
              <w:rPr>
                <w:rFonts w:hint="eastAsia" w:ascii="宋体" w:hAnsi="宋体"/>
                <w:color w:val="auto"/>
                <w:szCs w:val="21"/>
                <w:highlight w:val="none"/>
              </w:rPr>
              <w:t>日内</w:t>
            </w:r>
          </w:p>
        </w:tc>
      </w:tr>
      <w:tr w14:paraId="50842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11341B6E">
            <w:pPr>
              <w:spacing w:line="360" w:lineRule="auto"/>
              <w:jc w:val="center"/>
              <w:rPr>
                <w:rFonts w:ascii="宋体" w:hAnsi="宋体"/>
                <w:b/>
                <w:color w:val="auto"/>
                <w:szCs w:val="21"/>
                <w:highlight w:val="none"/>
              </w:rPr>
            </w:pPr>
            <w:r>
              <w:rPr>
                <w:rFonts w:hint="eastAsia" w:ascii="宋体" w:hAnsi="宋体"/>
                <w:color w:val="auto"/>
                <w:szCs w:val="21"/>
                <w:highlight w:val="none"/>
              </w:rPr>
              <w:t>付款条件（进度和方式）</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460C80AE">
            <w:pPr>
              <w:widowControl/>
              <w:spacing w:line="360" w:lineRule="auto"/>
              <w:ind w:firstLine="420"/>
              <w:jc w:val="left"/>
              <w:rPr>
                <w:color w:val="auto"/>
                <w:szCs w:val="21"/>
                <w:highlight w:val="none"/>
              </w:rPr>
            </w:pPr>
            <w:r>
              <w:rPr>
                <w:rFonts w:hint="eastAsia" w:ascii="宋体" w:hAnsi="宋体" w:cs="宋体"/>
                <w:color w:val="auto"/>
                <w:szCs w:val="21"/>
                <w:highlight w:val="none"/>
              </w:rPr>
              <w:t>1.</w:t>
            </w:r>
            <w:r>
              <w:rPr>
                <w:color w:val="auto"/>
                <w:szCs w:val="21"/>
                <w:highlight w:val="none"/>
              </w:rPr>
              <w:t>结算方式：原材料货款每月结算一次，每月初的10个工作日内</w:t>
            </w:r>
            <w:r>
              <w:rPr>
                <w:rFonts w:hint="eastAsia"/>
                <w:color w:val="auto"/>
                <w:highlight w:val="none"/>
              </w:rPr>
              <w:t>采购人与中标供应商</w:t>
            </w:r>
            <w:r>
              <w:rPr>
                <w:color w:val="auto"/>
                <w:szCs w:val="21"/>
                <w:highlight w:val="none"/>
              </w:rPr>
              <w:t>双方进行对账，确认结算上个月的货款。以</w:t>
            </w:r>
            <w:r>
              <w:rPr>
                <w:rFonts w:hint="eastAsia"/>
                <w:color w:val="auto"/>
                <w:szCs w:val="21"/>
                <w:highlight w:val="none"/>
              </w:rPr>
              <w:t>采购人</w:t>
            </w:r>
            <w:r>
              <w:rPr>
                <w:color w:val="auto"/>
                <w:szCs w:val="21"/>
                <w:highlight w:val="none"/>
              </w:rPr>
              <w:t>实际购买并签字接收的种类及数量据实核算。</w:t>
            </w:r>
            <w:r>
              <w:rPr>
                <w:rFonts w:hint="eastAsia"/>
                <w:color w:val="auto"/>
                <w:szCs w:val="21"/>
                <w:highlight w:val="none"/>
              </w:rPr>
              <w:t>中标供应商</w:t>
            </w:r>
            <w:r>
              <w:rPr>
                <w:color w:val="auto"/>
                <w:szCs w:val="21"/>
                <w:highlight w:val="none"/>
              </w:rPr>
              <w:t>必须提供详细的物品销售清单与</w:t>
            </w:r>
            <w:r>
              <w:rPr>
                <w:rFonts w:hint="eastAsia"/>
                <w:color w:val="auto"/>
                <w:szCs w:val="21"/>
                <w:highlight w:val="none"/>
              </w:rPr>
              <w:t>采购人</w:t>
            </w:r>
            <w:r>
              <w:rPr>
                <w:color w:val="auto"/>
                <w:szCs w:val="21"/>
                <w:highlight w:val="none"/>
              </w:rPr>
              <w:t>的收货单核对。</w:t>
            </w:r>
          </w:p>
          <w:p w14:paraId="35D570B8">
            <w:pPr>
              <w:spacing w:line="360" w:lineRule="auto"/>
              <w:ind w:firstLine="420"/>
              <w:rPr>
                <w:rFonts w:ascii="宋体" w:hAnsi="宋体"/>
                <w:b/>
                <w:color w:val="auto"/>
                <w:szCs w:val="21"/>
                <w:highlight w:val="none"/>
              </w:rPr>
            </w:pPr>
            <w:r>
              <w:rPr>
                <w:rFonts w:hint="eastAsia" w:ascii="宋体" w:hAnsi="宋体" w:cs="宋体"/>
                <w:color w:val="auto"/>
                <w:szCs w:val="21"/>
                <w:highlight w:val="none"/>
              </w:rPr>
              <w:t>2.</w:t>
            </w:r>
            <w:r>
              <w:rPr>
                <w:color w:val="auto"/>
                <w:szCs w:val="21"/>
                <w:highlight w:val="none"/>
              </w:rPr>
              <w:t>付款方式：对账核算无误后，由</w:t>
            </w:r>
            <w:r>
              <w:rPr>
                <w:rFonts w:hint="eastAsia"/>
                <w:color w:val="auto"/>
                <w:szCs w:val="21"/>
                <w:highlight w:val="none"/>
              </w:rPr>
              <w:t>中标供应商</w:t>
            </w:r>
            <w:r>
              <w:rPr>
                <w:color w:val="auto"/>
                <w:szCs w:val="21"/>
                <w:highlight w:val="none"/>
              </w:rPr>
              <w:t>按照</w:t>
            </w:r>
            <w:r>
              <w:rPr>
                <w:rFonts w:hint="eastAsia"/>
                <w:color w:val="auto"/>
                <w:szCs w:val="21"/>
                <w:highlight w:val="none"/>
              </w:rPr>
              <w:t>采购人</w:t>
            </w:r>
            <w:r>
              <w:rPr>
                <w:color w:val="auto"/>
                <w:szCs w:val="21"/>
                <w:highlight w:val="none"/>
              </w:rPr>
              <w:t>财务规定出具以</w:t>
            </w:r>
            <w:r>
              <w:rPr>
                <w:rFonts w:hint="eastAsia"/>
                <w:color w:val="auto"/>
                <w:szCs w:val="21"/>
                <w:highlight w:val="none"/>
              </w:rPr>
              <w:t>采购人</w:t>
            </w:r>
            <w:r>
              <w:rPr>
                <w:color w:val="auto"/>
                <w:szCs w:val="21"/>
                <w:highlight w:val="none"/>
              </w:rPr>
              <w:t>为</w:t>
            </w:r>
            <w:r>
              <w:rPr>
                <w:rFonts w:hint="eastAsia"/>
                <w:color w:val="auto"/>
                <w:szCs w:val="21"/>
                <w:highlight w:val="none"/>
              </w:rPr>
              <w:t>抬头的合</w:t>
            </w:r>
            <w:r>
              <w:rPr>
                <w:color w:val="auto"/>
                <w:szCs w:val="21"/>
                <w:highlight w:val="none"/>
              </w:rPr>
              <w:t>法合规的增值税专用发票，</w:t>
            </w:r>
            <w:r>
              <w:rPr>
                <w:rFonts w:hint="eastAsia"/>
                <w:color w:val="auto"/>
                <w:szCs w:val="21"/>
                <w:highlight w:val="none"/>
              </w:rPr>
              <w:t>采购人</w:t>
            </w:r>
            <w:r>
              <w:rPr>
                <w:color w:val="auto"/>
                <w:szCs w:val="21"/>
                <w:highlight w:val="none"/>
              </w:rPr>
              <w:t>于收齐增值税专用发票及核对无误的送货单、明细单等材料之日起1</w:t>
            </w:r>
            <w:r>
              <w:rPr>
                <w:rFonts w:hint="eastAsia"/>
                <w:color w:val="auto"/>
                <w:szCs w:val="21"/>
                <w:highlight w:val="none"/>
              </w:rPr>
              <w:t>0</w:t>
            </w:r>
            <w:r>
              <w:rPr>
                <w:color w:val="auto"/>
                <w:szCs w:val="21"/>
                <w:highlight w:val="none"/>
              </w:rPr>
              <w:t>个工作日内付清货款。</w:t>
            </w:r>
          </w:p>
        </w:tc>
      </w:tr>
      <w:tr w14:paraId="035E3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7AEFCCE9">
            <w:pPr>
              <w:spacing w:line="360" w:lineRule="auto"/>
              <w:jc w:val="center"/>
              <w:rPr>
                <w:rFonts w:ascii="宋体" w:hAnsi="宋体"/>
                <w:bCs/>
                <w:color w:val="auto"/>
                <w:szCs w:val="21"/>
                <w:highlight w:val="none"/>
              </w:rPr>
            </w:pPr>
            <w:r>
              <w:rPr>
                <w:rFonts w:hint="eastAsia" w:ascii="宋体" w:hAnsi="宋体" w:cs="宋体"/>
                <w:color w:val="auto"/>
                <w:szCs w:val="21"/>
                <w:highlight w:val="none"/>
              </w:rPr>
              <w:t>投标报价要求</w:t>
            </w:r>
          </w:p>
        </w:tc>
        <w:tc>
          <w:tcPr>
            <w:tcW w:w="90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1F92C7">
            <w:pPr>
              <w:spacing w:line="360" w:lineRule="auto"/>
              <w:ind w:firstLine="444"/>
              <w:rPr>
                <w:rFonts w:ascii="宋体" w:hAnsi="宋体" w:cs="宋体"/>
                <w:b/>
                <w:bCs/>
                <w:color w:val="auto"/>
                <w:spacing w:val="6"/>
                <w:szCs w:val="21"/>
                <w:highlight w:val="none"/>
              </w:rPr>
            </w:pPr>
            <w:r>
              <w:rPr>
                <w:rFonts w:hint="eastAsia" w:ascii="宋体" w:hAnsi="宋体" w:cs="宋体"/>
                <w:color w:val="auto"/>
                <w:spacing w:val="6"/>
                <w:szCs w:val="21"/>
                <w:highlight w:val="none"/>
              </w:rPr>
              <w:t>1.本次报价须为按项目统一折扣报价。</w:t>
            </w:r>
            <w:r>
              <w:rPr>
                <w:rFonts w:hint="eastAsia" w:ascii="宋体" w:hAnsi="宋体" w:cs="宋体"/>
                <w:b/>
                <w:bCs/>
                <w:color w:val="auto"/>
                <w:spacing w:val="6"/>
                <w:szCs w:val="21"/>
                <w:highlight w:val="none"/>
              </w:rPr>
              <w:t>报价折扣≤98%为有效报价。</w:t>
            </w:r>
          </w:p>
          <w:p w14:paraId="08DF36DA">
            <w:pPr>
              <w:spacing w:line="360" w:lineRule="auto"/>
              <w:ind w:firstLine="444"/>
              <w:rPr>
                <w:rFonts w:ascii="宋体" w:hAnsi="宋体" w:cs="宋体"/>
                <w:color w:val="auto"/>
                <w:spacing w:val="6"/>
                <w:szCs w:val="21"/>
                <w:highlight w:val="none"/>
              </w:rPr>
            </w:pPr>
            <w:r>
              <w:rPr>
                <w:rFonts w:hint="eastAsia" w:ascii="宋体" w:hAnsi="宋体" w:cs="宋体"/>
                <w:color w:val="auto"/>
                <w:spacing w:val="6"/>
                <w:szCs w:val="21"/>
                <w:highlight w:val="none"/>
              </w:rPr>
              <w:t>2.食材基准价随行就市，每月的月中及月末由采购人指定人员与中标供应商工作人员组成询价小组，在梧州市大东菜市场、新兴菜市场、大塘菜市场、怡景菜市场、两广菜市场、新龙菜市场随机选取三家（或以上）取得营业执照的固定摊档，进行市场询价，中标供应商根据市场询价及梧州市发展和改革委员会官网公布的梧州市新兴市场部分食品价格监测表的平均价为基准价(采购人食品采购监督小组审核</w:t>
            </w:r>
            <w:r>
              <w:rPr>
                <w:rFonts w:hint="eastAsia" w:ascii="宋体" w:hAnsi="宋体" w:cs="宋体"/>
                <w:color w:val="auto"/>
                <w:spacing w:val="6"/>
                <w:szCs w:val="21"/>
                <w:highlight w:val="none"/>
                <w:lang w:val="en-US" w:eastAsia="zh-CN"/>
              </w:rPr>
              <w:t>批准</w:t>
            </w:r>
            <w:r>
              <w:rPr>
                <w:rFonts w:hint="eastAsia" w:ascii="宋体" w:hAnsi="宋体" w:cs="宋体"/>
                <w:color w:val="auto"/>
                <w:spacing w:val="6"/>
                <w:szCs w:val="21"/>
                <w:highlight w:val="none"/>
              </w:rPr>
              <w:t>的基准价格)，由双方代表签字或盖章确定。如为特价商品的以实际特价结算。如价格发生重大变化，中标供应商可向采购人提交书面申请，就变化价格进行市场询价。</w:t>
            </w:r>
          </w:p>
          <w:p w14:paraId="53C86825">
            <w:pPr>
              <w:spacing w:line="360" w:lineRule="auto"/>
              <w:ind w:firstLine="444"/>
              <w:rPr>
                <w:rFonts w:ascii="宋体" w:hAnsi="宋体" w:cs="宋体"/>
                <w:color w:val="auto"/>
                <w:spacing w:val="6"/>
                <w:szCs w:val="21"/>
                <w:highlight w:val="none"/>
              </w:rPr>
            </w:pPr>
            <w:r>
              <w:rPr>
                <w:rFonts w:hint="eastAsia" w:ascii="宋体" w:hAnsi="宋体" w:cs="宋体"/>
                <w:color w:val="auto"/>
                <w:spacing w:val="6"/>
                <w:szCs w:val="21"/>
                <w:highlight w:val="none"/>
              </w:rPr>
              <w:t>3.最终结算价格=采购人食品采购监督小组审核批准的基准价格×中标折扣。</w:t>
            </w:r>
          </w:p>
          <w:p w14:paraId="460383A1">
            <w:pPr>
              <w:spacing w:line="360" w:lineRule="auto"/>
              <w:ind w:firstLine="444"/>
              <w:rPr>
                <w:color w:val="auto"/>
                <w:szCs w:val="21"/>
                <w:highlight w:val="none"/>
              </w:rPr>
            </w:pPr>
            <w:r>
              <w:rPr>
                <w:rFonts w:hint="eastAsia" w:ascii="宋体" w:hAnsi="宋体" w:cs="宋体"/>
                <w:color w:val="auto"/>
                <w:spacing w:val="6"/>
                <w:szCs w:val="21"/>
                <w:highlight w:val="none"/>
              </w:rPr>
              <w:t>4</w:t>
            </w:r>
            <w:r>
              <w:rPr>
                <w:rFonts w:hint="eastAsia" w:ascii="宋体" w:hAnsi="宋体"/>
                <w:color w:val="auto"/>
                <w:szCs w:val="21"/>
                <w:highlight w:val="none"/>
              </w:rPr>
              <w:t>.投标报价为采购人指定地点的现场交货价，包含但不限于</w:t>
            </w:r>
            <w:r>
              <w:rPr>
                <w:rFonts w:hint="eastAsia" w:ascii="宋体" w:hAnsi="宋体" w:cs="宋体"/>
                <w:color w:val="auto"/>
                <w:spacing w:val="6"/>
                <w:szCs w:val="21"/>
                <w:highlight w:val="none"/>
              </w:rPr>
              <w:t>实施和完成本项目所需的全部食材原料费、工作劳务费、技术服务费、交通费、通讯费、办公场地费、保险费、税费、利润、检测业务费等一切费用，以及政策性文件规定和合同包含的风险、责任和各种应有费用</w:t>
            </w:r>
            <w:r>
              <w:rPr>
                <w:rFonts w:hint="eastAsia" w:ascii="宋体" w:hAnsi="宋体"/>
                <w:color w:val="auto"/>
                <w:szCs w:val="21"/>
                <w:highlight w:val="none"/>
              </w:rPr>
              <w:t>。</w:t>
            </w:r>
          </w:p>
        </w:tc>
      </w:tr>
      <w:tr w14:paraId="2F4D7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12D1C6D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配送要求</w:t>
            </w:r>
          </w:p>
        </w:tc>
        <w:tc>
          <w:tcPr>
            <w:tcW w:w="90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3291A7">
            <w:pPr>
              <w:spacing w:line="360" w:lineRule="auto"/>
              <w:ind w:firstLine="420"/>
              <w:rPr>
                <w:rFonts w:ascii="宋体" w:hAnsi="宋体"/>
                <w:color w:val="auto"/>
                <w:szCs w:val="21"/>
                <w:highlight w:val="none"/>
              </w:rPr>
            </w:pPr>
            <w:r>
              <w:rPr>
                <w:rFonts w:hint="eastAsia" w:ascii="宋体" w:hAnsi="宋体"/>
                <w:color w:val="auto"/>
                <w:szCs w:val="21"/>
                <w:highlight w:val="none"/>
              </w:rPr>
              <w:t>1.一般供货以订货单为准，紧急供货以通知为准。</w:t>
            </w:r>
          </w:p>
          <w:p w14:paraId="4B0EAAC2">
            <w:pPr>
              <w:spacing w:line="360" w:lineRule="auto"/>
              <w:ind w:firstLine="420"/>
              <w:rPr>
                <w:rFonts w:ascii="宋体" w:hAnsi="宋体"/>
                <w:color w:val="auto"/>
                <w:szCs w:val="21"/>
                <w:highlight w:val="none"/>
              </w:rPr>
            </w:pPr>
            <w:r>
              <w:rPr>
                <w:rFonts w:hint="eastAsia" w:ascii="宋体" w:hAnsi="宋体"/>
                <w:color w:val="auto"/>
                <w:szCs w:val="21"/>
                <w:highlight w:val="none"/>
              </w:rPr>
              <w:t>2.中标供应商按照采购人指定的食品名称、规格、数量等要求在规定时间内将货物送到采购人指定地点。中标供应商供货不符合要求的，或与询价时询价货品的质量、等级有明显区别的，采购人有权立即退货。中标供应商应按采购人的要求及时补货，具体交货时间以约定为准。</w:t>
            </w:r>
          </w:p>
          <w:p w14:paraId="1FA48D5D">
            <w:pPr>
              <w:spacing w:line="360" w:lineRule="auto"/>
              <w:ind w:firstLine="420"/>
              <w:rPr>
                <w:rFonts w:ascii="宋体" w:hAnsi="宋体"/>
                <w:color w:val="auto"/>
                <w:szCs w:val="21"/>
                <w:highlight w:val="none"/>
              </w:rPr>
            </w:pPr>
            <w:r>
              <w:rPr>
                <w:rFonts w:hint="eastAsia" w:ascii="宋体" w:hAnsi="宋体"/>
                <w:color w:val="auto"/>
                <w:szCs w:val="21"/>
                <w:highlight w:val="none"/>
              </w:rPr>
              <w:t>3.中标供应商必须由有健康证的固定人员长期送货。如临时非固定人员送货，须取得采购人同意。</w:t>
            </w:r>
          </w:p>
          <w:p w14:paraId="522CCE40">
            <w:pPr>
              <w:spacing w:line="360" w:lineRule="auto"/>
              <w:ind w:firstLine="420"/>
              <w:rPr>
                <w:rFonts w:ascii="宋体" w:hAnsi="宋体"/>
                <w:color w:val="auto"/>
                <w:szCs w:val="21"/>
                <w:highlight w:val="none"/>
              </w:rPr>
            </w:pPr>
            <w:r>
              <w:rPr>
                <w:rFonts w:hint="eastAsia" w:ascii="宋体" w:hAnsi="宋体"/>
                <w:color w:val="auto"/>
                <w:szCs w:val="21"/>
                <w:highlight w:val="none"/>
              </w:rPr>
              <w:t>4.一般供货要求：</w:t>
            </w:r>
          </w:p>
          <w:p w14:paraId="446B8F4E">
            <w:pPr>
              <w:spacing w:line="360" w:lineRule="auto"/>
              <w:ind w:firstLine="420"/>
              <w:rPr>
                <w:rFonts w:ascii="宋体" w:hAnsi="宋体"/>
                <w:color w:val="auto"/>
                <w:szCs w:val="21"/>
                <w:highlight w:val="none"/>
              </w:rPr>
            </w:pPr>
            <w:r>
              <w:rPr>
                <w:rFonts w:hint="eastAsia" w:ascii="宋体" w:hAnsi="宋体"/>
                <w:color w:val="auto"/>
                <w:szCs w:val="21"/>
                <w:highlight w:val="none"/>
              </w:rPr>
              <w:t>工作日进行配送，采购人指定的食堂在每天</w:t>
            </w:r>
            <w:r>
              <w:rPr>
                <w:rFonts w:hint="eastAsia" w:ascii="宋体" w:hAnsi="宋体"/>
                <w:color w:val="auto"/>
                <w:szCs w:val="21"/>
                <w:highlight w:val="none"/>
                <w:u w:val="single"/>
              </w:rPr>
              <w:t>7:00</w:t>
            </w:r>
            <w:r>
              <w:rPr>
                <w:rFonts w:hint="eastAsia" w:ascii="宋体" w:hAnsi="宋体"/>
                <w:color w:val="auto"/>
                <w:szCs w:val="21"/>
                <w:highlight w:val="none"/>
              </w:rPr>
              <w:t>前，将食堂次日所需的各类食品原材料的数量向中标供应商以微信或电子文件等形式提交订货计划，说明购货品种、规格、数量、供货日期及其它需要说明的事项。</w:t>
            </w:r>
          </w:p>
          <w:p w14:paraId="3160FA2F">
            <w:pPr>
              <w:spacing w:line="360" w:lineRule="auto"/>
              <w:ind w:firstLine="420"/>
              <w:rPr>
                <w:rFonts w:ascii="宋体" w:hAnsi="宋体"/>
                <w:color w:val="auto"/>
                <w:szCs w:val="21"/>
                <w:highlight w:val="none"/>
              </w:rPr>
            </w:pPr>
            <w:r>
              <w:rPr>
                <w:rFonts w:hint="eastAsia" w:ascii="宋体" w:hAnsi="宋体"/>
                <w:color w:val="auto"/>
                <w:szCs w:val="21"/>
                <w:highlight w:val="none"/>
              </w:rPr>
              <w:t>中标供应商要认真核对订货计划并按订货计划准备好各类食品原材料，早餐类食材应于次日早上7:00前到达指定地点。其他食材于次日9:00前配送完毕。肉、禽等鲜活食品必须当日配送，其余食品原料可视实际需求酌情配送，但必须确保食品新鲜、优质、安全可靠。</w:t>
            </w:r>
          </w:p>
          <w:p w14:paraId="60389131">
            <w:pPr>
              <w:spacing w:line="360" w:lineRule="auto"/>
              <w:ind w:firstLine="420"/>
              <w:rPr>
                <w:rFonts w:ascii="宋体" w:hAnsi="宋体"/>
                <w:color w:val="auto"/>
                <w:szCs w:val="21"/>
                <w:highlight w:val="none"/>
              </w:rPr>
            </w:pPr>
            <w:r>
              <w:rPr>
                <w:rFonts w:hint="eastAsia" w:ascii="宋体" w:hAnsi="宋体"/>
                <w:color w:val="auto"/>
                <w:szCs w:val="21"/>
                <w:highlight w:val="none"/>
              </w:rPr>
              <w:t>5.紧急供货要求：在收到采购人发出紧急供货通知后，中标供应商最迟2小时内完成当次现场供货。</w:t>
            </w:r>
          </w:p>
          <w:p w14:paraId="6CED6685">
            <w:pPr>
              <w:spacing w:line="360" w:lineRule="auto"/>
              <w:ind w:firstLine="420"/>
              <w:rPr>
                <w:rFonts w:ascii="宋体" w:hAnsi="宋体"/>
                <w:color w:val="auto"/>
                <w:szCs w:val="21"/>
                <w:highlight w:val="none"/>
              </w:rPr>
            </w:pPr>
            <w:r>
              <w:rPr>
                <w:rFonts w:hint="eastAsia" w:ascii="宋体" w:hAnsi="宋体"/>
                <w:color w:val="auto"/>
                <w:szCs w:val="21"/>
                <w:highlight w:val="none"/>
              </w:rPr>
              <w:t xml:space="preserve">6.中标供应商必须按照采购人人员通知的时间、数量、品种、品质要求及协定的价格准时送货，经验收合格后签字确认，不能以任何理由推脱，一旦影响到采购人的正常运转，中标供应商应承担相应的经济赔偿。  </w:t>
            </w:r>
          </w:p>
          <w:p w14:paraId="49BC69C3">
            <w:pPr>
              <w:spacing w:line="360" w:lineRule="auto"/>
              <w:ind w:firstLine="420"/>
              <w:rPr>
                <w:rFonts w:ascii="宋体" w:hAnsi="宋体" w:cs="宋体"/>
                <w:color w:val="auto"/>
                <w:spacing w:val="6"/>
                <w:szCs w:val="21"/>
                <w:highlight w:val="none"/>
              </w:rPr>
            </w:pPr>
            <w:r>
              <w:rPr>
                <w:rFonts w:hint="eastAsia" w:ascii="宋体" w:hAnsi="宋体"/>
                <w:color w:val="auto"/>
                <w:szCs w:val="21"/>
                <w:highlight w:val="none"/>
              </w:rPr>
              <w:t>7.中标供应商必须在双方约定的时间内将货物送到采购人指定的地点，运输费用由中标供应商承担，如出现不合格、损坏的情况，由中标供应商负责及时退换，退换时间不超过5小时。</w:t>
            </w:r>
          </w:p>
        </w:tc>
      </w:tr>
      <w:tr w14:paraId="01B4B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9" w:hRule="atLeast"/>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3838E6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58FB3679">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1.中标供应商根据食品供应量必须为学校师生购买800万元（含）以上的产品责任保险（签订配送合同时须向采购人提交保险购买凭证复印件，且凭证由采购人留存）。</w:t>
            </w:r>
          </w:p>
          <w:p w14:paraId="20EDD5EC">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2.中标供应商必须将合法有效的营业执照、送货人员健康证等证件的复印件及单位经营负责人身份证复印件一并交采购人备案。（签订配送合同时须向采购人备案）。</w:t>
            </w:r>
          </w:p>
          <w:p w14:paraId="3865A21D">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采购人指定人与中标供应商在响应及履行合同过程中，必须遵守《中华人民共和国食品安全法》《中华人民共和国反不正当竞争法》《中华人民共和国消费者权益保护法》《中华人民共和国民法典》及相关的国家法律、法规。</w:t>
            </w:r>
          </w:p>
          <w:p w14:paraId="2E090A6D">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4.本项目所指的货物及服务应符合招标文件的所述的标准；如果没有提及适用标准，则应符合中华人民共和国国家标准或行业标准；这些标准必须是有关机构发布的最新版本的标准。</w:t>
            </w:r>
          </w:p>
          <w:p w14:paraId="310CA40C">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5.中标供应商应充分理解并认真遵循本招标文件的要求，所提供的货物必须是满足招标文件要求。</w:t>
            </w:r>
          </w:p>
          <w:p w14:paraId="118B631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6.货物有包装的，货物的包装必须完整清洁（无损、无污、无皱），采购人指定人有权拒收包装不整齐、已拆封的商品。</w:t>
            </w:r>
          </w:p>
          <w:p w14:paraId="2B65543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7.采购人指定人发现商品出现损坏（包括表面损坏），或出现水渍、串味、受潮等导致货物性质改变的，中标供应商必须无条件退货或更换商品。</w:t>
            </w:r>
          </w:p>
          <w:p w14:paraId="0FB01E51">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8.中标供应商保证提供的肉均为梧州市内定点屠宰厂（场）经检疫和肉品品质检验合格的产品。</w:t>
            </w:r>
          </w:p>
          <w:p w14:paraId="7287B99A">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9.具有由定点屠宰厂（场）加盖验讫印章并出具《畜产品检验证明》或《动物检疫合格证明》，新鲜肉类要有梧州市内市场监督管理部门的电脑单据作为依据（每批次供货时提供）。</w:t>
            </w:r>
          </w:p>
          <w:p w14:paraId="5BE8414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10.中标供应商应能够配合采购人指定人员在1个工作日内更新所提供的符合卫监部门的有效证明材料。</w:t>
            </w:r>
          </w:p>
          <w:p w14:paraId="781D3634">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11.中标供应商提供假冒伪劣、过期、变质的、有毒食品的，一经发现，除按采购人指定人要求无条件退货或换货外，还将受到如下处罚：</w:t>
            </w:r>
          </w:p>
          <w:p w14:paraId="13B55AE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①中标供应商提供假冒伪劣、过期、变质食品的，要求无条件退货或换货外，被处以扣罚当次供应食品货款2倍的违约金，违约金由供货结算款内扣除。</w:t>
            </w:r>
          </w:p>
          <w:p w14:paraId="03DB2FCF">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②中标供应商提供有毒食品的，造成食品安全事故的，经有关单位鉴定原因后，如确实为中标供应商提供之食品问题，中标供应商除需负担全数医药费，且不予退还履约保证金、食品安全风险保证金外，采购人指定人取消中标供应商供货资格，取消中标供应商供货合同，中标供应商同时承担相应的民事及刑事法律责任。</w:t>
            </w:r>
          </w:p>
          <w:p w14:paraId="34CC5B20">
            <w:pPr>
              <w:numPr>
                <w:ilvl w:val="0"/>
                <w:numId w:val="4"/>
              </w:num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为确保本项目的配送质量及响应效率，中标人若为</w:t>
            </w:r>
            <w:r>
              <w:rPr>
                <w:rFonts w:hint="eastAsia" w:ascii="宋体" w:hAnsi="宋体" w:cs="宋体"/>
                <w:color w:val="auto"/>
                <w:szCs w:val="21"/>
                <w:highlight w:val="none"/>
                <w:lang w:val="en-US" w:eastAsia="zh-CN"/>
              </w:rPr>
              <w:t>非梧州市</w:t>
            </w:r>
            <w:r>
              <w:rPr>
                <w:rFonts w:hint="eastAsia" w:ascii="宋体" w:hAnsi="宋体" w:cs="宋体"/>
                <w:color w:val="auto"/>
                <w:szCs w:val="21"/>
                <w:highlight w:val="none"/>
              </w:rPr>
              <w:t>注册公司的，需在投标文件中承诺（承诺函格式自拟）签订合同后1个月内建立完成完整的配送供应链；</w:t>
            </w:r>
            <w:r>
              <w:rPr>
                <w:rFonts w:hint="eastAsia" w:asciiTheme="minorEastAsia" w:hAnsiTheme="minorEastAsia" w:eastAsiaTheme="minorEastAsia" w:cstheme="minorEastAsia"/>
                <w:color w:val="auto"/>
                <w:szCs w:val="21"/>
                <w:highlight w:val="none"/>
              </w:rPr>
              <w:t>根据《食品经营许可和备案管理办法》第七条、第十六条“食品经营者在不同经营场所从事食品经营活动的，应当依法分别取得食品经营许可或者进行备案；外设仓库（包括自有和租赁）的，应当在开展相关经营活动之日起十个工作日内向所在地县级以上地方市场监督管理部门报告”</w:t>
            </w:r>
            <w:r>
              <w:rPr>
                <w:rFonts w:hint="eastAsia" w:ascii="宋体" w:hAnsi="宋体" w:cs="宋体" w:eastAsiaTheme="minorEastAsia"/>
                <w:color w:val="auto"/>
                <w:szCs w:val="21"/>
                <w:highlight w:val="none"/>
                <w:lang w:eastAsia="zh-CN"/>
              </w:rPr>
              <w:t>，</w:t>
            </w:r>
            <w:r>
              <w:rPr>
                <w:rFonts w:hint="eastAsia" w:ascii="宋体" w:hAnsi="宋体" w:cs="宋体"/>
                <w:color w:val="auto"/>
                <w:szCs w:val="21"/>
                <w:highlight w:val="none"/>
              </w:rPr>
              <w:t xml:space="preserve">承诺按要求办理好食品药品监督管理部门颁发的《食品经营许可证》。 </w:t>
            </w:r>
          </w:p>
        </w:tc>
      </w:tr>
      <w:tr w14:paraId="577C5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459162F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考核要求</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758E29A4">
            <w:pPr>
              <w:pStyle w:val="317"/>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1.考核次数：每学期考核1次，由采购人组织对中标供应商进行考核评分。</w:t>
            </w:r>
          </w:p>
          <w:p w14:paraId="69E07435">
            <w:pPr>
              <w:pStyle w:val="317"/>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2.配送服务考核办法按每次100分制进行考核：</w:t>
            </w:r>
          </w:p>
          <w:p w14:paraId="62D70A5D">
            <w:pPr>
              <w:pStyle w:val="317"/>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①当考核分达到90分以上（含90分）时为合格；</w:t>
            </w:r>
          </w:p>
          <w:p w14:paraId="6EB58E50">
            <w:pPr>
              <w:pStyle w:val="317"/>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②考核分在90分以下至80分（含80分）时，采购人扣中标供应商30000元当月货款；考核分在80分以下时，采购人扣中标供应商60000元货款。</w:t>
            </w:r>
          </w:p>
          <w:p w14:paraId="46218EEB">
            <w:pPr>
              <w:pStyle w:val="317"/>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3.计算方式：考核分=100-（采购人及中标供应商联合考核实际扣分)；</w:t>
            </w:r>
          </w:p>
          <w:p w14:paraId="137D7D07">
            <w:pPr>
              <w:pStyle w:val="317"/>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4.服务期内第一次低于90分的进行警告，第二次低于90分的，采购人有权依法解除合同。</w:t>
            </w:r>
          </w:p>
          <w:p w14:paraId="1074B0F4">
            <w:pPr>
              <w:pStyle w:val="317"/>
              <w:spacing w:before="98" w:line="360" w:lineRule="auto"/>
              <w:ind w:right="8" w:firstLine="420"/>
              <w:rPr>
                <w:color w:val="auto"/>
                <w:sz w:val="21"/>
                <w:szCs w:val="21"/>
                <w:highlight w:val="none"/>
                <w:lang w:eastAsia="zh-CN"/>
              </w:rPr>
            </w:pPr>
            <w:r>
              <w:rPr>
                <w:rFonts w:hint="eastAsia"/>
                <w:color w:val="auto"/>
                <w:sz w:val="21"/>
                <w:szCs w:val="21"/>
                <w:highlight w:val="none"/>
                <w:lang w:eastAsia="zh-CN"/>
              </w:rPr>
              <w:t>5.考核细则详见《附件1：供应商考核细则表》。</w:t>
            </w:r>
          </w:p>
        </w:tc>
      </w:tr>
      <w:tr w14:paraId="28669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2FEA7A0F">
            <w:pPr>
              <w:spacing w:line="360" w:lineRule="auto"/>
              <w:jc w:val="center"/>
              <w:rPr>
                <w:rFonts w:ascii="宋体" w:hAnsi="宋体"/>
                <w:bCs/>
                <w:color w:val="auto"/>
                <w:szCs w:val="21"/>
                <w:highlight w:val="none"/>
              </w:rPr>
            </w:pPr>
            <w:r>
              <w:rPr>
                <w:rFonts w:hint="eastAsia" w:ascii="宋体" w:hAnsi="宋体"/>
                <w:bCs/>
                <w:color w:val="auto"/>
                <w:szCs w:val="21"/>
                <w:highlight w:val="none"/>
              </w:rPr>
              <w:t>验收标准</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11D043F2">
            <w:pPr>
              <w:spacing w:line="380" w:lineRule="exact"/>
              <w:ind w:right="16" w:firstLine="420"/>
              <w:rPr>
                <w:rFonts w:ascii="宋体" w:hAnsi="宋体" w:cs="宋体"/>
                <w:color w:val="auto"/>
                <w:szCs w:val="21"/>
                <w:highlight w:val="none"/>
              </w:rPr>
            </w:pPr>
            <w:r>
              <w:rPr>
                <w:rFonts w:hint="eastAsia" w:ascii="宋体" w:hAnsi="宋体" w:cs="宋体"/>
                <w:color w:val="auto"/>
                <w:szCs w:val="21"/>
                <w:highlight w:val="none"/>
              </w:rPr>
              <w:t>（一）验收方式：</w:t>
            </w:r>
          </w:p>
          <w:p w14:paraId="270EA693">
            <w:pPr>
              <w:spacing w:line="380" w:lineRule="exact"/>
              <w:ind w:right="16" w:firstLine="400"/>
              <w:rPr>
                <w:rFonts w:ascii="宋体" w:hAnsi="宋体" w:cs="宋体"/>
                <w:color w:val="auto"/>
                <w:spacing w:val="-5"/>
                <w:szCs w:val="21"/>
                <w:highlight w:val="none"/>
              </w:rPr>
            </w:pPr>
            <w:r>
              <w:rPr>
                <w:rFonts w:hint="eastAsia" w:ascii="宋体" w:hAnsi="宋体" w:cs="宋体"/>
                <w:color w:val="auto"/>
                <w:spacing w:val="-5"/>
                <w:szCs w:val="21"/>
                <w:highlight w:val="none"/>
              </w:rPr>
              <w:t>按照国家食品标准及相关要求确认</w:t>
            </w:r>
            <w:r>
              <w:rPr>
                <w:rFonts w:hint="eastAsia"/>
                <w:color w:val="auto"/>
                <w:szCs w:val="21"/>
                <w:highlight w:val="none"/>
              </w:rPr>
              <w:t>配送食品</w:t>
            </w:r>
            <w:r>
              <w:rPr>
                <w:rFonts w:hint="eastAsia" w:ascii="宋体" w:hAnsi="宋体" w:cs="宋体"/>
                <w:color w:val="auto"/>
                <w:spacing w:val="-5"/>
                <w:szCs w:val="21"/>
                <w:highlight w:val="none"/>
              </w:rPr>
              <w:t>生产日期、保质期后进行数量（重量）验收并按规定留样备查。验收时：</w:t>
            </w:r>
          </w:p>
          <w:p w14:paraId="39C0E097">
            <w:pPr>
              <w:spacing w:line="380" w:lineRule="exact"/>
              <w:ind w:right="16" w:firstLine="400"/>
              <w:rPr>
                <w:rFonts w:ascii="宋体" w:hAnsi="宋体" w:cs="宋体"/>
                <w:color w:val="auto"/>
                <w:spacing w:val="-5"/>
                <w:szCs w:val="21"/>
                <w:highlight w:val="none"/>
              </w:rPr>
            </w:pPr>
            <w:r>
              <w:rPr>
                <w:rFonts w:hint="eastAsia" w:ascii="宋体" w:hAnsi="宋体" w:cs="宋体"/>
                <w:color w:val="auto"/>
                <w:spacing w:val="-5"/>
                <w:szCs w:val="21"/>
                <w:highlight w:val="none"/>
              </w:rPr>
              <w:t>1.</w:t>
            </w:r>
            <w:r>
              <w:rPr>
                <w:rFonts w:hint="eastAsia"/>
                <w:color w:val="auto"/>
                <w:szCs w:val="21"/>
                <w:highlight w:val="none"/>
              </w:rPr>
              <w:t>食品</w:t>
            </w:r>
            <w:r>
              <w:rPr>
                <w:rFonts w:hint="eastAsia" w:ascii="宋体" w:hAnsi="宋体" w:cs="宋体"/>
                <w:color w:val="auto"/>
                <w:spacing w:val="-5"/>
                <w:szCs w:val="21"/>
                <w:highlight w:val="none"/>
              </w:rPr>
              <w:t>的验收工作由采购人和中标供应商共同进行。中标供应商提供的产品须经过验收人员的感官检验、外观检验和试用检验，若产品外观、包装、形式不符合要求、感官检验不能达到食品卫生要求，当即拒收；中标供应商不能满足食品的质量及售后服务要求时，采购人有权要求承担违约责任。</w:t>
            </w:r>
          </w:p>
          <w:p w14:paraId="333E54C0">
            <w:pPr>
              <w:spacing w:line="380" w:lineRule="exact"/>
              <w:ind w:right="16" w:firstLine="400"/>
              <w:rPr>
                <w:rFonts w:ascii="宋体" w:hAnsi="宋体" w:cs="宋体"/>
                <w:color w:val="auto"/>
                <w:spacing w:val="-5"/>
                <w:szCs w:val="21"/>
                <w:highlight w:val="none"/>
              </w:rPr>
            </w:pPr>
            <w:r>
              <w:rPr>
                <w:rFonts w:hint="eastAsia" w:ascii="宋体" w:hAnsi="宋体" w:cs="宋体"/>
                <w:color w:val="auto"/>
                <w:spacing w:val="-5"/>
                <w:szCs w:val="21"/>
                <w:highlight w:val="none"/>
              </w:rPr>
              <w:t>2.验收工作的一般程序为：根据食品采购清单的具体要求，对所购物料进行清点、外观检查以及对物料的各项指标和性能进行实测，并逐项记录。检测结束后，验收人员在送货单上签字。</w:t>
            </w:r>
          </w:p>
          <w:p w14:paraId="64C863D5">
            <w:pPr>
              <w:spacing w:line="440" w:lineRule="exact"/>
              <w:ind w:firstLine="400"/>
              <w:rPr>
                <w:rFonts w:ascii="宋体" w:hAnsi="宋体" w:cs="宋体"/>
                <w:color w:val="auto"/>
                <w:szCs w:val="21"/>
                <w:highlight w:val="none"/>
              </w:rPr>
            </w:pPr>
            <w:r>
              <w:rPr>
                <w:rFonts w:hint="eastAsia" w:ascii="宋体" w:hAnsi="宋体" w:cs="宋体"/>
                <w:color w:val="auto"/>
                <w:spacing w:val="-5"/>
                <w:szCs w:val="21"/>
                <w:highlight w:val="none"/>
              </w:rPr>
              <w:t>3.食品实行逢进必检。必须经采购人工作人员验收合格后方可进入仓库或加工程序。验收工作可由采购人安排有经验及专业知识人员进行验收，验收时需两人一组， 在视频监控下进行验收，公布验收时间地点，接受各单位监督。验收内容主要是食材的品种、品牌、规格、等级、数量、生产日期、保质期限、包装、运输环境、食材温度等。严禁质量不合格的食品原料进入采购人指定的地点</w:t>
            </w:r>
            <w:r>
              <w:rPr>
                <w:color w:val="auto"/>
                <w:highlight w:val="none"/>
              </w:rPr>
              <w:t>，</w:t>
            </w:r>
            <w:r>
              <w:rPr>
                <w:rFonts w:hint="eastAsia" w:ascii="宋体" w:hAnsi="宋体" w:cs="宋体"/>
                <w:color w:val="auto"/>
                <w:spacing w:val="-5"/>
                <w:szCs w:val="21"/>
                <w:highlight w:val="none"/>
              </w:rPr>
              <w:t>如发现质量不合格，必须及时退货，在退货单上注明退货理由、退货人和退货日期；如数量不准确</w:t>
            </w:r>
            <w:r>
              <w:rPr>
                <w:color w:val="auto"/>
                <w:highlight w:val="none"/>
              </w:rPr>
              <w:t>，</w:t>
            </w:r>
            <w:r>
              <w:rPr>
                <w:rFonts w:hint="eastAsia" w:ascii="宋体" w:hAnsi="宋体" w:cs="宋体"/>
                <w:color w:val="auto"/>
                <w:spacing w:val="-5"/>
                <w:szCs w:val="21"/>
                <w:highlight w:val="none"/>
              </w:rPr>
              <w:t>应以验收数量为准。验收合格后，由验收人员在购货发票或购货单上签字确认。</w:t>
            </w:r>
            <w:r>
              <w:rPr>
                <w:rFonts w:hint="eastAsia" w:ascii="宋体" w:hAnsi="宋体" w:cs="宋体"/>
                <w:color w:val="auto"/>
                <w:szCs w:val="21"/>
                <w:highlight w:val="none"/>
              </w:rPr>
              <w:t>来货量大于订货量时按订货量验收，来货量小于订货量85%，则告知中标供应商必须在1小时内补齐，若无法补齐数量，则按缺货金额的10%在当月货款中进行扣罚。</w:t>
            </w:r>
          </w:p>
          <w:p w14:paraId="15C3C09B">
            <w:pPr>
              <w:spacing w:line="440" w:lineRule="exact"/>
              <w:ind w:firstLine="420"/>
              <w:rPr>
                <w:rFonts w:ascii="宋体" w:hAnsi="宋体" w:cs="宋体"/>
                <w:color w:val="auto"/>
                <w:szCs w:val="21"/>
                <w:highlight w:val="none"/>
              </w:rPr>
            </w:pPr>
            <w:r>
              <w:rPr>
                <w:rFonts w:hint="eastAsia" w:ascii="宋体" w:hAnsi="宋体"/>
                <w:bCs/>
                <w:color w:val="auto"/>
                <w:szCs w:val="21"/>
                <w:highlight w:val="none"/>
              </w:rPr>
              <w:t>（二）验收标准</w:t>
            </w:r>
          </w:p>
          <w:p w14:paraId="2B6928A2">
            <w:pPr>
              <w:tabs>
                <w:tab w:val="left" w:pos="7140"/>
              </w:tabs>
              <w:spacing w:line="360" w:lineRule="auto"/>
              <w:ind w:firstLine="420"/>
              <w:rPr>
                <w:rFonts w:ascii="宋体" w:hAnsi="宋体"/>
                <w:bCs/>
                <w:color w:val="auto"/>
                <w:szCs w:val="21"/>
                <w:highlight w:val="none"/>
              </w:rPr>
            </w:pPr>
            <w:r>
              <w:rPr>
                <w:rFonts w:hint="eastAsia" w:ascii="宋体" w:hAnsi="宋体" w:cs="宋体"/>
                <w:color w:val="auto"/>
                <w:szCs w:val="21"/>
                <w:highlight w:val="none"/>
              </w:rPr>
              <w:t>通用总则：所有供货食材均须符合《中华人民共和国食品安全法》《中华人民共和国农产品质量安全法》及国家现行相关食品安全、质量标准，来源正规、安全无害、新鲜保质，严禁疫区、污染产区、不合格溯源食材入场；所有供货预包装食品或预包装产品均为经生产企业检验合格的正规合格产品，产品各项指标符合国家及行业现行标准，每批次供货均随附完整有效的产品合格证明、批次检验报告；包装密封完好、无毒无害，包装清晰印制生产企业名称、地址、联系电话、生产日期、保质期、执行标准、生产许可证号等完整信息，供货时食品剩余保质期不得少于总保质期的50%。</w:t>
            </w:r>
          </w:p>
          <w:p w14:paraId="76AAD09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 肉类：猪肉、牛肉、羊肉、鸡、鸭</w:t>
            </w:r>
          </w:p>
          <w:p w14:paraId="12115ED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（1）鲜猪肉</w:t>
            </w:r>
          </w:p>
          <w:tbl>
            <w:tblPr>
              <w:tblStyle w:val="48"/>
              <w:tblW w:w="8830" w:type="dxa"/>
              <w:tblInd w:w="0" w:type="dxa"/>
              <w:tblLayout w:type="fixed"/>
              <w:tblCellMar>
                <w:top w:w="0" w:type="dxa"/>
                <w:left w:w="0" w:type="dxa"/>
                <w:bottom w:w="0" w:type="dxa"/>
                <w:right w:w="0" w:type="dxa"/>
              </w:tblCellMar>
            </w:tblPr>
            <w:tblGrid>
              <w:gridCol w:w="1314"/>
              <w:gridCol w:w="5085"/>
              <w:gridCol w:w="2431"/>
            </w:tblGrid>
            <w:tr w14:paraId="1A83C7C0">
              <w:tblPrEx>
                <w:tblCellMar>
                  <w:top w:w="0" w:type="dxa"/>
                  <w:left w:w="0" w:type="dxa"/>
                  <w:bottom w:w="0" w:type="dxa"/>
                  <w:right w:w="0" w:type="dxa"/>
                </w:tblCellMar>
              </w:tblPrEx>
              <w:trPr>
                <w:trHeight w:val="410" w:hRule="atLeast"/>
              </w:trPr>
              <w:tc>
                <w:tcPr>
                  <w:tcW w:w="1314" w:type="dxa"/>
                  <w:tcBorders>
                    <w:top w:val="single" w:color="000000" w:sz="4" w:space="0"/>
                    <w:left w:val="single" w:color="000000" w:sz="4" w:space="0"/>
                    <w:bottom w:val="single" w:color="auto" w:sz="4" w:space="0"/>
                    <w:right w:val="single" w:color="000000" w:sz="4" w:space="0"/>
                  </w:tcBorders>
                  <w:vAlign w:val="center"/>
                </w:tcPr>
                <w:p w14:paraId="3F702F41">
                  <w:pPr>
                    <w:spacing w:line="440" w:lineRule="exact"/>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085" w:type="dxa"/>
                  <w:tcBorders>
                    <w:top w:val="single" w:color="000000" w:sz="4" w:space="0"/>
                    <w:left w:val="nil"/>
                    <w:bottom w:val="single" w:color="auto" w:sz="4" w:space="0"/>
                    <w:right w:val="single" w:color="000000" w:sz="4" w:space="0"/>
                  </w:tcBorders>
                  <w:vAlign w:val="center"/>
                </w:tcPr>
                <w:p w14:paraId="4DD19F96">
                  <w:pPr>
                    <w:spacing w:line="440" w:lineRule="exact"/>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431" w:type="dxa"/>
                  <w:tcBorders>
                    <w:top w:val="single" w:color="000000" w:sz="4" w:space="0"/>
                    <w:left w:val="nil"/>
                    <w:bottom w:val="single" w:color="auto" w:sz="4" w:space="0"/>
                    <w:right w:val="single" w:color="000000" w:sz="4" w:space="0"/>
                  </w:tcBorders>
                  <w:vAlign w:val="center"/>
                </w:tcPr>
                <w:p w14:paraId="7DE4289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0156555A">
              <w:tblPrEx>
                <w:tblCellMar>
                  <w:top w:w="0" w:type="dxa"/>
                  <w:left w:w="0" w:type="dxa"/>
                  <w:bottom w:w="0" w:type="dxa"/>
                  <w:right w:w="0" w:type="dxa"/>
                </w:tblCellMar>
              </w:tblPrEx>
              <w:trPr>
                <w:trHeight w:val="571" w:hRule="atLeast"/>
              </w:trPr>
              <w:tc>
                <w:tcPr>
                  <w:tcW w:w="1314" w:type="dxa"/>
                  <w:tcBorders>
                    <w:top w:val="single" w:color="auto" w:sz="4" w:space="0"/>
                    <w:left w:val="single" w:color="auto" w:sz="4" w:space="0"/>
                    <w:bottom w:val="single" w:color="auto" w:sz="4" w:space="0"/>
                    <w:right w:val="single" w:color="auto" w:sz="4" w:space="0"/>
                  </w:tcBorders>
                  <w:vAlign w:val="center"/>
                </w:tcPr>
                <w:p w14:paraId="37D2C277">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鲜</w:t>
                  </w:r>
                  <w:r>
                    <w:rPr>
                      <w:rFonts w:hint="eastAsia" w:ascii="宋体" w:hAnsi="宋体" w:cs="宋体"/>
                      <w:color w:val="auto"/>
                      <w:spacing w:val="2"/>
                      <w:szCs w:val="21"/>
                      <w:highlight w:val="none"/>
                      <w:lang w:eastAsia="en-US"/>
                    </w:rPr>
                    <w:t>瘦</w:t>
                  </w:r>
                  <w:r>
                    <w:rPr>
                      <w:rFonts w:hint="eastAsia" w:ascii="宋体" w:hAnsi="宋体" w:cs="宋体"/>
                      <w:color w:val="auto"/>
                      <w:szCs w:val="21"/>
                      <w:highlight w:val="none"/>
                      <w:lang w:eastAsia="en-US"/>
                    </w:rPr>
                    <w:t>肉</w:t>
                  </w:r>
                </w:p>
              </w:tc>
              <w:tc>
                <w:tcPr>
                  <w:tcW w:w="5085" w:type="dxa"/>
                  <w:tcBorders>
                    <w:top w:val="single" w:color="auto" w:sz="4" w:space="0"/>
                    <w:left w:val="nil"/>
                    <w:bottom w:val="single" w:color="auto" w:sz="4" w:space="0"/>
                    <w:right w:val="single" w:color="auto" w:sz="4" w:space="0"/>
                  </w:tcBorders>
                  <w:vAlign w:val="center"/>
                </w:tcPr>
                <w:p w14:paraId="2B7B26E6">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洁</w:t>
                  </w:r>
                  <w:r>
                    <w:rPr>
                      <w:rFonts w:hint="eastAsia" w:ascii="宋体" w:hAnsi="宋体" w:cs="宋体"/>
                      <w:color w:val="auto"/>
                      <w:spacing w:val="2"/>
                      <w:szCs w:val="21"/>
                      <w:highlight w:val="none"/>
                    </w:rPr>
                    <w:t>白</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或</w:t>
                  </w:r>
                  <w:r>
                    <w:rPr>
                      <w:rFonts w:hint="eastAsia" w:ascii="宋体" w:hAnsi="宋体" w:cs="宋体"/>
                      <w:color w:val="auto"/>
                      <w:szCs w:val="21"/>
                      <w:highlight w:val="none"/>
                    </w:rPr>
                    <w:t>微</w:t>
                  </w:r>
                  <w:r>
                    <w:rPr>
                      <w:rFonts w:hint="eastAsia" w:ascii="宋体" w:hAnsi="宋体" w:cs="宋体"/>
                      <w:color w:val="auto"/>
                      <w:spacing w:val="-1"/>
                      <w:szCs w:val="21"/>
                      <w:highlight w:val="none"/>
                    </w:rPr>
                    <w:t>湿润，放血状况良好，肉边整齐，无破碎肉，无黏液渗出或很干的表皮，无点状、虫状等小颗粒灰白色寄生虫。弹性良好，压后凹陷立即恢复。具有鲜猪肉正常气味，无泥污、血污、肉边整齐、无碎肉、碎骨，按标准部位分割、精肉无多余脂肪。</w:t>
                  </w:r>
                  <w:r>
                    <w:rPr>
                      <w:rFonts w:hint="eastAsia" w:ascii="宋体" w:hAnsi="宋体" w:cs="宋体"/>
                      <w:color w:val="auto"/>
                      <w:spacing w:val="-1"/>
                      <w:szCs w:val="21"/>
                      <w:highlight w:val="none"/>
                      <w:lang w:eastAsia="en-US"/>
                    </w:rPr>
                    <w:t>无注水。</w:t>
                  </w:r>
                </w:p>
              </w:tc>
              <w:tc>
                <w:tcPr>
                  <w:tcW w:w="2431" w:type="dxa"/>
                  <w:vMerge w:val="restart"/>
                  <w:tcBorders>
                    <w:top w:val="nil"/>
                    <w:left w:val="nil"/>
                    <w:bottom w:val="single" w:color="auto" w:sz="4" w:space="0"/>
                    <w:right w:val="single" w:color="auto" w:sz="4" w:space="0"/>
                  </w:tcBorders>
                  <w:vAlign w:val="center"/>
                </w:tcPr>
                <w:p w14:paraId="2E900CF6">
                  <w:pPr>
                    <w:spacing w:line="440" w:lineRule="exact"/>
                    <w:ind w:left="105"/>
                    <w:rPr>
                      <w:rFonts w:ascii="宋体" w:hAnsi="宋体" w:cs="宋体"/>
                      <w:color w:val="auto"/>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r w14:paraId="6EBA5A87">
              <w:tblPrEx>
                <w:tblCellMar>
                  <w:top w:w="0" w:type="dxa"/>
                  <w:left w:w="0" w:type="dxa"/>
                  <w:bottom w:w="0" w:type="dxa"/>
                  <w:right w:w="0" w:type="dxa"/>
                </w:tblCellMar>
              </w:tblPrEx>
              <w:trPr>
                <w:trHeight w:val="410" w:hRule="atLeast"/>
              </w:trPr>
              <w:tc>
                <w:tcPr>
                  <w:tcW w:w="1314" w:type="dxa"/>
                  <w:tcBorders>
                    <w:top w:val="single" w:color="auto" w:sz="4" w:space="0"/>
                    <w:left w:val="single" w:color="auto" w:sz="4" w:space="0"/>
                    <w:bottom w:val="single" w:color="auto" w:sz="4" w:space="0"/>
                    <w:right w:val="single" w:color="auto" w:sz="4" w:space="0"/>
                  </w:tcBorders>
                  <w:vAlign w:val="center"/>
                </w:tcPr>
                <w:p w14:paraId="39DC0312">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五</w:t>
                  </w:r>
                  <w:r>
                    <w:rPr>
                      <w:rFonts w:hint="eastAsia" w:ascii="宋体" w:hAnsi="宋体" w:cs="宋体"/>
                      <w:color w:val="auto"/>
                      <w:spacing w:val="2"/>
                      <w:szCs w:val="21"/>
                      <w:highlight w:val="none"/>
                      <w:lang w:eastAsia="en-US"/>
                    </w:rPr>
                    <w:t>花</w:t>
                  </w:r>
                  <w:r>
                    <w:rPr>
                      <w:rFonts w:hint="eastAsia" w:ascii="宋体" w:hAnsi="宋体" w:cs="宋体"/>
                      <w:color w:val="auto"/>
                      <w:szCs w:val="21"/>
                      <w:highlight w:val="none"/>
                      <w:lang w:eastAsia="en-US"/>
                    </w:rPr>
                    <w:t>肉</w:t>
                  </w:r>
                </w:p>
              </w:tc>
              <w:tc>
                <w:tcPr>
                  <w:tcW w:w="5085" w:type="dxa"/>
                  <w:tcBorders>
                    <w:top w:val="single" w:color="auto" w:sz="4" w:space="0"/>
                    <w:left w:val="nil"/>
                    <w:bottom w:val="single" w:color="auto" w:sz="4" w:space="0"/>
                    <w:right w:val="single" w:color="auto" w:sz="4" w:space="0"/>
                  </w:tcBorders>
                  <w:vAlign w:val="center"/>
                </w:tcPr>
                <w:p w14:paraId="486EAEB1">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带皮的肥瘦肉，肌肉与脂肪相间多层</w:t>
                  </w:r>
                </w:p>
              </w:tc>
              <w:tc>
                <w:tcPr>
                  <w:tcW w:w="2431" w:type="dxa"/>
                  <w:vMerge w:val="continue"/>
                  <w:tcBorders>
                    <w:top w:val="nil"/>
                    <w:left w:val="nil"/>
                    <w:bottom w:val="single" w:color="auto" w:sz="4" w:space="0"/>
                    <w:right w:val="single" w:color="auto" w:sz="4" w:space="0"/>
                  </w:tcBorders>
                  <w:vAlign w:val="center"/>
                </w:tcPr>
                <w:p w14:paraId="59309E61">
                  <w:pPr>
                    <w:widowControl/>
                    <w:spacing w:line="440" w:lineRule="exact"/>
                    <w:jc w:val="left"/>
                    <w:rPr>
                      <w:rFonts w:ascii="宋体" w:hAnsi="宋体" w:cs="宋体"/>
                      <w:color w:val="auto"/>
                      <w:szCs w:val="21"/>
                      <w:highlight w:val="none"/>
                    </w:rPr>
                  </w:pPr>
                </w:p>
              </w:tc>
            </w:tr>
            <w:tr w14:paraId="535D4A73">
              <w:tblPrEx>
                <w:tblCellMar>
                  <w:top w:w="0" w:type="dxa"/>
                  <w:left w:w="0" w:type="dxa"/>
                  <w:bottom w:w="0" w:type="dxa"/>
                  <w:right w:w="0" w:type="dxa"/>
                </w:tblCellMar>
              </w:tblPrEx>
              <w:trPr>
                <w:trHeight w:val="543" w:hRule="atLeast"/>
              </w:trPr>
              <w:tc>
                <w:tcPr>
                  <w:tcW w:w="1314" w:type="dxa"/>
                  <w:tcBorders>
                    <w:top w:val="single" w:color="auto" w:sz="4" w:space="0"/>
                    <w:left w:val="single" w:color="auto" w:sz="4" w:space="0"/>
                    <w:bottom w:val="single" w:color="auto" w:sz="4" w:space="0"/>
                    <w:right w:val="single" w:color="auto" w:sz="4" w:space="0"/>
                  </w:tcBorders>
                  <w:vAlign w:val="center"/>
                </w:tcPr>
                <w:p w14:paraId="56F0831C">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排</w:t>
                  </w:r>
                  <w:r>
                    <w:rPr>
                      <w:rFonts w:hint="eastAsia" w:ascii="宋体" w:hAnsi="宋体" w:cs="宋体"/>
                      <w:color w:val="auto"/>
                      <w:szCs w:val="21"/>
                      <w:highlight w:val="none"/>
                      <w:lang w:eastAsia="en-US"/>
                    </w:rPr>
                    <w:t>骨</w:t>
                  </w:r>
                </w:p>
              </w:tc>
              <w:tc>
                <w:tcPr>
                  <w:tcW w:w="5085" w:type="dxa"/>
                  <w:tcBorders>
                    <w:top w:val="single" w:color="auto" w:sz="4" w:space="0"/>
                    <w:left w:val="nil"/>
                    <w:bottom w:val="single" w:color="auto" w:sz="4" w:space="0"/>
                    <w:right w:val="single" w:color="auto" w:sz="4" w:space="0"/>
                  </w:tcBorders>
                  <w:vAlign w:val="center"/>
                </w:tcPr>
                <w:p w14:paraId="63E2C09B">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带肉的排骨，排骨带少量肉，不带肥油，厚实，完整，不得剔降，骨肉不分离</w:t>
                  </w:r>
                </w:p>
              </w:tc>
              <w:tc>
                <w:tcPr>
                  <w:tcW w:w="2431" w:type="dxa"/>
                  <w:vMerge w:val="continue"/>
                  <w:tcBorders>
                    <w:top w:val="nil"/>
                    <w:left w:val="nil"/>
                    <w:bottom w:val="single" w:color="auto" w:sz="4" w:space="0"/>
                    <w:right w:val="single" w:color="auto" w:sz="4" w:space="0"/>
                  </w:tcBorders>
                  <w:vAlign w:val="center"/>
                </w:tcPr>
                <w:p w14:paraId="0D03E8AE">
                  <w:pPr>
                    <w:widowControl/>
                    <w:spacing w:line="440" w:lineRule="exact"/>
                    <w:jc w:val="left"/>
                    <w:rPr>
                      <w:rFonts w:ascii="宋体" w:hAnsi="宋体" w:cs="宋体"/>
                      <w:color w:val="auto"/>
                      <w:szCs w:val="21"/>
                      <w:highlight w:val="none"/>
                    </w:rPr>
                  </w:pPr>
                </w:p>
              </w:tc>
            </w:tr>
            <w:tr w14:paraId="180655B6">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6F2D82C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猪肝</w:t>
                  </w:r>
                </w:p>
                <w:p w14:paraId="3FFDE7E7">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猪心</w:t>
                  </w:r>
                </w:p>
              </w:tc>
              <w:tc>
                <w:tcPr>
                  <w:tcW w:w="5085" w:type="dxa"/>
                  <w:tcBorders>
                    <w:top w:val="single" w:color="auto" w:sz="4" w:space="0"/>
                    <w:left w:val="nil"/>
                    <w:bottom w:val="single" w:color="auto" w:sz="4" w:space="0"/>
                    <w:right w:val="single" w:color="auto" w:sz="4" w:space="0"/>
                  </w:tcBorders>
                  <w:vAlign w:val="center"/>
                </w:tcPr>
                <w:p w14:paraId="0AB64EFB">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肝叶完整、暗红、质地柔软、湿润、有光泽、边缘薄，心冠脂肪洁白组织结实有弹性、用手可挤出鲜红的血液和血凝结块</w:t>
                  </w:r>
                </w:p>
              </w:tc>
              <w:tc>
                <w:tcPr>
                  <w:tcW w:w="2431" w:type="dxa"/>
                  <w:vMerge w:val="continue"/>
                  <w:tcBorders>
                    <w:top w:val="nil"/>
                    <w:left w:val="nil"/>
                    <w:bottom w:val="single" w:color="auto" w:sz="4" w:space="0"/>
                    <w:right w:val="single" w:color="auto" w:sz="4" w:space="0"/>
                  </w:tcBorders>
                  <w:vAlign w:val="center"/>
                </w:tcPr>
                <w:p w14:paraId="0F00A04B">
                  <w:pPr>
                    <w:widowControl/>
                    <w:spacing w:line="440" w:lineRule="exact"/>
                    <w:jc w:val="left"/>
                    <w:rPr>
                      <w:rFonts w:ascii="宋体" w:hAnsi="宋体" w:cs="宋体"/>
                      <w:color w:val="auto"/>
                      <w:szCs w:val="21"/>
                      <w:highlight w:val="none"/>
                    </w:rPr>
                  </w:pPr>
                </w:p>
              </w:tc>
            </w:tr>
            <w:tr w14:paraId="1BF53D3D">
              <w:tblPrEx>
                <w:tblCellMar>
                  <w:top w:w="0" w:type="dxa"/>
                  <w:left w:w="0" w:type="dxa"/>
                  <w:bottom w:w="0" w:type="dxa"/>
                  <w:right w:w="0" w:type="dxa"/>
                </w:tblCellMar>
              </w:tblPrEx>
              <w:trPr>
                <w:trHeight w:val="639" w:hRule="atLeast"/>
              </w:trPr>
              <w:tc>
                <w:tcPr>
                  <w:tcW w:w="1314" w:type="dxa"/>
                  <w:tcBorders>
                    <w:top w:val="single" w:color="auto" w:sz="4" w:space="0"/>
                    <w:left w:val="single" w:color="auto" w:sz="4" w:space="0"/>
                    <w:bottom w:val="single" w:color="auto" w:sz="4" w:space="0"/>
                    <w:right w:val="single" w:color="auto" w:sz="4" w:space="0"/>
                  </w:tcBorders>
                  <w:vAlign w:val="center"/>
                </w:tcPr>
                <w:p w14:paraId="201803DC">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腰</w:t>
                  </w:r>
                </w:p>
              </w:tc>
              <w:tc>
                <w:tcPr>
                  <w:tcW w:w="5085" w:type="dxa"/>
                  <w:tcBorders>
                    <w:top w:val="single" w:color="auto" w:sz="4" w:space="0"/>
                    <w:left w:val="nil"/>
                    <w:bottom w:val="single" w:color="auto" w:sz="4" w:space="0"/>
                    <w:right w:val="single" w:color="auto" w:sz="4" w:space="0"/>
                  </w:tcBorders>
                  <w:vAlign w:val="center"/>
                </w:tcPr>
                <w:p w14:paraId="5458E3AA">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表面有一层光亮的薄膜、呈浅红色，柔软有光泽、有弹性</w:t>
                  </w:r>
                </w:p>
              </w:tc>
              <w:tc>
                <w:tcPr>
                  <w:tcW w:w="2431" w:type="dxa"/>
                  <w:vMerge w:val="continue"/>
                  <w:tcBorders>
                    <w:top w:val="nil"/>
                    <w:left w:val="nil"/>
                    <w:bottom w:val="single" w:color="auto" w:sz="4" w:space="0"/>
                    <w:right w:val="single" w:color="auto" w:sz="4" w:space="0"/>
                  </w:tcBorders>
                  <w:vAlign w:val="center"/>
                </w:tcPr>
                <w:p w14:paraId="7122DB4E">
                  <w:pPr>
                    <w:widowControl/>
                    <w:spacing w:line="440" w:lineRule="exact"/>
                    <w:jc w:val="left"/>
                    <w:rPr>
                      <w:rFonts w:ascii="宋体" w:hAnsi="宋体" w:cs="宋体"/>
                      <w:color w:val="auto"/>
                      <w:szCs w:val="21"/>
                      <w:highlight w:val="none"/>
                    </w:rPr>
                  </w:pPr>
                </w:p>
              </w:tc>
            </w:tr>
            <w:tr w14:paraId="73376DEA">
              <w:tblPrEx>
                <w:tblCellMar>
                  <w:top w:w="0" w:type="dxa"/>
                  <w:left w:w="0" w:type="dxa"/>
                  <w:bottom w:w="0" w:type="dxa"/>
                  <w:right w:w="0" w:type="dxa"/>
                </w:tblCellMar>
              </w:tblPrEx>
              <w:trPr>
                <w:trHeight w:val="714" w:hRule="atLeast"/>
              </w:trPr>
              <w:tc>
                <w:tcPr>
                  <w:tcW w:w="1314" w:type="dxa"/>
                  <w:tcBorders>
                    <w:top w:val="single" w:color="auto" w:sz="4" w:space="0"/>
                    <w:left w:val="single" w:color="auto" w:sz="4" w:space="0"/>
                    <w:bottom w:val="single" w:color="auto" w:sz="4" w:space="0"/>
                    <w:right w:val="single" w:color="auto" w:sz="4" w:space="0"/>
                  </w:tcBorders>
                  <w:vAlign w:val="center"/>
                </w:tcPr>
                <w:p w14:paraId="0E35D1B3">
                  <w:pPr>
                    <w:spacing w:line="440" w:lineRule="exact"/>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肚</w:t>
                  </w:r>
                </w:p>
              </w:tc>
              <w:tc>
                <w:tcPr>
                  <w:tcW w:w="5085" w:type="dxa"/>
                  <w:tcBorders>
                    <w:top w:val="single" w:color="auto" w:sz="4" w:space="0"/>
                    <w:left w:val="nil"/>
                    <w:bottom w:val="single" w:color="auto" w:sz="4" w:space="0"/>
                    <w:right w:val="single" w:color="auto" w:sz="4" w:space="0"/>
                  </w:tcBorders>
                  <w:vAlign w:val="center"/>
                </w:tcPr>
                <w:p w14:paraId="41BA75AD">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猪肚呈浅白、色泽光润、不带肥油、内部干净、无异物、极小味道</w:t>
                  </w:r>
                </w:p>
              </w:tc>
              <w:tc>
                <w:tcPr>
                  <w:tcW w:w="2431" w:type="dxa"/>
                  <w:vMerge w:val="continue"/>
                  <w:tcBorders>
                    <w:top w:val="nil"/>
                    <w:left w:val="nil"/>
                    <w:bottom w:val="single" w:color="auto" w:sz="4" w:space="0"/>
                    <w:right w:val="single" w:color="auto" w:sz="4" w:space="0"/>
                  </w:tcBorders>
                  <w:vAlign w:val="center"/>
                </w:tcPr>
                <w:p w14:paraId="294149C9">
                  <w:pPr>
                    <w:widowControl/>
                    <w:spacing w:line="440" w:lineRule="exact"/>
                    <w:jc w:val="left"/>
                    <w:rPr>
                      <w:rFonts w:ascii="宋体" w:hAnsi="宋体" w:cs="宋体"/>
                      <w:color w:val="auto"/>
                      <w:szCs w:val="21"/>
                      <w:highlight w:val="none"/>
                    </w:rPr>
                  </w:pPr>
                </w:p>
              </w:tc>
            </w:tr>
            <w:tr w14:paraId="260DA4EE">
              <w:tblPrEx>
                <w:tblCellMar>
                  <w:top w:w="0" w:type="dxa"/>
                  <w:left w:w="0" w:type="dxa"/>
                  <w:bottom w:w="0" w:type="dxa"/>
                  <w:right w:w="0" w:type="dxa"/>
                </w:tblCellMar>
              </w:tblPrEx>
              <w:trPr>
                <w:trHeight w:val="983" w:hRule="atLeast"/>
              </w:trPr>
              <w:tc>
                <w:tcPr>
                  <w:tcW w:w="1314" w:type="dxa"/>
                  <w:tcBorders>
                    <w:top w:val="single" w:color="auto" w:sz="4" w:space="0"/>
                    <w:left w:val="single" w:color="auto" w:sz="4" w:space="0"/>
                    <w:bottom w:val="single" w:color="auto" w:sz="4" w:space="0"/>
                    <w:right w:val="single" w:color="auto" w:sz="4" w:space="0"/>
                  </w:tcBorders>
                  <w:vAlign w:val="center"/>
                </w:tcPr>
                <w:p w14:paraId="68065AFF">
                  <w:pPr>
                    <w:spacing w:line="440" w:lineRule="exact"/>
                    <w:jc w:val="center"/>
                    <w:rPr>
                      <w:rFonts w:ascii="宋体" w:hAnsi="宋体" w:cs="宋体"/>
                      <w:color w:val="auto"/>
                      <w:szCs w:val="21"/>
                      <w:highlight w:val="none"/>
                    </w:rPr>
                  </w:pPr>
                  <w:r>
                    <w:rPr>
                      <w:rFonts w:hint="eastAsia" w:ascii="宋体" w:hAnsi="宋体" w:cs="宋体"/>
                      <w:color w:val="auto"/>
                      <w:spacing w:val="-1"/>
                      <w:szCs w:val="21"/>
                      <w:highlight w:val="none"/>
                      <w:lang w:eastAsia="en-US"/>
                    </w:rPr>
                    <w:t>猪</w:t>
                  </w:r>
                  <w:r>
                    <w:rPr>
                      <w:rFonts w:hint="eastAsia" w:ascii="宋体" w:hAnsi="宋体" w:cs="宋体"/>
                      <w:color w:val="auto"/>
                      <w:spacing w:val="-1"/>
                      <w:szCs w:val="21"/>
                      <w:highlight w:val="none"/>
                    </w:rPr>
                    <w:t>脚</w:t>
                  </w:r>
                </w:p>
              </w:tc>
              <w:tc>
                <w:tcPr>
                  <w:tcW w:w="5085" w:type="dxa"/>
                  <w:tcBorders>
                    <w:top w:val="single" w:color="auto" w:sz="4" w:space="0"/>
                    <w:left w:val="nil"/>
                    <w:bottom w:val="single" w:color="auto" w:sz="4" w:space="0"/>
                    <w:right w:val="single" w:color="auto" w:sz="4" w:space="0"/>
                  </w:tcBorders>
                  <w:vAlign w:val="center"/>
                </w:tcPr>
                <w:p w14:paraId="56DDE7B7">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腿骨，圆管形、浅黄骨髓充满全部管状骨腔，带部分肌肉、干净、完整、无毛、无黑斑、无指甲、表皮光滑、肉质有弹性</w:t>
                  </w:r>
                </w:p>
              </w:tc>
              <w:tc>
                <w:tcPr>
                  <w:tcW w:w="2431" w:type="dxa"/>
                  <w:vMerge w:val="continue"/>
                  <w:tcBorders>
                    <w:top w:val="nil"/>
                    <w:left w:val="nil"/>
                    <w:bottom w:val="single" w:color="auto" w:sz="4" w:space="0"/>
                    <w:right w:val="single" w:color="auto" w:sz="4" w:space="0"/>
                  </w:tcBorders>
                  <w:vAlign w:val="center"/>
                </w:tcPr>
                <w:p w14:paraId="1A0F33B8">
                  <w:pPr>
                    <w:widowControl/>
                    <w:spacing w:line="440" w:lineRule="exact"/>
                    <w:jc w:val="left"/>
                    <w:rPr>
                      <w:rFonts w:ascii="宋体" w:hAnsi="宋体" w:cs="宋体"/>
                      <w:color w:val="auto"/>
                      <w:szCs w:val="21"/>
                      <w:highlight w:val="none"/>
                    </w:rPr>
                  </w:pPr>
                </w:p>
              </w:tc>
            </w:tr>
          </w:tbl>
          <w:p w14:paraId="32270CC2">
            <w:pPr>
              <w:spacing w:line="440" w:lineRule="exact"/>
              <w:ind w:firstLine="214"/>
              <w:rPr>
                <w:rFonts w:ascii="宋体" w:hAnsi="宋体" w:cs="宋体"/>
                <w:color w:val="auto"/>
                <w:spacing w:val="-1"/>
                <w:szCs w:val="21"/>
                <w:highlight w:val="none"/>
              </w:rPr>
            </w:pP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2</w:t>
            </w:r>
            <w:r>
              <w:rPr>
                <w:rFonts w:hint="eastAsia" w:ascii="宋体" w:hAnsi="宋体" w:cs="宋体"/>
                <w:color w:val="auto"/>
                <w:spacing w:val="2"/>
                <w:szCs w:val="21"/>
                <w:highlight w:val="none"/>
              </w:rPr>
              <w:t>）鲜牛</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、鲜羊</w:t>
            </w:r>
            <w:r>
              <w:rPr>
                <w:rFonts w:hint="eastAsia" w:ascii="宋体" w:hAnsi="宋体" w:cs="宋体"/>
                <w:color w:val="auto"/>
                <w:szCs w:val="21"/>
                <w:highlight w:val="none"/>
              </w:rPr>
              <w:t>肉</w:t>
            </w:r>
          </w:p>
          <w:tbl>
            <w:tblPr>
              <w:tblStyle w:val="48"/>
              <w:tblW w:w="8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0"/>
              <w:gridCol w:w="4961"/>
              <w:gridCol w:w="2435"/>
            </w:tblGrid>
            <w:tr w14:paraId="6C2C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1300" w:type="dxa"/>
                  <w:tcBorders>
                    <w:top w:val="single" w:color="auto" w:sz="4" w:space="0"/>
                    <w:left w:val="single" w:color="auto" w:sz="4" w:space="0"/>
                    <w:bottom w:val="single" w:color="auto" w:sz="4" w:space="0"/>
                    <w:right w:val="single" w:color="auto" w:sz="4" w:space="0"/>
                  </w:tcBorders>
                </w:tcPr>
                <w:p w14:paraId="1F2148B1">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4961" w:type="dxa"/>
                  <w:tcBorders>
                    <w:top w:val="single" w:color="auto" w:sz="4" w:space="0"/>
                    <w:left w:val="single" w:color="auto" w:sz="4" w:space="0"/>
                    <w:bottom w:val="single" w:color="auto" w:sz="4" w:space="0"/>
                    <w:right w:val="single" w:color="auto" w:sz="4" w:space="0"/>
                  </w:tcBorders>
                </w:tcPr>
                <w:p w14:paraId="5AEE7C73">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35" w:type="dxa"/>
                  <w:tcBorders>
                    <w:top w:val="single" w:color="auto" w:sz="4" w:space="0"/>
                    <w:left w:val="single" w:color="auto" w:sz="4" w:space="0"/>
                    <w:bottom w:val="single" w:color="auto" w:sz="4" w:space="0"/>
                    <w:right w:val="single" w:color="auto" w:sz="4" w:space="0"/>
                  </w:tcBorders>
                </w:tcPr>
                <w:p w14:paraId="0A2932EE">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3E94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trPr>
              <w:tc>
                <w:tcPr>
                  <w:tcW w:w="1300" w:type="dxa"/>
                  <w:tcBorders>
                    <w:top w:val="single" w:color="auto" w:sz="4" w:space="0"/>
                    <w:left w:val="single" w:color="auto" w:sz="4" w:space="0"/>
                    <w:bottom w:val="single" w:color="auto" w:sz="4" w:space="0"/>
                    <w:right w:val="single" w:color="auto" w:sz="4" w:space="0"/>
                  </w:tcBorders>
                  <w:vAlign w:val="center"/>
                </w:tcPr>
                <w:p w14:paraId="5A5D24AC">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鲜牛肉</w:t>
                  </w:r>
                </w:p>
              </w:tc>
              <w:tc>
                <w:tcPr>
                  <w:tcW w:w="4961" w:type="dxa"/>
                  <w:tcBorders>
                    <w:top w:val="single" w:color="auto" w:sz="4" w:space="0"/>
                    <w:left w:val="single" w:color="auto" w:sz="4" w:space="0"/>
                    <w:bottom w:val="single" w:color="auto" w:sz="4" w:space="0"/>
                    <w:right w:val="single" w:color="auto" w:sz="4" w:space="0"/>
                  </w:tcBorders>
                  <w:vAlign w:val="center"/>
                </w:tcPr>
                <w:p w14:paraId="4254B286">
                  <w:pPr>
                    <w:spacing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肉色深红、肉质有弹性、指压陷部分立刻恢复，切面有光泽及微湿润，极小渗出物；具有浓郁的牛肉气味，脂肪白色或乳白色，无寄生虫，无注水</w:t>
                  </w:r>
                </w:p>
              </w:tc>
              <w:tc>
                <w:tcPr>
                  <w:tcW w:w="2435" w:type="dxa"/>
                  <w:vMerge w:val="restart"/>
                  <w:tcBorders>
                    <w:top w:val="nil"/>
                    <w:left w:val="single" w:color="auto" w:sz="4" w:space="0"/>
                    <w:bottom w:val="single" w:color="auto" w:sz="4" w:space="0"/>
                    <w:right w:val="single" w:color="auto" w:sz="4" w:space="0"/>
                  </w:tcBorders>
                  <w:vAlign w:val="center"/>
                </w:tcPr>
                <w:p w14:paraId="4651A8EE">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r w14:paraId="4BD0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1300" w:type="dxa"/>
                  <w:tcBorders>
                    <w:top w:val="single" w:color="auto" w:sz="4" w:space="0"/>
                    <w:left w:val="single" w:color="auto" w:sz="4" w:space="0"/>
                    <w:bottom w:val="single" w:color="auto" w:sz="4" w:space="0"/>
                    <w:right w:val="single" w:color="auto" w:sz="4" w:space="0"/>
                  </w:tcBorders>
                  <w:vAlign w:val="center"/>
                </w:tcPr>
                <w:p w14:paraId="03F7145C">
                  <w:pPr>
                    <w:spacing w:line="440" w:lineRule="exact"/>
                    <w:ind w:left="105"/>
                    <w:jc w:val="center"/>
                    <w:rPr>
                      <w:rFonts w:ascii="宋体" w:hAnsi="宋体" w:cs="宋体"/>
                      <w:color w:val="auto"/>
                      <w:spacing w:val="-1"/>
                      <w:szCs w:val="21"/>
                      <w:highlight w:val="none"/>
                      <w:lang w:eastAsia="en-US"/>
                    </w:rPr>
                  </w:pPr>
                  <w:r>
                    <w:rPr>
                      <w:rFonts w:hint="eastAsia" w:ascii="宋体" w:hAnsi="宋体" w:cs="宋体"/>
                      <w:color w:val="auto"/>
                      <w:spacing w:val="-1"/>
                      <w:szCs w:val="21"/>
                      <w:highlight w:val="none"/>
                      <w:lang w:eastAsia="en-US"/>
                    </w:rPr>
                    <w:t>鲜羊肉</w:t>
                  </w:r>
                </w:p>
              </w:tc>
              <w:tc>
                <w:tcPr>
                  <w:tcW w:w="4961" w:type="dxa"/>
                  <w:tcBorders>
                    <w:top w:val="single" w:color="auto" w:sz="4" w:space="0"/>
                    <w:left w:val="single" w:color="auto" w:sz="4" w:space="0"/>
                    <w:bottom w:val="single" w:color="auto" w:sz="4" w:space="0"/>
                    <w:right w:val="single" w:color="auto" w:sz="4" w:space="0"/>
                  </w:tcBorders>
                  <w:vAlign w:val="center"/>
                </w:tcPr>
                <w:p w14:paraId="38D4BA9B">
                  <w:pPr>
                    <w:spacing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肉色为均匀的红色、有光泽、肉质紧密而细腻、有弹性、外表微干、不粘手、肉皮为白至浅灰白色、无注水。</w:t>
                  </w:r>
                </w:p>
              </w:tc>
              <w:tc>
                <w:tcPr>
                  <w:tcW w:w="2435" w:type="dxa"/>
                  <w:vMerge w:val="continue"/>
                  <w:tcBorders>
                    <w:top w:val="nil"/>
                    <w:left w:val="single" w:color="auto" w:sz="4" w:space="0"/>
                    <w:bottom w:val="single" w:color="auto" w:sz="4" w:space="0"/>
                    <w:right w:val="single" w:color="auto" w:sz="4" w:space="0"/>
                  </w:tcBorders>
                  <w:vAlign w:val="center"/>
                </w:tcPr>
                <w:p w14:paraId="54079417">
                  <w:pPr>
                    <w:widowControl/>
                    <w:spacing w:line="440" w:lineRule="exact"/>
                    <w:jc w:val="left"/>
                    <w:rPr>
                      <w:rFonts w:ascii="宋体" w:hAnsi="宋体" w:cs="宋体"/>
                      <w:color w:val="auto"/>
                      <w:spacing w:val="-1"/>
                      <w:szCs w:val="21"/>
                      <w:highlight w:val="none"/>
                    </w:rPr>
                  </w:pPr>
                </w:p>
              </w:tc>
            </w:tr>
          </w:tbl>
          <w:p w14:paraId="59905F0F">
            <w:pPr>
              <w:spacing w:line="440" w:lineRule="exact"/>
              <w:ind w:firstLine="208"/>
              <w:rPr>
                <w:rFonts w:ascii="宋体" w:hAnsi="宋体" w:cs="宋体"/>
                <w:color w:val="auto"/>
                <w:spacing w:val="-1"/>
                <w:szCs w:val="21"/>
                <w:highlight w:val="none"/>
              </w:rPr>
            </w:pPr>
            <w:r>
              <w:rPr>
                <w:rFonts w:hint="eastAsia" w:ascii="宋体" w:hAnsi="宋体" w:cs="宋体"/>
                <w:color w:val="auto"/>
                <w:spacing w:val="-1"/>
                <w:szCs w:val="21"/>
                <w:highlight w:val="none"/>
              </w:rPr>
              <w:t>（3）牛腩</w:t>
            </w:r>
          </w:p>
          <w:tbl>
            <w:tblPr>
              <w:tblStyle w:val="4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85"/>
              <w:gridCol w:w="4765"/>
              <w:gridCol w:w="2450"/>
            </w:tblGrid>
            <w:tr w14:paraId="5C0F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85" w:type="dxa"/>
                  <w:tcBorders>
                    <w:top w:val="single" w:color="auto" w:sz="4" w:space="0"/>
                    <w:left w:val="single" w:color="auto" w:sz="4" w:space="0"/>
                    <w:bottom w:val="single" w:color="auto" w:sz="4" w:space="0"/>
                    <w:right w:val="single" w:color="auto" w:sz="4" w:space="0"/>
                  </w:tcBorders>
                </w:tcPr>
                <w:p w14:paraId="129BA97B">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4765" w:type="dxa"/>
                  <w:tcBorders>
                    <w:top w:val="single" w:color="auto" w:sz="4" w:space="0"/>
                    <w:left w:val="single" w:color="auto" w:sz="4" w:space="0"/>
                    <w:bottom w:val="single" w:color="auto" w:sz="4" w:space="0"/>
                    <w:right w:val="single" w:color="auto" w:sz="4" w:space="0"/>
                  </w:tcBorders>
                </w:tcPr>
                <w:p w14:paraId="78C17DCA">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50" w:type="dxa"/>
                  <w:tcBorders>
                    <w:top w:val="single" w:color="auto" w:sz="4" w:space="0"/>
                    <w:left w:val="single" w:color="auto" w:sz="4" w:space="0"/>
                    <w:bottom w:val="single" w:color="auto" w:sz="4" w:space="0"/>
                    <w:right w:val="single" w:color="auto" w:sz="4" w:space="0"/>
                  </w:tcBorders>
                </w:tcPr>
                <w:p w14:paraId="3203B1BC">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1DC7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5" w:hRule="atLeast"/>
              </w:trPr>
              <w:tc>
                <w:tcPr>
                  <w:tcW w:w="1285" w:type="dxa"/>
                  <w:tcBorders>
                    <w:top w:val="single" w:color="auto" w:sz="4" w:space="0"/>
                    <w:left w:val="single" w:color="auto" w:sz="4" w:space="0"/>
                    <w:bottom w:val="single" w:color="auto" w:sz="4" w:space="0"/>
                    <w:right w:val="single" w:color="auto" w:sz="4" w:space="0"/>
                  </w:tcBorders>
                  <w:vAlign w:val="center"/>
                </w:tcPr>
                <w:p w14:paraId="1A179DEE">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牛腩</w:t>
                  </w:r>
                </w:p>
              </w:tc>
              <w:tc>
                <w:tcPr>
                  <w:tcW w:w="4765" w:type="dxa"/>
                  <w:tcBorders>
                    <w:top w:val="single" w:color="auto" w:sz="4" w:space="0"/>
                    <w:left w:val="single" w:color="auto" w:sz="4" w:space="0"/>
                    <w:bottom w:val="single" w:color="auto" w:sz="4" w:space="0"/>
                    <w:right w:val="single" w:color="auto" w:sz="4" w:space="0"/>
                  </w:tcBorders>
                  <w:vAlign w:val="center"/>
                </w:tcPr>
                <w:p w14:paraId="171266F1">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肉色为均匀的红色、有光泽、肉质紧密面细腻，有弹性、外表微干、不粘手、肉皮为白至浅灰白色、无注水</w:t>
                  </w:r>
                </w:p>
              </w:tc>
              <w:tc>
                <w:tcPr>
                  <w:tcW w:w="2450" w:type="dxa"/>
                  <w:tcBorders>
                    <w:top w:val="single" w:color="auto" w:sz="4" w:space="0"/>
                    <w:left w:val="single" w:color="auto" w:sz="4" w:space="0"/>
                    <w:bottom w:val="single" w:color="auto" w:sz="4" w:space="0"/>
                    <w:right w:val="single" w:color="auto" w:sz="4" w:space="0"/>
                  </w:tcBorders>
                </w:tcPr>
                <w:p w14:paraId="06568F51">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bl>
          <w:p w14:paraId="33C4E8A3">
            <w:pPr>
              <w:spacing w:line="440" w:lineRule="exact"/>
              <w:ind w:firstLine="416"/>
              <w:rPr>
                <w:rFonts w:ascii="宋体" w:hAnsi="宋体" w:cs="宋体"/>
                <w:color w:val="auto"/>
                <w:spacing w:val="-1"/>
                <w:szCs w:val="21"/>
                <w:highlight w:val="none"/>
              </w:rPr>
            </w:pPr>
            <w:r>
              <w:rPr>
                <w:rFonts w:hint="eastAsia" w:ascii="宋体" w:hAnsi="宋体" w:cs="宋体"/>
                <w:color w:val="auto"/>
                <w:spacing w:val="-1"/>
                <w:szCs w:val="21"/>
                <w:highlight w:val="none"/>
              </w:rPr>
              <w:t>（4）鲜鸭</w:t>
            </w:r>
          </w:p>
          <w:tbl>
            <w:tblPr>
              <w:tblStyle w:val="48"/>
              <w:tblW w:w="8830" w:type="dxa"/>
              <w:tblInd w:w="0" w:type="dxa"/>
              <w:tblLayout w:type="fixed"/>
              <w:tblCellMar>
                <w:top w:w="0" w:type="dxa"/>
                <w:left w:w="0" w:type="dxa"/>
                <w:bottom w:w="0" w:type="dxa"/>
                <w:right w:w="0" w:type="dxa"/>
              </w:tblCellMar>
            </w:tblPr>
            <w:tblGrid>
              <w:gridCol w:w="1270"/>
              <w:gridCol w:w="5100"/>
              <w:gridCol w:w="2460"/>
            </w:tblGrid>
            <w:tr w14:paraId="2B4D6677">
              <w:tblPrEx>
                <w:tblCellMar>
                  <w:top w:w="0" w:type="dxa"/>
                  <w:left w:w="0" w:type="dxa"/>
                  <w:bottom w:w="0" w:type="dxa"/>
                  <w:right w:w="0" w:type="dxa"/>
                </w:tblCellMar>
              </w:tblPrEx>
              <w:trPr>
                <w:trHeight w:val="410" w:hRule="atLeast"/>
              </w:trPr>
              <w:tc>
                <w:tcPr>
                  <w:tcW w:w="1270" w:type="dxa"/>
                  <w:tcBorders>
                    <w:top w:val="single" w:color="000000" w:sz="4" w:space="0"/>
                    <w:left w:val="single" w:color="000000" w:sz="4" w:space="0"/>
                    <w:bottom w:val="single" w:color="auto" w:sz="4" w:space="0"/>
                    <w:right w:val="single" w:color="000000" w:sz="4" w:space="0"/>
                  </w:tcBorders>
                  <w:vAlign w:val="center"/>
                </w:tcPr>
                <w:p w14:paraId="241D8132">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品名</w:t>
                  </w:r>
                </w:p>
              </w:tc>
              <w:tc>
                <w:tcPr>
                  <w:tcW w:w="5100" w:type="dxa"/>
                  <w:tcBorders>
                    <w:top w:val="single" w:color="000000" w:sz="4" w:space="0"/>
                    <w:left w:val="nil"/>
                    <w:bottom w:val="single" w:color="auto" w:sz="4" w:space="0"/>
                    <w:right w:val="single" w:color="000000" w:sz="4" w:space="0"/>
                  </w:tcBorders>
                  <w:vAlign w:val="center"/>
                </w:tcPr>
                <w:p w14:paraId="1AF215B0">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质量验收标准</w:t>
                  </w:r>
                </w:p>
              </w:tc>
              <w:tc>
                <w:tcPr>
                  <w:tcW w:w="2460" w:type="dxa"/>
                  <w:tcBorders>
                    <w:top w:val="single" w:color="000000" w:sz="4" w:space="0"/>
                    <w:left w:val="nil"/>
                    <w:bottom w:val="single" w:color="auto" w:sz="4" w:space="0"/>
                    <w:right w:val="single" w:color="000000" w:sz="4" w:space="0"/>
                  </w:tcBorders>
                  <w:vAlign w:val="center"/>
                </w:tcPr>
                <w:p w14:paraId="5436AF18">
                  <w:pPr>
                    <w:spacing w:before="40"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扣秤标准</w:t>
                  </w:r>
                </w:p>
              </w:tc>
            </w:tr>
            <w:tr w14:paraId="5040C53B">
              <w:tblPrEx>
                <w:tblCellMar>
                  <w:top w:w="0" w:type="dxa"/>
                  <w:left w:w="0" w:type="dxa"/>
                  <w:bottom w:w="0" w:type="dxa"/>
                  <w:right w:w="0" w:type="dxa"/>
                </w:tblCellMar>
              </w:tblPrEx>
              <w:trPr>
                <w:trHeight w:val="1614" w:hRule="atLeast"/>
              </w:trPr>
              <w:tc>
                <w:tcPr>
                  <w:tcW w:w="1270" w:type="dxa"/>
                  <w:tcBorders>
                    <w:top w:val="single" w:color="auto" w:sz="4" w:space="0"/>
                    <w:left w:val="single" w:color="auto" w:sz="4" w:space="0"/>
                    <w:bottom w:val="single" w:color="auto" w:sz="4" w:space="0"/>
                    <w:right w:val="single" w:color="auto" w:sz="4" w:space="0"/>
                  </w:tcBorders>
                  <w:vAlign w:val="center"/>
                </w:tcPr>
                <w:p w14:paraId="6F8917DC">
                  <w:pPr>
                    <w:spacing w:line="440" w:lineRule="exact"/>
                    <w:ind w:left="105"/>
                    <w:jc w:val="center"/>
                    <w:rPr>
                      <w:rFonts w:ascii="宋体" w:hAnsi="宋体" w:cs="宋体"/>
                      <w:color w:val="auto"/>
                      <w:spacing w:val="-1"/>
                      <w:szCs w:val="21"/>
                      <w:highlight w:val="none"/>
                    </w:rPr>
                  </w:pPr>
                  <w:r>
                    <w:rPr>
                      <w:rFonts w:hint="eastAsia" w:ascii="宋体" w:hAnsi="宋体" w:cs="宋体"/>
                      <w:color w:val="auto"/>
                      <w:spacing w:val="-1"/>
                      <w:szCs w:val="21"/>
                      <w:highlight w:val="none"/>
                    </w:rPr>
                    <w:t>鲜鸭</w:t>
                  </w:r>
                </w:p>
              </w:tc>
              <w:tc>
                <w:tcPr>
                  <w:tcW w:w="5100" w:type="dxa"/>
                  <w:tcBorders>
                    <w:top w:val="single" w:color="auto" w:sz="4" w:space="0"/>
                    <w:left w:val="nil"/>
                    <w:bottom w:val="single" w:color="auto" w:sz="4" w:space="0"/>
                    <w:right w:val="single" w:color="auto" w:sz="4" w:space="0"/>
                  </w:tcBorders>
                  <w:vAlign w:val="center"/>
                </w:tcPr>
                <w:p w14:paraId="79655345">
                  <w:pPr>
                    <w:spacing w:line="440" w:lineRule="exact"/>
                    <w:ind w:left="105"/>
                    <w:jc w:val="left"/>
                    <w:rPr>
                      <w:rFonts w:ascii="宋体" w:hAnsi="宋体" w:cs="宋体"/>
                      <w:color w:val="auto"/>
                      <w:spacing w:val="-1"/>
                      <w:szCs w:val="21"/>
                      <w:highlight w:val="none"/>
                    </w:rPr>
                  </w:pPr>
                  <w:r>
                    <w:rPr>
                      <w:rFonts w:hint="eastAsia" w:ascii="宋体" w:hAnsi="宋体" w:cs="宋体"/>
                      <w:color w:val="auto"/>
                      <w:spacing w:val="-1"/>
                      <w:szCs w:val="21"/>
                      <w:highlight w:val="none"/>
                    </w:rPr>
                    <w:t>表皮光滑而有光泽、肉质弹性好且丰满、表皮无毛或少毛、无破皮、无花皮、无显眼淤块；无注水、肚内无一切内脏、无血水、无异味</w:t>
                  </w:r>
                </w:p>
              </w:tc>
              <w:tc>
                <w:tcPr>
                  <w:tcW w:w="2460" w:type="dxa"/>
                  <w:tcBorders>
                    <w:top w:val="single" w:color="auto" w:sz="4" w:space="0"/>
                    <w:left w:val="nil"/>
                    <w:bottom w:val="single" w:color="auto" w:sz="4" w:space="0"/>
                    <w:right w:val="single" w:color="auto" w:sz="4" w:space="0"/>
                  </w:tcBorders>
                  <w:vAlign w:val="center"/>
                </w:tcPr>
                <w:p w14:paraId="3F38841D">
                  <w:pPr>
                    <w:spacing w:before="41" w:line="440" w:lineRule="exact"/>
                    <w:ind w:left="105"/>
                    <w:rPr>
                      <w:rFonts w:ascii="宋体" w:hAnsi="宋体" w:cs="宋体"/>
                      <w:color w:val="auto"/>
                      <w:spacing w:val="-1"/>
                      <w:szCs w:val="21"/>
                      <w:highlight w:val="none"/>
                    </w:rPr>
                  </w:pPr>
                  <w:r>
                    <w:rPr>
                      <w:rFonts w:hint="eastAsia" w:ascii="宋体" w:hAnsi="宋体" w:cs="宋体"/>
                      <w:color w:val="auto"/>
                      <w:spacing w:val="-1"/>
                      <w:szCs w:val="21"/>
                      <w:highlight w:val="none"/>
                    </w:rPr>
                    <w:t>根据现场实际情况和实际需求量，临场与中标供应商协议扣秤1-5%，严重不符合质量标准者可拒收</w:t>
                  </w:r>
                </w:p>
              </w:tc>
            </w:tr>
          </w:tbl>
          <w:p w14:paraId="565AC564">
            <w:p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 xml:space="preserve"> （5）鲜鸡</w:t>
            </w:r>
          </w:p>
          <w:tbl>
            <w:tblPr>
              <w:tblStyle w:val="4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115"/>
              <w:gridCol w:w="2450"/>
            </w:tblGrid>
            <w:tr w14:paraId="4154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1255" w:type="dxa"/>
                  <w:tcBorders>
                    <w:top w:val="single" w:color="auto" w:sz="4" w:space="0"/>
                    <w:left w:val="single" w:color="auto" w:sz="4" w:space="0"/>
                    <w:bottom w:val="single" w:color="auto" w:sz="4" w:space="0"/>
                    <w:right w:val="single" w:color="auto" w:sz="4" w:space="0"/>
                  </w:tcBorders>
                  <w:vAlign w:val="center"/>
                </w:tcPr>
                <w:p w14:paraId="735374A7">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115" w:type="dxa"/>
                  <w:tcBorders>
                    <w:top w:val="single" w:color="auto" w:sz="4" w:space="0"/>
                    <w:left w:val="single" w:color="auto" w:sz="4" w:space="0"/>
                    <w:bottom w:val="single" w:color="auto" w:sz="4" w:space="0"/>
                    <w:right w:val="single" w:color="auto" w:sz="4" w:space="0"/>
                  </w:tcBorders>
                  <w:vAlign w:val="center"/>
                </w:tcPr>
                <w:p w14:paraId="63AF1703">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450" w:type="dxa"/>
                  <w:tcBorders>
                    <w:top w:val="single" w:color="auto" w:sz="4" w:space="0"/>
                    <w:left w:val="single" w:color="auto" w:sz="4" w:space="0"/>
                    <w:bottom w:val="single" w:color="auto" w:sz="4" w:space="0"/>
                    <w:right w:val="single" w:color="auto" w:sz="4" w:space="0"/>
                  </w:tcBorders>
                  <w:vAlign w:val="center"/>
                </w:tcPr>
                <w:p w14:paraId="4F12C11B">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409B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1255" w:type="dxa"/>
                  <w:tcBorders>
                    <w:top w:val="single" w:color="auto" w:sz="4" w:space="0"/>
                    <w:left w:val="single" w:color="auto" w:sz="4" w:space="0"/>
                    <w:bottom w:val="single" w:color="auto" w:sz="4" w:space="0"/>
                    <w:right w:val="single" w:color="auto" w:sz="4" w:space="0"/>
                  </w:tcBorders>
                  <w:vAlign w:val="center"/>
                </w:tcPr>
                <w:p w14:paraId="5E721801">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鲜</w:t>
                  </w:r>
                  <w:r>
                    <w:rPr>
                      <w:rFonts w:hint="eastAsia" w:ascii="宋体" w:hAnsi="宋体" w:cs="宋体"/>
                      <w:color w:val="auto"/>
                      <w:szCs w:val="21"/>
                      <w:highlight w:val="none"/>
                    </w:rPr>
                    <w:t>鸡</w:t>
                  </w:r>
                </w:p>
              </w:tc>
              <w:tc>
                <w:tcPr>
                  <w:tcW w:w="5115" w:type="dxa"/>
                  <w:tcBorders>
                    <w:top w:val="single" w:color="auto" w:sz="4" w:space="0"/>
                    <w:left w:val="single" w:color="auto" w:sz="4" w:space="0"/>
                    <w:bottom w:val="single" w:color="auto" w:sz="4" w:space="0"/>
                    <w:right w:val="single" w:color="auto" w:sz="4" w:space="0"/>
                  </w:tcBorders>
                  <w:vAlign w:val="center"/>
                </w:tcPr>
                <w:p w14:paraId="5A0FB760">
                  <w:pPr>
                    <w:spacing w:line="440" w:lineRule="exact"/>
                    <w:ind w:left="105"/>
                    <w:rPr>
                      <w:rFonts w:ascii="宋体" w:hAnsi="宋体" w:cs="宋体"/>
                      <w:color w:val="auto"/>
                      <w:szCs w:val="21"/>
                      <w:highlight w:val="none"/>
                    </w:rPr>
                  </w:pPr>
                  <w:r>
                    <w:rPr>
                      <w:rFonts w:hint="eastAsia" w:ascii="宋体" w:hAnsi="宋体" w:cs="宋体"/>
                      <w:color w:val="auto"/>
                      <w:spacing w:val="-1"/>
                      <w:szCs w:val="21"/>
                      <w:highlight w:val="none"/>
                    </w:rPr>
                    <w:t>具</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该</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种</w:t>
                  </w:r>
                  <w:r>
                    <w:rPr>
                      <w:rFonts w:hint="eastAsia" w:ascii="宋体" w:hAnsi="宋体" w:cs="宋体"/>
                      <w:color w:val="auto"/>
                      <w:spacing w:val="2"/>
                      <w:szCs w:val="21"/>
                      <w:highlight w:val="none"/>
                    </w:rPr>
                    <w:t>应</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形</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28"/>
                      <w:szCs w:val="21"/>
                      <w:highlight w:val="none"/>
                    </w:rPr>
                    <w:t>、</w:t>
                  </w:r>
                  <w:r>
                    <w:rPr>
                      <w:rFonts w:hint="eastAsia" w:ascii="宋体" w:hAnsi="宋体" w:cs="宋体"/>
                      <w:color w:val="auto"/>
                      <w:spacing w:val="-1"/>
                      <w:szCs w:val="21"/>
                      <w:highlight w:val="none"/>
                    </w:rPr>
                    <w:t>大</w:t>
                  </w:r>
                  <w:r>
                    <w:rPr>
                      <w:rFonts w:hint="eastAsia" w:ascii="宋体" w:hAnsi="宋体" w:cs="宋体"/>
                      <w:color w:val="auto"/>
                      <w:spacing w:val="2"/>
                      <w:szCs w:val="21"/>
                      <w:highlight w:val="none"/>
                    </w:rPr>
                    <w:t>小</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要</w:t>
                  </w:r>
                  <w:r>
                    <w:rPr>
                      <w:rFonts w:hint="eastAsia" w:ascii="宋体" w:hAnsi="宋体" w:cs="宋体"/>
                      <w:color w:val="auto"/>
                      <w:spacing w:val="2"/>
                      <w:szCs w:val="21"/>
                      <w:highlight w:val="none"/>
                    </w:rPr>
                    <w:t>求</w:t>
                  </w:r>
                  <w:r>
                    <w:rPr>
                      <w:rFonts w:hint="eastAsia" w:ascii="宋体" w:hAnsi="宋体" w:cs="宋体"/>
                      <w:color w:val="auto"/>
                      <w:spacing w:val="-26"/>
                      <w:szCs w:val="21"/>
                      <w:highlight w:val="none"/>
                    </w:rPr>
                    <w:t>、</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肚</w:t>
                  </w:r>
                  <w:r>
                    <w:rPr>
                      <w:rFonts w:hint="eastAsia" w:ascii="宋体" w:hAnsi="宋体" w:cs="宋体"/>
                      <w:color w:val="auto"/>
                      <w:szCs w:val="21"/>
                      <w:highlight w:val="none"/>
                    </w:rPr>
                    <w:t>内</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切</w:t>
                  </w:r>
                  <w:r>
                    <w:rPr>
                      <w:rFonts w:hint="eastAsia" w:ascii="宋体" w:hAnsi="宋体" w:cs="宋体"/>
                      <w:color w:val="auto"/>
                      <w:spacing w:val="-1"/>
                      <w:szCs w:val="21"/>
                      <w:highlight w:val="none"/>
                    </w:rPr>
                    <w:t>内脏</w:t>
                  </w:r>
                  <w:r>
                    <w:rPr>
                      <w:rFonts w:hint="eastAsia" w:ascii="宋体" w:hAnsi="宋体" w:cs="宋体"/>
                      <w:color w:val="auto"/>
                      <w:spacing w:val="-16"/>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饱</w:t>
                  </w:r>
                  <w:r>
                    <w:rPr>
                      <w:rFonts w:hint="eastAsia" w:ascii="宋体" w:hAnsi="宋体" w:cs="宋体"/>
                      <w:color w:val="auto"/>
                      <w:spacing w:val="-1"/>
                      <w:szCs w:val="21"/>
                      <w:highlight w:val="none"/>
                    </w:rPr>
                    <w:t>满</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肤</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光泽</w:t>
                  </w:r>
                  <w:r>
                    <w:rPr>
                      <w:rFonts w:hint="eastAsia" w:ascii="宋体" w:hAnsi="宋体" w:cs="宋体"/>
                      <w:color w:val="auto"/>
                      <w:spacing w:val="-16"/>
                      <w:szCs w:val="21"/>
                      <w:highlight w:val="none"/>
                    </w:rPr>
                    <w:t>、</w:t>
                  </w:r>
                  <w:r>
                    <w:rPr>
                      <w:rFonts w:hint="eastAsia" w:ascii="宋体" w:hAnsi="宋体" w:cs="宋体"/>
                      <w:color w:val="auto"/>
                      <w:spacing w:val="2"/>
                      <w:szCs w:val="21"/>
                      <w:highlight w:val="none"/>
                    </w:rPr>
                    <w:t>因</w:t>
                  </w:r>
                  <w:r>
                    <w:rPr>
                      <w:rFonts w:hint="eastAsia" w:ascii="宋体" w:hAnsi="宋体" w:cs="宋体"/>
                      <w:color w:val="auto"/>
                      <w:spacing w:val="-1"/>
                      <w:szCs w:val="21"/>
                      <w:highlight w:val="none"/>
                    </w:rPr>
                    <w:t>品</w:t>
                  </w:r>
                  <w:r>
                    <w:rPr>
                      <w:rFonts w:hint="eastAsia" w:ascii="宋体" w:hAnsi="宋体" w:cs="宋体"/>
                      <w:color w:val="auto"/>
                      <w:spacing w:val="2"/>
                      <w:szCs w:val="21"/>
                      <w:highlight w:val="none"/>
                    </w:rPr>
                    <w:t>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同</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呈</w:t>
                  </w:r>
                  <w:r>
                    <w:rPr>
                      <w:rFonts w:hint="eastAsia" w:ascii="宋体" w:hAnsi="宋体" w:cs="宋体"/>
                      <w:color w:val="auto"/>
                      <w:szCs w:val="21"/>
                      <w:highlight w:val="none"/>
                    </w:rPr>
                    <w:t>淡</w:t>
                  </w:r>
                  <w:r>
                    <w:rPr>
                      <w:rFonts w:hint="eastAsia" w:ascii="宋体" w:hAnsi="宋体" w:cs="宋体"/>
                      <w:color w:val="auto"/>
                      <w:spacing w:val="-1"/>
                      <w:szCs w:val="21"/>
                      <w:highlight w:val="none"/>
                    </w:rPr>
                    <w:t>黄</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红</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灰</w:t>
                  </w:r>
                  <w:r>
                    <w:rPr>
                      <w:rFonts w:hint="eastAsia" w:ascii="宋体" w:hAnsi="宋体" w:cs="宋体"/>
                      <w:color w:val="auto"/>
                      <w:spacing w:val="2"/>
                      <w:szCs w:val="21"/>
                      <w:highlight w:val="none"/>
                    </w:rPr>
                    <w:t>白</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灰</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等色</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zCs w:val="21"/>
                      <w:highlight w:val="none"/>
                    </w:rPr>
                    <w:t>干</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湿</w:t>
                  </w:r>
                  <w:r>
                    <w:rPr>
                      <w:rFonts w:hint="eastAsia" w:ascii="宋体" w:hAnsi="宋体" w:cs="宋体"/>
                      <w:color w:val="auto"/>
                      <w:spacing w:val="-1"/>
                      <w:szCs w:val="21"/>
                      <w:highlight w:val="none"/>
                    </w:rPr>
                    <w:t>润</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粘</w:t>
                  </w:r>
                  <w:r>
                    <w:rPr>
                      <w:rFonts w:hint="eastAsia" w:ascii="宋体" w:hAnsi="宋体" w:cs="宋体"/>
                      <w:color w:val="auto"/>
                      <w:spacing w:val="2"/>
                      <w:szCs w:val="21"/>
                      <w:highlight w:val="none"/>
                    </w:rPr>
                    <w:t>手</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指</w:t>
                  </w:r>
                  <w:r>
                    <w:rPr>
                      <w:rFonts w:hint="eastAsia" w:ascii="宋体" w:hAnsi="宋体" w:cs="宋体"/>
                      <w:color w:val="auto"/>
                      <w:spacing w:val="-1"/>
                      <w:szCs w:val="21"/>
                      <w:highlight w:val="none"/>
                    </w:rPr>
                    <w:t>压</w:t>
                  </w:r>
                  <w:r>
                    <w:rPr>
                      <w:rFonts w:hint="eastAsia" w:ascii="宋体" w:hAnsi="宋体" w:cs="宋体"/>
                      <w:color w:val="auto"/>
                      <w:spacing w:val="2"/>
                      <w:szCs w:val="21"/>
                      <w:highlight w:val="none"/>
                    </w:rPr>
                    <w:t>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2"/>
                      <w:szCs w:val="21"/>
                      <w:highlight w:val="none"/>
                    </w:rPr>
                    <w:t>立</w:t>
                  </w:r>
                  <w:r>
                    <w:rPr>
                      <w:rFonts w:hint="eastAsia" w:ascii="宋体" w:hAnsi="宋体" w:cs="宋体"/>
                      <w:color w:val="auto"/>
                      <w:spacing w:val="-1"/>
                      <w:szCs w:val="21"/>
                      <w:highlight w:val="none"/>
                    </w:rPr>
                    <w:t>即</w:t>
                  </w:r>
                  <w:r>
                    <w:rPr>
                      <w:rFonts w:hint="eastAsia" w:ascii="宋体" w:hAnsi="宋体" w:cs="宋体"/>
                      <w:color w:val="auto"/>
                      <w:spacing w:val="2"/>
                      <w:szCs w:val="21"/>
                      <w:highlight w:val="none"/>
                    </w:rPr>
                    <w:t>恢</w:t>
                  </w:r>
                  <w:r>
                    <w:rPr>
                      <w:rFonts w:hint="eastAsia" w:ascii="宋体" w:hAnsi="宋体" w:cs="宋体"/>
                      <w:color w:val="auto"/>
                      <w:spacing w:val="-1"/>
                      <w:szCs w:val="21"/>
                      <w:highlight w:val="none"/>
                    </w:rPr>
                    <w:t>复</w:t>
                  </w:r>
                  <w:r>
                    <w:rPr>
                      <w:rFonts w:hint="eastAsia" w:ascii="宋体" w:hAnsi="宋体" w:cs="宋体"/>
                      <w:color w:val="auto"/>
                      <w:spacing w:val="-18"/>
                      <w:szCs w:val="21"/>
                      <w:highlight w:val="none"/>
                    </w:rPr>
                    <w:t>，</w:t>
                  </w:r>
                  <w:r>
                    <w:rPr>
                      <w:rFonts w:hint="eastAsia" w:ascii="宋体" w:hAnsi="宋体" w:cs="宋体"/>
                      <w:color w:val="auto"/>
                      <w:spacing w:val="2"/>
                      <w:szCs w:val="21"/>
                      <w:highlight w:val="none"/>
                    </w:rPr>
                    <w:t>具</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鸡</w:t>
                  </w:r>
                  <w:r>
                    <w:rPr>
                      <w:rFonts w:hint="eastAsia" w:ascii="宋体" w:hAnsi="宋体" w:cs="宋体"/>
                      <w:color w:val="auto"/>
                      <w:szCs w:val="21"/>
                      <w:highlight w:val="none"/>
                    </w:rPr>
                    <w:t>肉</w:t>
                  </w:r>
                  <w:r>
                    <w:rPr>
                      <w:rFonts w:hint="eastAsia" w:ascii="宋体" w:hAnsi="宋体" w:cs="宋体"/>
                      <w:color w:val="auto"/>
                      <w:spacing w:val="-1"/>
                      <w:szCs w:val="21"/>
                      <w:highlight w:val="none"/>
                    </w:rPr>
                    <w:t>正</w:t>
                  </w:r>
                  <w:r>
                    <w:rPr>
                      <w:rFonts w:hint="eastAsia" w:ascii="宋体" w:hAnsi="宋体" w:cs="宋体"/>
                      <w:color w:val="auto"/>
                      <w:spacing w:val="2"/>
                      <w:szCs w:val="21"/>
                      <w:highlight w:val="none"/>
                    </w:rPr>
                    <w:t>常</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淤</w:t>
                  </w:r>
                  <w:r>
                    <w:rPr>
                      <w:rFonts w:hint="eastAsia" w:ascii="宋体" w:hAnsi="宋体" w:cs="宋体"/>
                      <w:color w:val="auto"/>
                      <w:spacing w:val="2"/>
                      <w:szCs w:val="21"/>
                      <w:highlight w:val="none"/>
                    </w:rPr>
                    <w:t>血</w:t>
                  </w:r>
                  <w:r>
                    <w:rPr>
                      <w:rFonts w:hint="eastAsia" w:ascii="宋体" w:hAnsi="宋体" w:cs="宋体"/>
                      <w:color w:val="auto"/>
                      <w:spacing w:val="-1"/>
                      <w:szCs w:val="21"/>
                      <w:highlight w:val="none"/>
                    </w:rPr>
                    <w:t>斑</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极</w:t>
                  </w:r>
                  <w:r>
                    <w:rPr>
                      <w:rFonts w:hint="eastAsia" w:ascii="宋体" w:hAnsi="宋体" w:cs="宋体"/>
                      <w:color w:val="auto"/>
                      <w:spacing w:val="-1"/>
                      <w:szCs w:val="21"/>
                      <w:highlight w:val="none"/>
                    </w:rPr>
                    <w:t>少</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打</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症状</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皮</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鸡</w:t>
                  </w:r>
                  <w:r>
                    <w:rPr>
                      <w:rFonts w:hint="eastAsia" w:ascii="宋体" w:hAnsi="宋体" w:cs="宋体"/>
                      <w:color w:val="auto"/>
                      <w:szCs w:val="21"/>
                      <w:highlight w:val="none"/>
                    </w:rPr>
                    <w:t>的</w:t>
                  </w:r>
                  <w:r>
                    <w:rPr>
                      <w:rFonts w:hint="eastAsia" w:ascii="宋体" w:hAnsi="宋体" w:cs="宋体"/>
                      <w:color w:val="auto"/>
                      <w:spacing w:val="-1"/>
                      <w:szCs w:val="21"/>
                      <w:highlight w:val="none"/>
                    </w:rPr>
                    <w:t>翼</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鸡</w:t>
                  </w:r>
                  <w:r>
                    <w:rPr>
                      <w:rFonts w:hint="eastAsia" w:ascii="宋体" w:hAnsi="宋体" w:cs="宋体"/>
                      <w:color w:val="auto"/>
                      <w:spacing w:val="-1"/>
                      <w:szCs w:val="21"/>
                      <w:highlight w:val="none"/>
                    </w:rPr>
                    <w:t>关</w:t>
                  </w:r>
                  <w:r>
                    <w:rPr>
                      <w:rFonts w:hint="eastAsia" w:ascii="宋体" w:hAnsi="宋体" w:cs="宋体"/>
                      <w:color w:val="auto"/>
                      <w:spacing w:val="2"/>
                      <w:szCs w:val="21"/>
                      <w:highlight w:val="none"/>
                    </w:rPr>
                    <w:t>节</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能</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折</w:t>
                  </w:r>
                  <w:r>
                    <w:rPr>
                      <w:rFonts w:hint="eastAsia" w:ascii="宋体" w:hAnsi="宋体" w:cs="宋体"/>
                      <w:color w:val="auto"/>
                      <w:spacing w:val="-1"/>
                      <w:szCs w:val="21"/>
                      <w:highlight w:val="none"/>
                    </w:rPr>
                    <w:t>和</w:t>
                  </w:r>
                  <w:r>
                    <w:rPr>
                      <w:rFonts w:hint="eastAsia" w:ascii="宋体" w:hAnsi="宋体" w:cs="宋体"/>
                      <w:color w:val="auto"/>
                      <w:spacing w:val="2"/>
                      <w:szCs w:val="21"/>
                      <w:highlight w:val="none"/>
                    </w:rPr>
                    <w:t>因</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折</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使</w:t>
                  </w:r>
                  <w:r>
                    <w:rPr>
                      <w:rFonts w:hint="eastAsia" w:ascii="宋体" w:hAnsi="宋体" w:cs="宋体"/>
                      <w:color w:val="auto"/>
                      <w:spacing w:val="-1"/>
                      <w:szCs w:val="21"/>
                      <w:highlight w:val="none"/>
                    </w:rPr>
                    <w:t>骨</w:t>
                  </w:r>
                  <w:r>
                    <w:rPr>
                      <w:rFonts w:hint="eastAsia" w:ascii="宋体" w:hAnsi="宋体" w:cs="宋体"/>
                      <w:color w:val="auto"/>
                      <w:spacing w:val="2"/>
                      <w:szCs w:val="21"/>
                      <w:highlight w:val="none"/>
                    </w:rPr>
                    <w:t>头</w:t>
                  </w:r>
                  <w:r>
                    <w:rPr>
                      <w:rFonts w:hint="eastAsia" w:ascii="宋体" w:hAnsi="宋体" w:cs="宋体"/>
                      <w:color w:val="auto"/>
                      <w:spacing w:val="-1"/>
                      <w:szCs w:val="21"/>
                      <w:highlight w:val="none"/>
                    </w:rPr>
                    <w:t>外</w:t>
                  </w:r>
                  <w:r>
                    <w:rPr>
                      <w:rFonts w:hint="eastAsia" w:ascii="宋体" w:hAnsi="宋体" w:cs="宋体"/>
                      <w:color w:val="auto"/>
                      <w:szCs w:val="21"/>
                      <w:highlight w:val="none"/>
                    </w:rPr>
                    <w:t>露</w:t>
                  </w:r>
                </w:p>
              </w:tc>
              <w:tc>
                <w:tcPr>
                  <w:tcW w:w="2450" w:type="dxa"/>
                  <w:tcBorders>
                    <w:top w:val="single" w:color="auto" w:sz="4" w:space="0"/>
                    <w:left w:val="single" w:color="auto" w:sz="4" w:space="0"/>
                    <w:bottom w:val="single" w:color="auto" w:sz="4" w:space="0"/>
                    <w:right w:val="single" w:color="auto" w:sz="4" w:space="0"/>
                  </w:tcBorders>
                  <w:vAlign w:val="center"/>
                </w:tcPr>
                <w:p w14:paraId="27FAD5FD">
                  <w:pPr>
                    <w:spacing w:line="440" w:lineRule="exact"/>
                    <w:ind w:left="105"/>
                    <w:rPr>
                      <w:rFonts w:ascii="宋体" w:hAnsi="宋体" w:cs="宋体"/>
                      <w:color w:val="auto"/>
                      <w:szCs w:val="21"/>
                      <w:highlight w:val="none"/>
                    </w:rPr>
                  </w:pPr>
                  <w:r>
                    <w:rPr>
                      <w:rFonts w:hint="eastAsia" w:ascii="宋体" w:hAnsi="宋体" w:cs="宋体"/>
                      <w:color w:val="auto"/>
                      <w:szCs w:val="21"/>
                      <w:highlight w:val="none"/>
                    </w:rPr>
                    <w:t>根据现场实际情况和</w:t>
                  </w:r>
                  <w:r>
                    <w:rPr>
                      <w:rFonts w:hint="eastAsia" w:ascii="宋体" w:hAnsi="宋体" w:cs="宋体"/>
                      <w:color w:val="auto"/>
                      <w:spacing w:val="-1"/>
                      <w:szCs w:val="21"/>
                      <w:highlight w:val="none"/>
                    </w:rPr>
                    <w:t>实</w:t>
                  </w:r>
                  <w:r>
                    <w:rPr>
                      <w:rFonts w:hint="eastAsia" w:ascii="宋体" w:hAnsi="宋体" w:cs="宋体"/>
                      <w:color w:val="auto"/>
                      <w:spacing w:val="2"/>
                      <w:szCs w:val="21"/>
                      <w:highlight w:val="none"/>
                    </w:rPr>
                    <w:t>际</w:t>
                  </w:r>
                  <w:r>
                    <w:rPr>
                      <w:rFonts w:hint="eastAsia" w:ascii="宋体" w:hAnsi="宋体" w:cs="宋体"/>
                      <w:color w:val="auto"/>
                      <w:spacing w:val="-1"/>
                      <w:szCs w:val="21"/>
                      <w:highlight w:val="none"/>
                    </w:rPr>
                    <w:t>需</w:t>
                  </w:r>
                  <w:r>
                    <w:rPr>
                      <w:rFonts w:hint="eastAsia" w:ascii="宋体" w:hAnsi="宋体" w:cs="宋体"/>
                      <w:color w:val="auto"/>
                      <w:spacing w:val="2"/>
                      <w:szCs w:val="21"/>
                      <w:highlight w:val="none"/>
                    </w:rPr>
                    <w:t>求量</w:t>
                  </w:r>
                  <w:r>
                    <w:rPr>
                      <w:rFonts w:hint="eastAsia" w:ascii="宋体" w:hAnsi="宋体" w:cs="宋体"/>
                      <w:color w:val="auto"/>
                      <w:spacing w:val="-66"/>
                      <w:szCs w:val="21"/>
                      <w:highlight w:val="none"/>
                    </w:rPr>
                    <w:t>，</w:t>
                  </w:r>
                  <w:r>
                    <w:rPr>
                      <w:rFonts w:hint="eastAsia" w:ascii="宋体" w:hAnsi="宋体" w:cs="宋体"/>
                      <w:color w:val="auto"/>
                      <w:spacing w:val="-1"/>
                      <w:szCs w:val="21"/>
                      <w:highlight w:val="none"/>
                    </w:rPr>
                    <w:t>临</w:t>
                  </w:r>
                  <w:r>
                    <w:rPr>
                      <w:rFonts w:hint="eastAsia" w:ascii="宋体" w:hAnsi="宋体" w:cs="宋体"/>
                      <w:color w:val="auto"/>
                      <w:spacing w:val="2"/>
                      <w:szCs w:val="21"/>
                      <w:highlight w:val="none"/>
                    </w:rPr>
                    <w:t>场</w:t>
                  </w:r>
                  <w:r>
                    <w:rPr>
                      <w:rFonts w:hint="eastAsia" w:ascii="宋体" w:hAnsi="宋体" w:cs="宋体"/>
                      <w:color w:val="auto"/>
                      <w:spacing w:val="-1"/>
                      <w:szCs w:val="21"/>
                      <w:highlight w:val="none"/>
                    </w:rPr>
                    <w:t>与</w:t>
                  </w:r>
                  <w:r>
                    <w:rPr>
                      <w:rFonts w:hint="eastAsia" w:ascii="宋体" w:hAnsi="宋体" w:cs="宋体"/>
                      <w:color w:val="auto"/>
                      <w:szCs w:val="21"/>
                      <w:highlight w:val="none"/>
                    </w:rPr>
                    <w:t>中标供应商协议扣秤</w:t>
                  </w:r>
                  <w:r>
                    <w:rPr>
                      <w:rFonts w:hint="eastAsia" w:ascii="宋体" w:hAnsi="宋体" w:cs="宋体"/>
                      <w:color w:val="auto"/>
                      <w:spacing w:val="1"/>
                      <w:szCs w:val="21"/>
                      <w:highlight w:val="none"/>
                    </w:rPr>
                    <w:t>1-5</w:t>
                  </w:r>
                  <w:r>
                    <w:rPr>
                      <w:rFonts w:hint="eastAsia" w:ascii="宋体" w:hAnsi="宋体" w:cs="宋体"/>
                      <w:color w:val="auto"/>
                      <w:spacing w:val="-2"/>
                      <w:szCs w:val="21"/>
                      <w:highlight w:val="none"/>
                    </w:rPr>
                    <w:t>%</w:t>
                  </w:r>
                  <w:r>
                    <w:rPr>
                      <w:rFonts w:hint="eastAsia" w:ascii="宋体" w:hAnsi="宋体" w:cs="宋体"/>
                      <w:color w:val="auto"/>
                      <w:spacing w:val="-66"/>
                      <w:szCs w:val="21"/>
                      <w:highlight w:val="none"/>
                    </w:rPr>
                    <w:t>，</w:t>
                  </w:r>
                  <w:r>
                    <w:rPr>
                      <w:rFonts w:hint="eastAsia" w:ascii="宋体" w:hAnsi="宋体" w:cs="宋体"/>
                      <w:color w:val="auto"/>
                      <w:spacing w:val="-1"/>
                      <w:szCs w:val="21"/>
                      <w:highlight w:val="none"/>
                    </w:rPr>
                    <w:t>严</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符</w:t>
                  </w:r>
                  <w:r>
                    <w:rPr>
                      <w:rFonts w:hint="eastAsia" w:ascii="宋体" w:hAnsi="宋体" w:cs="宋体"/>
                      <w:color w:val="auto"/>
                      <w:spacing w:val="-1"/>
                      <w:szCs w:val="21"/>
                      <w:highlight w:val="none"/>
                    </w:rPr>
                    <w:t>合</w:t>
                  </w:r>
                  <w:r>
                    <w:rPr>
                      <w:rFonts w:hint="eastAsia" w:ascii="宋体" w:hAnsi="宋体" w:cs="宋体"/>
                      <w:color w:val="auto"/>
                      <w:spacing w:val="2"/>
                      <w:szCs w:val="21"/>
                      <w:highlight w:val="none"/>
                    </w:rPr>
                    <w:t>质</w:t>
                  </w:r>
                  <w:r>
                    <w:rPr>
                      <w:rFonts w:hint="eastAsia" w:ascii="宋体" w:hAnsi="宋体" w:cs="宋体"/>
                      <w:color w:val="auto"/>
                      <w:szCs w:val="21"/>
                      <w:highlight w:val="none"/>
                    </w:rPr>
                    <w:t>量</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可</w:t>
                  </w:r>
                  <w:r>
                    <w:rPr>
                      <w:rFonts w:hint="eastAsia" w:ascii="宋体" w:hAnsi="宋体" w:cs="宋体"/>
                      <w:color w:val="auto"/>
                      <w:spacing w:val="-1"/>
                      <w:szCs w:val="21"/>
                      <w:highlight w:val="none"/>
                    </w:rPr>
                    <w:t>拒</w:t>
                  </w:r>
                  <w:r>
                    <w:rPr>
                      <w:rFonts w:hint="eastAsia" w:ascii="宋体" w:hAnsi="宋体" w:cs="宋体"/>
                      <w:color w:val="auto"/>
                      <w:szCs w:val="21"/>
                      <w:highlight w:val="none"/>
                    </w:rPr>
                    <w:t>收</w:t>
                  </w:r>
                </w:p>
              </w:tc>
            </w:tr>
          </w:tbl>
          <w:p w14:paraId="7EF9026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2.冻品类、冻肉、冻副产品</w:t>
            </w:r>
          </w:p>
          <w:p w14:paraId="31DD5C1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（1）冻品类、冻肉</w:t>
            </w:r>
          </w:p>
          <w:tbl>
            <w:tblPr>
              <w:tblStyle w:val="48"/>
              <w:tblW w:w="8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052"/>
              <w:gridCol w:w="2508"/>
            </w:tblGrid>
            <w:tr w14:paraId="437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1422CD2D">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052" w:type="dxa"/>
                  <w:tcBorders>
                    <w:top w:val="single" w:color="auto" w:sz="4" w:space="0"/>
                    <w:left w:val="single" w:color="auto" w:sz="4" w:space="0"/>
                    <w:bottom w:val="single" w:color="auto" w:sz="4" w:space="0"/>
                    <w:right w:val="single" w:color="auto" w:sz="4" w:space="0"/>
                  </w:tcBorders>
                  <w:vAlign w:val="center"/>
                </w:tcPr>
                <w:p w14:paraId="162603A1">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508" w:type="dxa"/>
                  <w:tcBorders>
                    <w:top w:val="single" w:color="auto" w:sz="4" w:space="0"/>
                    <w:left w:val="single" w:color="auto" w:sz="4" w:space="0"/>
                    <w:bottom w:val="single" w:color="auto" w:sz="4" w:space="0"/>
                    <w:right w:val="single" w:color="auto" w:sz="4" w:space="0"/>
                  </w:tcBorders>
                  <w:vAlign w:val="center"/>
                </w:tcPr>
                <w:p w14:paraId="4B65E784">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5CE4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17F45CD7">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猪</w:t>
                  </w:r>
                  <w:r>
                    <w:rPr>
                      <w:rFonts w:hint="eastAsia" w:ascii="宋体" w:hAnsi="宋体" w:cs="宋体"/>
                      <w:color w:val="auto"/>
                      <w:spacing w:val="-1"/>
                      <w:szCs w:val="21"/>
                      <w:highlight w:val="none"/>
                    </w:rPr>
                    <w:t>肉</w:t>
                  </w:r>
                  <w:r>
                    <w:rPr>
                      <w:rFonts w:hint="eastAsia" w:ascii="宋体" w:hAnsi="宋体" w:cs="宋体"/>
                      <w:color w:val="auto"/>
                      <w:szCs w:val="21"/>
                      <w:highlight w:val="none"/>
                    </w:rPr>
                    <w:t>丸</w:t>
                  </w:r>
                </w:p>
              </w:tc>
              <w:tc>
                <w:tcPr>
                  <w:tcW w:w="5052" w:type="dxa"/>
                  <w:tcBorders>
                    <w:top w:val="single" w:color="auto" w:sz="4" w:space="0"/>
                    <w:left w:val="single" w:color="auto" w:sz="4" w:space="0"/>
                    <w:bottom w:val="single" w:color="auto" w:sz="4" w:space="0"/>
                    <w:right w:val="single" w:color="auto" w:sz="4" w:space="0"/>
                  </w:tcBorders>
                  <w:vAlign w:val="center"/>
                </w:tcPr>
                <w:p w14:paraId="149A611A">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瘦</w:t>
                  </w:r>
                  <w:r>
                    <w:rPr>
                      <w:rFonts w:hint="eastAsia" w:ascii="宋体" w:hAnsi="宋体" w:cs="宋体"/>
                      <w:color w:val="auto"/>
                      <w:spacing w:val="2"/>
                      <w:szCs w:val="21"/>
                      <w:highlight w:val="none"/>
                    </w:rPr>
                    <w:t>猪</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卫</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的</w:t>
                  </w:r>
                  <w:r>
                    <w:rPr>
                      <w:rFonts w:hint="eastAsia" w:ascii="宋体" w:hAnsi="宋体" w:cs="宋体"/>
                      <w:color w:val="auto"/>
                      <w:szCs w:val="21"/>
                      <w:highlight w:val="none"/>
                    </w:rPr>
                    <w:t>肉</w:t>
                  </w:r>
                </w:p>
              </w:tc>
              <w:tc>
                <w:tcPr>
                  <w:tcW w:w="2508" w:type="dxa"/>
                  <w:vMerge w:val="restart"/>
                  <w:tcBorders>
                    <w:top w:val="nil"/>
                    <w:left w:val="single" w:color="auto" w:sz="4" w:space="0"/>
                    <w:right w:val="single" w:color="auto" w:sz="4" w:space="0"/>
                  </w:tcBorders>
                  <w:vAlign w:val="center"/>
                </w:tcPr>
                <w:p w14:paraId="018BD061">
                  <w:pPr>
                    <w:spacing w:line="440" w:lineRule="exact"/>
                    <w:ind w:left="105"/>
                    <w:rPr>
                      <w:rFonts w:ascii="宋体" w:hAnsi="宋体" w:cs="宋体"/>
                      <w:color w:val="auto"/>
                      <w:szCs w:val="21"/>
                      <w:highlight w:val="none"/>
                    </w:rPr>
                  </w:pPr>
                  <w:r>
                    <w:rPr>
                      <w:rFonts w:hint="eastAsia" w:ascii="宋体" w:hAnsi="宋体" w:cs="宋体"/>
                      <w:color w:val="auto"/>
                      <w:spacing w:val="11"/>
                      <w:szCs w:val="21"/>
                      <w:highlight w:val="none"/>
                    </w:rPr>
                    <w:t>外</w:t>
                  </w:r>
                  <w:r>
                    <w:rPr>
                      <w:rFonts w:hint="eastAsia" w:ascii="宋体" w:hAnsi="宋体" w:cs="宋体"/>
                      <w:color w:val="auto"/>
                      <w:spacing w:val="14"/>
                      <w:szCs w:val="21"/>
                      <w:highlight w:val="none"/>
                    </w:rPr>
                    <w:t>包</w:t>
                  </w:r>
                  <w:r>
                    <w:rPr>
                      <w:rFonts w:hint="eastAsia" w:ascii="宋体" w:hAnsi="宋体" w:cs="宋体"/>
                      <w:color w:val="auto"/>
                      <w:spacing w:val="11"/>
                      <w:szCs w:val="21"/>
                      <w:highlight w:val="none"/>
                    </w:rPr>
                    <w:t>装</w:t>
                  </w:r>
                  <w:r>
                    <w:rPr>
                      <w:rFonts w:hint="eastAsia" w:ascii="宋体" w:hAnsi="宋体" w:cs="宋体"/>
                      <w:color w:val="auto"/>
                      <w:spacing w:val="14"/>
                      <w:szCs w:val="21"/>
                      <w:highlight w:val="none"/>
                    </w:rPr>
                    <w:t>箱</w:t>
                  </w:r>
                  <w:r>
                    <w:rPr>
                      <w:rFonts w:hint="eastAsia" w:ascii="宋体" w:hAnsi="宋体" w:cs="宋体"/>
                      <w:color w:val="auto"/>
                      <w:spacing w:val="11"/>
                      <w:szCs w:val="21"/>
                      <w:highlight w:val="none"/>
                    </w:rPr>
                    <w:t>需完</w:t>
                  </w:r>
                  <w:r>
                    <w:rPr>
                      <w:rFonts w:hint="eastAsia" w:ascii="宋体" w:hAnsi="宋体" w:cs="宋体"/>
                      <w:color w:val="auto"/>
                      <w:spacing w:val="14"/>
                      <w:szCs w:val="21"/>
                      <w:highlight w:val="none"/>
                    </w:rPr>
                    <w:t>好</w:t>
                  </w:r>
                  <w:r>
                    <w:rPr>
                      <w:rFonts w:hint="eastAsia" w:ascii="宋体" w:hAnsi="宋体" w:cs="宋体"/>
                      <w:color w:val="auto"/>
                      <w:spacing w:val="9"/>
                      <w:szCs w:val="21"/>
                      <w:highlight w:val="none"/>
                    </w:rPr>
                    <w:t>且</w:t>
                  </w:r>
                  <w:r>
                    <w:rPr>
                      <w:rFonts w:hint="eastAsia" w:ascii="宋体" w:hAnsi="宋体" w:cs="宋体"/>
                      <w:color w:val="auto"/>
                      <w:spacing w:val="11"/>
                      <w:szCs w:val="21"/>
                      <w:highlight w:val="none"/>
                    </w:rPr>
                    <w:t>符</w:t>
                  </w:r>
                  <w:r>
                    <w:rPr>
                      <w:rFonts w:hint="eastAsia" w:ascii="宋体" w:hAnsi="宋体" w:cs="宋体"/>
                      <w:color w:val="auto"/>
                      <w:spacing w:val="9"/>
                      <w:szCs w:val="21"/>
                      <w:highlight w:val="none"/>
                    </w:rPr>
                    <w:t>合质量</w:t>
                  </w:r>
                  <w:r>
                    <w:rPr>
                      <w:rFonts w:hint="eastAsia" w:ascii="宋体" w:hAnsi="宋体" w:cs="宋体"/>
                      <w:color w:val="auto"/>
                      <w:spacing w:val="11"/>
                      <w:szCs w:val="21"/>
                      <w:highlight w:val="none"/>
                    </w:rPr>
                    <w:t>标</w:t>
                  </w:r>
                  <w:r>
                    <w:rPr>
                      <w:rFonts w:hint="eastAsia" w:ascii="宋体" w:hAnsi="宋体" w:cs="宋体"/>
                      <w:color w:val="auto"/>
                      <w:spacing w:val="9"/>
                      <w:szCs w:val="21"/>
                      <w:highlight w:val="none"/>
                    </w:rPr>
                    <w:t>准；</w:t>
                  </w:r>
                  <w:r>
                    <w:rPr>
                      <w:rFonts w:hint="eastAsia" w:ascii="宋体" w:hAnsi="宋体" w:cs="宋体"/>
                      <w:color w:val="auto"/>
                      <w:spacing w:val="11"/>
                      <w:szCs w:val="21"/>
                      <w:highlight w:val="none"/>
                    </w:rPr>
                    <w:t>严</w:t>
                  </w:r>
                  <w:r>
                    <w:rPr>
                      <w:rFonts w:hint="eastAsia" w:ascii="宋体" w:hAnsi="宋体" w:cs="宋体"/>
                      <w:color w:val="auto"/>
                      <w:szCs w:val="21"/>
                      <w:highlight w:val="none"/>
                    </w:rPr>
                    <w:t>重</w:t>
                  </w:r>
                  <w:r>
                    <w:rPr>
                      <w:rFonts w:hint="eastAsia" w:ascii="宋体" w:hAnsi="宋体" w:cs="宋体"/>
                      <w:color w:val="auto"/>
                      <w:spacing w:val="9"/>
                      <w:szCs w:val="21"/>
                      <w:highlight w:val="none"/>
                    </w:rPr>
                    <w:t>不</w:t>
                  </w:r>
                  <w:r>
                    <w:rPr>
                      <w:rFonts w:hint="eastAsia" w:ascii="宋体" w:hAnsi="宋体" w:cs="宋体"/>
                      <w:color w:val="auto"/>
                      <w:spacing w:val="11"/>
                      <w:szCs w:val="21"/>
                      <w:highlight w:val="none"/>
                    </w:rPr>
                    <w:t>符</w:t>
                  </w:r>
                  <w:r>
                    <w:rPr>
                      <w:rFonts w:hint="eastAsia" w:ascii="宋体" w:hAnsi="宋体" w:cs="宋体"/>
                      <w:color w:val="auto"/>
                      <w:spacing w:val="9"/>
                      <w:szCs w:val="21"/>
                      <w:highlight w:val="none"/>
                    </w:rPr>
                    <w:t>合质量</w:t>
                  </w:r>
                  <w:r>
                    <w:rPr>
                      <w:rFonts w:hint="eastAsia" w:ascii="宋体" w:hAnsi="宋体" w:cs="宋体"/>
                      <w:color w:val="auto"/>
                      <w:spacing w:val="11"/>
                      <w:szCs w:val="21"/>
                      <w:highlight w:val="none"/>
                    </w:rPr>
                    <w:t>标</w:t>
                  </w:r>
                  <w:r>
                    <w:rPr>
                      <w:rFonts w:hint="eastAsia" w:ascii="宋体" w:hAnsi="宋体" w:cs="宋体"/>
                      <w:color w:val="auto"/>
                      <w:spacing w:val="9"/>
                      <w:szCs w:val="21"/>
                      <w:highlight w:val="none"/>
                    </w:rPr>
                    <w:t>准者</w:t>
                  </w:r>
                  <w:r>
                    <w:rPr>
                      <w:rFonts w:hint="eastAsia" w:ascii="宋体" w:hAnsi="宋体" w:cs="宋体"/>
                      <w:color w:val="auto"/>
                      <w:spacing w:val="11"/>
                      <w:szCs w:val="21"/>
                      <w:highlight w:val="none"/>
                    </w:rPr>
                    <w:t>可</w:t>
                  </w:r>
                  <w:r>
                    <w:rPr>
                      <w:rFonts w:hint="eastAsia" w:ascii="宋体" w:hAnsi="宋体" w:cs="宋体"/>
                      <w:color w:val="auto"/>
                      <w:szCs w:val="21"/>
                      <w:highlight w:val="none"/>
                    </w:rPr>
                    <w:t>拒</w:t>
                  </w:r>
                  <w:r>
                    <w:rPr>
                      <w:rFonts w:hint="eastAsia" w:ascii="宋体" w:hAnsi="宋体" w:cs="宋体"/>
                      <w:color w:val="auto"/>
                      <w:spacing w:val="-1"/>
                      <w:szCs w:val="21"/>
                      <w:highlight w:val="none"/>
                    </w:rPr>
                    <w:t>收；注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1F1C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55" w:type="dxa"/>
                  <w:tcBorders>
                    <w:top w:val="single" w:color="auto" w:sz="4" w:space="0"/>
                    <w:left w:val="single" w:color="auto" w:sz="4" w:space="0"/>
                    <w:bottom w:val="single" w:color="auto" w:sz="4" w:space="0"/>
                    <w:right w:val="single" w:color="auto" w:sz="4" w:space="0"/>
                  </w:tcBorders>
                  <w:vAlign w:val="center"/>
                </w:tcPr>
                <w:p w14:paraId="20482344">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鲜</w:t>
                  </w:r>
                  <w:r>
                    <w:rPr>
                      <w:rFonts w:hint="eastAsia" w:ascii="宋体" w:hAnsi="宋体" w:cs="宋体"/>
                      <w:color w:val="auto"/>
                      <w:spacing w:val="2"/>
                      <w:szCs w:val="21"/>
                      <w:highlight w:val="none"/>
                      <w:lang w:eastAsia="en-US"/>
                    </w:rPr>
                    <w:t>牛</w:t>
                  </w:r>
                  <w:r>
                    <w:rPr>
                      <w:rFonts w:hint="eastAsia" w:ascii="宋体" w:hAnsi="宋体" w:cs="宋体"/>
                      <w:color w:val="auto"/>
                      <w:spacing w:val="-1"/>
                      <w:szCs w:val="21"/>
                      <w:highlight w:val="none"/>
                      <w:lang w:eastAsia="en-US"/>
                    </w:rPr>
                    <w:t>肉</w:t>
                  </w:r>
                  <w:r>
                    <w:rPr>
                      <w:rFonts w:hint="eastAsia" w:ascii="宋体" w:hAnsi="宋体" w:cs="宋体"/>
                      <w:color w:val="auto"/>
                      <w:szCs w:val="21"/>
                      <w:highlight w:val="none"/>
                      <w:lang w:eastAsia="en-US"/>
                    </w:rPr>
                    <w:t>丸</w:t>
                  </w:r>
                </w:p>
              </w:tc>
              <w:tc>
                <w:tcPr>
                  <w:tcW w:w="5052" w:type="dxa"/>
                  <w:tcBorders>
                    <w:top w:val="single" w:color="auto" w:sz="4" w:space="0"/>
                    <w:left w:val="single" w:color="auto" w:sz="4" w:space="0"/>
                    <w:bottom w:val="single" w:color="auto" w:sz="4" w:space="0"/>
                    <w:right w:val="single" w:color="auto" w:sz="4" w:space="0"/>
                  </w:tcBorders>
                  <w:vAlign w:val="center"/>
                </w:tcPr>
                <w:p w14:paraId="0A7DA5D3">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瘦</w:t>
                  </w:r>
                  <w:r>
                    <w:rPr>
                      <w:rFonts w:hint="eastAsia" w:ascii="宋体" w:hAnsi="宋体" w:cs="宋体"/>
                      <w:color w:val="auto"/>
                      <w:spacing w:val="2"/>
                      <w:szCs w:val="21"/>
                      <w:highlight w:val="none"/>
                    </w:rPr>
                    <w:t>牛</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符</w:t>
                  </w:r>
                  <w:r>
                    <w:rPr>
                      <w:rFonts w:hint="eastAsia" w:ascii="宋体" w:hAnsi="宋体" w:cs="宋体"/>
                      <w:color w:val="auto"/>
                      <w:spacing w:val="2"/>
                      <w:szCs w:val="21"/>
                      <w:highlight w:val="none"/>
                    </w:rPr>
                    <w:t>合</w:t>
                  </w:r>
                  <w:r>
                    <w:rPr>
                      <w:rFonts w:hint="eastAsia" w:ascii="宋体" w:hAnsi="宋体" w:cs="宋体"/>
                      <w:color w:val="auto"/>
                      <w:spacing w:val="-1"/>
                      <w:szCs w:val="21"/>
                      <w:highlight w:val="none"/>
                    </w:rPr>
                    <w:t>卫</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标</w:t>
                  </w:r>
                  <w:r>
                    <w:rPr>
                      <w:rFonts w:hint="eastAsia" w:ascii="宋体" w:hAnsi="宋体" w:cs="宋体"/>
                      <w:color w:val="auto"/>
                      <w:spacing w:val="2"/>
                      <w:szCs w:val="21"/>
                      <w:highlight w:val="none"/>
                    </w:rPr>
                    <w:t>准</w:t>
                  </w:r>
                  <w:r>
                    <w:rPr>
                      <w:rFonts w:hint="eastAsia" w:ascii="宋体" w:hAnsi="宋体" w:cs="宋体"/>
                      <w:color w:val="auto"/>
                      <w:spacing w:val="-1"/>
                      <w:szCs w:val="21"/>
                      <w:highlight w:val="none"/>
                    </w:rPr>
                    <w:t>的</w:t>
                  </w:r>
                  <w:r>
                    <w:rPr>
                      <w:rFonts w:hint="eastAsia" w:ascii="宋体" w:hAnsi="宋体" w:cs="宋体"/>
                      <w:color w:val="auto"/>
                      <w:szCs w:val="21"/>
                      <w:highlight w:val="none"/>
                    </w:rPr>
                    <w:t>肉</w:t>
                  </w:r>
                </w:p>
              </w:tc>
              <w:tc>
                <w:tcPr>
                  <w:tcW w:w="2508" w:type="dxa"/>
                  <w:vMerge w:val="continue"/>
                  <w:tcBorders>
                    <w:left w:val="single" w:color="auto" w:sz="4" w:space="0"/>
                    <w:right w:val="single" w:color="auto" w:sz="4" w:space="0"/>
                  </w:tcBorders>
                  <w:vAlign w:val="center"/>
                </w:tcPr>
                <w:p w14:paraId="114F3306">
                  <w:pPr>
                    <w:widowControl/>
                    <w:spacing w:line="440" w:lineRule="exact"/>
                    <w:jc w:val="left"/>
                    <w:rPr>
                      <w:rFonts w:ascii="宋体" w:hAnsi="宋体" w:cs="宋体"/>
                      <w:color w:val="auto"/>
                      <w:szCs w:val="21"/>
                      <w:highlight w:val="none"/>
                    </w:rPr>
                  </w:pPr>
                </w:p>
              </w:tc>
            </w:tr>
            <w:tr w14:paraId="134C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4" w:hRule="atLeast"/>
              </w:trPr>
              <w:tc>
                <w:tcPr>
                  <w:tcW w:w="1255" w:type="dxa"/>
                  <w:tcBorders>
                    <w:top w:val="single" w:color="auto" w:sz="4" w:space="0"/>
                    <w:left w:val="single" w:color="auto" w:sz="4" w:space="0"/>
                    <w:bottom w:val="single" w:color="auto" w:sz="4" w:space="0"/>
                    <w:right w:val="single" w:color="auto" w:sz="4" w:space="0"/>
                  </w:tcBorders>
                  <w:vAlign w:val="center"/>
                </w:tcPr>
                <w:p w14:paraId="0F1BB04B">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猪</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3446F7A7">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均</w:t>
                  </w:r>
                  <w:r>
                    <w:rPr>
                      <w:rFonts w:hint="eastAsia" w:ascii="宋体" w:hAnsi="宋体" w:cs="宋体"/>
                      <w:color w:val="auto"/>
                      <w:spacing w:val="-1"/>
                      <w:szCs w:val="21"/>
                      <w:highlight w:val="none"/>
                    </w:rPr>
                    <w:t>匀</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脂</w:t>
                  </w:r>
                  <w:r>
                    <w:rPr>
                      <w:rFonts w:hint="eastAsia" w:ascii="宋体" w:hAnsi="宋体" w:cs="宋体"/>
                      <w:color w:val="auto"/>
                      <w:spacing w:val="-1"/>
                      <w:szCs w:val="21"/>
                      <w:highlight w:val="none"/>
                    </w:rPr>
                    <w:t>肪</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白</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霉</w:t>
                  </w:r>
                  <w:r>
                    <w:rPr>
                      <w:rFonts w:hint="eastAsia" w:ascii="宋体" w:hAnsi="宋体" w:cs="宋体"/>
                      <w:color w:val="auto"/>
                      <w:spacing w:val="2"/>
                      <w:szCs w:val="21"/>
                      <w:highlight w:val="none"/>
                    </w:rPr>
                    <w:t>点</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肉</w:t>
                  </w:r>
                  <w:r>
                    <w:rPr>
                      <w:rFonts w:hint="eastAsia" w:ascii="宋体" w:hAnsi="宋体" w:cs="宋体"/>
                      <w:color w:val="auto"/>
                      <w:szCs w:val="21"/>
                      <w:highlight w:val="none"/>
                    </w:rPr>
                    <w:t>质</w:t>
                  </w:r>
                  <w:r>
                    <w:rPr>
                      <w:rFonts w:hint="eastAsia" w:ascii="宋体" w:hAnsi="宋体" w:cs="宋体"/>
                      <w:color w:val="auto"/>
                      <w:spacing w:val="2"/>
                      <w:szCs w:val="21"/>
                      <w:highlight w:val="none"/>
                    </w:rPr>
                    <w:t>紧密、有坚实感、外表及切面微湿润、不粘手、无异味、外包装箱完好。</w:t>
                  </w:r>
                </w:p>
              </w:tc>
              <w:tc>
                <w:tcPr>
                  <w:tcW w:w="2508" w:type="dxa"/>
                  <w:vMerge w:val="continue"/>
                  <w:tcBorders>
                    <w:left w:val="single" w:color="auto" w:sz="4" w:space="0"/>
                    <w:right w:val="single" w:color="auto" w:sz="4" w:space="0"/>
                  </w:tcBorders>
                  <w:vAlign w:val="center"/>
                </w:tcPr>
                <w:p w14:paraId="2197834F">
                  <w:pPr>
                    <w:widowControl/>
                    <w:spacing w:line="440" w:lineRule="exact"/>
                    <w:jc w:val="left"/>
                    <w:rPr>
                      <w:rFonts w:ascii="宋体" w:hAnsi="宋体" w:cs="宋体"/>
                      <w:color w:val="auto"/>
                      <w:szCs w:val="21"/>
                      <w:highlight w:val="none"/>
                    </w:rPr>
                  </w:pPr>
                </w:p>
              </w:tc>
            </w:tr>
            <w:tr w14:paraId="26B2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10D3054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牛</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0A7DA3A6">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微</w:t>
                  </w:r>
                  <w:r>
                    <w:rPr>
                      <w:rFonts w:hint="eastAsia" w:ascii="宋体" w:hAnsi="宋体" w:cs="宋体"/>
                      <w:color w:val="auto"/>
                      <w:spacing w:val="-1"/>
                      <w:szCs w:val="21"/>
                      <w:highlight w:val="none"/>
                    </w:rPr>
                    <w:t>黄</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微</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风</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膜</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湿润</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但</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粘</w:t>
                  </w:r>
                  <w:r>
                    <w:rPr>
                      <w:rFonts w:hint="eastAsia" w:ascii="宋体" w:hAnsi="宋体" w:cs="宋体"/>
                      <w:color w:val="auto"/>
                      <w:spacing w:val="2"/>
                      <w:szCs w:val="21"/>
                      <w:highlight w:val="none"/>
                    </w:rPr>
                    <w:t>手</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结</w:t>
                  </w:r>
                  <w:r>
                    <w:rPr>
                      <w:rFonts w:hint="eastAsia" w:ascii="宋体" w:hAnsi="宋体" w:cs="宋体"/>
                      <w:color w:val="auto"/>
                      <w:szCs w:val="21"/>
                      <w:highlight w:val="none"/>
                    </w:rPr>
                    <w:t>构</w:t>
                  </w:r>
                  <w:r>
                    <w:rPr>
                      <w:rFonts w:hint="eastAsia" w:ascii="宋体" w:hAnsi="宋体" w:cs="宋体"/>
                      <w:color w:val="auto"/>
                      <w:spacing w:val="-1"/>
                      <w:szCs w:val="21"/>
                      <w:highlight w:val="none"/>
                    </w:rPr>
                    <w:t>紧</w:t>
                  </w:r>
                  <w:r>
                    <w:rPr>
                      <w:rFonts w:hint="eastAsia" w:ascii="宋体" w:hAnsi="宋体" w:cs="宋体"/>
                      <w:color w:val="auto"/>
                      <w:spacing w:val="2"/>
                      <w:szCs w:val="21"/>
                      <w:highlight w:val="none"/>
                    </w:rPr>
                    <w:t>密</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坚</w:t>
                  </w:r>
                  <w:r>
                    <w:rPr>
                      <w:rFonts w:hint="eastAsia" w:ascii="宋体" w:hAnsi="宋体" w:cs="宋体"/>
                      <w:color w:val="auto"/>
                      <w:spacing w:val="2"/>
                      <w:szCs w:val="21"/>
                      <w:highlight w:val="none"/>
                    </w:rPr>
                    <w:t>实</w:t>
                  </w:r>
                  <w:r>
                    <w:rPr>
                      <w:rFonts w:hint="eastAsia" w:ascii="宋体" w:hAnsi="宋体" w:cs="宋体"/>
                      <w:color w:val="auto"/>
                      <w:spacing w:val="-1"/>
                      <w:szCs w:val="21"/>
                      <w:highlight w:val="none"/>
                    </w:rPr>
                    <w:t>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纤</w:t>
                  </w:r>
                  <w:r>
                    <w:rPr>
                      <w:rFonts w:hint="eastAsia" w:ascii="宋体" w:hAnsi="宋体" w:cs="宋体"/>
                      <w:color w:val="auto"/>
                      <w:spacing w:val="-1"/>
                      <w:szCs w:val="21"/>
                      <w:highlight w:val="none"/>
                    </w:rPr>
                    <w:t>维</w:t>
                  </w:r>
                  <w:r>
                    <w:rPr>
                      <w:rFonts w:hint="eastAsia" w:ascii="宋体" w:hAnsi="宋体" w:cs="宋体"/>
                      <w:color w:val="auto"/>
                      <w:spacing w:val="2"/>
                      <w:szCs w:val="21"/>
                      <w:highlight w:val="none"/>
                    </w:rPr>
                    <w:t>韧</w:t>
                  </w:r>
                  <w:r>
                    <w:rPr>
                      <w:rFonts w:hint="eastAsia" w:ascii="宋体" w:hAnsi="宋体" w:cs="宋体"/>
                      <w:color w:val="auto"/>
                      <w:spacing w:val="-1"/>
                      <w:szCs w:val="21"/>
                      <w:highlight w:val="none"/>
                    </w:rPr>
                    <w:t>性</w:t>
                  </w:r>
                  <w:r>
                    <w:rPr>
                      <w:rFonts w:hint="eastAsia" w:ascii="宋体" w:hAnsi="宋体" w:cs="宋体"/>
                      <w:color w:val="auto"/>
                      <w:szCs w:val="21"/>
                      <w:highlight w:val="none"/>
                    </w:rPr>
                    <w:t>强</w:t>
                  </w:r>
                </w:p>
              </w:tc>
              <w:tc>
                <w:tcPr>
                  <w:tcW w:w="2508" w:type="dxa"/>
                  <w:vMerge w:val="continue"/>
                  <w:tcBorders>
                    <w:left w:val="single" w:color="auto" w:sz="4" w:space="0"/>
                    <w:right w:val="single" w:color="auto" w:sz="4" w:space="0"/>
                  </w:tcBorders>
                  <w:vAlign w:val="center"/>
                </w:tcPr>
                <w:p w14:paraId="10FBD5A6">
                  <w:pPr>
                    <w:widowControl/>
                    <w:spacing w:line="440" w:lineRule="exact"/>
                    <w:jc w:val="left"/>
                    <w:rPr>
                      <w:rFonts w:ascii="宋体" w:hAnsi="宋体" w:cs="宋体"/>
                      <w:color w:val="auto"/>
                      <w:szCs w:val="21"/>
                      <w:highlight w:val="none"/>
                    </w:rPr>
                  </w:pPr>
                </w:p>
              </w:tc>
            </w:tr>
            <w:tr w14:paraId="6684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55" w:type="dxa"/>
                  <w:tcBorders>
                    <w:top w:val="single" w:color="auto" w:sz="4" w:space="0"/>
                    <w:left w:val="single" w:color="auto" w:sz="4" w:space="0"/>
                    <w:bottom w:val="single" w:color="auto" w:sz="4" w:space="0"/>
                    <w:right w:val="single" w:color="auto" w:sz="4" w:space="0"/>
                  </w:tcBorders>
                  <w:vAlign w:val="center"/>
                </w:tcPr>
                <w:p w14:paraId="3956660D">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羊</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4295DEE8">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鲜艳</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脂</w:t>
                  </w:r>
                  <w:r>
                    <w:rPr>
                      <w:rFonts w:hint="eastAsia" w:ascii="宋体" w:hAnsi="宋体" w:cs="宋体"/>
                      <w:color w:val="auto"/>
                      <w:spacing w:val="2"/>
                      <w:szCs w:val="21"/>
                      <w:highlight w:val="none"/>
                    </w:rPr>
                    <w:t>肪</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有</w:t>
                  </w:r>
                  <w:r>
                    <w:rPr>
                      <w:rFonts w:hint="eastAsia" w:ascii="宋体" w:hAnsi="宋体" w:cs="宋体"/>
                      <w:color w:val="auto"/>
                      <w:szCs w:val="21"/>
                      <w:highlight w:val="none"/>
                    </w:rPr>
                    <w:t>风</w:t>
                  </w:r>
                  <w:r>
                    <w:rPr>
                      <w:rFonts w:hint="eastAsia" w:ascii="宋体" w:hAnsi="宋体" w:cs="宋体"/>
                      <w:color w:val="auto"/>
                      <w:spacing w:val="2"/>
                      <w:szCs w:val="21"/>
                      <w:highlight w:val="none"/>
                    </w:rPr>
                    <w:t>干</w:t>
                  </w:r>
                  <w:r>
                    <w:rPr>
                      <w:rFonts w:hint="eastAsia" w:ascii="宋体" w:hAnsi="宋体" w:cs="宋体"/>
                      <w:color w:val="auto"/>
                      <w:spacing w:val="-1"/>
                      <w:szCs w:val="21"/>
                      <w:highlight w:val="none"/>
                    </w:rPr>
                    <w:t>膜</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湿</w:t>
                  </w:r>
                  <w:r>
                    <w:rPr>
                      <w:rFonts w:hint="eastAsia" w:ascii="宋体" w:hAnsi="宋体" w:cs="宋体"/>
                      <w:color w:val="auto"/>
                      <w:spacing w:val="2"/>
                      <w:szCs w:val="21"/>
                      <w:highlight w:val="none"/>
                    </w:rPr>
                    <w:t>润</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但</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粘手</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结</w:t>
                  </w:r>
                  <w:r>
                    <w:rPr>
                      <w:rFonts w:hint="eastAsia" w:ascii="宋体" w:hAnsi="宋体" w:cs="宋体"/>
                      <w:color w:val="auto"/>
                      <w:spacing w:val="-1"/>
                      <w:szCs w:val="21"/>
                      <w:highlight w:val="none"/>
                    </w:rPr>
                    <w:t>构</w:t>
                  </w:r>
                  <w:r>
                    <w:rPr>
                      <w:rFonts w:hint="eastAsia" w:ascii="宋体" w:hAnsi="宋体" w:cs="宋体"/>
                      <w:color w:val="auto"/>
                      <w:spacing w:val="2"/>
                      <w:szCs w:val="21"/>
                      <w:highlight w:val="none"/>
                    </w:rPr>
                    <w:t>紧</w:t>
                  </w:r>
                  <w:r>
                    <w:rPr>
                      <w:rFonts w:hint="eastAsia" w:ascii="宋体" w:hAnsi="宋体" w:cs="宋体"/>
                      <w:color w:val="auto"/>
                      <w:spacing w:val="-1"/>
                      <w:szCs w:val="21"/>
                      <w:highlight w:val="none"/>
                    </w:rPr>
                    <w:t>密</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坚</w:t>
                  </w:r>
                  <w:r>
                    <w:rPr>
                      <w:rFonts w:hint="eastAsia" w:ascii="宋体" w:hAnsi="宋体" w:cs="宋体"/>
                      <w:color w:val="auto"/>
                      <w:szCs w:val="21"/>
                      <w:highlight w:val="none"/>
                    </w:rPr>
                    <w:t>实</w:t>
                  </w:r>
                  <w:r>
                    <w:rPr>
                      <w:rFonts w:hint="eastAsia" w:ascii="宋体" w:hAnsi="宋体" w:cs="宋体"/>
                      <w:color w:val="auto"/>
                      <w:spacing w:val="-1"/>
                      <w:szCs w:val="21"/>
                      <w:highlight w:val="none"/>
                    </w:rPr>
                    <w:t>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纤</w:t>
                  </w:r>
                  <w:r>
                    <w:rPr>
                      <w:rFonts w:hint="eastAsia" w:ascii="宋体" w:hAnsi="宋体" w:cs="宋体"/>
                      <w:color w:val="auto"/>
                      <w:spacing w:val="-1"/>
                      <w:szCs w:val="21"/>
                      <w:highlight w:val="none"/>
                    </w:rPr>
                    <w:t>维</w:t>
                  </w:r>
                  <w:r>
                    <w:rPr>
                      <w:rFonts w:hint="eastAsia" w:ascii="宋体" w:hAnsi="宋体" w:cs="宋体"/>
                      <w:color w:val="auto"/>
                      <w:spacing w:val="2"/>
                      <w:szCs w:val="21"/>
                      <w:highlight w:val="none"/>
                    </w:rPr>
                    <w:t>韧</w:t>
                  </w:r>
                  <w:r>
                    <w:rPr>
                      <w:rFonts w:hint="eastAsia" w:ascii="宋体" w:hAnsi="宋体" w:cs="宋体"/>
                      <w:color w:val="auto"/>
                      <w:spacing w:val="-1"/>
                      <w:szCs w:val="21"/>
                      <w:highlight w:val="none"/>
                    </w:rPr>
                    <w:t>性</w:t>
                  </w:r>
                  <w:r>
                    <w:rPr>
                      <w:rFonts w:hint="eastAsia" w:ascii="宋体" w:hAnsi="宋体" w:cs="宋体"/>
                      <w:color w:val="auto"/>
                      <w:spacing w:val="2"/>
                      <w:szCs w:val="21"/>
                      <w:highlight w:val="none"/>
                    </w:rPr>
                    <w:t>强</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zCs w:val="21"/>
                      <w:highlight w:val="none"/>
                    </w:rPr>
                    <w:t>好</w:t>
                  </w:r>
                </w:p>
              </w:tc>
              <w:tc>
                <w:tcPr>
                  <w:tcW w:w="2508" w:type="dxa"/>
                  <w:vMerge w:val="continue"/>
                  <w:tcBorders>
                    <w:left w:val="single" w:color="auto" w:sz="4" w:space="0"/>
                    <w:right w:val="single" w:color="auto" w:sz="4" w:space="0"/>
                  </w:tcBorders>
                  <w:vAlign w:val="center"/>
                </w:tcPr>
                <w:p w14:paraId="0A95507D">
                  <w:pPr>
                    <w:widowControl/>
                    <w:spacing w:line="440" w:lineRule="exact"/>
                    <w:jc w:val="left"/>
                    <w:rPr>
                      <w:rFonts w:ascii="宋体" w:hAnsi="宋体" w:cs="宋体"/>
                      <w:color w:val="auto"/>
                      <w:szCs w:val="21"/>
                      <w:highlight w:val="none"/>
                    </w:rPr>
                  </w:pPr>
                </w:p>
              </w:tc>
            </w:tr>
            <w:tr w14:paraId="1A6E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trPr>
              <w:tc>
                <w:tcPr>
                  <w:tcW w:w="1255" w:type="dxa"/>
                  <w:tcBorders>
                    <w:top w:val="single" w:color="auto" w:sz="4" w:space="0"/>
                    <w:left w:val="single" w:color="auto" w:sz="4" w:space="0"/>
                    <w:bottom w:val="single" w:color="auto" w:sz="4" w:space="0"/>
                    <w:right w:val="single" w:color="auto" w:sz="4" w:space="0"/>
                  </w:tcBorders>
                  <w:vAlign w:val="center"/>
                </w:tcPr>
                <w:p w14:paraId="59D52C2C">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鸡</w:t>
                  </w:r>
                  <w:r>
                    <w:rPr>
                      <w:rFonts w:hint="eastAsia" w:ascii="宋体" w:hAnsi="宋体" w:cs="宋体"/>
                      <w:color w:val="auto"/>
                      <w:szCs w:val="21"/>
                      <w:highlight w:val="none"/>
                      <w:lang w:eastAsia="en-US"/>
                    </w:rPr>
                    <w:t>肉</w:t>
                  </w:r>
                </w:p>
              </w:tc>
              <w:tc>
                <w:tcPr>
                  <w:tcW w:w="5052" w:type="dxa"/>
                  <w:tcBorders>
                    <w:top w:val="single" w:color="auto" w:sz="4" w:space="0"/>
                    <w:left w:val="single" w:color="auto" w:sz="4" w:space="0"/>
                    <w:bottom w:val="single" w:color="auto" w:sz="4" w:space="0"/>
                    <w:right w:val="single" w:color="auto" w:sz="4" w:space="0"/>
                  </w:tcBorders>
                  <w:vAlign w:val="center"/>
                </w:tcPr>
                <w:p w14:paraId="620C79A9">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饱</w:t>
                  </w:r>
                  <w:r>
                    <w:rPr>
                      <w:rFonts w:hint="eastAsia" w:ascii="宋体" w:hAnsi="宋体" w:cs="宋体"/>
                      <w:color w:val="auto"/>
                      <w:spacing w:val="2"/>
                      <w:szCs w:val="21"/>
                      <w:highlight w:val="none"/>
                    </w:rPr>
                    <w:t>满</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平坦</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皮</w:t>
                  </w:r>
                  <w:r>
                    <w:rPr>
                      <w:rFonts w:hint="eastAsia" w:ascii="宋体" w:hAnsi="宋体" w:cs="宋体"/>
                      <w:color w:val="auto"/>
                      <w:spacing w:val="2"/>
                      <w:szCs w:val="21"/>
                      <w:highlight w:val="none"/>
                    </w:rPr>
                    <w:t>肤</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因</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种</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同</w:t>
                  </w:r>
                  <w:r>
                    <w:rPr>
                      <w:rFonts w:hint="eastAsia" w:ascii="宋体" w:hAnsi="宋体" w:cs="宋体"/>
                      <w:color w:val="auto"/>
                      <w:spacing w:val="2"/>
                      <w:szCs w:val="21"/>
                      <w:highlight w:val="none"/>
                    </w:rPr>
                    <w:t>而</w:t>
                  </w:r>
                  <w:r>
                    <w:rPr>
                      <w:rFonts w:hint="eastAsia" w:ascii="宋体" w:hAnsi="宋体" w:cs="宋体"/>
                      <w:color w:val="auto"/>
                      <w:spacing w:val="-1"/>
                      <w:szCs w:val="21"/>
                      <w:highlight w:val="none"/>
                    </w:rPr>
                    <w:t>呈</w:t>
                  </w:r>
                  <w:r>
                    <w:rPr>
                      <w:rFonts w:hint="eastAsia" w:ascii="宋体" w:hAnsi="宋体" w:cs="宋体"/>
                      <w:color w:val="auto"/>
                      <w:szCs w:val="21"/>
                      <w:highlight w:val="none"/>
                    </w:rPr>
                    <w:t>淡</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红</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灰</w:t>
                  </w:r>
                  <w:r>
                    <w:rPr>
                      <w:rFonts w:hint="eastAsia" w:ascii="宋体" w:hAnsi="宋体" w:cs="宋体"/>
                      <w:color w:val="auto"/>
                      <w:spacing w:val="-1"/>
                      <w:szCs w:val="21"/>
                      <w:highlight w:val="none"/>
                    </w:rPr>
                    <w:t>白</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等</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肌</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微</w:t>
                  </w:r>
                  <w:r>
                    <w:rPr>
                      <w:rFonts w:hint="eastAsia" w:ascii="宋体" w:hAnsi="宋体" w:cs="宋体"/>
                      <w:color w:val="auto"/>
                      <w:spacing w:val="2"/>
                      <w:szCs w:val="21"/>
                      <w:highlight w:val="none"/>
                    </w:rPr>
                    <w:t>湿润</w:t>
                  </w:r>
                  <w:r>
                    <w:rPr>
                      <w:rFonts w:hint="eastAsia" w:ascii="宋体" w:hAnsi="宋体" w:cs="宋体"/>
                      <w:color w:val="auto"/>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粘手</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指</w:t>
                  </w:r>
                  <w:r>
                    <w:rPr>
                      <w:rFonts w:hint="eastAsia" w:ascii="宋体" w:hAnsi="宋体" w:cs="宋体"/>
                      <w:color w:val="auto"/>
                      <w:spacing w:val="2"/>
                      <w:szCs w:val="21"/>
                      <w:highlight w:val="none"/>
                    </w:rPr>
                    <w:t>压</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2"/>
                      <w:szCs w:val="21"/>
                      <w:highlight w:val="none"/>
                    </w:rPr>
                    <w:t>恢</w:t>
                  </w:r>
                  <w:r>
                    <w:rPr>
                      <w:rFonts w:hint="eastAsia" w:ascii="宋体" w:hAnsi="宋体" w:cs="宋体"/>
                      <w:color w:val="auto"/>
                      <w:spacing w:val="-1"/>
                      <w:szCs w:val="21"/>
                      <w:highlight w:val="none"/>
                    </w:rPr>
                    <w:t>复且</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能</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全</w:t>
                  </w:r>
                  <w:r>
                    <w:rPr>
                      <w:rFonts w:hint="eastAsia" w:ascii="宋体" w:hAnsi="宋体" w:cs="宋体"/>
                      <w:color w:val="auto"/>
                      <w:spacing w:val="2"/>
                      <w:szCs w:val="21"/>
                      <w:highlight w:val="none"/>
                    </w:rPr>
                    <w:t>恢复</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包</w:t>
                  </w:r>
                  <w:r>
                    <w:rPr>
                      <w:rFonts w:hint="eastAsia" w:ascii="宋体" w:hAnsi="宋体" w:cs="宋体"/>
                      <w:color w:val="auto"/>
                      <w:spacing w:val="-1"/>
                      <w:szCs w:val="21"/>
                      <w:highlight w:val="none"/>
                    </w:rPr>
                    <w:t>装</w:t>
                  </w:r>
                  <w:r>
                    <w:rPr>
                      <w:rFonts w:hint="eastAsia" w:ascii="宋体" w:hAnsi="宋体" w:cs="宋体"/>
                      <w:color w:val="auto"/>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zCs w:val="21"/>
                      <w:highlight w:val="none"/>
                    </w:rPr>
                    <w:t>好</w:t>
                  </w:r>
                </w:p>
              </w:tc>
              <w:tc>
                <w:tcPr>
                  <w:tcW w:w="2508" w:type="dxa"/>
                  <w:vMerge w:val="continue"/>
                  <w:tcBorders>
                    <w:left w:val="single" w:color="auto" w:sz="4" w:space="0"/>
                    <w:right w:val="single" w:color="auto" w:sz="4" w:space="0"/>
                  </w:tcBorders>
                  <w:vAlign w:val="center"/>
                </w:tcPr>
                <w:p w14:paraId="13A434E5">
                  <w:pPr>
                    <w:widowControl/>
                    <w:spacing w:line="440" w:lineRule="exact"/>
                    <w:jc w:val="left"/>
                    <w:rPr>
                      <w:rFonts w:ascii="宋体" w:hAnsi="宋体" w:cs="宋体"/>
                      <w:color w:val="auto"/>
                      <w:szCs w:val="21"/>
                      <w:highlight w:val="none"/>
                    </w:rPr>
                  </w:pPr>
                </w:p>
              </w:tc>
            </w:tr>
            <w:tr w14:paraId="16EA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1255" w:type="dxa"/>
                  <w:tcBorders>
                    <w:top w:val="single" w:color="auto" w:sz="4" w:space="0"/>
                    <w:left w:val="single" w:color="auto" w:sz="4" w:space="0"/>
                    <w:bottom w:val="single" w:color="auto" w:sz="4" w:space="0"/>
                    <w:right w:val="single" w:color="auto" w:sz="4" w:space="0"/>
                  </w:tcBorders>
                  <w:vAlign w:val="center"/>
                </w:tcPr>
                <w:p w14:paraId="683AB8C2">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冻</w:t>
                  </w:r>
                  <w:r>
                    <w:rPr>
                      <w:rFonts w:hint="eastAsia" w:ascii="宋体" w:hAnsi="宋体" w:cs="宋体"/>
                      <w:color w:val="auto"/>
                      <w:spacing w:val="2"/>
                      <w:szCs w:val="21"/>
                      <w:highlight w:val="none"/>
                      <w:lang w:eastAsia="en-US"/>
                    </w:rPr>
                    <w:t>鱼</w:t>
                  </w:r>
                  <w:r>
                    <w:rPr>
                      <w:rFonts w:hint="eastAsia" w:ascii="宋体" w:hAnsi="宋体" w:cs="宋体"/>
                      <w:color w:val="auto"/>
                      <w:szCs w:val="21"/>
                      <w:highlight w:val="none"/>
                      <w:lang w:eastAsia="en-US"/>
                    </w:rPr>
                    <w:t>类</w:t>
                  </w:r>
                </w:p>
              </w:tc>
              <w:tc>
                <w:tcPr>
                  <w:tcW w:w="5052" w:type="dxa"/>
                  <w:tcBorders>
                    <w:top w:val="single" w:color="auto" w:sz="4" w:space="0"/>
                    <w:left w:val="single" w:color="auto" w:sz="4" w:space="0"/>
                    <w:bottom w:val="single" w:color="auto" w:sz="4" w:space="0"/>
                    <w:right w:val="single" w:color="auto" w:sz="4" w:space="0"/>
                  </w:tcBorders>
                  <w:vAlign w:val="center"/>
                </w:tcPr>
                <w:p w14:paraId="2FCEC943">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鳍</w:t>
                  </w:r>
                  <w:r>
                    <w:rPr>
                      <w:rFonts w:hint="eastAsia" w:ascii="宋体" w:hAnsi="宋体" w:cs="宋体"/>
                      <w:color w:val="auto"/>
                      <w:spacing w:val="2"/>
                      <w:szCs w:val="21"/>
                      <w:highlight w:val="none"/>
                    </w:rPr>
                    <w:t>平</w:t>
                  </w:r>
                  <w:r>
                    <w:rPr>
                      <w:rFonts w:hint="eastAsia" w:ascii="宋体" w:hAnsi="宋体" w:cs="宋体"/>
                      <w:color w:val="auto"/>
                      <w:spacing w:val="-1"/>
                      <w:szCs w:val="21"/>
                      <w:highlight w:val="none"/>
                    </w:rPr>
                    <w:t>直</w:t>
                  </w:r>
                  <w:r>
                    <w:rPr>
                      <w:rFonts w:hint="eastAsia" w:ascii="宋体" w:hAnsi="宋体" w:cs="宋体"/>
                      <w:color w:val="auto"/>
                      <w:spacing w:val="2"/>
                      <w:szCs w:val="21"/>
                      <w:highlight w:val="none"/>
                    </w:rPr>
                    <w:t>紧</w:t>
                  </w:r>
                  <w:r>
                    <w:rPr>
                      <w:rFonts w:hint="eastAsia" w:ascii="宋体" w:hAnsi="宋体" w:cs="宋体"/>
                      <w:color w:val="auto"/>
                      <w:spacing w:val="-1"/>
                      <w:szCs w:val="21"/>
                      <w:highlight w:val="none"/>
                    </w:rPr>
                    <w:t>贴</w:t>
                  </w:r>
                  <w:r>
                    <w:rPr>
                      <w:rFonts w:hint="eastAsia" w:ascii="宋体" w:hAnsi="宋体" w:cs="宋体"/>
                      <w:color w:val="auto"/>
                      <w:spacing w:val="2"/>
                      <w:szCs w:val="21"/>
                      <w:highlight w:val="none"/>
                    </w:rPr>
                    <w:t>鱼体</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鳞</w:t>
                  </w:r>
                  <w:r>
                    <w:rPr>
                      <w:rFonts w:hint="eastAsia" w:ascii="宋体" w:hAnsi="宋体" w:cs="宋体"/>
                      <w:color w:val="auto"/>
                      <w:spacing w:val="2"/>
                      <w:szCs w:val="21"/>
                      <w:highlight w:val="none"/>
                    </w:rPr>
                    <w:t>片</w:t>
                  </w:r>
                  <w:r>
                    <w:rPr>
                      <w:rFonts w:hint="eastAsia" w:ascii="宋体" w:hAnsi="宋体" w:cs="宋体"/>
                      <w:color w:val="auto"/>
                      <w:spacing w:val="-1"/>
                      <w:szCs w:val="21"/>
                      <w:highlight w:val="none"/>
                    </w:rPr>
                    <w:t>上</w:t>
                  </w:r>
                  <w:r>
                    <w:rPr>
                      <w:rFonts w:hint="eastAsia" w:ascii="宋体" w:hAnsi="宋体" w:cs="宋体"/>
                      <w:color w:val="auto"/>
                      <w:spacing w:val="2"/>
                      <w:szCs w:val="21"/>
                      <w:highlight w:val="none"/>
                    </w:rPr>
                    <w:t>覆</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结</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黏</w:t>
                  </w:r>
                  <w:r>
                    <w:rPr>
                      <w:rFonts w:hint="eastAsia" w:ascii="宋体" w:hAnsi="宋体" w:cs="宋体"/>
                      <w:color w:val="auto"/>
                      <w:spacing w:val="2"/>
                      <w:szCs w:val="21"/>
                      <w:highlight w:val="none"/>
                    </w:rPr>
                    <w:t>液</w:t>
                  </w:r>
                  <w:r>
                    <w:rPr>
                      <w:rFonts w:hint="eastAsia" w:ascii="宋体" w:hAnsi="宋体" w:cs="宋体"/>
                      <w:color w:val="auto"/>
                      <w:spacing w:val="-1"/>
                      <w:szCs w:val="21"/>
                      <w:highlight w:val="none"/>
                    </w:rPr>
                    <w:t>层</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天</w:t>
                  </w:r>
                  <w:r>
                    <w:rPr>
                      <w:rFonts w:hint="eastAsia" w:ascii="宋体" w:hAnsi="宋体" w:cs="宋体"/>
                      <w:color w:val="auto"/>
                      <w:szCs w:val="21"/>
                      <w:highlight w:val="none"/>
                    </w:rPr>
                    <w:t>然</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显</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而</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浑</w:t>
                  </w:r>
                  <w:r>
                    <w:rPr>
                      <w:rFonts w:hint="eastAsia" w:ascii="宋体" w:hAnsi="宋体" w:cs="宋体"/>
                      <w:color w:val="auto"/>
                      <w:spacing w:val="2"/>
                      <w:szCs w:val="21"/>
                      <w:highlight w:val="none"/>
                    </w:rPr>
                    <w:t>浊</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突出</w:t>
                  </w:r>
                  <w:r>
                    <w:rPr>
                      <w:rFonts w:hint="eastAsia" w:ascii="宋体" w:hAnsi="宋体" w:cs="宋体"/>
                      <w:color w:val="auto"/>
                      <w:spacing w:val="-11"/>
                      <w:szCs w:val="21"/>
                      <w:highlight w:val="none"/>
                    </w:rPr>
                    <w:t>，</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重</w:t>
                  </w:r>
                  <w:r>
                    <w:rPr>
                      <w:rFonts w:hint="eastAsia" w:ascii="宋体" w:hAnsi="宋体" w:cs="宋体"/>
                      <w:color w:val="auto"/>
                      <w:spacing w:val="2"/>
                      <w:szCs w:val="21"/>
                      <w:highlight w:val="none"/>
                    </w:rPr>
                    <w:t>复</w:t>
                  </w:r>
                  <w:r>
                    <w:rPr>
                      <w:rFonts w:hint="eastAsia" w:ascii="宋体" w:hAnsi="宋体" w:cs="宋体"/>
                      <w:color w:val="auto"/>
                      <w:spacing w:val="-1"/>
                      <w:szCs w:val="21"/>
                      <w:highlight w:val="none"/>
                    </w:rPr>
                    <w:t>冰</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鱼</w:t>
                  </w:r>
                  <w:r>
                    <w:rPr>
                      <w:rFonts w:hint="eastAsia" w:ascii="宋体" w:hAnsi="宋体" w:cs="宋体"/>
                      <w:color w:val="auto"/>
                      <w:szCs w:val="21"/>
                      <w:highlight w:val="none"/>
                    </w:rPr>
                    <w:t>鳞</w:t>
                  </w: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暗</w:t>
                  </w:r>
                  <w:r>
                    <w:rPr>
                      <w:rFonts w:hint="eastAsia" w:ascii="宋体" w:hAnsi="宋体" w:cs="宋体"/>
                      <w:color w:val="auto"/>
                      <w:spacing w:val="2"/>
                      <w:szCs w:val="21"/>
                      <w:highlight w:val="none"/>
                    </w:rPr>
                    <w:t>色</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后</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层</w:t>
                  </w:r>
                  <w:r>
                    <w:rPr>
                      <w:rFonts w:hint="eastAsia" w:ascii="宋体" w:hAnsi="宋体" w:cs="宋体"/>
                      <w:color w:val="auto"/>
                      <w:spacing w:val="-1"/>
                      <w:szCs w:val="21"/>
                      <w:highlight w:val="none"/>
                    </w:rPr>
                    <w:t>清</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3"/>
                      <w:szCs w:val="21"/>
                      <w:highlight w:val="none"/>
                    </w:rPr>
                    <w:t>，</w:t>
                  </w:r>
                  <w:r>
                    <w:rPr>
                      <w:rFonts w:hint="eastAsia" w:ascii="宋体" w:hAnsi="宋体" w:cs="宋体"/>
                      <w:color w:val="auto"/>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完整</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6"/>
                      <w:szCs w:val="21"/>
                      <w:highlight w:val="none"/>
                    </w:rPr>
                    <w:t>，</w:t>
                  </w:r>
                  <w:r>
                    <w:rPr>
                      <w:rFonts w:hint="eastAsia" w:ascii="宋体" w:hAnsi="宋体" w:cs="宋体"/>
                      <w:color w:val="auto"/>
                      <w:spacing w:val="-1"/>
                      <w:szCs w:val="21"/>
                      <w:highlight w:val="none"/>
                    </w:rPr>
                    <w:t>具</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海</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或</w:t>
                  </w:r>
                  <w:r>
                    <w:rPr>
                      <w:rFonts w:hint="eastAsia" w:ascii="宋体" w:hAnsi="宋体" w:cs="宋体"/>
                      <w:color w:val="auto"/>
                      <w:spacing w:val="-1"/>
                      <w:szCs w:val="21"/>
                      <w:highlight w:val="none"/>
                    </w:rPr>
                    <w:t>淡</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固</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气</w:t>
                  </w:r>
                  <w:r>
                    <w:rPr>
                      <w:rFonts w:hint="eastAsia" w:ascii="宋体" w:hAnsi="宋体" w:cs="宋体"/>
                      <w:color w:val="auto"/>
                      <w:spacing w:val="-1"/>
                      <w:szCs w:val="21"/>
                      <w:highlight w:val="none"/>
                    </w:rPr>
                    <w:t>味</w:t>
                  </w:r>
                  <w:r>
                    <w:rPr>
                      <w:rFonts w:hint="eastAsia" w:ascii="宋体" w:hAnsi="宋体" w:cs="宋体"/>
                      <w:color w:val="auto"/>
                      <w:spacing w:val="-6"/>
                      <w:szCs w:val="21"/>
                      <w:highlight w:val="none"/>
                    </w:rPr>
                    <w:t>，</w:t>
                  </w:r>
                  <w:r>
                    <w:rPr>
                      <w:rFonts w:hint="eastAsia" w:ascii="宋体" w:hAnsi="宋体" w:cs="宋体"/>
                      <w:color w:val="auto"/>
                      <w:szCs w:val="21"/>
                      <w:highlight w:val="none"/>
                    </w:rPr>
                    <w:t>眼</w:t>
                  </w:r>
                  <w:r>
                    <w:rPr>
                      <w:rFonts w:hint="eastAsia" w:ascii="宋体" w:hAnsi="宋体" w:cs="宋体"/>
                      <w:color w:val="auto"/>
                      <w:spacing w:val="2"/>
                      <w:szCs w:val="21"/>
                      <w:highlight w:val="none"/>
                    </w:rPr>
                    <w:t>球</w:t>
                  </w:r>
                  <w:r>
                    <w:rPr>
                      <w:rFonts w:hint="eastAsia" w:ascii="宋体" w:hAnsi="宋体" w:cs="宋体"/>
                      <w:color w:val="auto"/>
                      <w:spacing w:val="-1"/>
                      <w:szCs w:val="21"/>
                      <w:highlight w:val="none"/>
                    </w:rPr>
                    <w:t>饱</w:t>
                  </w:r>
                  <w:r>
                    <w:rPr>
                      <w:rFonts w:hint="eastAsia" w:ascii="宋体" w:hAnsi="宋体" w:cs="宋体"/>
                      <w:color w:val="auto"/>
                      <w:spacing w:val="2"/>
                      <w:szCs w:val="21"/>
                      <w:highlight w:val="none"/>
                    </w:rPr>
                    <w:t>满</w:t>
                  </w:r>
                  <w:r>
                    <w:rPr>
                      <w:rFonts w:hint="eastAsia" w:ascii="宋体" w:hAnsi="宋体" w:cs="宋体"/>
                      <w:color w:val="auto"/>
                      <w:spacing w:val="-1"/>
                      <w:szCs w:val="21"/>
                      <w:highlight w:val="none"/>
                    </w:rPr>
                    <w:t>凸</w:t>
                  </w:r>
                  <w:r>
                    <w:rPr>
                      <w:rFonts w:hint="eastAsia" w:ascii="宋体" w:hAnsi="宋体" w:cs="宋体"/>
                      <w:color w:val="auto"/>
                      <w:spacing w:val="2"/>
                      <w:szCs w:val="21"/>
                      <w:highlight w:val="none"/>
                    </w:rPr>
                    <w:t>出</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角</w:t>
                  </w:r>
                  <w:r>
                    <w:rPr>
                      <w:rFonts w:hint="eastAsia" w:ascii="宋体" w:hAnsi="宋体" w:cs="宋体"/>
                      <w:color w:val="auto"/>
                      <w:spacing w:val="-1"/>
                      <w:szCs w:val="21"/>
                      <w:highlight w:val="none"/>
                    </w:rPr>
                    <w:t>膜</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鳃</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红</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清</w:t>
                  </w:r>
                  <w:r>
                    <w:rPr>
                      <w:rFonts w:hint="eastAsia" w:ascii="宋体" w:hAnsi="宋体" w:cs="宋体"/>
                      <w:color w:val="auto"/>
                      <w:spacing w:val="-1"/>
                      <w:szCs w:val="21"/>
                      <w:highlight w:val="none"/>
                    </w:rPr>
                    <w:t>晰</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腹</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3"/>
                      <w:szCs w:val="21"/>
                      <w:highlight w:val="none"/>
                    </w:rPr>
                    <w:t>、</w:t>
                  </w:r>
                  <w:r>
                    <w:rPr>
                      <w:rFonts w:hint="eastAsia" w:ascii="宋体" w:hAnsi="宋体" w:cs="宋体"/>
                      <w:color w:val="auto"/>
                      <w:szCs w:val="21"/>
                      <w:highlight w:val="none"/>
                    </w:rPr>
                    <w:t>无</w:t>
                  </w:r>
                  <w:r>
                    <w:rPr>
                      <w:rFonts w:hint="eastAsia" w:ascii="宋体" w:hAnsi="宋体" w:cs="宋体"/>
                      <w:color w:val="auto"/>
                      <w:spacing w:val="2"/>
                      <w:szCs w:val="21"/>
                      <w:highlight w:val="none"/>
                    </w:rPr>
                    <w:t>胀</w:t>
                  </w:r>
                  <w:r>
                    <w:rPr>
                      <w:rFonts w:hint="eastAsia" w:ascii="宋体" w:hAnsi="宋体" w:cs="宋体"/>
                      <w:color w:val="auto"/>
                      <w:spacing w:val="-1"/>
                      <w:szCs w:val="21"/>
                      <w:highlight w:val="none"/>
                    </w:rPr>
                    <w:t>气</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裂</w:t>
                  </w:r>
                  <w:r>
                    <w:rPr>
                      <w:rFonts w:hint="eastAsia" w:ascii="宋体" w:hAnsi="宋体" w:cs="宋体"/>
                      <w:color w:val="auto"/>
                      <w:spacing w:val="-1"/>
                      <w:szCs w:val="21"/>
                      <w:highlight w:val="none"/>
                    </w:rPr>
                    <w:t>现</w:t>
                  </w:r>
                  <w:r>
                    <w:rPr>
                      <w:rFonts w:hint="eastAsia" w:ascii="宋体" w:hAnsi="宋体" w:cs="宋体"/>
                      <w:color w:val="auto"/>
                      <w:spacing w:val="2"/>
                      <w:szCs w:val="21"/>
                      <w:highlight w:val="none"/>
                    </w:rPr>
                    <w:t>象</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肛</w:t>
                  </w:r>
                  <w:r>
                    <w:rPr>
                      <w:rFonts w:hint="eastAsia" w:ascii="宋体" w:hAnsi="宋体" w:cs="宋体"/>
                      <w:color w:val="auto"/>
                      <w:spacing w:val="-1"/>
                      <w:szCs w:val="21"/>
                      <w:highlight w:val="none"/>
                    </w:rPr>
                    <w:t>孔</w:t>
                  </w:r>
                  <w:r>
                    <w:rPr>
                      <w:rFonts w:hint="eastAsia" w:ascii="宋体" w:hAnsi="宋体" w:cs="宋体"/>
                      <w:color w:val="auto"/>
                      <w:spacing w:val="2"/>
                      <w:szCs w:val="21"/>
                      <w:highlight w:val="none"/>
                    </w:rPr>
                    <w:t>白</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凹</w:t>
                  </w:r>
                  <w:r>
                    <w:rPr>
                      <w:rFonts w:hint="eastAsia" w:ascii="宋体" w:hAnsi="宋体" w:cs="宋体"/>
                      <w:color w:val="auto"/>
                      <w:spacing w:val="-1"/>
                      <w:szCs w:val="21"/>
                      <w:highlight w:val="none"/>
                    </w:rPr>
                    <w:t>陷</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弹</w:t>
                  </w:r>
                  <w:r>
                    <w:rPr>
                      <w:rFonts w:hint="eastAsia" w:ascii="宋体" w:hAnsi="宋体" w:cs="宋体"/>
                      <w:color w:val="auto"/>
                      <w:spacing w:val="2"/>
                      <w:szCs w:val="21"/>
                      <w:highlight w:val="none"/>
                    </w:rPr>
                    <w:t>性</w:t>
                  </w:r>
                  <w:r>
                    <w:rPr>
                      <w:rFonts w:hint="eastAsia" w:ascii="宋体" w:hAnsi="宋体" w:cs="宋体"/>
                      <w:color w:val="auto"/>
                      <w:spacing w:val="-3"/>
                      <w:szCs w:val="21"/>
                      <w:highlight w:val="none"/>
                    </w:rPr>
                    <w:t>，</w:t>
                  </w:r>
                  <w:r>
                    <w:rPr>
                      <w:rFonts w:hint="eastAsia" w:ascii="宋体" w:hAnsi="宋体" w:cs="宋体"/>
                      <w:color w:val="auto"/>
                      <w:szCs w:val="21"/>
                      <w:highlight w:val="none"/>
                    </w:rPr>
                    <w:t>骨</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分</w:t>
                  </w:r>
                  <w:r>
                    <w:rPr>
                      <w:rFonts w:hint="eastAsia" w:ascii="宋体" w:hAnsi="宋体" w:cs="宋体"/>
                      <w:color w:val="auto"/>
                      <w:spacing w:val="2"/>
                      <w:szCs w:val="21"/>
                      <w:highlight w:val="none"/>
                    </w:rPr>
                    <w:t>离</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品</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包</w:t>
                  </w:r>
                  <w:r>
                    <w:rPr>
                      <w:rFonts w:hint="eastAsia" w:ascii="宋体" w:hAnsi="宋体" w:cs="宋体"/>
                      <w:color w:val="auto"/>
                      <w:spacing w:val="-1"/>
                      <w:szCs w:val="21"/>
                      <w:highlight w:val="none"/>
                    </w:rPr>
                    <w:t>装</w:t>
                  </w:r>
                  <w:r>
                    <w:rPr>
                      <w:rFonts w:hint="eastAsia" w:ascii="宋体" w:hAnsi="宋体" w:cs="宋体"/>
                      <w:color w:val="auto"/>
                      <w:spacing w:val="2"/>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08" w:type="dxa"/>
                  <w:vMerge w:val="continue"/>
                  <w:tcBorders>
                    <w:left w:val="single" w:color="auto" w:sz="4" w:space="0"/>
                    <w:bottom w:val="single" w:color="auto" w:sz="4" w:space="0"/>
                    <w:right w:val="single" w:color="auto" w:sz="4" w:space="0"/>
                  </w:tcBorders>
                  <w:vAlign w:val="center"/>
                </w:tcPr>
                <w:p w14:paraId="2B0BE090">
                  <w:pPr>
                    <w:spacing w:line="440" w:lineRule="exact"/>
                    <w:ind w:left="105"/>
                    <w:rPr>
                      <w:rFonts w:ascii="宋体" w:hAnsi="宋体" w:cs="宋体"/>
                      <w:color w:val="auto"/>
                      <w:szCs w:val="21"/>
                      <w:highlight w:val="none"/>
                    </w:rPr>
                  </w:pPr>
                </w:p>
              </w:tc>
            </w:tr>
          </w:tbl>
          <w:p w14:paraId="43060691">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（2）冻副食品</w:t>
            </w:r>
          </w:p>
          <w:tbl>
            <w:tblPr>
              <w:tblStyle w:val="4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4"/>
              <w:gridCol w:w="5056"/>
              <w:gridCol w:w="2510"/>
            </w:tblGrid>
            <w:tr w14:paraId="5054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254" w:type="dxa"/>
                  <w:tcBorders>
                    <w:top w:val="single" w:color="auto" w:sz="4" w:space="0"/>
                    <w:left w:val="single" w:color="auto" w:sz="4" w:space="0"/>
                    <w:bottom w:val="single" w:color="auto" w:sz="4" w:space="0"/>
                    <w:right w:val="single" w:color="auto" w:sz="4" w:space="0"/>
                  </w:tcBorders>
                  <w:vAlign w:val="center"/>
                </w:tcPr>
                <w:p w14:paraId="5936B22E">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品</w:t>
                  </w:r>
                  <w:r>
                    <w:rPr>
                      <w:rFonts w:hint="eastAsia" w:ascii="宋体" w:hAnsi="宋体" w:cs="宋体"/>
                      <w:color w:val="auto"/>
                      <w:szCs w:val="21"/>
                      <w:highlight w:val="none"/>
                    </w:rPr>
                    <w:t>名</w:t>
                  </w:r>
                </w:p>
              </w:tc>
              <w:tc>
                <w:tcPr>
                  <w:tcW w:w="5056" w:type="dxa"/>
                  <w:tcBorders>
                    <w:top w:val="single" w:color="auto" w:sz="4" w:space="0"/>
                    <w:left w:val="single" w:color="auto" w:sz="4" w:space="0"/>
                    <w:bottom w:val="single" w:color="auto" w:sz="4" w:space="0"/>
                    <w:right w:val="single" w:color="auto" w:sz="4" w:space="0"/>
                  </w:tcBorders>
                  <w:vAlign w:val="center"/>
                </w:tcPr>
                <w:p w14:paraId="225E86D3">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质量验</w:t>
                  </w:r>
                  <w:r>
                    <w:rPr>
                      <w:rFonts w:hint="eastAsia" w:ascii="宋体" w:hAnsi="宋体" w:cs="宋体"/>
                      <w:color w:val="auto"/>
                      <w:spacing w:val="-1"/>
                      <w:szCs w:val="21"/>
                      <w:highlight w:val="none"/>
                    </w:rPr>
                    <w:t>收</w:t>
                  </w:r>
                  <w:r>
                    <w:rPr>
                      <w:rFonts w:hint="eastAsia" w:ascii="宋体" w:hAnsi="宋体" w:cs="宋体"/>
                      <w:color w:val="auto"/>
                      <w:spacing w:val="2"/>
                      <w:szCs w:val="21"/>
                      <w:highlight w:val="none"/>
                    </w:rPr>
                    <w:t>标</w:t>
                  </w:r>
                  <w:r>
                    <w:rPr>
                      <w:rFonts w:hint="eastAsia" w:ascii="宋体" w:hAnsi="宋体" w:cs="宋体"/>
                      <w:color w:val="auto"/>
                      <w:szCs w:val="21"/>
                      <w:highlight w:val="none"/>
                    </w:rPr>
                    <w:t>准</w:t>
                  </w:r>
                </w:p>
              </w:tc>
              <w:tc>
                <w:tcPr>
                  <w:tcW w:w="2510" w:type="dxa"/>
                  <w:tcBorders>
                    <w:top w:val="single" w:color="auto" w:sz="4" w:space="0"/>
                    <w:left w:val="single" w:color="auto" w:sz="4" w:space="0"/>
                    <w:bottom w:val="single" w:color="auto" w:sz="4" w:space="0"/>
                    <w:right w:val="single" w:color="auto" w:sz="4" w:space="0"/>
                  </w:tcBorders>
                  <w:vAlign w:val="center"/>
                </w:tcPr>
                <w:p w14:paraId="1F6706A6">
                  <w:pPr>
                    <w:spacing w:line="440" w:lineRule="exact"/>
                    <w:ind w:left="105"/>
                    <w:jc w:val="center"/>
                    <w:rPr>
                      <w:rFonts w:ascii="宋体" w:hAnsi="宋体" w:cs="宋体"/>
                      <w:color w:val="auto"/>
                      <w:szCs w:val="21"/>
                      <w:highlight w:val="none"/>
                    </w:rPr>
                  </w:pPr>
                  <w:r>
                    <w:rPr>
                      <w:rFonts w:hint="eastAsia" w:ascii="宋体" w:hAnsi="宋体" w:cs="宋体"/>
                      <w:color w:val="auto"/>
                      <w:spacing w:val="2"/>
                      <w:szCs w:val="21"/>
                      <w:highlight w:val="none"/>
                    </w:rPr>
                    <w:t>扣秤标</w:t>
                  </w:r>
                  <w:r>
                    <w:rPr>
                      <w:rFonts w:hint="eastAsia" w:ascii="宋体" w:hAnsi="宋体" w:cs="宋体"/>
                      <w:color w:val="auto"/>
                      <w:szCs w:val="21"/>
                      <w:highlight w:val="none"/>
                    </w:rPr>
                    <w:t>准</w:t>
                  </w:r>
                </w:p>
              </w:tc>
            </w:tr>
            <w:tr w14:paraId="334B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trPr>
              <w:tc>
                <w:tcPr>
                  <w:tcW w:w="1254" w:type="dxa"/>
                  <w:tcBorders>
                    <w:top w:val="single" w:color="auto" w:sz="4" w:space="0"/>
                    <w:left w:val="single" w:color="auto" w:sz="4" w:space="0"/>
                    <w:bottom w:val="single" w:color="auto" w:sz="4" w:space="0"/>
                    <w:right w:val="single" w:color="auto" w:sz="4" w:space="0"/>
                  </w:tcBorders>
                  <w:vAlign w:val="center"/>
                </w:tcPr>
                <w:p w14:paraId="40590046">
                  <w:pPr>
                    <w:spacing w:line="440" w:lineRule="exact"/>
                    <w:ind w:left="105"/>
                    <w:jc w:val="center"/>
                    <w:rPr>
                      <w:rFonts w:ascii="宋体" w:hAnsi="宋体" w:cs="宋体"/>
                      <w:color w:val="auto"/>
                      <w:szCs w:val="21"/>
                      <w:highlight w:val="none"/>
                    </w:rPr>
                  </w:pP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中</w:t>
                  </w:r>
                  <w:r>
                    <w:rPr>
                      <w:rFonts w:hint="eastAsia" w:ascii="宋体" w:hAnsi="宋体" w:cs="宋体"/>
                      <w:color w:val="auto"/>
                      <w:szCs w:val="21"/>
                      <w:highlight w:val="none"/>
                    </w:rPr>
                    <w:t>翼</w:t>
                  </w:r>
                </w:p>
              </w:tc>
              <w:tc>
                <w:tcPr>
                  <w:tcW w:w="5056" w:type="dxa"/>
                  <w:tcBorders>
                    <w:top w:val="single" w:color="auto" w:sz="4" w:space="0"/>
                    <w:left w:val="single" w:color="auto" w:sz="4" w:space="0"/>
                    <w:bottom w:val="single" w:color="auto" w:sz="4" w:space="0"/>
                    <w:right w:val="single" w:color="auto" w:sz="4" w:space="0"/>
                  </w:tcBorders>
                  <w:vAlign w:val="center"/>
                </w:tcPr>
                <w:p w14:paraId="316C45E3">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衣</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大</w:t>
                  </w:r>
                  <w:r>
                    <w:rPr>
                      <w:rFonts w:hint="eastAsia" w:ascii="宋体" w:hAnsi="宋体" w:cs="宋体"/>
                      <w:color w:val="auto"/>
                      <w:spacing w:val="-1"/>
                      <w:szCs w:val="21"/>
                      <w:highlight w:val="none"/>
                    </w:rPr>
                    <w:t>小</w:t>
                  </w:r>
                  <w:r>
                    <w:rPr>
                      <w:rFonts w:hint="eastAsia" w:ascii="宋体" w:hAnsi="宋体" w:cs="宋体"/>
                      <w:color w:val="auto"/>
                      <w:spacing w:val="2"/>
                      <w:szCs w:val="21"/>
                      <w:highlight w:val="none"/>
                    </w:rPr>
                    <w:t>均</w:t>
                  </w:r>
                  <w:r>
                    <w:rPr>
                      <w:rFonts w:hint="eastAsia" w:ascii="宋体" w:hAnsi="宋体" w:cs="宋体"/>
                      <w:color w:val="auto"/>
                      <w:spacing w:val="-1"/>
                      <w:szCs w:val="21"/>
                      <w:highlight w:val="none"/>
                    </w:rPr>
                    <w:t>匀</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异味</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6"/>
                      <w:szCs w:val="21"/>
                      <w:highlight w:val="none"/>
                    </w:rPr>
                    <w:t>、</w:t>
                  </w:r>
                  <w:r>
                    <w:rPr>
                      <w:rFonts w:hint="eastAsia" w:ascii="宋体" w:hAnsi="宋体" w:cs="宋体"/>
                      <w:color w:val="auto"/>
                      <w:szCs w:val="21"/>
                      <w:highlight w:val="none"/>
                    </w:rPr>
                    <w:t>无</w:t>
                  </w:r>
                  <w:r>
                    <w:rPr>
                      <w:rFonts w:hint="eastAsia" w:ascii="宋体" w:hAnsi="宋体" w:cs="宋体"/>
                      <w:color w:val="auto"/>
                      <w:spacing w:val="2"/>
                      <w:szCs w:val="21"/>
                      <w:highlight w:val="none"/>
                    </w:rPr>
                    <w:t>明显淤块、无破皮、外表色泽正常、肉质淡红、无鸡毛，</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33"/>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zCs w:val="21"/>
                      <w:highlight w:val="none"/>
                    </w:rPr>
                    <w:t>期</w:t>
                  </w:r>
                </w:p>
              </w:tc>
              <w:tc>
                <w:tcPr>
                  <w:tcW w:w="2510" w:type="dxa"/>
                  <w:vMerge w:val="restart"/>
                  <w:tcBorders>
                    <w:top w:val="nil"/>
                    <w:left w:val="single" w:color="auto" w:sz="4" w:space="0"/>
                    <w:bottom w:val="single" w:color="auto" w:sz="4" w:space="0"/>
                    <w:right w:val="single" w:color="auto" w:sz="4" w:space="0"/>
                  </w:tcBorders>
                  <w:vAlign w:val="center"/>
                </w:tcPr>
                <w:p w14:paraId="21C1E1BE">
                  <w:pPr>
                    <w:spacing w:line="440" w:lineRule="exact"/>
                    <w:ind w:left="105"/>
                    <w:rPr>
                      <w:rFonts w:ascii="宋体" w:hAnsi="宋体" w:cs="宋体"/>
                      <w:color w:val="auto"/>
                      <w:szCs w:val="21"/>
                      <w:highlight w:val="none"/>
                    </w:rPr>
                  </w:pPr>
                  <w:r>
                    <w:rPr>
                      <w:rFonts w:hint="eastAsia" w:ascii="宋体" w:hAnsi="宋体" w:cs="宋体"/>
                      <w:color w:val="auto"/>
                      <w:spacing w:val="9"/>
                      <w:szCs w:val="21"/>
                      <w:highlight w:val="none"/>
                    </w:rPr>
                    <w:t>外</w:t>
                  </w:r>
                  <w:r>
                    <w:rPr>
                      <w:rFonts w:hint="eastAsia" w:ascii="宋体" w:hAnsi="宋体" w:cs="宋体"/>
                      <w:color w:val="auto"/>
                      <w:spacing w:val="11"/>
                      <w:szCs w:val="21"/>
                      <w:highlight w:val="none"/>
                    </w:rPr>
                    <w:t>包</w:t>
                  </w:r>
                  <w:r>
                    <w:rPr>
                      <w:rFonts w:hint="eastAsia" w:ascii="宋体" w:hAnsi="宋体" w:cs="宋体"/>
                      <w:color w:val="auto"/>
                      <w:spacing w:val="9"/>
                      <w:szCs w:val="21"/>
                      <w:highlight w:val="none"/>
                    </w:rPr>
                    <w:t>装箱需</w:t>
                  </w:r>
                  <w:r>
                    <w:rPr>
                      <w:rFonts w:hint="eastAsia" w:ascii="宋体" w:hAnsi="宋体" w:cs="宋体"/>
                      <w:color w:val="auto"/>
                      <w:spacing w:val="11"/>
                      <w:szCs w:val="21"/>
                      <w:highlight w:val="none"/>
                    </w:rPr>
                    <w:t>完</w:t>
                  </w:r>
                  <w:r>
                    <w:rPr>
                      <w:rFonts w:hint="eastAsia" w:ascii="宋体" w:hAnsi="宋体" w:cs="宋体"/>
                      <w:color w:val="auto"/>
                      <w:spacing w:val="9"/>
                      <w:szCs w:val="21"/>
                      <w:highlight w:val="none"/>
                    </w:rPr>
                    <w:t>好</w:t>
                  </w:r>
                  <w:r>
                    <w:rPr>
                      <w:rFonts w:hint="eastAsia" w:ascii="宋体" w:hAnsi="宋体" w:cs="宋体"/>
                      <w:color w:val="auto"/>
                      <w:spacing w:val="11"/>
                      <w:szCs w:val="21"/>
                      <w:highlight w:val="none"/>
                    </w:rPr>
                    <w:t>且</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11"/>
                      <w:szCs w:val="21"/>
                      <w:highlight w:val="none"/>
                    </w:rPr>
                    <w:t>；</w:t>
                  </w:r>
                  <w:r>
                    <w:rPr>
                      <w:rFonts w:hint="eastAsia" w:ascii="宋体" w:hAnsi="宋体" w:cs="宋体"/>
                      <w:color w:val="auto"/>
                      <w:spacing w:val="9"/>
                      <w:szCs w:val="21"/>
                      <w:highlight w:val="none"/>
                    </w:rPr>
                    <w:t>严重</w:t>
                  </w:r>
                  <w:r>
                    <w:rPr>
                      <w:rFonts w:hint="eastAsia" w:ascii="宋体" w:hAnsi="宋体" w:cs="宋体"/>
                      <w:color w:val="auto"/>
                      <w:spacing w:val="11"/>
                      <w:szCs w:val="21"/>
                      <w:highlight w:val="none"/>
                    </w:rPr>
                    <w:t>不</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11"/>
                      <w:szCs w:val="21"/>
                      <w:highlight w:val="none"/>
                    </w:rPr>
                    <w:t>者</w:t>
                  </w:r>
                  <w:r>
                    <w:rPr>
                      <w:rFonts w:hint="eastAsia" w:ascii="宋体" w:hAnsi="宋体" w:cs="宋体"/>
                      <w:color w:val="auto"/>
                      <w:spacing w:val="9"/>
                      <w:szCs w:val="21"/>
                      <w:highlight w:val="none"/>
                    </w:rPr>
                    <w:t>可拒</w:t>
                  </w:r>
                  <w:r>
                    <w:rPr>
                      <w:rFonts w:hint="eastAsia" w:ascii="宋体" w:hAnsi="宋体" w:cs="宋体"/>
                      <w:color w:val="auto"/>
                      <w:spacing w:val="11"/>
                      <w:szCs w:val="21"/>
                      <w:highlight w:val="none"/>
                    </w:rPr>
                    <w:t>收</w:t>
                  </w:r>
                  <w:r>
                    <w:rPr>
                      <w:rFonts w:hint="eastAsia" w:ascii="宋体" w:hAnsi="宋体" w:cs="宋体"/>
                      <w:color w:val="auto"/>
                      <w:szCs w:val="21"/>
                      <w:highlight w:val="none"/>
                    </w:rPr>
                    <w:t>；</w:t>
                  </w:r>
                  <w:r>
                    <w:rPr>
                      <w:rFonts w:hint="eastAsia" w:ascii="宋体" w:hAnsi="宋体" w:cs="宋体"/>
                      <w:color w:val="auto"/>
                      <w:spacing w:val="-1"/>
                      <w:szCs w:val="21"/>
                      <w:highlight w:val="none"/>
                    </w:rPr>
                    <w:t>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06D8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1254" w:type="dxa"/>
                  <w:tcBorders>
                    <w:top w:val="single" w:color="auto" w:sz="4" w:space="0"/>
                    <w:left w:val="single" w:color="auto" w:sz="4" w:space="0"/>
                    <w:bottom w:val="single" w:color="auto" w:sz="4" w:space="0"/>
                    <w:right w:val="single" w:color="auto" w:sz="4" w:space="0"/>
                  </w:tcBorders>
                  <w:vAlign w:val="center"/>
                </w:tcPr>
                <w:p w14:paraId="1E2F28E9">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爪</w:t>
                  </w:r>
                </w:p>
              </w:tc>
              <w:tc>
                <w:tcPr>
                  <w:tcW w:w="5056" w:type="dxa"/>
                  <w:tcBorders>
                    <w:top w:val="single" w:color="auto" w:sz="4" w:space="0"/>
                    <w:left w:val="single" w:color="auto" w:sz="4" w:space="0"/>
                    <w:bottom w:val="single" w:color="auto" w:sz="4" w:space="0"/>
                    <w:right w:val="single" w:color="auto" w:sz="4" w:space="0"/>
                  </w:tcBorders>
                  <w:vAlign w:val="center"/>
                </w:tcPr>
                <w:p w14:paraId="1241236D">
                  <w:pPr>
                    <w:spacing w:line="440" w:lineRule="exact"/>
                    <w:ind w:left="105"/>
                    <w:jc w:val="left"/>
                    <w:rPr>
                      <w:rFonts w:ascii="宋体" w:hAnsi="宋体" w:cs="宋体"/>
                      <w:color w:val="auto"/>
                      <w:szCs w:val="21"/>
                      <w:highlight w:val="none"/>
                    </w:rPr>
                  </w:pPr>
                  <w:r>
                    <w:rPr>
                      <w:rFonts w:hint="eastAsia" w:ascii="宋体" w:hAnsi="宋体" w:cs="宋体"/>
                      <w:color w:val="auto"/>
                      <w:szCs w:val="21"/>
                      <w:highlight w:val="none"/>
                    </w:rPr>
                    <w:t>大小均匀、色泽乳白、无粘手、无异味、无黑斑、无碎架、无残缺</w:t>
                  </w:r>
                </w:p>
              </w:tc>
              <w:tc>
                <w:tcPr>
                  <w:tcW w:w="2510" w:type="dxa"/>
                  <w:vMerge w:val="continue"/>
                  <w:tcBorders>
                    <w:top w:val="nil"/>
                    <w:left w:val="single" w:color="auto" w:sz="4" w:space="0"/>
                    <w:bottom w:val="single" w:color="auto" w:sz="4" w:space="0"/>
                    <w:right w:val="single" w:color="auto" w:sz="4" w:space="0"/>
                  </w:tcBorders>
                  <w:vAlign w:val="center"/>
                </w:tcPr>
                <w:p w14:paraId="67F8C996">
                  <w:pPr>
                    <w:widowControl/>
                    <w:spacing w:line="440" w:lineRule="exact"/>
                    <w:jc w:val="left"/>
                    <w:rPr>
                      <w:rFonts w:ascii="宋体" w:hAnsi="宋体" w:cs="宋体"/>
                      <w:color w:val="auto"/>
                      <w:szCs w:val="21"/>
                      <w:highlight w:val="none"/>
                    </w:rPr>
                  </w:pPr>
                </w:p>
              </w:tc>
            </w:tr>
            <w:tr w14:paraId="1B63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1254" w:type="dxa"/>
                  <w:tcBorders>
                    <w:top w:val="single" w:color="auto" w:sz="4" w:space="0"/>
                    <w:left w:val="single" w:color="auto" w:sz="4" w:space="0"/>
                    <w:bottom w:val="single" w:color="auto" w:sz="4" w:space="0"/>
                    <w:right w:val="single" w:color="auto" w:sz="4" w:space="0"/>
                  </w:tcBorders>
                  <w:vAlign w:val="center"/>
                </w:tcPr>
                <w:p w14:paraId="000CEAE9">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pacing w:val="2"/>
                      <w:szCs w:val="21"/>
                      <w:highlight w:val="none"/>
                      <w:lang w:eastAsia="en-US"/>
                    </w:rPr>
                    <w:t>全</w:t>
                  </w:r>
                  <w:r>
                    <w:rPr>
                      <w:rFonts w:hint="eastAsia" w:ascii="宋体" w:hAnsi="宋体" w:cs="宋体"/>
                      <w:color w:val="auto"/>
                      <w:szCs w:val="21"/>
                      <w:highlight w:val="none"/>
                      <w:lang w:eastAsia="en-US"/>
                    </w:rPr>
                    <w:t>翼</w:t>
                  </w:r>
                </w:p>
              </w:tc>
              <w:tc>
                <w:tcPr>
                  <w:tcW w:w="5056" w:type="dxa"/>
                  <w:tcBorders>
                    <w:top w:val="single" w:color="auto" w:sz="4" w:space="0"/>
                    <w:left w:val="single" w:color="auto" w:sz="4" w:space="0"/>
                    <w:bottom w:val="single" w:color="auto" w:sz="4" w:space="0"/>
                    <w:right w:val="single" w:color="auto" w:sz="4" w:space="0"/>
                  </w:tcBorders>
                  <w:vAlign w:val="center"/>
                </w:tcPr>
                <w:p w14:paraId="0A9C9DBA">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大</w:t>
                  </w:r>
                  <w:r>
                    <w:rPr>
                      <w:rFonts w:hint="eastAsia" w:ascii="宋体" w:hAnsi="宋体" w:cs="宋体"/>
                      <w:color w:val="auto"/>
                      <w:spacing w:val="2"/>
                      <w:szCs w:val="21"/>
                      <w:highlight w:val="none"/>
                    </w:rPr>
                    <w:t>小</w:t>
                  </w:r>
                  <w:r>
                    <w:rPr>
                      <w:rFonts w:hint="eastAsia" w:ascii="宋体" w:hAnsi="宋体" w:cs="宋体"/>
                      <w:color w:val="auto"/>
                      <w:spacing w:val="-1"/>
                      <w:szCs w:val="21"/>
                      <w:highlight w:val="none"/>
                    </w:rPr>
                    <w:t>均</w:t>
                  </w:r>
                  <w:r>
                    <w:rPr>
                      <w:rFonts w:hint="eastAsia" w:ascii="宋体" w:hAnsi="宋体" w:cs="宋体"/>
                      <w:color w:val="auto"/>
                      <w:spacing w:val="2"/>
                      <w:szCs w:val="21"/>
                      <w:highlight w:val="none"/>
                    </w:rPr>
                    <w:t>匀</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淡红</w:t>
                  </w:r>
                  <w:r>
                    <w:rPr>
                      <w:rFonts w:hint="eastAsia" w:ascii="宋体" w:hAnsi="宋体" w:cs="宋体"/>
                      <w:color w:val="auto"/>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折</w:t>
                  </w:r>
                  <w:r>
                    <w:rPr>
                      <w:rFonts w:hint="eastAsia" w:ascii="宋体" w:hAnsi="宋体" w:cs="宋体"/>
                      <w:color w:val="auto"/>
                      <w:spacing w:val="2"/>
                      <w:szCs w:val="21"/>
                      <w:highlight w:val="none"/>
                    </w:rPr>
                    <w:t>和</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衣</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毛</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大</w:t>
                  </w:r>
                  <w:r>
                    <w:rPr>
                      <w:rFonts w:hint="eastAsia" w:ascii="宋体" w:hAnsi="宋体" w:cs="宋体"/>
                      <w:color w:val="auto"/>
                      <w:spacing w:val="-1"/>
                      <w:szCs w:val="21"/>
                      <w:highlight w:val="none"/>
                    </w:rPr>
                    <w:t>小</w:t>
                  </w:r>
                  <w:r>
                    <w:rPr>
                      <w:rFonts w:hint="eastAsia" w:ascii="宋体" w:hAnsi="宋体" w:cs="宋体"/>
                      <w:color w:val="auto"/>
                      <w:spacing w:val="2"/>
                      <w:szCs w:val="21"/>
                      <w:highlight w:val="none"/>
                    </w:rPr>
                    <w:t>均匀</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355B9B13">
                  <w:pPr>
                    <w:widowControl/>
                    <w:spacing w:line="440" w:lineRule="exact"/>
                    <w:jc w:val="left"/>
                    <w:rPr>
                      <w:rFonts w:ascii="宋体" w:hAnsi="宋体" w:cs="宋体"/>
                      <w:color w:val="auto"/>
                      <w:szCs w:val="21"/>
                      <w:highlight w:val="none"/>
                    </w:rPr>
                  </w:pPr>
                </w:p>
              </w:tc>
            </w:tr>
            <w:tr w14:paraId="371F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trPr>
              <w:tc>
                <w:tcPr>
                  <w:tcW w:w="1254" w:type="dxa"/>
                  <w:tcBorders>
                    <w:top w:val="single" w:color="auto" w:sz="4" w:space="0"/>
                    <w:left w:val="single" w:color="auto" w:sz="4" w:space="0"/>
                    <w:bottom w:val="single" w:color="auto" w:sz="4" w:space="0"/>
                    <w:right w:val="single" w:color="auto" w:sz="4" w:space="0"/>
                  </w:tcBorders>
                  <w:vAlign w:val="center"/>
                </w:tcPr>
                <w:p w14:paraId="6E636E2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腿</w:t>
                  </w:r>
                </w:p>
              </w:tc>
              <w:tc>
                <w:tcPr>
                  <w:tcW w:w="5056" w:type="dxa"/>
                  <w:tcBorders>
                    <w:top w:val="single" w:color="auto" w:sz="4" w:space="0"/>
                    <w:left w:val="single" w:color="auto" w:sz="4" w:space="0"/>
                    <w:bottom w:val="single" w:color="auto" w:sz="4" w:space="0"/>
                    <w:right w:val="single" w:color="auto" w:sz="4" w:space="0"/>
                  </w:tcBorders>
                  <w:vAlign w:val="center"/>
                </w:tcPr>
                <w:p w14:paraId="7784BFCD">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碎</w:t>
                  </w:r>
                  <w:r>
                    <w:rPr>
                      <w:rFonts w:hint="eastAsia" w:ascii="宋体" w:hAnsi="宋体" w:cs="宋体"/>
                      <w:color w:val="auto"/>
                      <w:spacing w:val="2"/>
                      <w:szCs w:val="21"/>
                      <w:highlight w:val="none"/>
                    </w:rPr>
                    <w:t>杂</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无污伤</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淤</w:t>
                  </w:r>
                  <w:r>
                    <w:rPr>
                      <w:rFonts w:hint="eastAsia" w:ascii="宋体" w:hAnsi="宋体" w:cs="宋体"/>
                      <w:color w:val="auto"/>
                      <w:spacing w:val="2"/>
                      <w:szCs w:val="21"/>
                      <w:highlight w:val="none"/>
                    </w:rPr>
                    <w:t>血</w:t>
                  </w:r>
                  <w:r>
                    <w:rPr>
                      <w:rFonts w:hint="eastAsia" w:ascii="宋体" w:hAnsi="宋体" w:cs="宋体"/>
                      <w:color w:val="auto"/>
                      <w:spacing w:val="-1"/>
                      <w:szCs w:val="21"/>
                      <w:highlight w:val="none"/>
                    </w:rPr>
                    <w:t>斑</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质</w:t>
                  </w:r>
                  <w:r>
                    <w:rPr>
                      <w:rFonts w:hint="eastAsia" w:ascii="宋体" w:hAnsi="宋体" w:cs="宋体"/>
                      <w:color w:val="auto"/>
                      <w:spacing w:val="2"/>
                      <w:szCs w:val="21"/>
                      <w:highlight w:val="none"/>
                    </w:rPr>
                    <w:t>淡</w:t>
                  </w:r>
                  <w:r>
                    <w:rPr>
                      <w:rFonts w:hint="eastAsia" w:ascii="宋体" w:hAnsi="宋体" w:cs="宋体"/>
                      <w:color w:val="auto"/>
                      <w:spacing w:val="-1"/>
                      <w:szCs w:val="21"/>
                      <w:highlight w:val="none"/>
                    </w:rPr>
                    <w:t>红</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解</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18"/>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zCs w:val="21"/>
                      <w:highlight w:val="none"/>
                    </w:rPr>
                    <w:t>箱</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好</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zCs w:val="21"/>
                      <w:highlight w:val="none"/>
                    </w:rPr>
                    <w:t>期</w:t>
                  </w:r>
                </w:p>
              </w:tc>
              <w:tc>
                <w:tcPr>
                  <w:tcW w:w="2510" w:type="dxa"/>
                  <w:vMerge w:val="continue"/>
                  <w:tcBorders>
                    <w:top w:val="nil"/>
                    <w:left w:val="single" w:color="auto" w:sz="4" w:space="0"/>
                    <w:bottom w:val="single" w:color="auto" w:sz="4" w:space="0"/>
                    <w:right w:val="single" w:color="auto" w:sz="4" w:space="0"/>
                  </w:tcBorders>
                  <w:vAlign w:val="center"/>
                </w:tcPr>
                <w:p w14:paraId="3ABF172E">
                  <w:pPr>
                    <w:widowControl/>
                    <w:spacing w:line="440" w:lineRule="exact"/>
                    <w:jc w:val="left"/>
                    <w:rPr>
                      <w:rFonts w:ascii="宋体" w:hAnsi="宋体" w:cs="宋体"/>
                      <w:color w:val="auto"/>
                      <w:szCs w:val="21"/>
                      <w:highlight w:val="none"/>
                    </w:rPr>
                  </w:pPr>
                </w:p>
              </w:tc>
            </w:tr>
            <w:tr w14:paraId="105F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254" w:type="dxa"/>
                  <w:tcBorders>
                    <w:top w:val="single" w:color="auto" w:sz="4" w:space="0"/>
                    <w:left w:val="single" w:color="auto" w:sz="4" w:space="0"/>
                    <w:bottom w:val="single" w:color="auto" w:sz="4" w:space="0"/>
                    <w:right w:val="single" w:color="auto" w:sz="4" w:space="0"/>
                  </w:tcBorders>
                  <w:vAlign w:val="center"/>
                </w:tcPr>
                <w:p w14:paraId="3BE50F2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鸡</w:t>
                  </w:r>
                  <w:r>
                    <w:rPr>
                      <w:rFonts w:hint="eastAsia" w:ascii="宋体" w:hAnsi="宋体" w:cs="宋体"/>
                      <w:color w:val="auto"/>
                      <w:szCs w:val="21"/>
                      <w:highlight w:val="none"/>
                      <w:lang w:eastAsia="en-US"/>
                    </w:rPr>
                    <w:t>肾</w:t>
                  </w:r>
                </w:p>
              </w:tc>
              <w:tc>
                <w:tcPr>
                  <w:tcW w:w="5056" w:type="dxa"/>
                  <w:tcBorders>
                    <w:top w:val="single" w:color="auto" w:sz="4" w:space="0"/>
                    <w:left w:val="single" w:color="auto" w:sz="4" w:space="0"/>
                    <w:bottom w:val="single" w:color="auto" w:sz="4" w:space="0"/>
                    <w:right w:val="single" w:color="auto" w:sz="4" w:space="0"/>
                  </w:tcBorders>
                  <w:vAlign w:val="center"/>
                </w:tcPr>
                <w:p w14:paraId="5D828BB4">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鸡</w:t>
                  </w:r>
                  <w:r>
                    <w:rPr>
                      <w:rFonts w:hint="eastAsia" w:ascii="宋体" w:hAnsi="宋体" w:cs="宋体"/>
                      <w:color w:val="auto"/>
                      <w:spacing w:val="2"/>
                      <w:szCs w:val="21"/>
                      <w:highlight w:val="none"/>
                    </w:rPr>
                    <w:t>肾</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病斑</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及</w:t>
                  </w:r>
                  <w:r>
                    <w:rPr>
                      <w:rFonts w:hint="eastAsia" w:ascii="宋体" w:hAnsi="宋体" w:cs="宋体"/>
                      <w:color w:val="auto"/>
                      <w:spacing w:val="-1"/>
                      <w:szCs w:val="21"/>
                      <w:highlight w:val="none"/>
                    </w:rPr>
                    <w:t>切</w:t>
                  </w:r>
                  <w:r>
                    <w:rPr>
                      <w:rFonts w:hint="eastAsia" w:ascii="宋体" w:hAnsi="宋体" w:cs="宋体"/>
                      <w:color w:val="auto"/>
                      <w:spacing w:val="2"/>
                      <w:szCs w:val="21"/>
                      <w:highlight w:val="none"/>
                    </w:rPr>
                    <w:t>面</w:t>
                  </w:r>
                  <w:r>
                    <w:rPr>
                      <w:rFonts w:hint="eastAsia" w:ascii="宋体" w:hAnsi="宋体" w:cs="宋体"/>
                      <w:color w:val="auto"/>
                      <w:spacing w:val="-1"/>
                      <w:szCs w:val="21"/>
                      <w:highlight w:val="none"/>
                    </w:rPr>
                    <w:t>湿</w:t>
                  </w:r>
                  <w:r>
                    <w:rPr>
                      <w:rFonts w:hint="eastAsia" w:ascii="宋体" w:hAnsi="宋体" w:cs="宋体"/>
                      <w:color w:val="auto"/>
                      <w:spacing w:val="2"/>
                      <w:szCs w:val="21"/>
                      <w:highlight w:val="none"/>
                    </w:rPr>
                    <w:t>润</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但</w:t>
                  </w:r>
                  <w:r>
                    <w:rPr>
                      <w:rFonts w:hint="eastAsia" w:ascii="宋体" w:hAnsi="宋体" w:cs="宋体"/>
                      <w:color w:val="auto"/>
                      <w:szCs w:val="21"/>
                      <w:highlight w:val="none"/>
                    </w:rPr>
                    <w:t>不</w:t>
                  </w:r>
                  <w:r>
                    <w:rPr>
                      <w:rFonts w:hint="eastAsia" w:ascii="宋体" w:hAnsi="宋体" w:cs="宋体"/>
                      <w:color w:val="auto"/>
                      <w:spacing w:val="2"/>
                      <w:szCs w:val="21"/>
                      <w:highlight w:val="none"/>
                    </w:rPr>
                    <w:t>粘</w:t>
                  </w:r>
                  <w:r>
                    <w:rPr>
                      <w:rFonts w:hint="eastAsia" w:ascii="宋体" w:hAnsi="宋体" w:cs="宋体"/>
                      <w:color w:val="auto"/>
                      <w:spacing w:val="-1"/>
                      <w:szCs w:val="21"/>
                      <w:highlight w:val="none"/>
                    </w:rPr>
                    <w:t>手</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污</w:t>
                  </w:r>
                  <w:r>
                    <w:rPr>
                      <w:rFonts w:hint="eastAsia" w:ascii="宋体" w:hAnsi="宋体" w:cs="宋体"/>
                      <w:color w:val="auto"/>
                      <w:spacing w:val="2"/>
                      <w:szCs w:val="21"/>
                      <w:highlight w:val="none"/>
                    </w:rPr>
                    <w:t>物</w:t>
                  </w:r>
                  <w:r>
                    <w:rPr>
                      <w:rFonts w:hint="eastAsia" w:ascii="宋体" w:hAnsi="宋体" w:cs="宋体"/>
                      <w:color w:val="auto"/>
                      <w:spacing w:val="-1"/>
                      <w:szCs w:val="21"/>
                      <w:highlight w:val="none"/>
                    </w:rPr>
                    <w:t>及</w:t>
                  </w:r>
                  <w:r>
                    <w:rPr>
                      <w:rFonts w:hint="eastAsia" w:ascii="宋体" w:hAnsi="宋体" w:cs="宋体"/>
                      <w:color w:val="auto"/>
                      <w:spacing w:val="2"/>
                      <w:szCs w:val="21"/>
                      <w:highlight w:val="none"/>
                    </w:rPr>
                    <w:t>其</w:t>
                  </w:r>
                  <w:r>
                    <w:rPr>
                      <w:rFonts w:hint="eastAsia" w:ascii="宋体" w:hAnsi="宋体" w:cs="宋体"/>
                      <w:color w:val="auto"/>
                      <w:spacing w:val="-1"/>
                      <w:szCs w:val="21"/>
                      <w:highlight w:val="none"/>
                    </w:rPr>
                    <w:t>它</w:t>
                  </w:r>
                  <w:r>
                    <w:rPr>
                      <w:rFonts w:hint="eastAsia" w:ascii="宋体" w:hAnsi="宋体" w:cs="宋体"/>
                      <w:color w:val="auto"/>
                      <w:spacing w:val="2"/>
                      <w:szCs w:val="21"/>
                      <w:highlight w:val="none"/>
                    </w:rPr>
                    <w:t>杂</w:t>
                  </w:r>
                  <w:r>
                    <w:rPr>
                      <w:rFonts w:hint="eastAsia" w:ascii="宋体" w:hAnsi="宋体" w:cs="宋体"/>
                      <w:color w:val="auto"/>
                      <w:spacing w:val="-1"/>
                      <w:szCs w:val="21"/>
                      <w:highlight w:val="none"/>
                    </w:rPr>
                    <w:t>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异</w:t>
                  </w:r>
                  <w:r>
                    <w:rPr>
                      <w:rFonts w:hint="eastAsia" w:ascii="宋体" w:hAnsi="宋体" w:cs="宋体"/>
                      <w:color w:val="auto"/>
                      <w:spacing w:val="2"/>
                      <w:szCs w:val="21"/>
                      <w:highlight w:val="none"/>
                    </w:rPr>
                    <w:t>味</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后</w:t>
                  </w:r>
                  <w:r>
                    <w:rPr>
                      <w:rFonts w:hint="eastAsia" w:ascii="宋体" w:hAnsi="宋体" w:cs="宋体"/>
                      <w:color w:val="auto"/>
                      <w:spacing w:val="-1"/>
                      <w:szCs w:val="21"/>
                      <w:highlight w:val="none"/>
                    </w:rPr>
                    <w:t>与</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禽</w:t>
                  </w:r>
                  <w:r>
                    <w:rPr>
                      <w:rFonts w:hint="eastAsia" w:ascii="宋体" w:hAnsi="宋体" w:cs="宋体"/>
                      <w:color w:val="auto"/>
                      <w:spacing w:val="2"/>
                      <w:szCs w:val="21"/>
                      <w:highlight w:val="none"/>
                    </w:rPr>
                    <w:t>特</w:t>
                  </w:r>
                  <w:r>
                    <w:rPr>
                      <w:rFonts w:hint="eastAsia" w:ascii="宋体" w:hAnsi="宋体" w:cs="宋体"/>
                      <w:color w:val="auto"/>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好</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破</w:t>
                  </w:r>
                  <w:r>
                    <w:rPr>
                      <w:rFonts w:hint="eastAsia" w:ascii="宋体" w:hAnsi="宋体" w:cs="宋体"/>
                      <w:color w:val="auto"/>
                      <w:spacing w:val="2"/>
                      <w:szCs w:val="21"/>
                      <w:highlight w:val="none"/>
                    </w:rPr>
                    <w:t>损</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743657FF">
                  <w:pPr>
                    <w:widowControl/>
                    <w:spacing w:line="440" w:lineRule="exact"/>
                    <w:jc w:val="left"/>
                    <w:rPr>
                      <w:rFonts w:ascii="宋体" w:hAnsi="宋体" w:cs="宋体"/>
                      <w:color w:val="auto"/>
                      <w:szCs w:val="21"/>
                      <w:highlight w:val="none"/>
                    </w:rPr>
                  </w:pPr>
                </w:p>
              </w:tc>
            </w:tr>
            <w:tr w14:paraId="73B6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trPr>
              <w:tc>
                <w:tcPr>
                  <w:tcW w:w="1254" w:type="dxa"/>
                  <w:tcBorders>
                    <w:top w:val="single" w:color="auto" w:sz="4" w:space="0"/>
                    <w:left w:val="single" w:color="auto" w:sz="4" w:space="0"/>
                    <w:bottom w:val="single" w:color="auto" w:sz="4" w:space="0"/>
                    <w:right w:val="single" w:color="auto" w:sz="4" w:space="0"/>
                  </w:tcBorders>
                  <w:vAlign w:val="center"/>
                </w:tcPr>
                <w:p w14:paraId="5B6385DA">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耳</w:t>
                  </w:r>
                </w:p>
              </w:tc>
              <w:tc>
                <w:tcPr>
                  <w:tcW w:w="5056" w:type="dxa"/>
                  <w:tcBorders>
                    <w:top w:val="single" w:color="auto" w:sz="4" w:space="0"/>
                    <w:left w:val="single" w:color="auto" w:sz="4" w:space="0"/>
                    <w:bottom w:val="single" w:color="auto" w:sz="4" w:space="0"/>
                    <w:right w:val="single" w:color="auto" w:sz="4" w:space="0"/>
                  </w:tcBorders>
                  <w:vAlign w:val="center"/>
                </w:tcPr>
                <w:p w14:paraId="1412EE3D">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种</w:t>
                  </w:r>
                  <w:r>
                    <w:rPr>
                      <w:rFonts w:hint="eastAsia" w:ascii="宋体" w:hAnsi="宋体" w:cs="宋体"/>
                      <w:color w:val="auto"/>
                      <w:spacing w:val="-1"/>
                      <w:szCs w:val="21"/>
                      <w:highlight w:val="none"/>
                    </w:rPr>
                    <w:t>猪</w:t>
                  </w:r>
                  <w:r>
                    <w:rPr>
                      <w:rFonts w:hint="eastAsia" w:ascii="宋体" w:hAnsi="宋体" w:cs="宋体"/>
                      <w:color w:val="auto"/>
                      <w:spacing w:val="2"/>
                      <w:szCs w:val="21"/>
                      <w:highlight w:val="none"/>
                    </w:rPr>
                    <w:t>耳</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毛</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少毛</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异味</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色</w:t>
                  </w:r>
                  <w:r>
                    <w:rPr>
                      <w:rFonts w:hint="eastAsia" w:ascii="宋体" w:hAnsi="宋体" w:cs="宋体"/>
                      <w:color w:val="auto"/>
                      <w:spacing w:val="2"/>
                      <w:szCs w:val="21"/>
                      <w:highlight w:val="none"/>
                    </w:rPr>
                    <w:t>泽</w:t>
                  </w:r>
                  <w:r>
                    <w:rPr>
                      <w:rFonts w:hint="eastAsia" w:ascii="宋体" w:hAnsi="宋体" w:cs="宋体"/>
                      <w:color w:val="auto"/>
                      <w:spacing w:val="-1"/>
                      <w:szCs w:val="21"/>
                      <w:highlight w:val="none"/>
                    </w:rPr>
                    <w:t>正</w:t>
                  </w:r>
                  <w:r>
                    <w:rPr>
                      <w:rFonts w:hint="eastAsia" w:ascii="宋体" w:hAnsi="宋体" w:cs="宋体"/>
                      <w:color w:val="auto"/>
                      <w:spacing w:val="2"/>
                      <w:szCs w:val="21"/>
                      <w:highlight w:val="none"/>
                    </w:rPr>
                    <w:t>常</w:t>
                  </w:r>
                  <w:r>
                    <w:rPr>
                      <w:rFonts w:hint="eastAsia" w:ascii="宋体" w:hAnsi="宋体" w:cs="宋体"/>
                      <w:color w:val="auto"/>
                      <w:spacing w:val="-9"/>
                      <w:szCs w:val="21"/>
                      <w:highlight w:val="none"/>
                    </w:rPr>
                    <w:t>，</w:t>
                  </w:r>
                  <w:r>
                    <w:rPr>
                      <w:rFonts w:hint="eastAsia" w:ascii="宋体" w:hAnsi="宋体" w:cs="宋体"/>
                      <w:color w:val="auto"/>
                      <w:spacing w:val="-1"/>
                      <w:szCs w:val="21"/>
                      <w:highlight w:val="none"/>
                    </w:rPr>
                    <w:t>解</w:t>
                  </w:r>
                  <w:r>
                    <w:rPr>
                      <w:rFonts w:hint="eastAsia" w:ascii="宋体" w:hAnsi="宋体" w:cs="宋体"/>
                      <w:color w:val="auto"/>
                      <w:szCs w:val="21"/>
                      <w:highlight w:val="none"/>
                    </w:rPr>
                    <w:t>冻</w:t>
                  </w:r>
                  <w:r>
                    <w:rPr>
                      <w:rFonts w:hint="eastAsia" w:ascii="宋体" w:hAnsi="宋体" w:cs="宋体"/>
                      <w:color w:val="auto"/>
                      <w:spacing w:val="-1"/>
                      <w:szCs w:val="21"/>
                      <w:highlight w:val="none"/>
                    </w:rPr>
                    <w:t>后</w:t>
                  </w:r>
                  <w:r>
                    <w:rPr>
                      <w:rFonts w:hint="eastAsia" w:ascii="宋体" w:hAnsi="宋体" w:cs="宋体"/>
                      <w:color w:val="auto"/>
                      <w:spacing w:val="2"/>
                      <w:szCs w:val="21"/>
                      <w:highlight w:val="none"/>
                    </w:rPr>
                    <w:t>与</w:t>
                  </w:r>
                  <w:r>
                    <w:rPr>
                      <w:rFonts w:hint="eastAsia" w:ascii="宋体" w:hAnsi="宋体" w:cs="宋体"/>
                      <w:color w:val="auto"/>
                      <w:spacing w:val="-1"/>
                      <w:szCs w:val="21"/>
                      <w:highlight w:val="none"/>
                    </w:rPr>
                    <w:t>鲜</w:t>
                  </w:r>
                  <w:r>
                    <w:rPr>
                      <w:rFonts w:hint="eastAsia" w:ascii="宋体" w:hAnsi="宋体" w:cs="宋体"/>
                      <w:color w:val="auto"/>
                      <w:spacing w:val="2"/>
                      <w:szCs w:val="21"/>
                      <w:highlight w:val="none"/>
                    </w:rPr>
                    <w:t>禽</w:t>
                  </w:r>
                  <w:r>
                    <w:rPr>
                      <w:rFonts w:hint="eastAsia" w:ascii="宋体" w:hAnsi="宋体" w:cs="宋体"/>
                      <w:color w:val="auto"/>
                      <w:spacing w:val="-1"/>
                      <w:szCs w:val="21"/>
                      <w:highlight w:val="none"/>
                    </w:rPr>
                    <w:t>特</w:t>
                  </w:r>
                  <w:r>
                    <w:rPr>
                      <w:rFonts w:hint="eastAsia" w:ascii="宋体" w:hAnsi="宋体" w:cs="宋体"/>
                      <w:color w:val="auto"/>
                      <w:spacing w:val="2"/>
                      <w:szCs w:val="21"/>
                      <w:highlight w:val="none"/>
                    </w:rPr>
                    <w:t>征</w:t>
                  </w:r>
                  <w:r>
                    <w:rPr>
                      <w:rFonts w:hint="eastAsia" w:ascii="宋体" w:hAnsi="宋体" w:cs="宋体"/>
                      <w:color w:val="auto"/>
                      <w:spacing w:val="-1"/>
                      <w:szCs w:val="21"/>
                      <w:highlight w:val="none"/>
                    </w:rPr>
                    <w:t>相</w:t>
                  </w:r>
                  <w:r>
                    <w:rPr>
                      <w:rFonts w:hint="eastAsia" w:ascii="宋体" w:hAnsi="宋体" w:cs="宋体"/>
                      <w:color w:val="auto"/>
                      <w:spacing w:val="2"/>
                      <w:szCs w:val="21"/>
                      <w:highlight w:val="none"/>
                    </w:rPr>
                    <w:t>同</w:t>
                  </w:r>
                  <w:r>
                    <w:rPr>
                      <w:rFonts w:hint="eastAsia" w:ascii="宋体" w:hAnsi="宋体" w:cs="宋体"/>
                      <w:color w:val="auto"/>
                      <w:spacing w:val="-33"/>
                      <w:szCs w:val="21"/>
                      <w:highlight w:val="none"/>
                    </w:rPr>
                    <w:t>。</w:t>
                  </w:r>
                  <w:r>
                    <w:rPr>
                      <w:rFonts w:hint="eastAsia" w:ascii="宋体" w:hAnsi="宋体" w:cs="宋体"/>
                      <w:color w:val="auto"/>
                      <w:spacing w:val="-1"/>
                      <w:szCs w:val="21"/>
                      <w:highlight w:val="none"/>
                    </w:rPr>
                    <w:t>按</w:t>
                  </w:r>
                  <w:r>
                    <w:rPr>
                      <w:rFonts w:hint="eastAsia" w:ascii="宋体" w:hAnsi="宋体" w:cs="宋体"/>
                      <w:color w:val="auto"/>
                      <w:spacing w:val="2"/>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部</w:t>
                  </w:r>
                  <w:r>
                    <w:rPr>
                      <w:rFonts w:hint="eastAsia" w:ascii="宋体" w:hAnsi="宋体" w:cs="宋体"/>
                      <w:color w:val="auto"/>
                      <w:spacing w:val="-1"/>
                      <w:szCs w:val="21"/>
                      <w:highlight w:val="none"/>
                    </w:rPr>
                    <w:t>位</w:t>
                  </w:r>
                  <w:r>
                    <w:rPr>
                      <w:rFonts w:hint="eastAsia" w:ascii="宋体" w:hAnsi="宋体" w:cs="宋体"/>
                      <w:color w:val="auto"/>
                      <w:spacing w:val="2"/>
                      <w:szCs w:val="21"/>
                      <w:highlight w:val="none"/>
                    </w:rPr>
                    <w:t>分</w:t>
                  </w:r>
                  <w:r>
                    <w:rPr>
                      <w:rFonts w:hint="eastAsia" w:ascii="宋体" w:hAnsi="宋体" w:cs="宋体"/>
                      <w:color w:val="auto"/>
                      <w:spacing w:val="-1"/>
                      <w:szCs w:val="21"/>
                      <w:highlight w:val="none"/>
                    </w:rPr>
                    <w:t>割</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包</w:t>
                  </w:r>
                  <w:r>
                    <w:rPr>
                      <w:rFonts w:hint="eastAsia" w:ascii="宋体" w:hAnsi="宋体" w:cs="宋体"/>
                      <w:color w:val="auto"/>
                      <w:spacing w:val="2"/>
                      <w:szCs w:val="21"/>
                      <w:highlight w:val="none"/>
                    </w:rPr>
                    <w:t>装</w:t>
                  </w:r>
                  <w:r>
                    <w:rPr>
                      <w:rFonts w:hint="eastAsia" w:ascii="宋体" w:hAnsi="宋体" w:cs="宋体"/>
                      <w:color w:val="auto"/>
                      <w:spacing w:val="-1"/>
                      <w:szCs w:val="21"/>
                      <w:highlight w:val="none"/>
                    </w:rPr>
                    <w:t>箱</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好</w:t>
                  </w:r>
                  <w:r>
                    <w:rPr>
                      <w:rFonts w:hint="eastAsia" w:ascii="宋体" w:hAnsi="宋体" w:cs="宋体"/>
                      <w:color w:val="auto"/>
                      <w:spacing w:val="2"/>
                      <w:szCs w:val="21"/>
                      <w:highlight w:val="none"/>
                    </w:rPr>
                    <w:t>无</w:t>
                  </w:r>
                  <w:r>
                    <w:rPr>
                      <w:rFonts w:hint="eastAsia" w:ascii="宋体" w:hAnsi="宋体" w:cs="宋体"/>
                      <w:color w:val="auto"/>
                      <w:szCs w:val="21"/>
                      <w:highlight w:val="none"/>
                    </w:rPr>
                    <w:t>破</w:t>
                  </w:r>
                  <w:r>
                    <w:rPr>
                      <w:rFonts w:hint="eastAsia" w:ascii="宋体" w:hAnsi="宋体" w:cs="宋体"/>
                      <w:color w:val="auto"/>
                      <w:spacing w:val="-1"/>
                      <w:szCs w:val="21"/>
                      <w:highlight w:val="none"/>
                    </w:rPr>
                    <w:t>损</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生</w:t>
                  </w:r>
                  <w:r>
                    <w:rPr>
                      <w:rFonts w:hint="eastAsia" w:ascii="宋体" w:hAnsi="宋体" w:cs="宋体"/>
                      <w:color w:val="auto"/>
                      <w:spacing w:val="-1"/>
                      <w:szCs w:val="21"/>
                      <w:highlight w:val="none"/>
                    </w:rPr>
                    <w:t>产</w:t>
                  </w:r>
                  <w:r>
                    <w:rPr>
                      <w:rFonts w:hint="eastAsia" w:ascii="宋体" w:hAnsi="宋体" w:cs="宋体"/>
                      <w:color w:val="auto"/>
                      <w:spacing w:val="2"/>
                      <w:szCs w:val="21"/>
                      <w:highlight w:val="none"/>
                    </w:rPr>
                    <w:t>日</w:t>
                  </w:r>
                  <w:r>
                    <w:rPr>
                      <w:rFonts w:hint="eastAsia" w:ascii="宋体" w:hAnsi="宋体" w:cs="宋体"/>
                      <w:color w:val="auto"/>
                      <w:spacing w:val="-1"/>
                      <w:szCs w:val="21"/>
                      <w:highlight w:val="none"/>
                    </w:rPr>
                    <w:t>期</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354A5F2C">
                  <w:pPr>
                    <w:widowControl/>
                    <w:spacing w:line="440" w:lineRule="exact"/>
                    <w:jc w:val="left"/>
                    <w:rPr>
                      <w:rFonts w:ascii="宋体" w:hAnsi="宋体" w:cs="宋体"/>
                      <w:color w:val="auto"/>
                      <w:szCs w:val="21"/>
                      <w:highlight w:val="none"/>
                    </w:rPr>
                  </w:pPr>
                </w:p>
              </w:tc>
            </w:tr>
            <w:tr w14:paraId="1994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1254" w:type="dxa"/>
                  <w:tcBorders>
                    <w:top w:val="single" w:color="auto" w:sz="4" w:space="0"/>
                    <w:left w:val="single" w:color="auto" w:sz="4" w:space="0"/>
                    <w:bottom w:val="single" w:color="auto" w:sz="4" w:space="0"/>
                    <w:right w:val="single" w:color="auto" w:sz="4" w:space="0"/>
                  </w:tcBorders>
                  <w:vAlign w:val="center"/>
                </w:tcPr>
                <w:p w14:paraId="7076A344">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pacing w:val="2"/>
                      <w:szCs w:val="21"/>
                      <w:highlight w:val="none"/>
                      <w:lang w:eastAsia="en-US"/>
                    </w:rPr>
                    <w:t>副</w:t>
                  </w:r>
                  <w:r>
                    <w:rPr>
                      <w:rFonts w:hint="eastAsia" w:ascii="宋体" w:hAnsi="宋体" w:cs="宋体"/>
                      <w:color w:val="auto"/>
                      <w:spacing w:val="-1"/>
                      <w:szCs w:val="21"/>
                      <w:highlight w:val="none"/>
                      <w:lang w:eastAsia="en-US"/>
                    </w:rPr>
                    <w:t>产</w:t>
                  </w:r>
                  <w:r>
                    <w:rPr>
                      <w:rFonts w:hint="eastAsia" w:ascii="宋体" w:hAnsi="宋体" w:cs="宋体"/>
                      <w:color w:val="auto"/>
                      <w:szCs w:val="21"/>
                      <w:highlight w:val="none"/>
                      <w:lang w:eastAsia="en-US"/>
                    </w:rPr>
                    <w:t>品</w:t>
                  </w:r>
                </w:p>
              </w:tc>
              <w:tc>
                <w:tcPr>
                  <w:tcW w:w="5056" w:type="dxa"/>
                  <w:tcBorders>
                    <w:top w:val="single" w:color="auto" w:sz="4" w:space="0"/>
                    <w:left w:val="single" w:color="auto" w:sz="4" w:space="0"/>
                    <w:bottom w:val="single" w:color="auto" w:sz="4" w:space="0"/>
                    <w:right w:val="single" w:color="auto" w:sz="4" w:space="0"/>
                  </w:tcBorders>
                  <w:vAlign w:val="center"/>
                </w:tcPr>
                <w:p w14:paraId="1262673C">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冻</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脱</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发</w:t>
                  </w:r>
                  <w:r>
                    <w:rPr>
                      <w:rFonts w:hint="eastAsia" w:ascii="宋体" w:hAnsi="宋体" w:cs="宋体"/>
                      <w:color w:val="auto"/>
                      <w:spacing w:val="-1"/>
                      <w:szCs w:val="21"/>
                      <w:highlight w:val="none"/>
                    </w:rPr>
                    <w:t>暗</w:t>
                  </w:r>
                  <w:r>
                    <w:rPr>
                      <w:rFonts w:hint="eastAsia" w:ascii="宋体" w:hAnsi="宋体" w:cs="宋体"/>
                      <w:color w:val="auto"/>
                      <w:spacing w:val="2"/>
                      <w:szCs w:val="21"/>
                      <w:highlight w:val="none"/>
                    </w:rPr>
                    <w:t>迹</w:t>
                  </w:r>
                  <w:r>
                    <w:rPr>
                      <w:rFonts w:hint="eastAsia" w:ascii="宋体" w:hAnsi="宋体" w:cs="宋体"/>
                      <w:color w:val="auto"/>
                      <w:spacing w:val="-1"/>
                      <w:szCs w:val="21"/>
                      <w:highlight w:val="none"/>
                    </w:rPr>
                    <w:t>象</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其</w:t>
                  </w:r>
                  <w:r>
                    <w:rPr>
                      <w:rFonts w:hint="eastAsia" w:ascii="宋体" w:hAnsi="宋体" w:cs="宋体"/>
                      <w:color w:val="auto"/>
                      <w:spacing w:val="2"/>
                      <w:szCs w:val="21"/>
                      <w:highlight w:val="none"/>
                    </w:rPr>
                    <w:t>它</w:t>
                  </w:r>
                  <w:r>
                    <w:rPr>
                      <w:rFonts w:hint="eastAsia" w:ascii="宋体" w:hAnsi="宋体" w:cs="宋体"/>
                      <w:color w:val="auto"/>
                      <w:spacing w:val="-1"/>
                      <w:szCs w:val="21"/>
                      <w:highlight w:val="none"/>
                    </w:rPr>
                    <w:t>同</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猪</w:t>
                  </w:r>
                  <w:r>
                    <w:rPr>
                      <w:rFonts w:hint="eastAsia" w:ascii="宋体" w:hAnsi="宋体" w:cs="宋体"/>
                      <w:color w:val="auto"/>
                      <w:spacing w:val="2"/>
                      <w:szCs w:val="21"/>
                      <w:highlight w:val="none"/>
                    </w:rPr>
                    <w:t>肉</w:t>
                  </w:r>
                  <w:r>
                    <w:rPr>
                      <w:rFonts w:hint="eastAsia" w:ascii="宋体" w:hAnsi="宋体" w:cs="宋体"/>
                      <w:color w:val="auto"/>
                      <w:spacing w:val="-1"/>
                      <w:szCs w:val="21"/>
                      <w:highlight w:val="none"/>
                    </w:rPr>
                    <w:t>副</w:t>
                  </w:r>
                  <w:r>
                    <w:rPr>
                      <w:rFonts w:hint="eastAsia" w:ascii="宋体" w:hAnsi="宋体" w:cs="宋体"/>
                      <w:color w:val="auto"/>
                      <w:spacing w:val="2"/>
                      <w:szCs w:val="21"/>
                      <w:highlight w:val="none"/>
                    </w:rPr>
                    <w:t>产</w:t>
                  </w:r>
                  <w:r>
                    <w:rPr>
                      <w:rFonts w:hint="eastAsia" w:ascii="宋体" w:hAnsi="宋体" w:cs="宋体"/>
                      <w:color w:val="auto"/>
                      <w:szCs w:val="21"/>
                      <w:highlight w:val="none"/>
                    </w:rPr>
                    <w:t>品</w:t>
                  </w:r>
                </w:p>
              </w:tc>
              <w:tc>
                <w:tcPr>
                  <w:tcW w:w="2510" w:type="dxa"/>
                  <w:vMerge w:val="continue"/>
                  <w:tcBorders>
                    <w:top w:val="nil"/>
                    <w:left w:val="single" w:color="auto" w:sz="4" w:space="0"/>
                    <w:bottom w:val="single" w:color="auto" w:sz="4" w:space="0"/>
                    <w:right w:val="single" w:color="auto" w:sz="4" w:space="0"/>
                  </w:tcBorders>
                  <w:vAlign w:val="center"/>
                </w:tcPr>
                <w:p w14:paraId="641F2DA7">
                  <w:pPr>
                    <w:widowControl/>
                    <w:spacing w:line="440" w:lineRule="exact"/>
                    <w:jc w:val="left"/>
                    <w:rPr>
                      <w:rFonts w:ascii="宋体" w:hAnsi="宋体" w:cs="宋体"/>
                      <w:color w:val="auto"/>
                      <w:szCs w:val="21"/>
                      <w:highlight w:val="none"/>
                    </w:rPr>
                  </w:pPr>
                </w:p>
              </w:tc>
            </w:tr>
            <w:tr w14:paraId="1F5B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1254" w:type="dxa"/>
                  <w:tcBorders>
                    <w:top w:val="single" w:color="auto" w:sz="4" w:space="0"/>
                    <w:left w:val="single" w:color="auto" w:sz="4" w:space="0"/>
                    <w:bottom w:val="single" w:color="auto" w:sz="4" w:space="0"/>
                    <w:right w:val="single" w:color="auto" w:sz="4" w:space="0"/>
                  </w:tcBorders>
                  <w:vAlign w:val="center"/>
                </w:tcPr>
                <w:p w14:paraId="502B647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龙</w:t>
                  </w:r>
                  <w:r>
                    <w:rPr>
                      <w:rFonts w:hint="eastAsia" w:ascii="宋体" w:hAnsi="宋体" w:cs="宋体"/>
                      <w:color w:val="auto"/>
                      <w:szCs w:val="21"/>
                      <w:highlight w:val="none"/>
                      <w:lang w:eastAsia="en-US"/>
                    </w:rPr>
                    <w:t>骨</w:t>
                  </w:r>
                </w:p>
              </w:tc>
              <w:tc>
                <w:tcPr>
                  <w:tcW w:w="5056" w:type="dxa"/>
                  <w:tcBorders>
                    <w:top w:val="single" w:color="auto" w:sz="4" w:space="0"/>
                    <w:left w:val="single" w:color="auto" w:sz="4" w:space="0"/>
                    <w:bottom w:val="single" w:color="auto" w:sz="4" w:space="0"/>
                    <w:right w:val="single" w:color="auto" w:sz="4" w:space="0"/>
                  </w:tcBorders>
                  <w:vAlign w:val="center"/>
                </w:tcPr>
                <w:p w14:paraId="2BBA2803">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剔</w:t>
                  </w:r>
                  <w:r>
                    <w:rPr>
                      <w:rFonts w:hint="eastAsia" w:ascii="宋体" w:hAnsi="宋体" w:cs="宋体"/>
                      <w:color w:val="auto"/>
                      <w:spacing w:val="-1"/>
                      <w:szCs w:val="21"/>
                      <w:highlight w:val="none"/>
                    </w:rPr>
                    <w:t>除</w:t>
                  </w:r>
                  <w:r>
                    <w:rPr>
                      <w:rFonts w:hint="eastAsia" w:ascii="宋体" w:hAnsi="宋体" w:cs="宋体"/>
                      <w:color w:val="auto"/>
                      <w:spacing w:val="2"/>
                      <w:szCs w:val="21"/>
                      <w:highlight w:val="none"/>
                    </w:rPr>
                    <w:t>了</w:t>
                  </w:r>
                  <w:r>
                    <w:rPr>
                      <w:rFonts w:hint="eastAsia" w:ascii="宋体" w:hAnsi="宋体" w:cs="宋体"/>
                      <w:color w:val="auto"/>
                      <w:spacing w:val="-1"/>
                      <w:szCs w:val="21"/>
                      <w:highlight w:val="none"/>
                    </w:rPr>
                    <w:t>里</w:t>
                  </w:r>
                  <w:r>
                    <w:rPr>
                      <w:rFonts w:hint="eastAsia" w:ascii="宋体" w:hAnsi="宋体" w:cs="宋体"/>
                      <w:color w:val="auto"/>
                      <w:spacing w:val="2"/>
                      <w:szCs w:val="21"/>
                      <w:highlight w:val="none"/>
                    </w:rPr>
                    <w:t>脊</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脊</w:t>
                  </w:r>
                  <w:r>
                    <w:rPr>
                      <w:rFonts w:hint="eastAsia" w:ascii="宋体" w:hAnsi="宋体" w:cs="宋体"/>
                      <w:color w:val="auto"/>
                      <w:spacing w:val="2"/>
                      <w:szCs w:val="21"/>
                      <w:highlight w:val="none"/>
                    </w:rPr>
                    <w:t>椎</w:t>
                  </w:r>
                  <w:r>
                    <w:rPr>
                      <w:rFonts w:hint="eastAsia" w:ascii="宋体" w:hAnsi="宋体" w:cs="宋体"/>
                      <w:color w:val="auto"/>
                      <w:spacing w:val="-1"/>
                      <w:szCs w:val="21"/>
                      <w:highlight w:val="none"/>
                    </w:rPr>
                    <w:t>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肉红</w:t>
                  </w:r>
                  <w:r>
                    <w:rPr>
                      <w:rFonts w:hint="eastAsia" w:ascii="宋体" w:hAnsi="宋体" w:cs="宋体"/>
                      <w:color w:val="auto"/>
                      <w:spacing w:val="-14"/>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带</w:t>
                  </w:r>
                  <w:r>
                    <w:rPr>
                      <w:rFonts w:hint="eastAsia" w:ascii="宋体" w:hAnsi="宋体" w:cs="宋体"/>
                      <w:color w:val="auto"/>
                      <w:spacing w:val="2"/>
                      <w:szCs w:val="21"/>
                      <w:highlight w:val="none"/>
                    </w:rPr>
                    <w:t>皮</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不</w:t>
                  </w:r>
                  <w:r>
                    <w:rPr>
                      <w:rFonts w:hint="eastAsia" w:ascii="宋体" w:hAnsi="宋体" w:cs="宋体"/>
                      <w:color w:val="auto"/>
                      <w:szCs w:val="21"/>
                      <w:highlight w:val="none"/>
                    </w:rPr>
                    <w:t>带油</w:t>
                  </w:r>
                </w:p>
              </w:tc>
              <w:tc>
                <w:tcPr>
                  <w:tcW w:w="2510" w:type="dxa"/>
                  <w:vMerge w:val="restart"/>
                  <w:tcBorders>
                    <w:top w:val="nil"/>
                    <w:left w:val="single" w:color="auto" w:sz="4" w:space="0"/>
                    <w:bottom w:val="single" w:color="auto" w:sz="4" w:space="0"/>
                    <w:right w:val="single" w:color="auto" w:sz="4" w:space="0"/>
                  </w:tcBorders>
                  <w:vAlign w:val="center"/>
                </w:tcPr>
                <w:p w14:paraId="1F9DBB75">
                  <w:pPr>
                    <w:spacing w:line="440" w:lineRule="exact"/>
                    <w:ind w:left="105"/>
                    <w:rPr>
                      <w:rFonts w:ascii="宋体" w:hAnsi="宋体" w:cs="宋体"/>
                      <w:color w:val="auto"/>
                      <w:szCs w:val="21"/>
                      <w:highlight w:val="none"/>
                    </w:rPr>
                  </w:pPr>
                  <w:r>
                    <w:rPr>
                      <w:rFonts w:hint="eastAsia" w:ascii="宋体" w:hAnsi="宋体" w:cs="宋体"/>
                      <w:color w:val="auto"/>
                      <w:spacing w:val="9"/>
                      <w:szCs w:val="21"/>
                      <w:highlight w:val="none"/>
                    </w:rPr>
                    <w:t>根</w:t>
                  </w:r>
                  <w:r>
                    <w:rPr>
                      <w:rFonts w:hint="eastAsia" w:ascii="宋体" w:hAnsi="宋体" w:cs="宋体"/>
                      <w:color w:val="auto"/>
                      <w:spacing w:val="11"/>
                      <w:szCs w:val="21"/>
                      <w:highlight w:val="none"/>
                    </w:rPr>
                    <w:t>据</w:t>
                  </w:r>
                  <w:r>
                    <w:rPr>
                      <w:rFonts w:hint="eastAsia" w:ascii="宋体" w:hAnsi="宋体" w:cs="宋体"/>
                      <w:color w:val="auto"/>
                      <w:spacing w:val="9"/>
                      <w:szCs w:val="21"/>
                      <w:highlight w:val="none"/>
                    </w:rPr>
                    <w:t>现场实</w:t>
                  </w:r>
                  <w:r>
                    <w:rPr>
                      <w:rFonts w:hint="eastAsia" w:ascii="宋体" w:hAnsi="宋体" w:cs="宋体"/>
                      <w:color w:val="auto"/>
                      <w:spacing w:val="11"/>
                      <w:szCs w:val="21"/>
                      <w:highlight w:val="none"/>
                    </w:rPr>
                    <w:t>际</w:t>
                  </w:r>
                  <w:r>
                    <w:rPr>
                      <w:rFonts w:hint="eastAsia" w:ascii="宋体" w:hAnsi="宋体" w:cs="宋体"/>
                      <w:color w:val="auto"/>
                      <w:spacing w:val="9"/>
                      <w:szCs w:val="21"/>
                      <w:highlight w:val="none"/>
                    </w:rPr>
                    <w:t>情况</w:t>
                  </w:r>
                  <w:r>
                    <w:rPr>
                      <w:rFonts w:hint="eastAsia" w:ascii="宋体" w:hAnsi="宋体" w:cs="宋体"/>
                      <w:color w:val="auto"/>
                      <w:spacing w:val="11"/>
                      <w:szCs w:val="21"/>
                      <w:highlight w:val="none"/>
                    </w:rPr>
                    <w:t>和</w:t>
                  </w:r>
                  <w:r>
                    <w:rPr>
                      <w:rFonts w:hint="eastAsia" w:ascii="宋体" w:hAnsi="宋体" w:cs="宋体"/>
                      <w:color w:val="auto"/>
                      <w:szCs w:val="21"/>
                      <w:highlight w:val="none"/>
                    </w:rPr>
                    <w:t>实</w:t>
                  </w:r>
                  <w:r>
                    <w:rPr>
                      <w:rFonts w:hint="eastAsia" w:ascii="宋体" w:hAnsi="宋体" w:cs="宋体"/>
                      <w:color w:val="auto"/>
                      <w:spacing w:val="9"/>
                      <w:szCs w:val="21"/>
                      <w:highlight w:val="none"/>
                    </w:rPr>
                    <w:t>际</w:t>
                  </w:r>
                  <w:r>
                    <w:rPr>
                      <w:rFonts w:hint="eastAsia" w:ascii="宋体" w:hAnsi="宋体" w:cs="宋体"/>
                      <w:color w:val="auto"/>
                      <w:spacing w:val="11"/>
                      <w:szCs w:val="21"/>
                      <w:highlight w:val="none"/>
                    </w:rPr>
                    <w:t>需</w:t>
                  </w:r>
                  <w:r>
                    <w:rPr>
                      <w:rFonts w:hint="eastAsia" w:ascii="宋体" w:hAnsi="宋体" w:cs="宋体"/>
                      <w:color w:val="auto"/>
                      <w:spacing w:val="9"/>
                      <w:szCs w:val="21"/>
                      <w:highlight w:val="none"/>
                    </w:rPr>
                    <w:t>求量，</w:t>
                  </w:r>
                  <w:r>
                    <w:rPr>
                      <w:rFonts w:hint="eastAsia" w:ascii="宋体" w:hAnsi="宋体" w:cs="宋体"/>
                      <w:color w:val="auto"/>
                      <w:spacing w:val="11"/>
                      <w:szCs w:val="21"/>
                      <w:highlight w:val="none"/>
                    </w:rPr>
                    <w:t>临</w:t>
                  </w:r>
                  <w:r>
                    <w:rPr>
                      <w:rFonts w:hint="eastAsia" w:ascii="宋体" w:hAnsi="宋体" w:cs="宋体"/>
                      <w:color w:val="auto"/>
                      <w:spacing w:val="9"/>
                      <w:szCs w:val="21"/>
                      <w:highlight w:val="none"/>
                    </w:rPr>
                    <w:t>场与</w:t>
                  </w:r>
                  <w:r>
                    <w:rPr>
                      <w:rFonts w:hint="eastAsia" w:ascii="宋体" w:hAnsi="宋体" w:cs="宋体"/>
                      <w:color w:val="auto"/>
                      <w:spacing w:val="11"/>
                      <w:szCs w:val="21"/>
                      <w:highlight w:val="none"/>
                    </w:rPr>
                    <w:t>中标</w:t>
                  </w:r>
                  <w:r>
                    <w:rPr>
                      <w:rFonts w:hint="eastAsia" w:ascii="宋体" w:hAnsi="宋体" w:cs="宋体"/>
                      <w:color w:val="auto"/>
                      <w:spacing w:val="4"/>
                      <w:szCs w:val="21"/>
                      <w:highlight w:val="none"/>
                    </w:rPr>
                    <w:t>供应商协议扣</w:t>
                  </w:r>
                  <w:r>
                    <w:rPr>
                      <w:rFonts w:hint="eastAsia" w:ascii="宋体" w:hAnsi="宋体" w:cs="宋体"/>
                      <w:color w:val="auto"/>
                      <w:spacing w:val="1"/>
                      <w:szCs w:val="21"/>
                      <w:highlight w:val="none"/>
                    </w:rPr>
                    <w:t>1-5</w:t>
                  </w:r>
                  <w:r>
                    <w:rPr>
                      <w:rFonts w:hint="eastAsia" w:ascii="宋体" w:hAnsi="宋体" w:cs="宋体"/>
                      <w:color w:val="auto"/>
                      <w:spacing w:val="3"/>
                      <w:szCs w:val="21"/>
                      <w:highlight w:val="none"/>
                    </w:rPr>
                    <w:t>%</w:t>
                  </w:r>
                  <w:r>
                    <w:rPr>
                      <w:rFonts w:hint="eastAsia" w:ascii="宋体" w:hAnsi="宋体" w:cs="宋体"/>
                      <w:color w:val="auto"/>
                      <w:szCs w:val="21"/>
                      <w:highlight w:val="none"/>
                    </w:rPr>
                    <w:t>，</w:t>
                  </w:r>
                  <w:r>
                    <w:rPr>
                      <w:rFonts w:hint="eastAsia" w:ascii="宋体" w:hAnsi="宋体" w:cs="宋体"/>
                      <w:color w:val="auto"/>
                      <w:spacing w:val="9"/>
                      <w:szCs w:val="21"/>
                      <w:highlight w:val="none"/>
                    </w:rPr>
                    <w:t>严</w:t>
                  </w:r>
                  <w:r>
                    <w:rPr>
                      <w:rFonts w:hint="eastAsia" w:ascii="宋体" w:hAnsi="宋体" w:cs="宋体"/>
                      <w:color w:val="auto"/>
                      <w:spacing w:val="11"/>
                      <w:szCs w:val="21"/>
                      <w:highlight w:val="none"/>
                    </w:rPr>
                    <w:t>重</w:t>
                  </w:r>
                  <w:r>
                    <w:rPr>
                      <w:rFonts w:hint="eastAsia" w:ascii="宋体" w:hAnsi="宋体" w:cs="宋体"/>
                      <w:color w:val="auto"/>
                      <w:spacing w:val="9"/>
                      <w:szCs w:val="21"/>
                      <w:highlight w:val="none"/>
                    </w:rPr>
                    <w:t>不符合</w:t>
                  </w:r>
                  <w:r>
                    <w:rPr>
                      <w:rFonts w:hint="eastAsia" w:ascii="宋体" w:hAnsi="宋体" w:cs="宋体"/>
                      <w:color w:val="auto"/>
                      <w:spacing w:val="11"/>
                      <w:szCs w:val="21"/>
                      <w:highlight w:val="none"/>
                    </w:rPr>
                    <w:t>质</w:t>
                  </w:r>
                  <w:r>
                    <w:rPr>
                      <w:rFonts w:hint="eastAsia" w:ascii="宋体" w:hAnsi="宋体" w:cs="宋体"/>
                      <w:color w:val="auto"/>
                      <w:spacing w:val="9"/>
                      <w:szCs w:val="21"/>
                      <w:highlight w:val="none"/>
                    </w:rPr>
                    <w:t>量标</w:t>
                  </w:r>
                  <w:r>
                    <w:rPr>
                      <w:rFonts w:hint="eastAsia" w:ascii="宋体" w:hAnsi="宋体" w:cs="宋体"/>
                      <w:color w:val="auto"/>
                      <w:spacing w:val="11"/>
                      <w:szCs w:val="21"/>
                      <w:highlight w:val="none"/>
                    </w:rPr>
                    <w:t>准</w:t>
                  </w:r>
                  <w:r>
                    <w:rPr>
                      <w:rFonts w:hint="eastAsia" w:ascii="宋体" w:hAnsi="宋体" w:cs="宋体"/>
                      <w:color w:val="auto"/>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3611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254" w:type="dxa"/>
                  <w:tcBorders>
                    <w:top w:val="single" w:color="auto" w:sz="4" w:space="0"/>
                    <w:left w:val="single" w:color="auto" w:sz="4" w:space="0"/>
                    <w:bottom w:val="single" w:color="auto" w:sz="4" w:space="0"/>
                    <w:right w:val="single" w:color="auto" w:sz="4" w:space="0"/>
                  </w:tcBorders>
                  <w:vAlign w:val="center"/>
                </w:tcPr>
                <w:p w14:paraId="3D01CEEB">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汤</w:t>
                  </w:r>
                  <w:r>
                    <w:rPr>
                      <w:rFonts w:hint="eastAsia" w:ascii="宋体" w:hAnsi="宋体" w:cs="宋体"/>
                      <w:color w:val="auto"/>
                      <w:szCs w:val="21"/>
                      <w:highlight w:val="none"/>
                      <w:lang w:eastAsia="en-US"/>
                    </w:rPr>
                    <w:t>骨</w:t>
                  </w:r>
                </w:p>
              </w:tc>
              <w:tc>
                <w:tcPr>
                  <w:tcW w:w="5056" w:type="dxa"/>
                  <w:tcBorders>
                    <w:top w:val="single" w:color="auto" w:sz="4" w:space="0"/>
                    <w:left w:val="single" w:color="auto" w:sz="4" w:space="0"/>
                    <w:bottom w:val="single" w:color="auto" w:sz="4" w:space="0"/>
                    <w:right w:val="single" w:color="auto" w:sz="4" w:space="0"/>
                  </w:tcBorders>
                  <w:vAlign w:val="center"/>
                </w:tcPr>
                <w:p w14:paraId="096BCF50">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腿</w:t>
                  </w:r>
                  <w:r>
                    <w:rPr>
                      <w:rFonts w:hint="eastAsia" w:ascii="宋体" w:hAnsi="宋体" w:cs="宋体"/>
                      <w:color w:val="auto"/>
                      <w:spacing w:val="-1"/>
                      <w:szCs w:val="21"/>
                      <w:highlight w:val="none"/>
                    </w:rPr>
                    <w:t>骨</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圆</w:t>
                  </w:r>
                  <w:r>
                    <w:rPr>
                      <w:rFonts w:hint="eastAsia" w:ascii="宋体" w:hAnsi="宋体" w:cs="宋体"/>
                      <w:color w:val="auto"/>
                      <w:spacing w:val="-1"/>
                      <w:szCs w:val="21"/>
                      <w:highlight w:val="none"/>
                    </w:rPr>
                    <w:t>管</w:t>
                  </w:r>
                  <w:r>
                    <w:rPr>
                      <w:rFonts w:hint="eastAsia" w:ascii="宋体" w:hAnsi="宋体" w:cs="宋体"/>
                      <w:color w:val="auto"/>
                      <w:spacing w:val="2"/>
                      <w:szCs w:val="21"/>
                      <w:highlight w:val="none"/>
                    </w:rPr>
                    <w:t>形</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浅</w:t>
                  </w:r>
                  <w:r>
                    <w:rPr>
                      <w:rFonts w:hint="eastAsia" w:ascii="宋体" w:hAnsi="宋体" w:cs="宋体"/>
                      <w:color w:val="auto"/>
                      <w:spacing w:val="-1"/>
                      <w:szCs w:val="21"/>
                      <w:highlight w:val="none"/>
                    </w:rPr>
                    <w:t>黄</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髓</w:t>
                  </w:r>
                  <w:r>
                    <w:rPr>
                      <w:rFonts w:hint="eastAsia" w:ascii="宋体" w:hAnsi="宋体" w:cs="宋体"/>
                      <w:color w:val="auto"/>
                      <w:spacing w:val="2"/>
                      <w:szCs w:val="21"/>
                      <w:highlight w:val="none"/>
                    </w:rPr>
                    <w:t>充</w:t>
                  </w:r>
                  <w:r>
                    <w:rPr>
                      <w:rFonts w:hint="eastAsia" w:ascii="宋体" w:hAnsi="宋体" w:cs="宋体"/>
                      <w:color w:val="auto"/>
                      <w:spacing w:val="-1"/>
                      <w:szCs w:val="21"/>
                      <w:highlight w:val="none"/>
                    </w:rPr>
                    <w:t>满</w:t>
                  </w:r>
                  <w:r>
                    <w:rPr>
                      <w:rFonts w:hint="eastAsia" w:ascii="宋体" w:hAnsi="宋体" w:cs="宋体"/>
                      <w:color w:val="auto"/>
                      <w:spacing w:val="2"/>
                      <w:szCs w:val="21"/>
                      <w:highlight w:val="none"/>
                    </w:rPr>
                    <w:t>全</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管</w:t>
                  </w:r>
                  <w:r>
                    <w:rPr>
                      <w:rFonts w:hint="eastAsia" w:ascii="宋体" w:hAnsi="宋体" w:cs="宋体"/>
                      <w:color w:val="auto"/>
                      <w:spacing w:val="-1"/>
                      <w:szCs w:val="21"/>
                      <w:highlight w:val="none"/>
                    </w:rPr>
                    <w:t>状</w:t>
                  </w:r>
                  <w:r>
                    <w:rPr>
                      <w:rFonts w:hint="eastAsia" w:ascii="宋体" w:hAnsi="宋体" w:cs="宋体"/>
                      <w:color w:val="auto"/>
                      <w:spacing w:val="2"/>
                      <w:szCs w:val="21"/>
                      <w:highlight w:val="none"/>
                    </w:rPr>
                    <w:t>骨</w:t>
                  </w:r>
                  <w:r>
                    <w:rPr>
                      <w:rFonts w:hint="eastAsia" w:ascii="宋体" w:hAnsi="宋体" w:cs="宋体"/>
                      <w:color w:val="auto"/>
                      <w:spacing w:val="-1"/>
                      <w:szCs w:val="21"/>
                      <w:highlight w:val="none"/>
                    </w:rPr>
                    <w:t>腔</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带</w:t>
                  </w:r>
                  <w:r>
                    <w:rPr>
                      <w:rFonts w:hint="eastAsia" w:ascii="宋体" w:hAnsi="宋体" w:cs="宋体"/>
                      <w:color w:val="auto"/>
                      <w:szCs w:val="21"/>
                      <w:highlight w:val="none"/>
                    </w:rPr>
                    <w:t>部</w:t>
                  </w:r>
                  <w:r>
                    <w:rPr>
                      <w:rFonts w:hint="eastAsia" w:ascii="宋体" w:hAnsi="宋体" w:cs="宋体"/>
                      <w:color w:val="auto"/>
                      <w:spacing w:val="-1"/>
                      <w:szCs w:val="21"/>
                      <w:highlight w:val="none"/>
                    </w:rPr>
                    <w:t>分</w:t>
                  </w:r>
                  <w:r>
                    <w:rPr>
                      <w:rFonts w:hint="eastAsia" w:ascii="宋体" w:hAnsi="宋体" w:cs="宋体"/>
                      <w:color w:val="auto"/>
                      <w:spacing w:val="2"/>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干</w:t>
                  </w:r>
                  <w:r>
                    <w:rPr>
                      <w:rFonts w:hint="eastAsia" w:ascii="宋体" w:hAnsi="宋体" w:cs="宋体"/>
                      <w:color w:val="auto"/>
                      <w:spacing w:val="2"/>
                      <w:szCs w:val="21"/>
                      <w:highlight w:val="none"/>
                    </w:rPr>
                    <w:t>净</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品</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新</w:t>
                  </w:r>
                  <w:r>
                    <w:rPr>
                      <w:rFonts w:hint="eastAsia" w:ascii="宋体" w:hAnsi="宋体" w:cs="宋体"/>
                      <w:color w:val="auto"/>
                      <w:spacing w:val="2"/>
                      <w:szCs w:val="21"/>
                      <w:highlight w:val="none"/>
                    </w:rPr>
                    <w:t>鲜</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去</w:t>
                  </w:r>
                  <w:r>
                    <w:rPr>
                      <w:rFonts w:hint="eastAsia" w:ascii="宋体" w:hAnsi="宋体" w:cs="宋体"/>
                      <w:color w:val="auto"/>
                      <w:spacing w:val="-1"/>
                      <w:szCs w:val="21"/>
                      <w:highlight w:val="none"/>
                    </w:rPr>
                    <w:t>蹄</w:t>
                  </w:r>
                  <w:r>
                    <w:rPr>
                      <w:rFonts w:hint="eastAsia" w:ascii="宋体" w:hAnsi="宋体" w:cs="宋体"/>
                      <w:color w:val="auto"/>
                      <w:spacing w:val="2"/>
                      <w:szCs w:val="21"/>
                      <w:highlight w:val="none"/>
                    </w:rPr>
                    <w:t>壳</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带</w:t>
                  </w:r>
                  <w:r>
                    <w:rPr>
                      <w:rFonts w:hint="eastAsia" w:ascii="宋体" w:hAnsi="宋体" w:cs="宋体"/>
                      <w:color w:val="auto"/>
                      <w:spacing w:val="2"/>
                      <w:szCs w:val="21"/>
                      <w:highlight w:val="none"/>
                    </w:rPr>
                    <w:t>蹄筋</w:t>
                  </w:r>
                  <w:r>
                    <w:rPr>
                      <w:rFonts w:hint="eastAsia" w:ascii="宋体" w:hAnsi="宋体" w:cs="宋体"/>
                      <w:color w:val="auto"/>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毛</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趾</w:t>
                  </w:r>
                  <w:r>
                    <w:rPr>
                      <w:rFonts w:hint="eastAsia" w:ascii="宋体" w:hAnsi="宋体" w:cs="宋体"/>
                      <w:color w:val="auto"/>
                      <w:spacing w:val="2"/>
                      <w:szCs w:val="21"/>
                      <w:highlight w:val="none"/>
                    </w:rPr>
                    <w:t>间</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垢</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松香</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黑</w:t>
                  </w:r>
                  <w:r>
                    <w:rPr>
                      <w:rFonts w:hint="eastAsia" w:ascii="宋体" w:hAnsi="宋体" w:cs="宋体"/>
                      <w:color w:val="auto"/>
                      <w:spacing w:val="2"/>
                      <w:szCs w:val="21"/>
                      <w:highlight w:val="none"/>
                    </w:rPr>
                    <w:t>斑</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无</w:t>
                  </w:r>
                  <w:r>
                    <w:rPr>
                      <w:rFonts w:hint="eastAsia" w:ascii="宋体" w:hAnsi="宋体" w:cs="宋体"/>
                      <w:color w:val="auto"/>
                      <w:spacing w:val="-1"/>
                      <w:szCs w:val="21"/>
                      <w:highlight w:val="none"/>
                    </w:rPr>
                    <w:t>指</w:t>
                  </w:r>
                  <w:r>
                    <w:rPr>
                      <w:rFonts w:hint="eastAsia" w:ascii="宋体" w:hAnsi="宋体" w:cs="宋体"/>
                      <w:color w:val="auto"/>
                      <w:spacing w:val="2"/>
                      <w:szCs w:val="21"/>
                      <w:highlight w:val="none"/>
                    </w:rPr>
                    <w:t>甲</w:t>
                  </w:r>
                  <w:r>
                    <w:rPr>
                      <w:rFonts w:hint="eastAsia" w:ascii="宋体" w:hAnsi="宋体" w:cs="宋体"/>
                      <w:color w:val="auto"/>
                      <w:spacing w:val="-9"/>
                      <w:szCs w:val="21"/>
                      <w:highlight w:val="none"/>
                    </w:rPr>
                    <w:t>、</w:t>
                  </w:r>
                  <w:r>
                    <w:rPr>
                      <w:rFonts w:hint="eastAsia" w:ascii="宋体" w:hAnsi="宋体" w:cs="宋体"/>
                      <w:color w:val="auto"/>
                      <w:spacing w:val="2"/>
                      <w:szCs w:val="21"/>
                      <w:highlight w:val="none"/>
                    </w:rPr>
                    <w:t>表</w:t>
                  </w:r>
                  <w:r>
                    <w:rPr>
                      <w:rFonts w:hint="eastAsia" w:ascii="宋体" w:hAnsi="宋体" w:cs="宋体"/>
                      <w:color w:val="auto"/>
                      <w:spacing w:val="-1"/>
                      <w:szCs w:val="21"/>
                      <w:highlight w:val="none"/>
                    </w:rPr>
                    <w:t>面</w:t>
                  </w:r>
                  <w:r>
                    <w:rPr>
                      <w:rFonts w:hint="eastAsia" w:ascii="宋体" w:hAnsi="宋体" w:cs="宋体"/>
                      <w:color w:val="auto"/>
                      <w:szCs w:val="21"/>
                      <w:highlight w:val="none"/>
                    </w:rPr>
                    <w:t>光</w:t>
                  </w:r>
                  <w:r>
                    <w:rPr>
                      <w:rFonts w:hint="eastAsia" w:ascii="宋体" w:hAnsi="宋体" w:cs="宋体"/>
                      <w:color w:val="auto"/>
                      <w:spacing w:val="-1"/>
                      <w:szCs w:val="21"/>
                      <w:highlight w:val="none"/>
                    </w:rPr>
                    <w:t>滑</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弹</w:t>
                  </w:r>
                  <w:r>
                    <w:rPr>
                      <w:rFonts w:hint="eastAsia" w:ascii="宋体" w:hAnsi="宋体" w:cs="宋体"/>
                      <w:color w:val="auto"/>
                      <w:spacing w:val="-1"/>
                      <w:szCs w:val="21"/>
                      <w:highlight w:val="none"/>
                    </w:rPr>
                    <w:t>性</w:t>
                  </w:r>
                  <w:r>
                    <w:rPr>
                      <w:rFonts w:hint="eastAsia" w:ascii="宋体" w:hAnsi="宋体" w:cs="宋体"/>
                      <w:color w:val="auto"/>
                      <w:szCs w:val="21"/>
                      <w:highlight w:val="none"/>
                    </w:rPr>
                    <w:t>。</w:t>
                  </w:r>
                </w:p>
              </w:tc>
              <w:tc>
                <w:tcPr>
                  <w:tcW w:w="2510" w:type="dxa"/>
                  <w:vMerge w:val="continue"/>
                  <w:tcBorders>
                    <w:top w:val="nil"/>
                    <w:left w:val="single" w:color="auto" w:sz="4" w:space="0"/>
                    <w:bottom w:val="single" w:color="auto" w:sz="4" w:space="0"/>
                    <w:right w:val="single" w:color="auto" w:sz="4" w:space="0"/>
                  </w:tcBorders>
                  <w:vAlign w:val="center"/>
                </w:tcPr>
                <w:p w14:paraId="07FCE903">
                  <w:pPr>
                    <w:widowControl/>
                    <w:spacing w:line="440" w:lineRule="exact"/>
                    <w:jc w:val="left"/>
                    <w:rPr>
                      <w:rFonts w:ascii="宋体" w:hAnsi="宋体" w:cs="宋体"/>
                      <w:color w:val="auto"/>
                      <w:szCs w:val="21"/>
                      <w:highlight w:val="none"/>
                    </w:rPr>
                  </w:pPr>
                </w:p>
              </w:tc>
            </w:tr>
            <w:tr w14:paraId="38E4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1254" w:type="dxa"/>
                  <w:tcBorders>
                    <w:top w:val="single" w:color="auto" w:sz="4" w:space="0"/>
                    <w:left w:val="single" w:color="auto" w:sz="4" w:space="0"/>
                    <w:bottom w:val="single" w:color="auto" w:sz="4" w:space="0"/>
                    <w:right w:val="single" w:color="auto" w:sz="4" w:space="0"/>
                  </w:tcBorders>
                  <w:vAlign w:val="center"/>
                </w:tcPr>
                <w:p w14:paraId="376A483F">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zCs w:val="21"/>
                      <w:highlight w:val="none"/>
                      <w:lang w:eastAsia="en-US"/>
                    </w:rPr>
                    <w:t>肺</w:t>
                  </w:r>
                </w:p>
              </w:tc>
              <w:tc>
                <w:tcPr>
                  <w:tcW w:w="5056" w:type="dxa"/>
                  <w:tcBorders>
                    <w:top w:val="single" w:color="auto" w:sz="4" w:space="0"/>
                    <w:left w:val="single" w:color="auto" w:sz="4" w:space="0"/>
                    <w:bottom w:val="single" w:color="auto" w:sz="4" w:space="0"/>
                    <w:right w:val="single" w:color="auto" w:sz="4" w:space="0"/>
                  </w:tcBorders>
                  <w:vAlign w:val="center"/>
                </w:tcPr>
                <w:p w14:paraId="03625C1A">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肉</w:t>
                  </w:r>
                  <w:r>
                    <w:rPr>
                      <w:rFonts w:hint="eastAsia" w:ascii="宋体" w:hAnsi="宋体" w:cs="宋体"/>
                      <w:color w:val="auto"/>
                      <w:spacing w:val="2"/>
                      <w:szCs w:val="21"/>
                      <w:highlight w:val="none"/>
                      <w:lang w:eastAsia="en-US"/>
                    </w:rPr>
                    <w:t>呈</w:t>
                  </w:r>
                  <w:r>
                    <w:rPr>
                      <w:rFonts w:hint="eastAsia" w:ascii="宋体" w:hAnsi="宋体" w:cs="宋体"/>
                      <w:color w:val="auto"/>
                      <w:spacing w:val="-1"/>
                      <w:szCs w:val="21"/>
                      <w:highlight w:val="none"/>
                      <w:lang w:eastAsia="en-US"/>
                    </w:rPr>
                    <w:t>红</w:t>
                  </w:r>
                  <w:r>
                    <w:rPr>
                      <w:rFonts w:hint="eastAsia" w:ascii="宋体" w:hAnsi="宋体" w:cs="宋体"/>
                      <w:color w:val="auto"/>
                      <w:spacing w:val="2"/>
                      <w:szCs w:val="21"/>
                      <w:highlight w:val="none"/>
                      <w:lang w:eastAsia="en-US"/>
                    </w:rPr>
                    <w:t>色</w:t>
                  </w:r>
                  <w:r>
                    <w:rPr>
                      <w:rFonts w:hint="eastAsia" w:ascii="宋体" w:hAnsi="宋体" w:cs="宋体"/>
                      <w:color w:val="auto"/>
                      <w:spacing w:val="-1"/>
                      <w:szCs w:val="21"/>
                      <w:highlight w:val="none"/>
                      <w:lang w:eastAsia="en-US"/>
                    </w:rPr>
                    <w:t>，</w:t>
                  </w:r>
                  <w:r>
                    <w:rPr>
                      <w:rFonts w:hint="eastAsia" w:ascii="宋体" w:hAnsi="宋体" w:cs="宋体"/>
                      <w:color w:val="auto"/>
                      <w:spacing w:val="2"/>
                      <w:szCs w:val="21"/>
                      <w:highlight w:val="none"/>
                      <w:lang w:eastAsia="en-US"/>
                    </w:rPr>
                    <w:t>有</w:t>
                  </w:r>
                  <w:r>
                    <w:rPr>
                      <w:rFonts w:hint="eastAsia" w:ascii="宋体" w:hAnsi="宋体" w:cs="宋体"/>
                      <w:color w:val="auto"/>
                      <w:spacing w:val="-1"/>
                      <w:szCs w:val="21"/>
                      <w:highlight w:val="none"/>
                      <w:lang w:eastAsia="en-US"/>
                    </w:rPr>
                    <w:t>光</w:t>
                  </w:r>
                  <w:r>
                    <w:rPr>
                      <w:rFonts w:hint="eastAsia" w:ascii="宋体" w:hAnsi="宋体" w:cs="宋体"/>
                      <w:color w:val="auto"/>
                      <w:szCs w:val="21"/>
                      <w:highlight w:val="none"/>
                      <w:lang w:eastAsia="en-US"/>
                    </w:rPr>
                    <w:t>泽</w:t>
                  </w:r>
                </w:p>
              </w:tc>
              <w:tc>
                <w:tcPr>
                  <w:tcW w:w="2510" w:type="dxa"/>
                  <w:vMerge w:val="continue"/>
                  <w:tcBorders>
                    <w:top w:val="nil"/>
                    <w:left w:val="single" w:color="auto" w:sz="4" w:space="0"/>
                    <w:bottom w:val="single" w:color="auto" w:sz="4" w:space="0"/>
                    <w:right w:val="single" w:color="auto" w:sz="4" w:space="0"/>
                  </w:tcBorders>
                  <w:vAlign w:val="center"/>
                </w:tcPr>
                <w:p w14:paraId="6F74024C">
                  <w:pPr>
                    <w:widowControl/>
                    <w:spacing w:line="440" w:lineRule="exact"/>
                    <w:jc w:val="left"/>
                    <w:rPr>
                      <w:rFonts w:ascii="宋体" w:hAnsi="宋体" w:cs="宋体"/>
                      <w:color w:val="auto"/>
                      <w:szCs w:val="21"/>
                      <w:highlight w:val="none"/>
                    </w:rPr>
                  </w:pPr>
                </w:p>
              </w:tc>
            </w:tr>
            <w:tr w14:paraId="1747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1254" w:type="dxa"/>
                  <w:tcBorders>
                    <w:top w:val="single" w:color="auto" w:sz="4" w:space="0"/>
                    <w:left w:val="single" w:color="auto" w:sz="4" w:space="0"/>
                    <w:bottom w:val="single" w:color="auto" w:sz="4" w:space="0"/>
                    <w:right w:val="single" w:color="auto" w:sz="4" w:space="0"/>
                  </w:tcBorders>
                  <w:vAlign w:val="center"/>
                </w:tcPr>
                <w:p w14:paraId="34022C1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猪</w:t>
                  </w:r>
                  <w:r>
                    <w:rPr>
                      <w:rFonts w:hint="eastAsia" w:ascii="宋体" w:hAnsi="宋体" w:cs="宋体"/>
                      <w:color w:val="auto"/>
                      <w:spacing w:val="2"/>
                      <w:szCs w:val="21"/>
                      <w:highlight w:val="none"/>
                      <w:lang w:eastAsia="en-US"/>
                    </w:rPr>
                    <w:t>大</w:t>
                  </w:r>
                  <w:r>
                    <w:rPr>
                      <w:rFonts w:hint="eastAsia" w:ascii="宋体" w:hAnsi="宋体" w:cs="宋体"/>
                      <w:color w:val="auto"/>
                      <w:szCs w:val="21"/>
                      <w:highlight w:val="none"/>
                      <w:lang w:eastAsia="en-US"/>
                    </w:rPr>
                    <w:t>肠</w:t>
                  </w:r>
                </w:p>
              </w:tc>
              <w:tc>
                <w:tcPr>
                  <w:tcW w:w="5056" w:type="dxa"/>
                  <w:tcBorders>
                    <w:top w:val="single" w:color="auto" w:sz="4" w:space="0"/>
                    <w:left w:val="single" w:color="auto" w:sz="4" w:space="0"/>
                    <w:bottom w:val="single" w:color="auto" w:sz="4" w:space="0"/>
                    <w:right w:val="single" w:color="auto" w:sz="4" w:space="0"/>
                  </w:tcBorders>
                  <w:vAlign w:val="center"/>
                </w:tcPr>
                <w:p w14:paraId="52619CFC">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呈浅黄、无黑斑、柔软、表面光滑湿润、无异物、极小味</w:t>
                  </w:r>
                  <w:r>
                    <w:rPr>
                      <w:rFonts w:hint="eastAsia" w:ascii="宋体" w:hAnsi="宋体" w:cs="宋体"/>
                      <w:color w:val="auto"/>
                      <w:szCs w:val="21"/>
                      <w:highlight w:val="none"/>
                    </w:rPr>
                    <w:t>道</w:t>
                  </w:r>
                </w:p>
              </w:tc>
              <w:tc>
                <w:tcPr>
                  <w:tcW w:w="2510" w:type="dxa"/>
                  <w:vMerge w:val="continue"/>
                  <w:tcBorders>
                    <w:top w:val="nil"/>
                    <w:left w:val="single" w:color="auto" w:sz="4" w:space="0"/>
                    <w:bottom w:val="single" w:color="auto" w:sz="4" w:space="0"/>
                    <w:right w:val="single" w:color="auto" w:sz="4" w:space="0"/>
                  </w:tcBorders>
                  <w:vAlign w:val="center"/>
                </w:tcPr>
                <w:p w14:paraId="05D03F59">
                  <w:pPr>
                    <w:widowControl/>
                    <w:spacing w:line="440" w:lineRule="exact"/>
                    <w:jc w:val="left"/>
                    <w:rPr>
                      <w:rFonts w:ascii="宋体" w:hAnsi="宋体" w:cs="宋体"/>
                      <w:color w:val="auto"/>
                      <w:szCs w:val="21"/>
                      <w:highlight w:val="none"/>
                    </w:rPr>
                  </w:pPr>
                </w:p>
              </w:tc>
            </w:tr>
          </w:tbl>
          <w:p w14:paraId="238DD542">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3.水产类</w:t>
            </w:r>
          </w:p>
          <w:p w14:paraId="133B075E">
            <w:p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（1）活鲜：鱼类、虾类</w:t>
            </w:r>
          </w:p>
          <w:tbl>
            <w:tblPr>
              <w:tblStyle w:val="4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4"/>
              <w:gridCol w:w="5087"/>
              <w:gridCol w:w="2509"/>
            </w:tblGrid>
            <w:tr w14:paraId="3CF8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224" w:type="dxa"/>
                  <w:tcBorders>
                    <w:top w:val="single" w:color="auto" w:sz="4" w:space="0"/>
                    <w:left w:val="single" w:color="auto" w:sz="4" w:space="0"/>
                    <w:bottom w:val="single" w:color="auto" w:sz="4" w:space="0"/>
                    <w:right w:val="single" w:color="auto" w:sz="4" w:space="0"/>
                  </w:tcBorders>
                  <w:vAlign w:val="center"/>
                </w:tcPr>
                <w:p w14:paraId="5A965213">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087" w:type="dxa"/>
                  <w:tcBorders>
                    <w:top w:val="single" w:color="auto" w:sz="4" w:space="0"/>
                    <w:left w:val="single" w:color="auto" w:sz="4" w:space="0"/>
                    <w:bottom w:val="single" w:color="auto" w:sz="4" w:space="0"/>
                    <w:right w:val="single" w:color="auto" w:sz="4" w:space="0"/>
                  </w:tcBorders>
                  <w:vAlign w:val="center"/>
                </w:tcPr>
                <w:p w14:paraId="53D79431">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509" w:type="dxa"/>
                  <w:tcBorders>
                    <w:top w:val="single" w:color="auto" w:sz="4" w:space="0"/>
                    <w:left w:val="single" w:color="auto" w:sz="4" w:space="0"/>
                    <w:bottom w:val="single" w:color="auto" w:sz="4" w:space="0"/>
                    <w:right w:val="single" w:color="auto" w:sz="4" w:space="0"/>
                  </w:tcBorders>
                  <w:vAlign w:val="center"/>
                </w:tcPr>
                <w:p w14:paraId="105D0E3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779F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1224" w:type="dxa"/>
                  <w:tcBorders>
                    <w:top w:val="single" w:color="auto" w:sz="4" w:space="0"/>
                    <w:left w:val="single" w:color="auto" w:sz="4" w:space="0"/>
                    <w:bottom w:val="single" w:color="auto" w:sz="4" w:space="0"/>
                    <w:right w:val="single" w:color="auto" w:sz="4" w:space="0"/>
                  </w:tcBorders>
                  <w:vAlign w:val="center"/>
                </w:tcPr>
                <w:p w14:paraId="13BF2AC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鱼</w:t>
                  </w:r>
                  <w:r>
                    <w:rPr>
                      <w:rFonts w:hint="eastAsia" w:ascii="宋体" w:hAnsi="宋体" w:cs="宋体"/>
                      <w:color w:val="auto"/>
                      <w:szCs w:val="21"/>
                      <w:highlight w:val="none"/>
                      <w:lang w:eastAsia="en-US"/>
                    </w:rPr>
                    <w:t>类</w:t>
                  </w:r>
                </w:p>
              </w:tc>
              <w:tc>
                <w:tcPr>
                  <w:tcW w:w="5087" w:type="dxa"/>
                  <w:tcBorders>
                    <w:top w:val="single" w:color="auto" w:sz="4" w:space="0"/>
                    <w:left w:val="single" w:color="auto" w:sz="4" w:space="0"/>
                    <w:bottom w:val="single" w:color="auto" w:sz="4" w:space="0"/>
                    <w:right w:val="single" w:color="auto" w:sz="4" w:space="0"/>
                  </w:tcBorders>
                  <w:vAlign w:val="center"/>
                </w:tcPr>
                <w:p w14:paraId="27D8EA50">
                  <w:pPr>
                    <w:spacing w:line="440" w:lineRule="exact"/>
                    <w:ind w:left="105"/>
                    <w:jc w:val="left"/>
                    <w:rPr>
                      <w:rFonts w:ascii="宋体" w:hAnsi="宋体" w:cs="宋体"/>
                      <w:color w:val="auto"/>
                      <w:szCs w:val="21"/>
                      <w:highlight w:val="none"/>
                      <w:lang w:eastAsia="en-US"/>
                    </w:rPr>
                  </w:pPr>
                  <w:r>
                    <w:rPr>
                      <w:rFonts w:hint="eastAsia" w:ascii="宋体" w:hAnsi="宋体" w:cs="宋体"/>
                      <w:color w:val="auto"/>
                      <w:spacing w:val="-1"/>
                      <w:szCs w:val="21"/>
                      <w:highlight w:val="none"/>
                    </w:rPr>
                    <w:t>游</w:t>
                  </w:r>
                  <w:r>
                    <w:rPr>
                      <w:rFonts w:hint="eastAsia" w:ascii="宋体" w:hAnsi="宋体" w:cs="宋体"/>
                      <w:color w:val="auto"/>
                      <w:spacing w:val="2"/>
                      <w:szCs w:val="21"/>
                      <w:highlight w:val="none"/>
                    </w:rPr>
                    <w:t>水</w:t>
                  </w:r>
                  <w:r>
                    <w:rPr>
                      <w:rFonts w:hint="eastAsia" w:ascii="宋体" w:hAnsi="宋体" w:cs="宋体"/>
                      <w:color w:val="auto"/>
                      <w:spacing w:val="-1"/>
                      <w:szCs w:val="21"/>
                      <w:highlight w:val="none"/>
                    </w:rPr>
                    <w:t>生</w:t>
                  </w:r>
                  <w:r>
                    <w:rPr>
                      <w:rFonts w:hint="eastAsia" w:ascii="宋体" w:hAnsi="宋体" w:cs="宋体"/>
                      <w:color w:val="auto"/>
                      <w:spacing w:val="2"/>
                      <w:szCs w:val="21"/>
                      <w:highlight w:val="none"/>
                    </w:rPr>
                    <w:t>猛</w:t>
                  </w:r>
                  <w:r>
                    <w:rPr>
                      <w:rFonts w:hint="eastAsia" w:ascii="宋体" w:hAnsi="宋体" w:cs="宋体"/>
                      <w:color w:val="auto"/>
                      <w:spacing w:val="-14"/>
                      <w:szCs w:val="21"/>
                      <w:highlight w:val="none"/>
                    </w:rPr>
                    <w:t>，</w:t>
                  </w:r>
                  <w:r>
                    <w:rPr>
                      <w:rFonts w:hint="eastAsia" w:ascii="宋体" w:hAnsi="宋体" w:cs="宋体"/>
                      <w:color w:val="auto"/>
                      <w:spacing w:val="-1"/>
                      <w:szCs w:val="21"/>
                      <w:highlight w:val="none"/>
                    </w:rPr>
                    <w:t>对</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界</w:t>
                  </w:r>
                  <w:r>
                    <w:rPr>
                      <w:rFonts w:hint="eastAsia" w:ascii="宋体" w:hAnsi="宋体" w:cs="宋体"/>
                      <w:color w:val="auto"/>
                      <w:spacing w:val="2"/>
                      <w:szCs w:val="21"/>
                      <w:highlight w:val="none"/>
                    </w:rPr>
                    <w:t>刺</w:t>
                  </w:r>
                  <w:r>
                    <w:rPr>
                      <w:rFonts w:hint="eastAsia" w:ascii="宋体" w:hAnsi="宋体" w:cs="宋体"/>
                      <w:color w:val="auto"/>
                      <w:spacing w:val="-1"/>
                      <w:szCs w:val="21"/>
                      <w:highlight w:val="none"/>
                    </w:rPr>
                    <w:t>激</w:t>
                  </w:r>
                  <w:r>
                    <w:rPr>
                      <w:rFonts w:hint="eastAsia" w:ascii="宋体" w:hAnsi="宋体" w:cs="宋体"/>
                      <w:color w:val="auto"/>
                      <w:spacing w:val="2"/>
                      <w:szCs w:val="21"/>
                      <w:highlight w:val="none"/>
                    </w:rPr>
                    <w:t>敏</w:t>
                  </w:r>
                  <w:r>
                    <w:rPr>
                      <w:rFonts w:hint="eastAsia" w:ascii="宋体" w:hAnsi="宋体" w:cs="宋体"/>
                      <w:color w:val="auto"/>
                      <w:spacing w:val="-1"/>
                      <w:szCs w:val="21"/>
                      <w:highlight w:val="none"/>
                    </w:rPr>
                    <w:t>感</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翻肚</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嘴</w:t>
                  </w:r>
                  <w:r>
                    <w:rPr>
                      <w:rFonts w:hint="eastAsia" w:ascii="宋体" w:hAnsi="宋体" w:cs="宋体"/>
                      <w:color w:val="auto"/>
                      <w:spacing w:val="-1"/>
                      <w:szCs w:val="21"/>
                      <w:highlight w:val="none"/>
                    </w:rPr>
                    <w:t>烂</w:t>
                  </w:r>
                  <w:r>
                    <w:rPr>
                      <w:rFonts w:hint="eastAsia" w:ascii="宋体" w:hAnsi="宋体" w:cs="宋体"/>
                      <w:color w:val="auto"/>
                      <w:spacing w:val="2"/>
                      <w:szCs w:val="21"/>
                      <w:highlight w:val="none"/>
                    </w:rPr>
                    <w:t>及</w:t>
                  </w:r>
                  <w:r>
                    <w:rPr>
                      <w:rFonts w:hint="eastAsia" w:ascii="宋体" w:hAnsi="宋体" w:cs="宋体"/>
                      <w:color w:val="auto"/>
                      <w:szCs w:val="21"/>
                      <w:highlight w:val="none"/>
                    </w:rPr>
                    <w:t>其</w:t>
                  </w:r>
                  <w:r>
                    <w:rPr>
                      <w:rFonts w:hint="eastAsia" w:ascii="宋体" w:hAnsi="宋体" w:cs="宋体"/>
                      <w:color w:val="auto"/>
                      <w:spacing w:val="-1"/>
                      <w:szCs w:val="21"/>
                      <w:highlight w:val="none"/>
                    </w:rPr>
                    <w:t>它</w:t>
                  </w:r>
                  <w:r>
                    <w:rPr>
                      <w:rFonts w:hint="eastAsia" w:ascii="宋体" w:hAnsi="宋体" w:cs="宋体"/>
                      <w:color w:val="auto"/>
                      <w:spacing w:val="2"/>
                      <w:szCs w:val="21"/>
                      <w:highlight w:val="none"/>
                    </w:rPr>
                    <w:t>外</w:t>
                  </w:r>
                  <w:r>
                    <w:rPr>
                      <w:rFonts w:hint="eastAsia" w:ascii="宋体" w:hAnsi="宋体" w:cs="宋体"/>
                      <w:color w:val="auto"/>
                      <w:spacing w:val="-1"/>
                      <w:szCs w:val="21"/>
                      <w:highlight w:val="none"/>
                    </w:rPr>
                    <w:t>表</w:t>
                  </w:r>
                  <w:r>
                    <w:rPr>
                      <w:rFonts w:hint="eastAsia" w:ascii="宋体" w:hAnsi="宋体" w:cs="宋体"/>
                      <w:color w:val="auto"/>
                      <w:spacing w:val="2"/>
                      <w:szCs w:val="21"/>
                      <w:highlight w:val="none"/>
                    </w:rPr>
                    <w:t>损伤</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鱼</w:t>
                  </w:r>
                  <w:r>
                    <w:rPr>
                      <w:rFonts w:hint="eastAsia" w:ascii="宋体" w:hAnsi="宋体" w:cs="宋体"/>
                      <w:color w:val="auto"/>
                      <w:spacing w:val="2"/>
                      <w:szCs w:val="21"/>
                      <w:highlight w:val="none"/>
                    </w:rPr>
                    <w:t>鳞</w:t>
                  </w:r>
                  <w:r>
                    <w:rPr>
                      <w:rFonts w:hint="eastAsia" w:ascii="宋体" w:hAnsi="宋体" w:cs="宋体"/>
                      <w:color w:val="auto"/>
                      <w:spacing w:val="-1"/>
                      <w:szCs w:val="21"/>
                      <w:highlight w:val="none"/>
                    </w:rPr>
                    <w:t>完</w:t>
                  </w:r>
                  <w:r>
                    <w:rPr>
                      <w:rFonts w:hint="eastAsia" w:ascii="宋体" w:hAnsi="宋体" w:cs="宋体"/>
                      <w:color w:val="auto"/>
                      <w:spacing w:val="2"/>
                      <w:szCs w:val="21"/>
                      <w:highlight w:val="none"/>
                    </w:rPr>
                    <w:t>整</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光泽</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16"/>
                      <w:szCs w:val="21"/>
                      <w:highlight w:val="none"/>
                    </w:rPr>
                    <w:t>，</w:t>
                  </w:r>
                  <w:r>
                    <w:rPr>
                      <w:rFonts w:hint="eastAsia" w:ascii="宋体" w:hAnsi="宋体" w:cs="宋体"/>
                      <w:color w:val="auto"/>
                      <w:spacing w:val="-1"/>
                      <w:szCs w:val="21"/>
                      <w:highlight w:val="none"/>
                    </w:rPr>
                    <w:t>眼</w:t>
                  </w:r>
                  <w:r>
                    <w:rPr>
                      <w:rFonts w:hint="eastAsia" w:ascii="宋体" w:hAnsi="宋体" w:cs="宋体"/>
                      <w:color w:val="auto"/>
                      <w:spacing w:val="2"/>
                      <w:szCs w:val="21"/>
                      <w:highlight w:val="none"/>
                    </w:rPr>
                    <w:t>隔</w:t>
                  </w:r>
                  <w:r>
                    <w:rPr>
                      <w:rFonts w:hint="eastAsia" w:ascii="宋体" w:hAnsi="宋体" w:cs="宋体"/>
                      <w:color w:val="auto"/>
                      <w:spacing w:val="-1"/>
                      <w:szCs w:val="21"/>
                      <w:highlight w:val="none"/>
                    </w:rPr>
                    <w:t>膜</w:t>
                  </w:r>
                  <w:r>
                    <w:rPr>
                      <w:rFonts w:hint="eastAsia" w:ascii="宋体" w:hAnsi="宋体" w:cs="宋体"/>
                      <w:color w:val="auto"/>
                      <w:spacing w:val="2"/>
                      <w:szCs w:val="21"/>
                      <w:highlight w:val="none"/>
                    </w:rPr>
                    <w:t>有</w:t>
                  </w:r>
                  <w:r>
                    <w:rPr>
                      <w:rFonts w:hint="eastAsia" w:ascii="宋体" w:hAnsi="宋体" w:cs="宋体"/>
                      <w:color w:val="auto"/>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突</w:t>
                  </w:r>
                  <w:r>
                    <w:rPr>
                      <w:rFonts w:hint="eastAsia" w:ascii="宋体" w:hAnsi="宋体" w:cs="宋体"/>
                      <w:color w:val="auto"/>
                      <w:spacing w:val="-1"/>
                      <w:szCs w:val="21"/>
                      <w:highlight w:val="none"/>
                    </w:rPr>
                    <w:t>出</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腹</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坚</w:t>
                  </w:r>
                  <w:r>
                    <w:rPr>
                      <w:rFonts w:hint="eastAsia" w:ascii="宋体" w:hAnsi="宋体" w:cs="宋体"/>
                      <w:color w:val="auto"/>
                      <w:spacing w:val="-1"/>
                      <w:szCs w:val="21"/>
                      <w:highlight w:val="none"/>
                    </w:rPr>
                    <w:t>实</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膨</w:t>
                  </w:r>
                  <w:r>
                    <w:rPr>
                      <w:rFonts w:hint="eastAsia" w:ascii="宋体" w:hAnsi="宋体" w:cs="宋体"/>
                      <w:color w:val="auto"/>
                      <w:spacing w:val="2"/>
                      <w:szCs w:val="21"/>
                      <w:highlight w:val="none"/>
                    </w:rPr>
                    <w:t>胀</w:t>
                  </w:r>
                  <w:r>
                    <w:rPr>
                      <w:rFonts w:hint="eastAsia" w:ascii="宋体" w:hAnsi="宋体" w:cs="宋体"/>
                      <w:color w:val="auto"/>
                      <w:spacing w:val="-14"/>
                      <w:szCs w:val="21"/>
                      <w:highlight w:val="none"/>
                    </w:rPr>
                    <w:t>，</w:t>
                  </w:r>
                  <w:r>
                    <w:rPr>
                      <w:rFonts w:hint="eastAsia" w:ascii="宋体" w:hAnsi="宋体" w:cs="宋体"/>
                      <w:color w:val="auto"/>
                      <w:spacing w:val="2"/>
                      <w:szCs w:val="21"/>
                      <w:highlight w:val="none"/>
                    </w:rPr>
                    <w:t>肛</w:t>
                  </w:r>
                  <w:r>
                    <w:rPr>
                      <w:rFonts w:hint="eastAsia" w:ascii="宋体" w:hAnsi="宋体" w:cs="宋体"/>
                      <w:color w:val="auto"/>
                      <w:spacing w:val="-1"/>
                      <w:szCs w:val="21"/>
                      <w:highlight w:val="none"/>
                    </w:rPr>
                    <w:t>门</w:t>
                  </w:r>
                  <w:r>
                    <w:rPr>
                      <w:rFonts w:hint="eastAsia" w:ascii="宋体" w:hAnsi="宋体" w:cs="宋体"/>
                      <w:color w:val="auto"/>
                      <w:spacing w:val="2"/>
                      <w:szCs w:val="21"/>
                      <w:highlight w:val="none"/>
                    </w:rPr>
                    <w:t>内</w:t>
                  </w:r>
                  <w:r>
                    <w:rPr>
                      <w:rFonts w:hint="eastAsia" w:ascii="宋体" w:hAnsi="宋体" w:cs="宋体"/>
                      <w:color w:val="auto"/>
                      <w:spacing w:val="-1"/>
                      <w:szCs w:val="21"/>
                      <w:highlight w:val="none"/>
                    </w:rPr>
                    <w:t>部</w:t>
                  </w:r>
                  <w:r>
                    <w:rPr>
                      <w:rFonts w:hint="eastAsia" w:ascii="宋体" w:hAnsi="宋体" w:cs="宋体"/>
                      <w:color w:val="auto"/>
                      <w:spacing w:val="2"/>
                      <w:szCs w:val="21"/>
                      <w:highlight w:val="none"/>
                    </w:rPr>
                    <w:t>洁</w:t>
                  </w:r>
                  <w:r>
                    <w:rPr>
                      <w:rFonts w:hint="eastAsia" w:ascii="宋体" w:hAnsi="宋体" w:cs="宋体"/>
                      <w:color w:val="auto"/>
                      <w:szCs w:val="21"/>
                      <w:highlight w:val="none"/>
                    </w:rPr>
                    <w:t>净</w:t>
                  </w:r>
                  <w:r>
                    <w:rPr>
                      <w:rFonts w:hint="eastAsia" w:ascii="宋体" w:hAnsi="宋体" w:cs="宋体"/>
                      <w:color w:val="auto"/>
                      <w:spacing w:val="-1"/>
                      <w:szCs w:val="21"/>
                      <w:highlight w:val="none"/>
                    </w:rPr>
                    <w:t>无</w:t>
                  </w:r>
                  <w:r>
                    <w:rPr>
                      <w:rFonts w:hint="eastAsia" w:ascii="宋体" w:hAnsi="宋体" w:cs="宋体"/>
                      <w:color w:val="auto"/>
                      <w:spacing w:val="2"/>
                      <w:szCs w:val="21"/>
                      <w:highlight w:val="none"/>
                    </w:rPr>
                    <w:t>异</w:t>
                  </w:r>
                  <w:r>
                    <w:rPr>
                      <w:rFonts w:hint="eastAsia" w:ascii="宋体" w:hAnsi="宋体" w:cs="宋体"/>
                      <w:color w:val="auto"/>
                      <w:spacing w:val="-1"/>
                      <w:szCs w:val="21"/>
                      <w:highlight w:val="none"/>
                    </w:rPr>
                    <w:t>常</w:t>
                  </w:r>
                  <w:r>
                    <w:rPr>
                      <w:rFonts w:hint="eastAsia" w:ascii="宋体" w:hAnsi="宋体" w:cs="宋体"/>
                      <w:color w:val="auto"/>
                      <w:spacing w:val="2"/>
                      <w:szCs w:val="21"/>
                      <w:highlight w:val="none"/>
                    </w:rPr>
                    <w:t>红</w:t>
                  </w:r>
                  <w:r>
                    <w:rPr>
                      <w:rFonts w:hint="eastAsia" w:ascii="宋体" w:hAnsi="宋体" w:cs="宋体"/>
                      <w:color w:val="auto"/>
                      <w:spacing w:val="-1"/>
                      <w:szCs w:val="21"/>
                      <w:highlight w:val="none"/>
                    </w:rPr>
                    <w:t>尾</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lang w:eastAsia="en-US"/>
                    </w:rPr>
                    <w:t>大</w:t>
                  </w:r>
                  <w:r>
                    <w:rPr>
                      <w:rFonts w:hint="eastAsia" w:ascii="宋体" w:hAnsi="宋体" w:cs="宋体"/>
                      <w:color w:val="auto"/>
                      <w:spacing w:val="2"/>
                      <w:szCs w:val="21"/>
                      <w:highlight w:val="none"/>
                      <w:lang w:eastAsia="en-US"/>
                    </w:rPr>
                    <w:t>小</w:t>
                  </w:r>
                  <w:r>
                    <w:rPr>
                      <w:rFonts w:hint="eastAsia" w:ascii="宋体" w:hAnsi="宋体" w:cs="宋体"/>
                      <w:color w:val="auto"/>
                      <w:spacing w:val="-1"/>
                      <w:szCs w:val="21"/>
                      <w:highlight w:val="none"/>
                      <w:lang w:eastAsia="en-US"/>
                    </w:rPr>
                    <w:t>均</w:t>
                  </w:r>
                  <w:r>
                    <w:rPr>
                      <w:rFonts w:hint="eastAsia" w:ascii="宋体" w:hAnsi="宋体" w:cs="宋体"/>
                      <w:color w:val="auto"/>
                      <w:szCs w:val="21"/>
                      <w:highlight w:val="none"/>
                      <w:lang w:eastAsia="en-US"/>
                    </w:rPr>
                    <w:t>匀</w:t>
                  </w:r>
                </w:p>
              </w:tc>
              <w:tc>
                <w:tcPr>
                  <w:tcW w:w="2509" w:type="dxa"/>
                  <w:vMerge w:val="restart"/>
                  <w:tcBorders>
                    <w:top w:val="nil"/>
                    <w:left w:val="single" w:color="auto" w:sz="4" w:space="0"/>
                    <w:bottom w:val="single" w:color="auto" w:sz="4" w:space="0"/>
                    <w:right w:val="single" w:color="auto" w:sz="4" w:space="0"/>
                  </w:tcBorders>
                  <w:vAlign w:val="center"/>
                </w:tcPr>
                <w:p w14:paraId="47A1C69E">
                  <w:pPr>
                    <w:spacing w:line="440" w:lineRule="exact"/>
                    <w:ind w:left="105"/>
                    <w:jc w:val="left"/>
                    <w:rPr>
                      <w:rFonts w:ascii="宋体" w:hAnsi="宋体" w:cs="宋体"/>
                      <w:color w:val="auto"/>
                      <w:szCs w:val="21"/>
                      <w:highlight w:val="none"/>
                    </w:rPr>
                  </w:pPr>
                  <w:r>
                    <w:rPr>
                      <w:rFonts w:hint="eastAsia" w:ascii="宋体" w:hAnsi="宋体" w:cs="宋体"/>
                      <w:color w:val="auto"/>
                      <w:spacing w:val="16"/>
                      <w:szCs w:val="21"/>
                      <w:highlight w:val="none"/>
                    </w:rPr>
                    <w:t>根据现场实际情</w:t>
                  </w:r>
                  <w:r>
                    <w:rPr>
                      <w:rFonts w:hint="eastAsia" w:ascii="宋体" w:hAnsi="宋体" w:cs="宋体"/>
                      <w:color w:val="auto"/>
                      <w:szCs w:val="21"/>
                      <w:highlight w:val="none"/>
                    </w:rPr>
                    <w:t>况</w:t>
                  </w:r>
                  <w:r>
                    <w:rPr>
                      <w:rFonts w:hint="eastAsia" w:ascii="宋体" w:hAnsi="宋体" w:cs="宋体"/>
                      <w:color w:val="auto"/>
                      <w:spacing w:val="-1"/>
                      <w:szCs w:val="21"/>
                      <w:highlight w:val="none"/>
                    </w:rPr>
                    <w:t>和</w:t>
                  </w:r>
                  <w:r>
                    <w:rPr>
                      <w:rFonts w:hint="eastAsia" w:ascii="宋体" w:hAnsi="宋体" w:cs="宋体"/>
                      <w:color w:val="auto"/>
                      <w:spacing w:val="2"/>
                      <w:szCs w:val="21"/>
                      <w:highlight w:val="none"/>
                    </w:rPr>
                    <w:t>实</w:t>
                  </w:r>
                  <w:r>
                    <w:rPr>
                      <w:rFonts w:hint="eastAsia" w:ascii="宋体" w:hAnsi="宋体" w:cs="宋体"/>
                      <w:color w:val="auto"/>
                      <w:spacing w:val="-1"/>
                      <w:szCs w:val="21"/>
                      <w:highlight w:val="none"/>
                    </w:rPr>
                    <w:t>际</w:t>
                  </w:r>
                  <w:r>
                    <w:rPr>
                      <w:rFonts w:hint="eastAsia" w:ascii="宋体" w:hAnsi="宋体" w:cs="宋体"/>
                      <w:color w:val="auto"/>
                      <w:spacing w:val="2"/>
                      <w:szCs w:val="21"/>
                      <w:highlight w:val="none"/>
                    </w:rPr>
                    <w:t>需</w:t>
                  </w:r>
                  <w:r>
                    <w:rPr>
                      <w:rFonts w:hint="eastAsia" w:ascii="宋体" w:hAnsi="宋体" w:cs="宋体"/>
                      <w:color w:val="auto"/>
                      <w:spacing w:val="-1"/>
                      <w:szCs w:val="21"/>
                      <w:highlight w:val="none"/>
                    </w:rPr>
                    <w:t>求</w:t>
                  </w:r>
                  <w:r>
                    <w:rPr>
                      <w:rFonts w:hint="eastAsia" w:ascii="宋体" w:hAnsi="宋体" w:cs="宋体"/>
                      <w:color w:val="auto"/>
                      <w:spacing w:val="2"/>
                      <w:szCs w:val="21"/>
                      <w:highlight w:val="none"/>
                    </w:rPr>
                    <w:t>量</w:t>
                  </w:r>
                  <w:r>
                    <w:rPr>
                      <w:rFonts w:hint="eastAsia" w:ascii="宋体" w:hAnsi="宋体" w:cs="宋体"/>
                      <w:color w:val="auto"/>
                      <w:spacing w:val="-102"/>
                      <w:szCs w:val="21"/>
                      <w:highlight w:val="none"/>
                    </w:rPr>
                    <w:t>，</w:t>
                  </w:r>
                  <w:r>
                    <w:rPr>
                      <w:rFonts w:hint="eastAsia" w:ascii="宋体" w:hAnsi="宋体" w:cs="宋体"/>
                      <w:color w:val="auto"/>
                      <w:spacing w:val="-1"/>
                      <w:szCs w:val="21"/>
                      <w:highlight w:val="none"/>
                    </w:rPr>
                    <w:t>临</w:t>
                  </w:r>
                  <w:r>
                    <w:rPr>
                      <w:rFonts w:hint="eastAsia" w:ascii="宋体" w:hAnsi="宋体" w:cs="宋体"/>
                      <w:color w:val="auto"/>
                      <w:spacing w:val="2"/>
                      <w:szCs w:val="21"/>
                      <w:highlight w:val="none"/>
                    </w:rPr>
                    <w:t>场</w:t>
                  </w:r>
                  <w:r>
                    <w:rPr>
                      <w:rFonts w:hint="eastAsia" w:ascii="宋体" w:hAnsi="宋体" w:cs="宋体"/>
                      <w:color w:val="auto"/>
                      <w:spacing w:val="-1"/>
                      <w:szCs w:val="21"/>
                      <w:highlight w:val="none"/>
                    </w:rPr>
                    <w:t>与</w:t>
                  </w:r>
                  <w:r>
                    <w:rPr>
                      <w:rFonts w:hint="eastAsia" w:ascii="宋体" w:hAnsi="宋体" w:cs="宋体"/>
                      <w:color w:val="auto"/>
                      <w:szCs w:val="21"/>
                      <w:highlight w:val="none"/>
                    </w:rPr>
                    <w:t>中标供应商协议扣秤</w:t>
                  </w:r>
                  <w:r>
                    <w:rPr>
                      <w:rFonts w:hint="eastAsia" w:ascii="宋体" w:hAnsi="宋体" w:cs="宋体"/>
                      <w:color w:val="auto"/>
                      <w:spacing w:val="1"/>
                      <w:szCs w:val="21"/>
                      <w:highlight w:val="none"/>
                    </w:rPr>
                    <w:t>1-</w:t>
                  </w:r>
                  <w:r>
                    <w:rPr>
                      <w:rFonts w:hint="eastAsia" w:ascii="宋体" w:hAnsi="宋体" w:cs="宋体"/>
                      <w:color w:val="auto"/>
                      <w:spacing w:val="-2"/>
                      <w:szCs w:val="21"/>
                      <w:highlight w:val="none"/>
                    </w:rPr>
                    <w:t>5</w:t>
                  </w:r>
                  <w:r>
                    <w:rPr>
                      <w:rFonts w:hint="eastAsia" w:ascii="宋体" w:hAnsi="宋体" w:cs="宋体"/>
                      <w:color w:val="auto"/>
                      <w:spacing w:val="1"/>
                      <w:szCs w:val="21"/>
                      <w:highlight w:val="none"/>
                    </w:rPr>
                    <w:t>%</w:t>
                  </w:r>
                  <w:r>
                    <w:rPr>
                      <w:rFonts w:hint="eastAsia" w:ascii="宋体" w:hAnsi="宋体" w:cs="宋体"/>
                      <w:color w:val="auto"/>
                      <w:spacing w:val="-102"/>
                      <w:szCs w:val="21"/>
                      <w:highlight w:val="none"/>
                    </w:rPr>
                    <w:t>，</w:t>
                  </w:r>
                  <w:r>
                    <w:rPr>
                      <w:rFonts w:hint="eastAsia" w:ascii="宋体" w:hAnsi="宋体" w:cs="宋体"/>
                      <w:color w:val="auto"/>
                      <w:spacing w:val="-1"/>
                      <w:szCs w:val="21"/>
                      <w:highlight w:val="none"/>
                    </w:rPr>
                    <w:t>严</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符</w:t>
                  </w:r>
                  <w:r>
                    <w:rPr>
                      <w:rFonts w:hint="eastAsia" w:ascii="宋体" w:hAnsi="宋体" w:cs="宋体"/>
                      <w:color w:val="auto"/>
                      <w:spacing w:val="-1"/>
                      <w:szCs w:val="21"/>
                      <w:highlight w:val="none"/>
                    </w:rPr>
                    <w:t>合</w:t>
                  </w:r>
                  <w:r>
                    <w:rPr>
                      <w:rFonts w:hint="eastAsia" w:ascii="宋体" w:hAnsi="宋体" w:cs="宋体"/>
                      <w:color w:val="auto"/>
                      <w:spacing w:val="2"/>
                      <w:szCs w:val="21"/>
                      <w:highlight w:val="none"/>
                    </w:rPr>
                    <w:t>质</w:t>
                  </w:r>
                  <w:r>
                    <w:rPr>
                      <w:rFonts w:hint="eastAsia" w:ascii="宋体" w:hAnsi="宋体" w:cs="宋体"/>
                      <w:color w:val="auto"/>
                      <w:spacing w:val="-1"/>
                      <w:szCs w:val="21"/>
                      <w:highlight w:val="none"/>
                    </w:rPr>
                    <w:t>量</w:t>
                  </w:r>
                  <w:r>
                    <w:rPr>
                      <w:rFonts w:hint="eastAsia" w:ascii="宋体" w:hAnsi="宋体" w:cs="宋体"/>
                      <w:color w:val="auto"/>
                      <w:szCs w:val="21"/>
                      <w:highlight w:val="none"/>
                    </w:rPr>
                    <w:t>标</w:t>
                  </w:r>
                  <w:r>
                    <w:rPr>
                      <w:rFonts w:hint="eastAsia" w:ascii="宋体" w:hAnsi="宋体" w:cs="宋体"/>
                      <w:color w:val="auto"/>
                      <w:spacing w:val="-1"/>
                      <w:szCs w:val="21"/>
                      <w:highlight w:val="none"/>
                    </w:rPr>
                    <w:t>准</w:t>
                  </w:r>
                  <w:r>
                    <w:rPr>
                      <w:rFonts w:hint="eastAsia" w:ascii="宋体" w:hAnsi="宋体" w:cs="宋体"/>
                      <w:color w:val="auto"/>
                      <w:spacing w:val="2"/>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37DC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atLeast"/>
              </w:trPr>
              <w:tc>
                <w:tcPr>
                  <w:tcW w:w="1224" w:type="dxa"/>
                  <w:tcBorders>
                    <w:top w:val="single" w:color="auto" w:sz="4" w:space="0"/>
                    <w:left w:val="single" w:color="auto" w:sz="4" w:space="0"/>
                    <w:bottom w:val="single" w:color="auto" w:sz="4" w:space="0"/>
                    <w:right w:val="single" w:color="auto" w:sz="4" w:space="0"/>
                  </w:tcBorders>
                  <w:vAlign w:val="center"/>
                </w:tcPr>
                <w:p w14:paraId="4D4677EC">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虾</w:t>
                  </w:r>
                  <w:r>
                    <w:rPr>
                      <w:rFonts w:hint="eastAsia" w:ascii="宋体" w:hAnsi="宋体" w:cs="宋体"/>
                      <w:color w:val="auto"/>
                      <w:szCs w:val="21"/>
                      <w:highlight w:val="none"/>
                      <w:lang w:eastAsia="en-US"/>
                    </w:rPr>
                    <w:t>类</w:t>
                  </w:r>
                </w:p>
              </w:tc>
              <w:tc>
                <w:tcPr>
                  <w:tcW w:w="5087" w:type="dxa"/>
                  <w:tcBorders>
                    <w:top w:val="single" w:color="auto" w:sz="4" w:space="0"/>
                    <w:left w:val="single" w:color="auto" w:sz="4" w:space="0"/>
                    <w:bottom w:val="single" w:color="auto" w:sz="4" w:space="0"/>
                    <w:right w:val="single" w:color="auto" w:sz="4" w:space="0"/>
                  </w:tcBorders>
                  <w:vAlign w:val="center"/>
                </w:tcPr>
                <w:p w14:paraId="23737EA4">
                  <w:pPr>
                    <w:spacing w:line="440" w:lineRule="exact"/>
                    <w:ind w:left="105"/>
                    <w:jc w:val="left"/>
                    <w:rPr>
                      <w:rFonts w:ascii="宋体" w:hAnsi="宋体" w:cs="宋体"/>
                      <w:color w:val="auto"/>
                      <w:szCs w:val="21"/>
                      <w:highlight w:val="none"/>
                    </w:rPr>
                  </w:pPr>
                  <w:r>
                    <w:rPr>
                      <w:rFonts w:hint="eastAsia" w:ascii="宋体" w:hAnsi="宋体" w:cs="宋体"/>
                      <w:color w:val="auto"/>
                      <w:spacing w:val="-1"/>
                      <w:szCs w:val="21"/>
                      <w:highlight w:val="none"/>
                    </w:rPr>
                    <w:t>游</w:t>
                  </w:r>
                  <w:r>
                    <w:rPr>
                      <w:rFonts w:hint="eastAsia" w:ascii="宋体" w:hAnsi="宋体" w:cs="宋体"/>
                      <w:color w:val="auto"/>
                      <w:spacing w:val="2"/>
                      <w:szCs w:val="21"/>
                      <w:highlight w:val="none"/>
                    </w:rPr>
                    <w:t>水快，对外界刺激敏感；头尾完整，有一定弯曲度；虾眼突起，虾身较挺，肉质坚实；虾壳发亮、发硬，呈青绿色或青白色</w:t>
                  </w:r>
                </w:p>
              </w:tc>
              <w:tc>
                <w:tcPr>
                  <w:tcW w:w="2509" w:type="dxa"/>
                  <w:vMerge w:val="continue"/>
                  <w:tcBorders>
                    <w:top w:val="nil"/>
                    <w:left w:val="single" w:color="auto" w:sz="4" w:space="0"/>
                    <w:bottom w:val="single" w:color="auto" w:sz="4" w:space="0"/>
                    <w:right w:val="single" w:color="auto" w:sz="4" w:space="0"/>
                  </w:tcBorders>
                  <w:vAlign w:val="center"/>
                </w:tcPr>
                <w:p w14:paraId="20CE0E41">
                  <w:pPr>
                    <w:widowControl/>
                    <w:spacing w:line="440" w:lineRule="exact"/>
                    <w:jc w:val="left"/>
                    <w:rPr>
                      <w:rFonts w:ascii="宋体" w:hAnsi="宋体" w:cs="宋体"/>
                      <w:color w:val="auto"/>
                      <w:szCs w:val="21"/>
                      <w:highlight w:val="none"/>
                    </w:rPr>
                  </w:pPr>
                </w:p>
              </w:tc>
            </w:tr>
          </w:tbl>
          <w:p w14:paraId="1F18C11E">
            <w:pPr>
              <w:numPr>
                <w:ilvl w:val="0"/>
                <w:numId w:val="5"/>
              </w:numPr>
              <w:spacing w:line="440" w:lineRule="exact"/>
              <w:ind w:left="105" w:firstLine="420"/>
              <w:rPr>
                <w:rFonts w:ascii="宋体" w:hAnsi="宋体" w:cs="宋体"/>
                <w:color w:val="auto"/>
                <w:szCs w:val="21"/>
                <w:highlight w:val="none"/>
              </w:rPr>
            </w:pPr>
            <w:r>
              <w:rPr>
                <w:rFonts w:hint="eastAsia" w:ascii="宋体" w:hAnsi="宋体" w:cs="宋体"/>
                <w:color w:val="auto"/>
                <w:szCs w:val="21"/>
                <w:highlight w:val="none"/>
              </w:rPr>
              <w:t>冰鲜类</w:t>
            </w:r>
          </w:p>
          <w:tbl>
            <w:tblPr>
              <w:tblStyle w:val="4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5206"/>
              <w:gridCol w:w="2495"/>
            </w:tblGrid>
            <w:tr w14:paraId="3BC5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1119" w:type="dxa"/>
                  <w:tcBorders>
                    <w:top w:val="single" w:color="auto" w:sz="4" w:space="0"/>
                    <w:left w:val="single" w:color="auto" w:sz="4" w:space="0"/>
                    <w:bottom w:val="single" w:color="auto" w:sz="4" w:space="0"/>
                    <w:right w:val="single" w:color="auto" w:sz="4" w:space="0"/>
                  </w:tcBorders>
                  <w:vAlign w:val="center"/>
                </w:tcPr>
                <w:p w14:paraId="13B5701F">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品</w:t>
                  </w:r>
                  <w:r>
                    <w:rPr>
                      <w:rFonts w:hint="eastAsia" w:ascii="宋体" w:hAnsi="宋体" w:cs="宋体"/>
                      <w:color w:val="auto"/>
                      <w:szCs w:val="21"/>
                      <w:highlight w:val="none"/>
                      <w:lang w:eastAsia="en-US"/>
                    </w:rPr>
                    <w:t>名</w:t>
                  </w:r>
                </w:p>
              </w:tc>
              <w:tc>
                <w:tcPr>
                  <w:tcW w:w="5206" w:type="dxa"/>
                  <w:tcBorders>
                    <w:top w:val="single" w:color="auto" w:sz="4" w:space="0"/>
                    <w:left w:val="single" w:color="auto" w:sz="4" w:space="0"/>
                    <w:bottom w:val="single" w:color="auto" w:sz="4" w:space="0"/>
                    <w:right w:val="single" w:color="auto" w:sz="4" w:space="0"/>
                  </w:tcBorders>
                  <w:vAlign w:val="center"/>
                </w:tcPr>
                <w:p w14:paraId="329B0F08">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质量验</w:t>
                  </w:r>
                  <w:r>
                    <w:rPr>
                      <w:rFonts w:hint="eastAsia" w:ascii="宋体" w:hAnsi="宋体" w:cs="宋体"/>
                      <w:color w:val="auto"/>
                      <w:spacing w:val="-1"/>
                      <w:szCs w:val="21"/>
                      <w:highlight w:val="none"/>
                      <w:lang w:eastAsia="en-US"/>
                    </w:rPr>
                    <w:t>收</w:t>
                  </w:r>
                  <w:r>
                    <w:rPr>
                      <w:rFonts w:hint="eastAsia" w:ascii="宋体" w:hAnsi="宋体" w:cs="宋体"/>
                      <w:color w:val="auto"/>
                      <w:spacing w:val="2"/>
                      <w:szCs w:val="21"/>
                      <w:highlight w:val="none"/>
                      <w:lang w:eastAsia="en-US"/>
                    </w:rPr>
                    <w:t>标</w:t>
                  </w:r>
                  <w:r>
                    <w:rPr>
                      <w:rFonts w:hint="eastAsia" w:ascii="宋体" w:hAnsi="宋体" w:cs="宋体"/>
                      <w:color w:val="auto"/>
                      <w:szCs w:val="21"/>
                      <w:highlight w:val="none"/>
                      <w:lang w:eastAsia="en-US"/>
                    </w:rPr>
                    <w:t>准</w:t>
                  </w:r>
                </w:p>
              </w:tc>
              <w:tc>
                <w:tcPr>
                  <w:tcW w:w="2495" w:type="dxa"/>
                  <w:tcBorders>
                    <w:top w:val="single" w:color="auto" w:sz="4" w:space="0"/>
                    <w:left w:val="single" w:color="auto" w:sz="4" w:space="0"/>
                    <w:bottom w:val="single" w:color="auto" w:sz="4" w:space="0"/>
                    <w:right w:val="single" w:color="auto" w:sz="4" w:space="0"/>
                  </w:tcBorders>
                  <w:vAlign w:val="center"/>
                </w:tcPr>
                <w:p w14:paraId="019C8179">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2"/>
                      <w:szCs w:val="21"/>
                      <w:highlight w:val="none"/>
                      <w:lang w:eastAsia="en-US"/>
                    </w:rPr>
                    <w:t>扣秤标</w:t>
                  </w:r>
                  <w:r>
                    <w:rPr>
                      <w:rFonts w:hint="eastAsia" w:ascii="宋体" w:hAnsi="宋体" w:cs="宋体"/>
                      <w:color w:val="auto"/>
                      <w:szCs w:val="21"/>
                      <w:highlight w:val="none"/>
                      <w:lang w:eastAsia="en-US"/>
                    </w:rPr>
                    <w:t>准</w:t>
                  </w:r>
                </w:p>
              </w:tc>
            </w:tr>
            <w:tr w14:paraId="1D08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rPr>
              <w:tc>
                <w:tcPr>
                  <w:tcW w:w="1119" w:type="dxa"/>
                  <w:tcBorders>
                    <w:top w:val="single" w:color="auto" w:sz="4" w:space="0"/>
                    <w:left w:val="single" w:color="auto" w:sz="4" w:space="0"/>
                    <w:bottom w:val="single" w:color="auto" w:sz="4" w:space="0"/>
                    <w:right w:val="single" w:color="auto" w:sz="4" w:space="0"/>
                  </w:tcBorders>
                  <w:vAlign w:val="center"/>
                </w:tcPr>
                <w:p w14:paraId="16D96054">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冰</w:t>
                  </w:r>
                  <w:r>
                    <w:rPr>
                      <w:rFonts w:hint="eastAsia" w:ascii="宋体" w:hAnsi="宋体" w:cs="宋体"/>
                      <w:color w:val="auto"/>
                      <w:spacing w:val="2"/>
                      <w:szCs w:val="21"/>
                      <w:highlight w:val="none"/>
                      <w:lang w:eastAsia="en-US"/>
                    </w:rPr>
                    <w:t>鲜</w:t>
                  </w:r>
                  <w:r>
                    <w:rPr>
                      <w:rFonts w:hint="eastAsia" w:ascii="宋体" w:hAnsi="宋体" w:cs="宋体"/>
                      <w:color w:val="auto"/>
                      <w:szCs w:val="21"/>
                      <w:highlight w:val="none"/>
                      <w:lang w:eastAsia="en-US"/>
                    </w:rPr>
                    <w:t>鱼</w:t>
                  </w:r>
                </w:p>
              </w:tc>
              <w:tc>
                <w:tcPr>
                  <w:tcW w:w="5206" w:type="dxa"/>
                  <w:tcBorders>
                    <w:top w:val="single" w:color="auto" w:sz="4" w:space="0"/>
                    <w:left w:val="single" w:color="auto" w:sz="4" w:space="0"/>
                    <w:bottom w:val="single" w:color="auto" w:sz="4" w:space="0"/>
                    <w:right w:val="single" w:color="auto" w:sz="4" w:space="0"/>
                  </w:tcBorders>
                  <w:vAlign w:val="center"/>
                </w:tcPr>
                <w:p w14:paraId="2C513289">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鳍</w:t>
                  </w:r>
                  <w:r>
                    <w:rPr>
                      <w:rFonts w:hint="eastAsia" w:ascii="宋体" w:hAnsi="宋体" w:cs="宋体"/>
                      <w:color w:val="auto"/>
                      <w:spacing w:val="-1"/>
                      <w:szCs w:val="21"/>
                      <w:highlight w:val="none"/>
                    </w:rPr>
                    <w:t>平</w:t>
                  </w:r>
                  <w:r>
                    <w:rPr>
                      <w:rFonts w:hint="eastAsia" w:ascii="宋体" w:hAnsi="宋体" w:cs="宋体"/>
                      <w:color w:val="auto"/>
                      <w:spacing w:val="2"/>
                      <w:szCs w:val="21"/>
                      <w:highlight w:val="none"/>
                    </w:rPr>
                    <w:t>直</w:t>
                  </w:r>
                  <w:r>
                    <w:rPr>
                      <w:rFonts w:hint="eastAsia" w:ascii="宋体" w:hAnsi="宋体" w:cs="宋体"/>
                      <w:color w:val="auto"/>
                      <w:spacing w:val="-1"/>
                      <w:szCs w:val="21"/>
                      <w:highlight w:val="none"/>
                    </w:rPr>
                    <w:t>紧</w:t>
                  </w:r>
                  <w:r>
                    <w:rPr>
                      <w:rFonts w:hint="eastAsia" w:ascii="宋体" w:hAnsi="宋体" w:cs="宋体"/>
                      <w:color w:val="auto"/>
                      <w:spacing w:val="2"/>
                      <w:szCs w:val="21"/>
                      <w:highlight w:val="none"/>
                    </w:rPr>
                    <w:t>贴</w:t>
                  </w:r>
                  <w:r>
                    <w:rPr>
                      <w:rFonts w:hint="eastAsia" w:ascii="宋体" w:hAnsi="宋体" w:cs="宋体"/>
                      <w:color w:val="auto"/>
                      <w:spacing w:val="-1"/>
                      <w:szCs w:val="21"/>
                      <w:highlight w:val="none"/>
                    </w:rPr>
                    <w:t>鱼体</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上</w:t>
                  </w:r>
                  <w:r>
                    <w:rPr>
                      <w:rFonts w:hint="eastAsia" w:ascii="宋体" w:hAnsi="宋体" w:cs="宋体"/>
                      <w:color w:val="auto"/>
                      <w:spacing w:val="-1"/>
                      <w:szCs w:val="21"/>
                      <w:highlight w:val="none"/>
                    </w:rPr>
                    <w:t>覆</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结</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2"/>
                      <w:szCs w:val="21"/>
                      <w:highlight w:val="none"/>
                    </w:rPr>
                    <w:t>层</w:t>
                  </w:r>
                  <w:r>
                    <w:rPr>
                      <w:rFonts w:hint="eastAsia" w:ascii="宋体" w:hAnsi="宋体" w:cs="宋体"/>
                      <w:color w:val="auto"/>
                      <w:spacing w:val="-9"/>
                      <w:szCs w:val="21"/>
                      <w:highlight w:val="none"/>
                    </w:rPr>
                    <w:t>，</w:t>
                  </w:r>
                  <w:r>
                    <w:rPr>
                      <w:rFonts w:hint="eastAsia" w:ascii="宋体" w:hAnsi="宋体" w:cs="宋体"/>
                      <w:color w:val="auto"/>
                      <w:spacing w:val="2"/>
                      <w:szCs w:val="21"/>
                      <w:highlight w:val="none"/>
                    </w:rPr>
                    <w:t>天</w:t>
                  </w:r>
                  <w:r>
                    <w:rPr>
                      <w:rFonts w:hint="eastAsia" w:ascii="宋体" w:hAnsi="宋体" w:cs="宋体"/>
                      <w:color w:val="auto"/>
                      <w:szCs w:val="21"/>
                      <w:highlight w:val="none"/>
                    </w:rPr>
                    <w:t>然</w:t>
                  </w: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而</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浑</w:t>
                  </w:r>
                  <w:r>
                    <w:rPr>
                      <w:rFonts w:hint="eastAsia" w:ascii="宋体" w:hAnsi="宋体" w:cs="宋体"/>
                      <w:color w:val="auto"/>
                      <w:spacing w:val="-1"/>
                      <w:szCs w:val="21"/>
                      <w:highlight w:val="none"/>
                    </w:rPr>
                    <w:t>浊</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眼</w:t>
                  </w:r>
                  <w:r>
                    <w:rPr>
                      <w:rFonts w:hint="eastAsia" w:ascii="宋体" w:hAnsi="宋体" w:cs="宋体"/>
                      <w:color w:val="auto"/>
                      <w:spacing w:val="-1"/>
                      <w:szCs w:val="21"/>
                      <w:highlight w:val="none"/>
                    </w:rPr>
                    <w:t>球</w:t>
                  </w:r>
                  <w:r>
                    <w:rPr>
                      <w:rFonts w:hint="eastAsia" w:ascii="宋体" w:hAnsi="宋体" w:cs="宋体"/>
                      <w:color w:val="auto"/>
                      <w:spacing w:val="2"/>
                      <w:szCs w:val="21"/>
                      <w:highlight w:val="none"/>
                    </w:rPr>
                    <w:t>不</w:t>
                  </w:r>
                  <w:r>
                    <w:rPr>
                      <w:rFonts w:hint="eastAsia" w:ascii="宋体" w:hAnsi="宋体" w:cs="宋体"/>
                      <w:color w:val="auto"/>
                      <w:spacing w:val="-1"/>
                      <w:szCs w:val="21"/>
                      <w:highlight w:val="none"/>
                    </w:rPr>
                    <w:t>突</w:t>
                  </w:r>
                  <w:r>
                    <w:rPr>
                      <w:rFonts w:hint="eastAsia" w:ascii="宋体" w:hAnsi="宋体" w:cs="宋体"/>
                      <w:color w:val="auto"/>
                      <w:spacing w:val="2"/>
                      <w:szCs w:val="21"/>
                      <w:highlight w:val="none"/>
                    </w:rPr>
                    <w:t>出</w:t>
                  </w:r>
                  <w:r>
                    <w:rPr>
                      <w:rFonts w:hint="eastAsia" w:ascii="宋体" w:hAnsi="宋体" w:cs="宋体"/>
                      <w:color w:val="auto"/>
                      <w:spacing w:val="-11"/>
                      <w:szCs w:val="21"/>
                      <w:highlight w:val="none"/>
                    </w:rPr>
                    <w:t>，</w:t>
                  </w:r>
                  <w:r>
                    <w:rPr>
                      <w:rFonts w:hint="eastAsia" w:ascii="宋体" w:hAnsi="宋体" w:cs="宋体"/>
                      <w:color w:val="auto"/>
                      <w:spacing w:val="2"/>
                      <w:szCs w:val="21"/>
                      <w:highlight w:val="none"/>
                    </w:rPr>
                    <w:t>透</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重</w:t>
                  </w:r>
                  <w:r>
                    <w:rPr>
                      <w:rFonts w:hint="eastAsia" w:ascii="宋体" w:hAnsi="宋体" w:cs="宋体"/>
                      <w:color w:val="auto"/>
                      <w:spacing w:val="-1"/>
                      <w:szCs w:val="21"/>
                      <w:highlight w:val="none"/>
                    </w:rPr>
                    <w:t>复</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冻</w:t>
                  </w:r>
                  <w:r>
                    <w:rPr>
                      <w:rFonts w:hint="eastAsia" w:ascii="宋体" w:hAnsi="宋体" w:cs="宋体"/>
                      <w:color w:val="auto"/>
                      <w:spacing w:val="2"/>
                      <w:szCs w:val="21"/>
                      <w:highlight w:val="none"/>
                    </w:rPr>
                    <w:t>的</w:t>
                  </w:r>
                  <w:r>
                    <w:rPr>
                      <w:rFonts w:hint="eastAsia" w:ascii="宋体" w:hAnsi="宋体" w:cs="宋体"/>
                      <w:color w:val="auto"/>
                      <w:spacing w:val="-1"/>
                      <w:szCs w:val="21"/>
                      <w:highlight w:val="none"/>
                    </w:rPr>
                    <w:t>鱼</w:t>
                  </w:r>
                  <w:r>
                    <w:rPr>
                      <w:rFonts w:hint="eastAsia" w:ascii="宋体" w:hAnsi="宋体" w:cs="宋体"/>
                      <w:color w:val="auto"/>
                      <w:szCs w:val="21"/>
                      <w:highlight w:val="none"/>
                    </w:rPr>
                    <w:t>鳞</w:t>
                  </w:r>
                  <w:r>
                    <w:rPr>
                      <w:rFonts w:hint="eastAsia" w:ascii="宋体" w:hAnsi="宋体" w:cs="宋体"/>
                      <w:color w:val="auto"/>
                      <w:spacing w:val="2"/>
                      <w:szCs w:val="21"/>
                      <w:highlight w:val="none"/>
                    </w:rPr>
                    <w:t>呈</w:t>
                  </w:r>
                  <w:r>
                    <w:rPr>
                      <w:rFonts w:hint="eastAsia" w:ascii="宋体" w:hAnsi="宋体" w:cs="宋体"/>
                      <w:color w:val="auto"/>
                      <w:spacing w:val="-1"/>
                      <w:szCs w:val="21"/>
                      <w:highlight w:val="none"/>
                    </w:rPr>
                    <w:t>暗色</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解</w:t>
                  </w:r>
                  <w:r>
                    <w:rPr>
                      <w:rFonts w:hint="eastAsia" w:ascii="宋体" w:hAnsi="宋体" w:cs="宋体"/>
                      <w:color w:val="auto"/>
                      <w:spacing w:val="-1"/>
                      <w:szCs w:val="21"/>
                      <w:highlight w:val="none"/>
                    </w:rPr>
                    <w:t>冻后</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层</w:t>
                  </w:r>
                  <w:r>
                    <w:rPr>
                      <w:rFonts w:hint="eastAsia" w:ascii="宋体" w:hAnsi="宋体" w:cs="宋体"/>
                      <w:color w:val="auto"/>
                      <w:spacing w:val="-1"/>
                      <w:szCs w:val="21"/>
                      <w:highlight w:val="none"/>
                    </w:rPr>
                    <w:t>清</w:t>
                  </w:r>
                  <w:r>
                    <w:rPr>
                      <w:rFonts w:hint="eastAsia" w:ascii="宋体" w:hAnsi="宋体" w:cs="宋体"/>
                      <w:color w:val="auto"/>
                      <w:spacing w:val="2"/>
                      <w:szCs w:val="21"/>
                      <w:highlight w:val="none"/>
                    </w:rPr>
                    <w:t>洁</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的</w:t>
                  </w:r>
                  <w:r>
                    <w:rPr>
                      <w:rFonts w:hint="eastAsia" w:ascii="宋体" w:hAnsi="宋体" w:cs="宋体"/>
                      <w:color w:val="auto"/>
                      <w:spacing w:val="2"/>
                      <w:szCs w:val="21"/>
                      <w:highlight w:val="none"/>
                    </w:rPr>
                    <w:t>黏</w:t>
                  </w:r>
                  <w:r>
                    <w:rPr>
                      <w:rFonts w:hint="eastAsia" w:ascii="宋体" w:hAnsi="宋体" w:cs="宋体"/>
                      <w:color w:val="auto"/>
                      <w:spacing w:val="-1"/>
                      <w:szCs w:val="21"/>
                      <w:highlight w:val="none"/>
                    </w:rPr>
                    <w:t>液</w:t>
                  </w:r>
                  <w:r>
                    <w:rPr>
                      <w:rFonts w:hint="eastAsia" w:ascii="宋体" w:hAnsi="宋体" w:cs="宋体"/>
                      <w:color w:val="auto"/>
                      <w:spacing w:val="-6"/>
                      <w:szCs w:val="21"/>
                      <w:highlight w:val="none"/>
                    </w:rPr>
                    <w:t>，</w:t>
                  </w:r>
                  <w:r>
                    <w:rPr>
                      <w:rFonts w:hint="eastAsia" w:ascii="宋体" w:hAnsi="宋体" w:cs="宋体"/>
                      <w:color w:val="auto"/>
                      <w:szCs w:val="21"/>
                      <w:highlight w:val="none"/>
                    </w:rPr>
                    <w:t>鳞</w:t>
                  </w:r>
                  <w:r>
                    <w:rPr>
                      <w:rFonts w:hint="eastAsia" w:ascii="宋体" w:hAnsi="宋体" w:cs="宋体"/>
                      <w:color w:val="auto"/>
                      <w:spacing w:val="-1"/>
                      <w:szCs w:val="21"/>
                      <w:highlight w:val="none"/>
                    </w:rPr>
                    <w:t>片</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不</w:t>
                  </w:r>
                  <w:r>
                    <w:rPr>
                      <w:rFonts w:hint="eastAsia" w:ascii="宋体" w:hAnsi="宋体" w:cs="宋体"/>
                      <w:color w:val="auto"/>
                      <w:spacing w:val="2"/>
                      <w:szCs w:val="21"/>
                      <w:highlight w:val="none"/>
                    </w:rPr>
                    <w:t>易</w:t>
                  </w:r>
                  <w:r>
                    <w:rPr>
                      <w:rFonts w:hint="eastAsia" w:ascii="宋体" w:hAnsi="宋体" w:cs="宋体"/>
                      <w:color w:val="auto"/>
                      <w:spacing w:val="-1"/>
                      <w:szCs w:val="21"/>
                      <w:highlight w:val="none"/>
                    </w:rPr>
                    <w:t>脱</w:t>
                  </w:r>
                  <w:r>
                    <w:rPr>
                      <w:rFonts w:hint="eastAsia" w:ascii="宋体" w:hAnsi="宋体" w:cs="宋体"/>
                      <w:color w:val="auto"/>
                      <w:spacing w:val="2"/>
                      <w:szCs w:val="21"/>
                      <w:highlight w:val="none"/>
                    </w:rPr>
                    <w:t>落</w:t>
                  </w:r>
                  <w:r>
                    <w:rPr>
                      <w:rFonts w:hint="eastAsia" w:ascii="宋体" w:hAnsi="宋体" w:cs="宋体"/>
                      <w:color w:val="auto"/>
                      <w:spacing w:val="-1"/>
                      <w:szCs w:val="21"/>
                      <w:highlight w:val="none"/>
                    </w:rPr>
                    <w:t>，</w:t>
                  </w:r>
                  <w:r>
                    <w:rPr>
                      <w:rFonts w:hint="eastAsia" w:ascii="宋体" w:hAnsi="宋体" w:cs="宋体"/>
                      <w:color w:val="auto"/>
                      <w:spacing w:val="2"/>
                      <w:szCs w:val="21"/>
                      <w:highlight w:val="none"/>
                    </w:rPr>
                    <w:t>具</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海</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鱼</w:t>
                  </w:r>
                  <w:r>
                    <w:rPr>
                      <w:rFonts w:hint="eastAsia" w:ascii="宋体" w:hAnsi="宋体" w:cs="宋体"/>
                      <w:color w:val="auto"/>
                      <w:spacing w:val="-1"/>
                      <w:szCs w:val="21"/>
                      <w:highlight w:val="none"/>
                    </w:rPr>
                    <w:t>或</w:t>
                  </w:r>
                  <w:r>
                    <w:rPr>
                      <w:rFonts w:hint="eastAsia" w:ascii="宋体" w:hAnsi="宋体" w:cs="宋体"/>
                      <w:color w:val="auto"/>
                      <w:spacing w:val="2"/>
                      <w:szCs w:val="21"/>
                      <w:highlight w:val="none"/>
                    </w:rPr>
                    <w:t>淡</w:t>
                  </w:r>
                  <w:r>
                    <w:rPr>
                      <w:rFonts w:hint="eastAsia" w:ascii="宋体" w:hAnsi="宋体" w:cs="宋体"/>
                      <w:color w:val="auto"/>
                      <w:spacing w:val="-1"/>
                      <w:szCs w:val="21"/>
                      <w:highlight w:val="none"/>
                    </w:rPr>
                    <w:t>水</w:t>
                  </w:r>
                  <w:r>
                    <w:rPr>
                      <w:rFonts w:hint="eastAsia" w:ascii="宋体" w:hAnsi="宋体" w:cs="宋体"/>
                      <w:color w:val="auto"/>
                      <w:spacing w:val="2"/>
                      <w:szCs w:val="21"/>
                      <w:highlight w:val="none"/>
                    </w:rPr>
                    <w:t>鱼</w:t>
                  </w:r>
                  <w:r>
                    <w:rPr>
                      <w:rFonts w:hint="eastAsia" w:ascii="宋体" w:hAnsi="宋体" w:cs="宋体"/>
                      <w:color w:val="auto"/>
                      <w:spacing w:val="-1"/>
                      <w:szCs w:val="21"/>
                      <w:highlight w:val="none"/>
                    </w:rPr>
                    <w:t>固</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zCs w:val="21"/>
                      <w:highlight w:val="none"/>
                    </w:rPr>
                    <w:t>，</w:t>
                  </w:r>
                  <w:r>
                    <w:rPr>
                      <w:rFonts w:hint="eastAsia" w:ascii="宋体" w:hAnsi="宋体" w:cs="宋体"/>
                      <w:color w:val="auto"/>
                      <w:spacing w:val="-1"/>
                      <w:szCs w:val="21"/>
                      <w:highlight w:val="none"/>
                    </w:rPr>
                    <w:t>鱼眼澄清透明，眼球饱满凸出，角膜透明，鳃鲜红、清晰，腹部坚实、无胀气、裂现象、肛孔白色凹陷，肉质坚实，有弹性，骨肉不分离。解冻后与鲜品特征相同。外包装箱完好无破损，有生产日期.</w:t>
                  </w:r>
                </w:p>
              </w:tc>
              <w:tc>
                <w:tcPr>
                  <w:tcW w:w="2495" w:type="dxa"/>
                  <w:vMerge w:val="restart"/>
                  <w:tcBorders>
                    <w:top w:val="nil"/>
                    <w:left w:val="single" w:color="auto" w:sz="4" w:space="0"/>
                    <w:bottom w:val="single" w:color="auto" w:sz="4" w:space="0"/>
                    <w:right w:val="single" w:color="auto" w:sz="4" w:space="0"/>
                  </w:tcBorders>
                  <w:vAlign w:val="center"/>
                </w:tcPr>
                <w:p w14:paraId="420C7834">
                  <w:pPr>
                    <w:spacing w:line="440" w:lineRule="exact"/>
                    <w:ind w:left="105"/>
                    <w:jc w:val="left"/>
                    <w:rPr>
                      <w:rFonts w:ascii="宋体" w:hAnsi="宋体" w:cs="宋体"/>
                      <w:color w:val="auto"/>
                      <w:szCs w:val="21"/>
                      <w:highlight w:val="none"/>
                    </w:rPr>
                  </w:pPr>
                  <w:r>
                    <w:rPr>
                      <w:rFonts w:hint="eastAsia" w:ascii="宋体" w:hAnsi="宋体" w:cs="宋体"/>
                      <w:color w:val="auto"/>
                      <w:spacing w:val="9"/>
                      <w:szCs w:val="21"/>
                      <w:highlight w:val="none"/>
                    </w:rPr>
                    <w:t>根</w:t>
                  </w:r>
                  <w:r>
                    <w:rPr>
                      <w:rFonts w:hint="eastAsia" w:ascii="宋体" w:hAnsi="宋体" w:cs="宋体"/>
                      <w:color w:val="auto"/>
                      <w:spacing w:val="7"/>
                      <w:szCs w:val="21"/>
                      <w:highlight w:val="none"/>
                    </w:rPr>
                    <w:t>据</w:t>
                  </w:r>
                  <w:r>
                    <w:rPr>
                      <w:rFonts w:hint="eastAsia" w:ascii="宋体" w:hAnsi="宋体" w:cs="宋体"/>
                      <w:color w:val="auto"/>
                      <w:spacing w:val="9"/>
                      <w:szCs w:val="21"/>
                      <w:highlight w:val="none"/>
                    </w:rPr>
                    <w:t>现场实</w:t>
                  </w:r>
                  <w:r>
                    <w:rPr>
                      <w:rFonts w:hint="eastAsia" w:ascii="宋体" w:hAnsi="宋体" w:cs="宋体"/>
                      <w:color w:val="auto"/>
                      <w:spacing w:val="7"/>
                      <w:szCs w:val="21"/>
                      <w:highlight w:val="none"/>
                    </w:rPr>
                    <w:t>际</w:t>
                  </w:r>
                  <w:r>
                    <w:rPr>
                      <w:rFonts w:hint="eastAsia" w:ascii="宋体" w:hAnsi="宋体" w:cs="宋体"/>
                      <w:color w:val="auto"/>
                      <w:spacing w:val="9"/>
                      <w:szCs w:val="21"/>
                      <w:highlight w:val="none"/>
                    </w:rPr>
                    <w:t>情况和</w:t>
                  </w:r>
                  <w:r>
                    <w:rPr>
                      <w:rFonts w:hint="eastAsia" w:ascii="宋体" w:hAnsi="宋体" w:cs="宋体"/>
                      <w:color w:val="auto"/>
                      <w:szCs w:val="21"/>
                      <w:highlight w:val="none"/>
                    </w:rPr>
                    <w:t>实</w:t>
                  </w:r>
                  <w:r>
                    <w:rPr>
                      <w:rFonts w:hint="eastAsia" w:ascii="宋体" w:hAnsi="宋体" w:cs="宋体"/>
                      <w:color w:val="auto"/>
                      <w:spacing w:val="9"/>
                      <w:szCs w:val="21"/>
                      <w:highlight w:val="none"/>
                    </w:rPr>
                    <w:t>际</w:t>
                  </w:r>
                  <w:r>
                    <w:rPr>
                      <w:rFonts w:hint="eastAsia" w:ascii="宋体" w:hAnsi="宋体" w:cs="宋体"/>
                      <w:color w:val="auto"/>
                      <w:spacing w:val="7"/>
                      <w:szCs w:val="21"/>
                      <w:highlight w:val="none"/>
                    </w:rPr>
                    <w:t>需</w:t>
                  </w:r>
                  <w:r>
                    <w:rPr>
                      <w:rFonts w:hint="eastAsia" w:ascii="宋体" w:hAnsi="宋体" w:cs="宋体"/>
                      <w:color w:val="auto"/>
                      <w:spacing w:val="9"/>
                      <w:szCs w:val="21"/>
                      <w:highlight w:val="none"/>
                    </w:rPr>
                    <w:t>求量，</w:t>
                  </w:r>
                  <w:r>
                    <w:rPr>
                      <w:rFonts w:hint="eastAsia" w:ascii="宋体" w:hAnsi="宋体" w:cs="宋体"/>
                      <w:color w:val="auto"/>
                      <w:spacing w:val="7"/>
                      <w:szCs w:val="21"/>
                      <w:highlight w:val="none"/>
                    </w:rPr>
                    <w:t>临</w:t>
                  </w:r>
                  <w:r>
                    <w:rPr>
                      <w:rFonts w:hint="eastAsia" w:ascii="宋体" w:hAnsi="宋体" w:cs="宋体"/>
                      <w:color w:val="auto"/>
                      <w:spacing w:val="9"/>
                      <w:szCs w:val="21"/>
                      <w:highlight w:val="none"/>
                    </w:rPr>
                    <w:t>场与中标</w:t>
                  </w:r>
                  <w:r>
                    <w:rPr>
                      <w:rFonts w:hint="eastAsia" w:ascii="宋体" w:hAnsi="宋体" w:cs="宋体"/>
                      <w:color w:val="auto"/>
                      <w:spacing w:val="2"/>
                      <w:szCs w:val="21"/>
                      <w:highlight w:val="none"/>
                    </w:rPr>
                    <w:t>供</w:t>
                  </w:r>
                  <w:r>
                    <w:rPr>
                      <w:rFonts w:hint="eastAsia" w:ascii="宋体" w:hAnsi="宋体" w:cs="宋体"/>
                      <w:color w:val="auto"/>
                      <w:spacing w:val="4"/>
                      <w:szCs w:val="21"/>
                      <w:highlight w:val="none"/>
                    </w:rPr>
                    <w:t>应</w:t>
                  </w:r>
                  <w:r>
                    <w:rPr>
                      <w:rFonts w:hint="eastAsia" w:ascii="宋体" w:hAnsi="宋体" w:cs="宋体"/>
                      <w:color w:val="auto"/>
                      <w:spacing w:val="2"/>
                      <w:szCs w:val="21"/>
                      <w:highlight w:val="none"/>
                    </w:rPr>
                    <w:t>商</w:t>
                  </w:r>
                  <w:r>
                    <w:rPr>
                      <w:rFonts w:hint="eastAsia" w:ascii="宋体" w:hAnsi="宋体" w:cs="宋体"/>
                      <w:color w:val="auto"/>
                      <w:spacing w:val="4"/>
                      <w:szCs w:val="21"/>
                      <w:highlight w:val="none"/>
                    </w:rPr>
                    <w:t>协</w:t>
                  </w:r>
                  <w:r>
                    <w:rPr>
                      <w:rFonts w:hint="eastAsia" w:ascii="宋体" w:hAnsi="宋体" w:cs="宋体"/>
                      <w:color w:val="auto"/>
                      <w:spacing w:val="2"/>
                      <w:szCs w:val="21"/>
                      <w:highlight w:val="none"/>
                    </w:rPr>
                    <w:t>议</w:t>
                  </w:r>
                  <w:r>
                    <w:rPr>
                      <w:rFonts w:hint="eastAsia" w:ascii="宋体" w:hAnsi="宋体" w:cs="宋体"/>
                      <w:color w:val="auto"/>
                      <w:spacing w:val="4"/>
                      <w:szCs w:val="21"/>
                      <w:highlight w:val="none"/>
                    </w:rPr>
                    <w:t>扣</w:t>
                  </w:r>
                  <w:r>
                    <w:rPr>
                      <w:rFonts w:hint="eastAsia" w:ascii="宋体" w:hAnsi="宋体" w:cs="宋体"/>
                      <w:color w:val="auto"/>
                      <w:szCs w:val="21"/>
                      <w:highlight w:val="none"/>
                    </w:rPr>
                    <w:t>秤</w:t>
                  </w:r>
                  <w:r>
                    <w:rPr>
                      <w:rFonts w:hint="eastAsia" w:ascii="宋体" w:hAnsi="宋体" w:cs="宋体"/>
                      <w:color w:val="auto"/>
                      <w:spacing w:val="1"/>
                      <w:szCs w:val="21"/>
                      <w:highlight w:val="none"/>
                    </w:rPr>
                    <w:t>1-</w:t>
                  </w:r>
                  <w:r>
                    <w:rPr>
                      <w:rFonts w:hint="eastAsia" w:ascii="宋体" w:hAnsi="宋体" w:cs="宋体"/>
                      <w:color w:val="auto"/>
                      <w:spacing w:val="-2"/>
                      <w:szCs w:val="21"/>
                      <w:highlight w:val="none"/>
                    </w:rPr>
                    <w:t>5</w:t>
                  </w:r>
                  <w:r>
                    <w:rPr>
                      <w:rFonts w:hint="eastAsia" w:ascii="宋体" w:hAnsi="宋体" w:cs="宋体"/>
                      <w:color w:val="auto"/>
                      <w:spacing w:val="1"/>
                      <w:szCs w:val="21"/>
                      <w:highlight w:val="none"/>
                    </w:rPr>
                    <w:t>%</w:t>
                  </w:r>
                  <w:r>
                    <w:rPr>
                      <w:rFonts w:hint="eastAsia" w:ascii="宋体" w:hAnsi="宋体" w:cs="宋体"/>
                      <w:color w:val="auto"/>
                      <w:szCs w:val="21"/>
                      <w:highlight w:val="none"/>
                    </w:rPr>
                    <w:t>，</w:t>
                  </w:r>
                  <w:r>
                    <w:rPr>
                      <w:rFonts w:hint="eastAsia" w:ascii="宋体" w:hAnsi="宋体" w:cs="宋体"/>
                      <w:color w:val="auto"/>
                      <w:spacing w:val="9"/>
                      <w:szCs w:val="21"/>
                      <w:highlight w:val="none"/>
                    </w:rPr>
                    <w:t>严</w:t>
                  </w:r>
                  <w:r>
                    <w:rPr>
                      <w:rFonts w:hint="eastAsia" w:ascii="宋体" w:hAnsi="宋体" w:cs="宋体"/>
                      <w:color w:val="auto"/>
                      <w:spacing w:val="7"/>
                      <w:szCs w:val="21"/>
                      <w:highlight w:val="none"/>
                    </w:rPr>
                    <w:t>重</w:t>
                  </w:r>
                  <w:r>
                    <w:rPr>
                      <w:rFonts w:hint="eastAsia" w:ascii="宋体" w:hAnsi="宋体" w:cs="宋体"/>
                      <w:color w:val="auto"/>
                      <w:spacing w:val="9"/>
                      <w:szCs w:val="21"/>
                      <w:highlight w:val="none"/>
                    </w:rPr>
                    <w:t>不符合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zCs w:val="21"/>
                      <w:highlight w:val="none"/>
                    </w:rPr>
                    <w:t>者</w:t>
                  </w:r>
                  <w:r>
                    <w:rPr>
                      <w:rFonts w:hint="eastAsia" w:ascii="宋体" w:hAnsi="宋体" w:cs="宋体"/>
                      <w:color w:val="auto"/>
                      <w:spacing w:val="-1"/>
                      <w:szCs w:val="21"/>
                      <w:highlight w:val="none"/>
                    </w:rPr>
                    <w:t>可</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r w14:paraId="6A77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trPr>
              <w:tc>
                <w:tcPr>
                  <w:tcW w:w="1119" w:type="dxa"/>
                  <w:tcBorders>
                    <w:top w:val="single" w:color="auto" w:sz="4" w:space="0"/>
                    <w:left w:val="single" w:color="auto" w:sz="4" w:space="0"/>
                    <w:bottom w:val="single" w:color="auto" w:sz="4" w:space="0"/>
                    <w:right w:val="single" w:color="auto" w:sz="4" w:space="0"/>
                  </w:tcBorders>
                  <w:vAlign w:val="center"/>
                </w:tcPr>
                <w:p w14:paraId="18E734AE">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虾</w:t>
                  </w:r>
                  <w:r>
                    <w:rPr>
                      <w:rFonts w:hint="eastAsia" w:ascii="宋体" w:hAnsi="宋体" w:cs="宋体"/>
                      <w:color w:val="auto"/>
                      <w:szCs w:val="21"/>
                      <w:highlight w:val="none"/>
                      <w:lang w:eastAsia="en-US"/>
                    </w:rPr>
                    <w:t>类</w:t>
                  </w:r>
                </w:p>
              </w:tc>
              <w:tc>
                <w:tcPr>
                  <w:tcW w:w="5206" w:type="dxa"/>
                  <w:tcBorders>
                    <w:top w:val="single" w:color="auto" w:sz="4" w:space="0"/>
                    <w:left w:val="single" w:color="auto" w:sz="4" w:space="0"/>
                    <w:bottom w:val="single" w:color="auto" w:sz="4" w:space="0"/>
                    <w:right w:val="single" w:color="auto" w:sz="4" w:space="0"/>
                  </w:tcBorders>
                  <w:vAlign w:val="center"/>
                </w:tcPr>
                <w:p w14:paraId="78DCB147">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头</w:t>
                  </w:r>
                  <w:r>
                    <w:rPr>
                      <w:rFonts w:hint="eastAsia" w:ascii="宋体" w:hAnsi="宋体" w:cs="宋体"/>
                      <w:color w:val="auto"/>
                      <w:spacing w:val="-1"/>
                      <w:szCs w:val="21"/>
                      <w:highlight w:val="none"/>
                    </w:rPr>
                    <w:t>尾</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一</w:t>
                  </w:r>
                  <w:r>
                    <w:rPr>
                      <w:rFonts w:hint="eastAsia" w:ascii="宋体" w:hAnsi="宋体" w:cs="宋体"/>
                      <w:color w:val="auto"/>
                      <w:spacing w:val="2"/>
                      <w:szCs w:val="21"/>
                      <w:highlight w:val="none"/>
                    </w:rPr>
                    <w:t>定</w:t>
                  </w:r>
                  <w:r>
                    <w:rPr>
                      <w:rFonts w:hint="eastAsia" w:ascii="宋体" w:hAnsi="宋体" w:cs="宋体"/>
                      <w:color w:val="auto"/>
                      <w:spacing w:val="-1"/>
                      <w:szCs w:val="21"/>
                      <w:highlight w:val="none"/>
                    </w:rPr>
                    <w:t>弯</w:t>
                  </w:r>
                  <w:r>
                    <w:rPr>
                      <w:rFonts w:hint="eastAsia" w:ascii="宋体" w:hAnsi="宋体" w:cs="宋体"/>
                      <w:color w:val="auto"/>
                      <w:spacing w:val="2"/>
                      <w:szCs w:val="21"/>
                      <w:highlight w:val="none"/>
                    </w:rPr>
                    <w:t>曲</w:t>
                  </w:r>
                  <w:r>
                    <w:rPr>
                      <w:rFonts w:hint="eastAsia" w:ascii="宋体" w:hAnsi="宋体" w:cs="宋体"/>
                      <w:color w:val="auto"/>
                      <w:spacing w:val="-1"/>
                      <w:szCs w:val="21"/>
                      <w:highlight w:val="none"/>
                    </w:rPr>
                    <w:t>度</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虾</w:t>
                  </w:r>
                  <w:r>
                    <w:rPr>
                      <w:rFonts w:hint="eastAsia" w:ascii="宋体" w:hAnsi="宋体" w:cs="宋体"/>
                      <w:color w:val="auto"/>
                      <w:spacing w:val="-1"/>
                      <w:szCs w:val="21"/>
                      <w:highlight w:val="none"/>
                    </w:rPr>
                    <w:t>身</w:t>
                  </w:r>
                  <w:r>
                    <w:rPr>
                      <w:rFonts w:hint="eastAsia" w:ascii="宋体" w:hAnsi="宋体" w:cs="宋体"/>
                      <w:color w:val="auto"/>
                      <w:spacing w:val="2"/>
                      <w:szCs w:val="21"/>
                      <w:highlight w:val="none"/>
                    </w:rPr>
                    <w:t>较</w:t>
                  </w:r>
                  <w:r>
                    <w:rPr>
                      <w:rFonts w:hint="eastAsia" w:ascii="宋体" w:hAnsi="宋体" w:cs="宋体"/>
                      <w:color w:val="auto"/>
                      <w:spacing w:val="-1"/>
                      <w:szCs w:val="21"/>
                      <w:highlight w:val="none"/>
                    </w:rPr>
                    <w:t>挺</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半</w:t>
                  </w:r>
                  <w:r>
                    <w:rPr>
                      <w:rFonts w:hint="eastAsia" w:ascii="宋体" w:hAnsi="宋体" w:cs="宋体"/>
                      <w:color w:val="auto"/>
                      <w:spacing w:val="-1"/>
                      <w:szCs w:val="21"/>
                      <w:highlight w:val="none"/>
                    </w:rPr>
                    <w:t>透</w:t>
                  </w:r>
                  <w:r>
                    <w:rPr>
                      <w:rFonts w:hint="eastAsia" w:ascii="宋体" w:hAnsi="宋体" w:cs="宋体"/>
                      <w:color w:val="auto"/>
                      <w:spacing w:val="2"/>
                      <w:szCs w:val="21"/>
                      <w:highlight w:val="none"/>
                    </w:rPr>
                    <w:t>明</w:t>
                  </w:r>
                  <w:r>
                    <w:rPr>
                      <w:rFonts w:hint="eastAsia" w:ascii="宋体" w:hAnsi="宋体" w:cs="宋体"/>
                      <w:color w:val="auto"/>
                      <w:spacing w:val="-1"/>
                      <w:szCs w:val="21"/>
                      <w:highlight w:val="none"/>
                    </w:rPr>
                    <w:t>不</w:t>
                  </w:r>
                  <w:r>
                    <w:rPr>
                      <w:rFonts w:hint="eastAsia" w:ascii="宋体" w:hAnsi="宋体" w:cs="宋体"/>
                      <w:color w:val="auto"/>
                      <w:szCs w:val="21"/>
                      <w:highlight w:val="none"/>
                    </w:rPr>
                    <w:t>发</w:t>
                  </w:r>
                  <w:r>
                    <w:rPr>
                      <w:rFonts w:hint="eastAsia" w:ascii="宋体" w:hAnsi="宋体" w:cs="宋体"/>
                      <w:color w:val="auto"/>
                      <w:spacing w:val="-1"/>
                      <w:szCs w:val="21"/>
                      <w:highlight w:val="none"/>
                    </w:rPr>
                    <w:t>红</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外</w:t>
                  </w:r>
                  <w:r>
                    <w:rPr>
                      <w:rFonts w:hint="eastAsia" w:ascii="宋体" w:hAnsi="宋体" w:cs="宋体"/>
                      <w:color w:val="auto"/>
                      <w:spacing w:val="2"/>
                      <w:szCs w:val="21"/>
                      <w:highlight w:val="none"/>
                    </w:rPr>
                    <w:t>壳</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泽</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稍</w:t>
                  </w:r>
                  <w:r>
                    <w:rPr>
                      <w:rFonts w:hint="eastAsia" w:ascii="宋体" w:hAnsi="宋体" w:cs="宋体"/>
                      <w:color w:val="auto"/>
                      <w:spacing w:val="2"/>
                      <w:szCs w:val="21"/>
                      <w:highlight w:val="none"/>
                    </w:rPr>
                    <w:t>湿</w:t>
                  </w:r>
                  <w:r>
                    <w:rPr>
                      <w:rFonts w:hint="eastAsia" w:ascii="宋体" w:hAnsi="宋体" w:cs="宋体"/>
                      <w:color w:val="auto"/>
                      <w:spacing w:val="-1"/>
                      <w:szCs w:val="21"/>
                      <w:highlight w:val="none"/>
                    </w:rPr>
                    <w:t>润</w:t>
                  </w:r>
                  <w:r>
                    <w:rPr>
                      <w:rFonts w:hint="eastAsia" w:ascii="宋体" w:hAnsi="宋体" w:cs="宋体"/>
                      <w:color w:val="auto"/>
                      <w:szCs w:val="21"/>
                      <w:highlight w:val="none"/>
                    </w:rPr>
                    <w:t>，</w:t>
                  </w:r>
                  <w:r>
                    <w:rPr>
                      <w:rFonts w:hint="eastAsia" w:ascii="宋体" w:hAnsi="宋体" w:cs="宋体"/>
                      <w:color w:val="auto"/>
                      <w:spacing w:val="-1"/>
                      <w:szCs w:val="21"/>
                      <w:highlight w:val="none"/>
                    </w:rPr>
                    <w:t>气</w:t>
                  </w:r>
                  <w:r>
                    <w:rPr>
                      <w:rFonts w:hint="eastAsia" w:ascii="宋体" w:hAnsi="宋体" w:cs="宋体"/>
                      <w:color w:val="auto"/>
                      <w:spacing w:val="2"/>
                      <w:szCs w:val="21"/>
                      <w:highlight w:val="none"/>
                    </w:rPr>
                    <w:t>味</w:t>
                  </w:r>
                  <w:r>
                    <w:rPr>
                      <w:rFonts w:hint="eastAsia" w:ascii="宋体" w:hAnsi="宋体" w:cs="宋体"/>
                      <w:color w:val="auto"/>
                      <w:spacing w:val="-1"/>
                      <w:szCs w:val="21"/>
                      <w:highlight w:val="none"/>
                    </w:rPr>
                    <w:t>正</w:t>
                  </w:r>
                  <w:r>
                    <w:rPr>
                      <w:rFonts w:hint="eastAsia" w:ascii="宋体" w:hAnsi="宋体" w:cs="宋体"/>
                      <w:color w:val="auto"/>
                      <w:szCs w:val="21"/>
                      <w:highlight w:val="none"/>
                    </w:rPr>
                    <w:t>常</w:t>
                  </w:r>
                </w:p>
              </w:tc>
              <w:tc>
                <w:tcPr>
                  <w:tcW w:w="2495" w:type="dxa"/>
                  <w:vMerge w:val="continue"/>
                  <w:tcBorders>
                    <w:top w:val="nil"/>
                    <w:left w:val="single" w:color="auto" w:sz="4" w:space="0"/>
                    <w:bottom w:val="single" w:color="auto" w:sz="4" w:space="0"/>
                    <w:right w:val="single" w:color="auto" w:sz="4" w:space="0"/>
                  </w:tcBorders>
                  <w:vAlign w:val="center"/>
                </w:tcPr>
                <w:p w14:paraId="4589E83B">
                  <w:pPr>
                    <w:widowControl/>
                    <w:spacing w:line="440" w:lineRule="exact"/>
                    <w:jc w:val="left"/>
                    <w:rPr>
                      <w:rFonts w:ascii="宋体" w:hAnsi="宋体" w:cs="宋体"/>
                      <w:color w:val="auto"/>
                      <w:szCs w:val="21"/>
                      <w:highlight w:val="none"/>
                    </w:rPr>
                  </w:pPr>
                </w:p>
              </w:tc>
            </w:tr>
            <w:tr w14:paraId="7B3D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rPr>
              <w:tc>
                <w:tcPr>
                  <w:tcW w:w="1119" w:type="dxa"/>
                  <w:tcBorders>
                    <w:top w:val="single" w:color="auto" w:sz="4" w:space="0"/>
                    <w:left w:val="single" w:color="auto" w:sz="4" w:space="0"/>
                    <w:bottom w:val="single" w:color="auto" w:sz="4" w:space="0"/>
                    <w:right w:val="single" w:color="auto" w:sz="4" w:space="0"/>
                  </w:tcBorders>
                  <w:vAlign w:val="center"/>
                </w:tcPr>
                <w:p w14:paraId="292762A0">
                  <w:pPr>
                    <w:spacing w:line="440" w:lineRule="exact"/>
                    <w:ind w:left="105"/>
                    <w:jc w:val="center"/>
                    <w:rPr>
                      <w:rFonts w:ascii="宋体" w:hAnsi="宋体" w:cs="宋体"/>
                      <w:color w:val="auto"/>
                      <w:szCs w:val="21"/>
                      <w:highlight w:val="none"/>
                      <w:lang w:eastAsia="en-US"/>
                    </w:rPr>
                  </w:pPr>
                  <w:r>
                    <w:rPr>
                      <w:rFonts w:hint="eastAsia" w:ascii="宋体" w:hAnsi="宋体" w:cs="宋体"/>
                      <w:color w:val="auto"/>
                      <w:spacing w:val="-1"/>
                      <w:szCs w:val="21"/>
                      <w:highlight w:val="none"/>
                      <w:lang w:eastAsia="en-US"/>
                    </w:rPr>
                    <w:t>冰</w:t>
                  </w:r>
                  <w:r>
                    <w:rPr>
                      <w:rFonts w:hint="eastAsia" w:ascii="宋体" w:hAnsi="宋体" w:cs="宋体"/>
                      <w:color w:val="auto"/>
                      <w:spacing w:val="2"/>
                      <w:szCs w:val="21"/>
                      <w:highlight w:val="none"/>
                      <w:lang w:eastAsia="en-US"/>
                    </w:rPr>
                    <w:t>鱿</w:t>
                  </w:r>
                  <w:r>
                    <w:rPr>
                      <w:rFonts w:hint="eastAsia" w:ascii="宋体" w:hAnsi="宋体" w:cs="宋体"/>
                      <w:color w:val="auto"/>
                      <w:szCs w:val="21"/>
                      <w:highlight w:val="none"/>
                      <w:lang w:eastAsia="en-US"/>
                    </w:rPr>
                    <w:t>鱼</w:t>
                  </w:r>
                </w:p>
              </w:tc>
              <w:tc>
                <w:tcPr>
                  <w:tcW w:w="5206" w:type="dxa"/>
                  <w:tcBorders>
                    <w:top w:val="single" w:color="auto" w:sz="4" w:space="0"/>
                    <w:left w:val="single" w:color="auto" w:sz="4" w:space="0"/>
                    <w:bottom w:val="single" w:color="auto" w:sz="4" w:space="0"/>
                    <w:right w:val="single" w:color="auto" w:sz="4" w:space="0"/>
                  </w:tcBorders>
                  <w:vAlign w:val="center"/>
                </w:tcPr>
                <w:p w14:paraId="66FF54A3">
                  <w:pPr>
                    <w:spacing w:line="440" w:lineRule="exact"/>
                    <w:ind w:left="105"/>
                    <w:jc w:val="left"/>
                    <w:rPr>
                      <w:rFonts w:ascii="宋体" w:hAnsi="宋体" w:cs="宋体"/>
                      <w:color w:val="auto"/>
                      <w:szCs w:val="21"/>
                      <w:highlight w:val="none"/>
                    </w:rPr>
                  </w:pPr>
                  <w:r>
                    <w:rPr>
                      <w:rFonts w:hint="eastAsia" w:ascii="宋体" w:hAnsi="宋体" w:cs="宋体"/>
                      <w:color w:val="auto"/>
                      <w:spacing w:val="2"/>
                      <w:szCs w:val="21"/>
                      <w:highlight w:val="none"/>
                    </w:rPr>
                    <w:t>色</w:t>
                  </w:r>
                  <w:r>
                    <w:rPr>
                      <w:rFonts w:hint="eastAsia" w:ascii="宋体" w:hAnsi="宋体" w:cs="宋体"/>
                      <w:color w:val="auto"/>
                      <w:spacing w:val="-1"/>
                      <w:szCs w:val="21"/>
                      <w:highlight w:val="none"/>
                    </w:rPr>
                    <w:t>鲜艳</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皮</w:t>
                  </w:r>
                  <w:r>
                    <w:rPr>
                      <w:rFonts w:hint="eastAsia" w:ascii="宋体" w:hAnsi="宋体" w:cs="宋体"/>
                      <w:color w:val="auto"/>
                      <w:spacing w:val="-1"/>
                      <w:szCs w:val="21"/>
                      <w:highlight w:val="none"/>
                    </w:rPr>
                    <w:t>微红</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有</w:t>
                  </w:r>
                  <w:r>
                    <w:rPr>
                      <w:rFonts w:hint="eastAsia" w:ascii="宋体" w:hAnsi="宋体" w:cs="宋体"/>
                      <w:color w:val="auto"/>
                      <w:spacing w:val="-1"/>
                      <w:szCs w:val="21"/>
                      <w:highlight w:val="none"/>
                    </w:rPr>
                    <w:t>光</w:t>
                  </w:r>
                  <w:r>
                    <w:rPr>
                      <w:rFonts w:hint="eastAsia" w:ascii="宋体" w:hAnsi="宋体" w:cs="宋体"/>
                      <w:color w:val="auto"/>
                      <w:spacing w:val="2"/>
                      <w:szCs w:val="21"/>
                      <w:highlight w:val="none"/>
                    </w:rPr>
                    <w:t>泽</w:t>
                  </w:r>
                  <w:r>
                    <w:rPr>
                      <w:rFonts w:hint="eastAsia" w:ascii="宋体" w:hAnsi="宋体" w:cs="宋体"/>
                      <w:color w:val="auto"/>
                      <w:spacing w:val="-3"/>
                      <w:szCs w:val="21"/>
                      <w:highlight w:val="none"/>
                    </w:rPr>
                    <w:t>，</w:t>
                  </w:r>
                  <w:r>
                    <w:rPr>
                      <w:rFonts w:hint="eastAsia" w:ascii="宋体" w:hAnsi="宋体" w:cs="宋体"/>
                      <w:color w:val="auto"/>
                      <w:spacing w:val="2"/>
                      <w:szCs w:val="21"/>
                      <w:highlight w:val="none"/>
                    </w:rPr>
                    <w:t>多</w:t>
                  </w:r>
                  <w:r>
                    <w:rPr>
                      <w:rFonts w:hint="eastAsia" w:ascii="宋体" w:hAnsi="宋体" w:cs="宋体"/>
                      <w:color w:val="auto"/>
                      <w:spacing w:val="-1"/>
                      <w:szCs w:val="21"/>
                      <w:highlight w:val="none"/>
                    </w:rPr>
                    <w:t>黏液</w:t>
                  </w:r>
                  <w:r>
                    <w:rPr>
                      <w:rFonts w:hint="eastAsia" w:ascii="宋体" w:hAnsi="宋体" w:cs="宋体"/>
                      <w:color w:val="auto"/>
                      <w:spacing w:val="-6"/>
                      <w:szCs w:val="21"/>
                      <w:highlight w:val="none"/>
                    </w:rPr>
                    <w:t>，</w:t>
                  </w:r>
                  <w:r>
                    <w:rPr>
                      <w:rFonts w:hint="eastAsia" w:ascii="宋体" w:hAnsi="宋体" w:cs="宋体"/>
                      <w:color w:val="auto"/>
                      <w:spacing w:val="2"/>
                      <w:szCs w:val="21"/>
                      <w:highlight w:val="none"/>
                    </w:rPr>
                    <w:t>体</w:t>
                  </w:r>
                  <w:r>
                    <w:rPr>
                      <w:rFonts w:hint="eastAsia" w:ascii="宋体" w:hAnsi="宋体" w:cs="宋体"/>
                      <w:color w:val="auto"/>
                      <w:spacing w:val="-1"/>
                      <w:szCs w:val="21"/>
                      <w:highlight w:val="none"/>
                    </w:rPr>
                    <w:t>形</w:t>
                  </w:r>
                  <w:r>
                    <w:rPr>
                      <w:rFonts w:hint="eastAsia" w:ascii="宋体" w:hAnsi="宋体" w:cs="宋体"/>
                      <w:color w:val="auto"/>
                      <w:spacing w:val="2"/>
                      <w:szCs w:val="21"/>
                      <w:highlight w:val="none"/>
                    </w:rPr>
                    <w:t>完</w:t>
                  </w:r>
                  <w:r>
                    <w:rPr>
                      <w:rFonts w:hint="eastAsia" w:ascii="宋体" w:hAnsi="宋体" w:cs="宋体"/>
                      <w:color w:val="auto"/>
                      <w:spacing w:val="-1"/>
                      <w:szCs w:val="21"/>
                      <w:highlight w:val="none"/>
                    </w:rPr>
                    <w:t>整，</w:t>
                  </w:r>
                  <w:r>
                    <w:rPr>
                      <w:rFonts w:hint="eastAsia" w:ascii="宋体" w:hAnsi="宋体" w:cs="宋体"/>
                      <w:color w:val="auto"/>
                      <w:szCs w:val="21"/>
                      <w:highlight w:val="none"/>
                    </w:rPr>
                    <w:t>肌</w:t>
                  </w:r>
                  <w:r>
                    <w:rPr>
                      <w:rFonts w:hint="eastAsia" w:ascii="宋体" w:hAnsi="宋体" w:cs="宋体"/>
                      <w:color w:val="auto"/>
                      <w:spacing w:val="-1"/>
                      <w:szCs w:val="21"/>
                      <w:highlight w:val="none"/>
                    </w:rPr>
                    <w:t>肉</w:t>
                  </w:r>
                  <w:r>
                    <w:rPr>
                      <w:rFonts w:hint="eastAsia" w:ascii="宋体" w:hAnsi="宋体" w:cs="宋体"/>
                      <w:color w:val="auto"/>
                      <w:spacing w:val="2"/>
                      <w:szCs w:val="21"/>
                      <w:highlight w:val="none"/>
                    </w:rPr>
                    <w:t>柔</w:t>
                  </w:r>
                  <w:r>
                    <w:rPr>
                      <w:rFonts w:hint="eastAsia" w:ascii="宋体" w:hAnsi="宋体" w:cs="宋体"/>
                      <w:color w:val="auto"/>
                      <w:spacing w:val="-1"/>
                      <w:szCs w:val="21"/>
                      <w:highlight w:val="none"/>
                    </w:rPr>
                    <w:t>软</w:t>
                  </w:r>
                  <w:r>
                    <w:rPr>
                      <w:rFonts w:hint="eastAsia" w:ascii="宋体" w:hAnsi="宋体" w:cs="宋体"/>
                      <w:color w:val="auto"/>
                      <w:spacing w:val="2"/>
                      <w:szCs w:val="21"/>
                      <w:highlight w:val="none"/>
                    </w:rPr>
                    <w:t>光</w:t>
                  </w:r>
                  <w:r>
                    <w:rPr>
                      <w:rFonts w:hint="eastAsia" w:ascii="宋体" w:hAnsi="宋体" w:cs="宋体"/>
                      <w:color w:val="auto"/>
                      <w:spacing w:val="-1"/>
                      <w:szCs w:val="21"/>
                      <w:highlight w:val="none"/>
                    </w:rPr>
                    <w:t>滑</w:t>
                  </w:r>
                  <w:r>
                    <w:rPr>
                      <w:rFonts w:hint="eastAsia" w:ascii="宋体" w:hAnsi="宋体" w:cs="宋体"/>
                      <w:color w:val="auto"/>
                      <w:spacing w:val="2"/>
                      <w:szCs w:val="21"/>
                      <w:highlight w:val="none"/>
                    </w:rPr>
                    <w:t>，</w:t>
                  </w:r>
                  <w:r>
                    <w:rPr>
                      <w:rFonts w:hint="eastAsia" w:ascii="宋体" w:hAnsi="宋体" w:cs="宋体"/>
                      <w:color w:val="auto"/>
                      <w:spacing w:val="-1"/>
                      <w:szCs w:val="21"/>
                      <w:highlight w:val="none"/>
                    </w:rPr>
                    <w:t>有</w:t>
                  </w:r>
                  <w:r>
                    <w:rPr>
                      <w:rFonts w:hint="eastAsia" w:ascii="宋体" w:hAnsi="宋体" w:cs="宋体"/>
                      <w:color w:val="auto"/>
                      <w:spacing w:val="2"/>
                      <w:szCs w:val="21"/>
                      <w:highlight w:val="none"/>
                    </w:rPr>
                    <w:t>弹</w:t>
                  </w:r>
                  <w:r>
                    <w:rPr>
                      <w:rFonts w:hint="eastAsia" w:ascii="宋体" w:hAnsi="宋体" w:cs="宋体"/>
                      <w:color w:val="auto"/>
                      <w:szCs w:val="21"/>
                      <w:highlight w:val="none"/>
                    </w:rPr>
                    <w:t>性</w:t>
                  </w:r>
                </w:p>
              </w:tc>
              <w:tc>
                <w:tcPr>
                  <w:tcW w:w="2495" w:type="dxa"/>
                  <w:tcBorders>
                    <w:top w:val="single" w:color="auto" w:sz="4" w:space="0"/>
                    <w:left w:val="single" w:color="auto" w:sz="4" w:space="0"/>
                    <w:bottom w:val="single" w:color="auto" w:sz="4" w:space="0"/>
                    <w:right w:val="single" w:color="auto" w:sz="4" w:space="0"/>
                  </w:tcBorders>
                  <w:vAlign w:val="center"/>
                </w:tcPr>
                <w:p w14:paraId="6C5EDA1D">
                  <w:pPr>
                    <w:spacing w:line="440" w:lineRule="exact"/>
                    <w:ind w:left="105"/>
                    <w:jc w:val="left"/>
                    <w:rPr>
                      <w:rFonts w:ascii="宋体" w:hAnsi="宋体" w:cs="宋体"/>
                      <w:color w:val="auto"/>
                      <w:szCs w:val="21"/>
                      <w:highlight w:val="none"/>
                    </w:rPr>
                  </w:pPr>
                  <w:r>
                    <w:rPr>
                      <w:rFonts w:hint="eastAsia" w:ascii="宋体" w:hAnsi="宋体" w:cs="宋体"/>
                      <w:color w:val="auto"/>
                      <w:spacing w:val="9"/>
                      <w:szCs w:val="21"/>
                      <w:highlight w:val="none"/>
                    </w:rPr>
                    <w:t>外</w:t>
                  </w:r>
                  <w:r>
                    <w:rPr>
                      <w:rFonts w:hint="eastAsia" w:ascii="宋体" w:hAnsi="宋体" w:cs="宋体"/>
                      <w:color w:val="auto"/>
                      <w:spacing w:val="7"/>
                      <w:szCs w:val="21"/>
                      <w:highlight w:val="none"/>
                    </w:rPr>
                    <w:t>包</w:t>
                  </w:r>
                  <w:r>
                    <w:rPr>
                      <w:rFonts w:hint="eastAsia" w:ascii="宋体" w:hAnsi="宋体" w:cs="宋体"/>
                      <w:color w:val="auto"/>
                      <w:spacing w:val="9"/>
                      <w:szCs w:val="21"/>
                      <w:highlight w:val="none"/>
                    </w:rPr>
                    <w:t>装箱需</w:t>
                  </w:r>
                  <w:r>
                    <w:rPr>
                      <w:rFonts w:hint="eastAsia" w:ascii="宋体" w:hAnsi="宋体" w:cs="宋体"/>
                      <w:color w:val="auto"/>
                      <w:spacing w:val="7"/>
                      <w:szCs w:val="21"/>
                      <w:highlight w:val="none"/>
                    </w:rPr>
                    <w:t>完</w:t>
                  </w:r>
                  <w:r>
                    <w:rPr>
                      <w:rFonts w:hint="eastAsia" w:ascii="宋体" w:hAnsi="宋体" w:cs="宋体"/>
                      <w:color w:val="auto"/>
                      <w:spacing w:val="9"/>
                      <w:szCs w:val="21"/>
                      <w:highlight w:val="none"/>
                    </w:rPr>
                    <w:t>好且</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7"/>
                      <w:szCs w:val="21"/>
                      <w:highlight w:val="none"/>
                    </w:rPr>
                    <w:t>；</w:t>
                  </w:r>
                  <w:r>
                    <w:rPr>
                      <w:rFonts w:hint="eastAsia" w:ascii="宋体" w:hAnsi="宋体" w:cs="宋体"/>
                      <w:color w:val="auto"/>
                      <w:spacing w:val="9"/>
                      <w:szCs w:val="21"/>
                      <w:highlight w:val="none"/>
                    </w:rPr>
                    <w:t>严重不</w:t>
                  </w:r>
                  <w:r>
                    <w:rPr>
                      <w:rFonts w:hint="eastAsia" w:ascii="宋体" w:hAnsi="宋体" w:cs="宋体"/>
                      <w:color w:val="auto"/>
                      <w:szCs w:val="21"/>
                      <w:highlight w:val="none"/>
                    </w:rPr>
                    <w:t>符</w:t>
                  </w:r>
                  <w:r>
                    <w:rPr>
                      <w:rFonts w:hint="eastAsia" w:ascii="宋体" w:hAnsi="宋体" w:cs="宋体"/>
                      <w:color w:val="auto"/>
                      <w:spacing w:val="9"/>
                      <w:szCs w:val="21"/>
                      <w:highlight w:val="none"/>
                    </w:rPr>
                    <w:t>合</w:t>
                  </w:r>
                  <w:r>
                    <w:rPr>
                      <w:rFonts w:hint="eastAsia" w:ascii="宋体" w:hAnsi="宋体" w:cs="宋体"/>
                      <w:color w:val="auto"/>
                      <w:spacing w:val="7"/>
                      <w:szCs w:val="21"/>
                      <w:highlight w:val="none"/>
                    </w:rPr>
                    <w:t>质</w:t>
                  </w:r>
                  <w:r>
                    <w:rPr>
                      <w:rFonts w:hint="eastAsia" w:ascii="宋体" w:hAnsi="宋体" w:cs="宋体"/>
                      <w:color w:val="auto"/>
                      <w:spacing w:val="9"/>
                      <w:szCs w:val="21"/>
                      <w:highlight w:val="none"/>
                    </w:rPr>
                    <w:t>量标准</w:t>
                  </w:r>
                  <w:r>
                    <w:rPr>
                      <w:rFonts w:hint="eastAsia" w:ascii="宋体" w:hAnsi="宋体" w:cs="宋体"/>
                      <w:color w:val="auto"/>
                      <w:spacing w:val="7"/>
                      <w:szCs w:val="21"/>
                      <w:highlight w:val="none"/>
                    </w:rPr>
                    <w:t>者</w:t>
                  </w:r>
                  <w:r>
                    <w:rPr>
                      <w:rFonts w:hint="eastAsia" w:ascii="宋体" w:hAnsi="宋体" w:cs="宋体"/>
                      <w:color w:val="auto"/>
                      <w:spacing w:val="9"/>
                      <w:szCs w:val="21"/>
                      <w:highlight w:val="none"/>
                    </w:rPr>
                    <w:t>可拒收</w:t>
                  </w:r>
                  <w:r>
                    <w:rPr>
                      <w:rFonts w:hint="eastAsia" w:ascii="宋体" w:hAnsi="宋体" w:cs="宋体"/>
                      <w:color w:val="auto"/>
                      <w:szCs w:val="21"/>
                      <w:highlight w:val="none"/>
                    </w:rPr>
                    <w:t>；</w:t>
                  </w:r>
                  <w:r>
                    <w:rPr>
                      <w:rFonts w:hint="eastAsia" w:ascii="宋体" w:hAnsi="宋体" w:cs="宋体"/>
                      <w:color w:val="auto"/>
                      <w:spacing w:val="-1"/>
                      <w:szCs w:val="21"/>
                      <w:highlight w:val="none"/>
                    </w:rPr>
                    <w:t>注</w:t>
                  </w:r>
                  <w:r>
                    <w:rPr>
                      <w:rFonts w:hint="eastAsia" w:ascii="宋体" w:hAnsi="宋体" w:cs="宋体"/>
                      <w:color w:val="auto"/>
                      <w:spacing w:val="2"/>
                      <w:szCs w:val="21"/>
                      <w:highlight w:val="none"/>
                    </w:rPr>
                    <w:t>冰</w:t>
                  </w:r>
                  <w:r>
                    <w:rPr>
                      <w:rFonts w:hint="eastAsia" w:ascii="宋体" w:hAnsi="宋体" w:cs="宋体"/>
                      <w:color w:val="auto"/>
                      <w:spacing w:val="-1"/>
                      <w:szCs w:val="21"/>
                      <w:highlight w:val="none"/>
                    </w:rPr>
                    <w:t>明</w:t>
                  </w:r>
                  <w:r>
                    <w:rPr>
                      <w:rFonts w:hint="eastAsia" w:ascii="宋体" w:hAnsi="宋体" w:cs="宋体"/>
                      <w:color w:val="auto"/>
                      <w:spacing w:val="2"/>
                      <w:szCs w:val="21"/>
                      <w:highlight w:val="none"/>
                    </w:rPr>
                    <w:t>显</w:t>
                  </w:r>
                  <w:r>
                    <w:rPr>
                      <w:rFonts w:hint="eastAsia" w:ascii="宋体" w:hAnsi="宋体" w:cs="宋体"/>
                      <w:color w:val="auto"/>
                      <w:spacing w:val="-1"/>
                      <w:szCs w:val="21"/>
                      <w:highlight w:val="none"/>
                    </w:rPr>
                    <w:t>者</w:t>
                  </w:r>
                  <w:r>
                    <w:rPr>
                      <w:rFonts w:hint="eastAsia" w:ascii="宋体" w:hAnsi="宋体" w:cs="宋体"/>
                      <w:color w:val="auto"/>
                      <w:spacing w:val="2"/>
                      <w:szCs w:val="21"/>
                      <w:highlight w:val="none"/>
                    </w:rPr>
                    <w:t>拒</w:t>
                  </w:r>
                  <w:r>
                    <w:rPr>
                      <w:rFonts w:hint="eastAsia" w:ascii="宋体" w:hAnsi="宋体" w:cs="宋体"/>
                      <w:color w:val="auto"/>
                      <w:szCs w:val="21"/>
                      <w:highlight w:val="none"/>
                    </w:rPr>
                    <w:t>收</w:t>
                  </w:r>
                </w:p>
              </w:tc>
            </w:tr>
          </w:tbl>
          <w:p w14:paraId="42E674F7">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4.新鲜果蔬类</w:t>
            </w:r>
          </w:p>
          <w:p w14:paraId="1E21FB81">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各种蔬菜都具有本品种固有的颜色，有光泽，显示蔬菜的成熟度及鲜嫩程度；多数蔬菜具有清香、甘辛香、甜酸香等气味，不应有腐败味和其他异味；多数蔬菜滋味甘淡、甜酸、清爽鲜美，少数具有辛酸、苦涩的特殊味道；多数蔬菜具有新鲜的状态，如蔫萎、干枯、损伤、变色、病变、虫害侵蚀等，则为异常形态，还有的蔬菜人为地使用了激素物质会长成畸形。</w:t>
            </w:r>
          </w:p>
          <w:p w14:paraId="18BA3A30">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（1）根茎类：茎部不老化，个体均匀，外表圆滑，未发芽、变色。不良品质：叶子发黄、变软、</w:t>
            </w:r>
          </w:p>
          <w:p w14:paraId="3B57115D">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（2）叶菜类：色泽鲜亮，切口不变色，叶片挺而不干枯、不发黄；质地脆嫩、坚挺。球形叶菜坚实、无老帮。不良品质：叶黄、水伤腐烂、有泥土、有虫及虫眼。</w:t>
            </w:r>
          </w:p>
          <w:p w14:paraId="1641F308">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（3）花果类：允许果形有轻微缺点，但不得变形、过熟。不良品质：变色、变软、擦伤、枯萎。</w:t>
            </w:r>
          </w:p>
          <w:p w14:paraId="7B153000">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5.副食品、蛋类</w:t>
            </w:r>
          </w:p>
          <w:p w14:paraId="76DF75BE">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（1）面粉、面包粉、糯米粉、粘米粉、澄面、玉米面、全麦面、生粉：白色粉状、无霉变和结块、气味正常、无异味和异嗅。</w:t>
            </w:r>
          </w:p>
          <w:p w14:paraId="75B50310">
            <w:pPr>
              <w:spacing w:line="44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（2）鸡蛋：正常鲜蛋的蛋壳应清洁完整，无裂纹，灯光透视呈微红色，气室小，看不见蛋黄或略见阴影于中心。打开后蛋黄膜不破裂、凸起、完整并带有韧性，蛋黄蛋白分明，颜色鲜艳。</w:t>
            </w:r>
          </w:p>
          <w:p w14:paraId="05678576">
            <w:pPr>
              <w:spacing w:line="440" w:lineRule="exact"/>
              <w:ind w:firstLine="420"/>
              <w:jc w:val="left"/>
              <w:rPr>
                <w:color w:val="auto"/>
                <w:szCs w:val="21"/>
                <w:highlight w:val="none"/>
              </w:rPr>
            </w:pPr>
            <w:r>
              <w:rPr>
                <w:rFonts w:hint="eastAsia" w:ascii="宋体" w:hAnsi="宋体" w:cs="宋体"/>
                <w:color w:val="auto"/>
                <w:szCs w:val="21"/>
                <w:highlight w:val="none"/>
              </w:rPr>
              <w:t>6.粮油类（大米、粉、面、食用油、调味品）、饮品类（纯牛奶、矿泉水、纯净水）、面包类（全麦面包、馒头、糕点等）、肉质加工类（腊肉、腊肠等）、其他类（香菇、木耳、蘑菇、红枣等）在正常保质期内。</w:t>
            </w:r>
          </w:p>
        </w:tc>
      </w:tr>
      <w:tr w14:paraId="58182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534" w:type="dxa"/>
            <w:gridSpan w:val="5"/>
            <w:tcBorders>
              <w:top w:val="single" w:color="auto" w:sz="4" w:space="0"/>
              <w:left w:val="single" w:color="auto" w:sz="4" w:space="0"/>
              <w:bottom w:val="single" w:color="auto" w:sz="4" w:space="0"/>
              <w:right w:val="single" w:color="auto" w:sz="4" w:space="0"/>
            </w:tcBorders>
            <w:vAlign w:val="center"/>
          </w:tcPr>
          <w:p w14:paraId="5DB7EDAF">
            <w:pPr>
              <w:spacing w:line="440" w:lineRule="exact"/>
              <w:rPr>
                <w:rFonts w:ascii="宋体" w:hAnsi="宋体" w:cs="宋体"/>
                <w:color w:val="auto"/>
                <w:szCs w:val="21"/>
                <w:highlight w:val="none"/>
              </w:rPr>
            </w:pPr>
            <w:r>
              <w:rPr>
                <w:rFonts w:hint="eastAsia" w:ascii="宋体" w:hAnsi="宋体" w:cs="宋体"/>
                <w:b/>
                <w:bCs/>
                <w:color w:val="auto"/>
                <w:szCs w:val="21"/>
                <w:highlight w:val="none"/>
              </w:rPr>
              <w:t>二、其他</w:t>
            </w:r>
          </w:p>
        </w:tc>
      </w:tr>
      <w:tr w14:paraId="48D14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788B2447">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技术方案</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66E7E31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供应商可根据自身情况编制技术方案，内容可包括但不限于以下内容：</w:t>
            </w:r>
          </w:p>
          <w:p w14:paraId="68FEF79D">
            <w:pPr>
              <w:spacing w:line="360" w:lineRule="auto"/>
              <w:ind w:firstLine="422"/>
              <w:rPr>
                <w:rFonts w:ascii="宋体" w:hAnsi="宋体" w:cs="宋体"/>
                <w:color w:val="auto"/>
                <w:szCs w:val="21"/>
                <w:highlight w:val="none"/>
                <w:lang w:bidi="ar"/>
              </w:rPr>
            </w:pPr>
            <w:r>
              <w:rPr>
                <w:rFonts w:hint="eastAsia" w:ascii="宋体" w:hAnsi="宋体" w:cs="宋体"/>
                <w:b/>
                <w:bCs/>
                <w:color w:val="auto"/>
                <w:szCs w:val="21"/>
                <w:highlight w:val="none"/>
              </w:rPr>
              <w:t>1.食材安全措施:</w:t>
            </w:r>
            <w:r>
              <w:rPr>
                <w:rFonts w:hint="eastAsia" w:ascii="宋体" w:hAnsi="宋体" w:cs="宋体"/>
                <w:color w:val="auto"/>
                <w:szCs w:val="21"/>
                <w:highlight w:val="none"/>
                <w:lang w:bidi="ar"/>
              </w:rPr>
              <w:t>结合本项目采购需求及评审方法及供应商自身情况，提供</w:t>
            </w:r>
            <w:r>
              <w:rPr>
                <w:rFonts w:hint="eastAsia" w:hAnsi="宋体" w:cs="微软雅黑"/>
                <w:bCs/>
                <w:color w:val="auto"/>
                <w:szCs w:val="21"/>
                <w:highlight w:val="none"/>
              </w:rPr>
              <w:t>对本项目</w:t>
            </w:r>
            <w:r>
              <w:rPr>
                <w:rFonts w:hint="eastAsia" w:ascii="宋体" w:hAnsi="宋体"/>
                <w:color w:val="auto"/>
                <w:szCs w:val="21"/>
                <w:highlight w:val="none"/>
              </w:rPr>
              <w:t>的</w:t>
            </w:r>
            <w:r>
              <w:rPr>
                <w:rFonts w:hint="eastAsia" w:ascii="宋体" w:hAnsi="宋体" w:cs="宋体"/>
                <w:color w:val="auto"/>
                <w:szCs w:val="21"/>
                <w:highlight w:val="none"/>
              </w:rPr>
              <w:t>食材</w:t>
            </w:r>
            <w:r>
              <w:rPr>
                <w:rFonts w:hint="eastAsia" w:ascii="宋体" w:hAnsi="宋体"/>
                <w:bCs/>
                <w:color w:val="auto"/>
                <w:szCs w:val="21"/>
                <w:highlight w:val="none"/>
              </w:rPr>
              <w:t>进货采购渠道、食材控制管理措施、食材质量标准、追溯方式等内容</w:t>
            </w:r>
            <w:r>
              <w:rPr>
                <w:rFonts w:hint="eastAsia" w:ascii="宋体" w:hAnsi="宋体" w:cs="宋体"/>
                <w:color w:val="auto"/>
                <w:szCs w:val="21"/>
                <w:highlight w:val="none"/>
              </w:rPr>
              <w:t>；</w:t>
            </w:r>
          </w:p>
          <w:p w14:paraId="186E2638">
            <w:pPr>
              <w:spacing w:line="360" w:lineRule="auto"/>
              <w:ind w:firstLine="422"/>
              <w:rPr>
                <w:rFonts w:ascii="宋体" w:hAnsi="宋体" w:cs="宋体"/>
                <w:color w:val="auto"/>
                <w:szCs w:val="21"/>
                <w:highlight w:val="none"/>
                <w:lang w:bidi="ar"/>
              </w:rPr>
            </w:pPr>
            <w:r>
              <w:rPr>
                <w:rFonts w:hint="eastAsia" w:ascii="宋体" w:hAnsi="宋体" w:cs="宋体"/>
                <w:b/>
                <w:bCs/>
                <w:color w:val="auto"/>
                <w:szCs w:val="21"/>
                <w:highlight w:val="none"/>
              </w:rPr>
              <w:t>2.内部管理措施</w:t>
            </w:r>
            <w:r>
              <w:rPr>
                <w:rFonts w:hint="eastAsia" w:ascii="宋体" w:hAnsi="宋体" w:cs="宋体"/>
                <w:color w:val="auto"/>
                <w:szCs w:val="21"/>
                <w:highlight w:val="none"/>
                <w:lang w:bidi="ar"/>
              </w:rPr>
              <w:t>：结合本项目采购需求及评审方法及供应商自身情况，提供</w:t>
            </w:r>
            <w:r>
              <w:rPr>
                <w:rFonts w:hint="eastAsia" w:hAnsi="宋体" w:cs="微软雅黑"/>
                <w:bCs/>
                <w:color w:val="auto"/>
                <w:szCs w:val="21"/>
                <w:highlight w:val="none"/>
              </w:rPr>
              <w:t>对本项目的</w:t>
            </w:r>
            <w:r>
              <w:rPr>
                <w:rFonts w:hint="eastAsia" w:hAnsi="宋体" w:cs="宋体"/>
                <w:color w:val="auto"/>
                <w:highlight w:val="none"/>
              </w:rPr>
              <w:t>食品质量检验制度、食品准入台账登记制度、卫生知识培训制度、食品留样管理制度、从业人员健康制度、采购管理、仓储管理、配送管理、应急管理、消费投诉处理等制度等</w:t>
            </w:r>
            <w:r>
              <w:rPr>
                <w:rFonts w:hint="eastAsia" w:ascii="宋体" w:hAnsi="宋体"/>
                <w:bCs/>
                <w:color w:val="auto"/>
                <w:szCs w:val="21"/>
                <w:highlight w:val="none"/>
              </w:rPr>
              <w:t>；</w:t>
            </w:r>
          </w:p>
          <w:p w14:paraId="7E8115A6">
            <w:pPr>
              <w:spacing w:line="360" w:lineRule="auto"/>
              <w:ind w:firstLine="420"/>
              <w:rPr>
                <w:rFonts w:ascii="宋体" w:hAnsi="宋体"/>
                <w:bCs/>
                <w:color w:val="auto"/>
                <w:szCs w:val="21"/>
                <w:highlight w:val="none"/>
              </w:rPr>
            </w:pPr>
            <w:r>
              <w:rPr>
                <w:rFonts w:hint="eastAsia" w:ascii="宋体" w:hAnsi="宋体" w:cs="宋体"/>
                <w:b/>
                <w:bCs/>
                <w:color w:val="auto"/>
                <w:szCs w:val="21"/>
                <w:highlight w:val="none"/>
              </w:rPr>
              <w:t>3.应急预案：</w:t>
            </w:r>
            <w:r>
              <w:rPr>
                <w:rFonts w:hint="eastAsia" w:ascii="宋体" w:hAnsi="宋体" w:cs="宋体"/>
                <w:color w:val="auto"/>
                <w:szCs w:val="21"/>
                <w:highlight w:val="none"/>
                <w:lang w:bidi="ar"/>
              </w:rPr>
              <w:t>结合本项目采购需求及评审方法及供应商自身情况，提供</w:t>
            </w:r>
            <w:r>
              <w:rPr>
                <w:rFonts w:hint="eastAsia" w:ascii="宋体" w:hAnsi="宋体"/>
                <w:bCs/>
                <w:color w:val="auto"/>
                <w:szCs w:val="21"/>
                <w:highlight w:val="none"/>
              </w:rPr>
              <w:t>组织机构、人员配备、基本措施、处置流程等情况进行综合评分；</w:t>
            </w:r>
          </w:p>
          <w:p w14:paraId="0FF627FC">
            <w:pPr>
              <w:spacing w:line="360" w:lineRule="auto"/>
              <w:ind w:firstLine="420"/>
              <w:rPr>
                <w:rFonts w:ascii="宋体" w:hAnsi="宋体"/>
                <w:bCs/>
                <w:color w:val="auto"/>
                <w:szCs w:val="21"/>
                <w:highlight w:val="none"/>
              </w:rPr>
            </w:pPr>
            <w:r>
              <w:rPr>
                <w:rFonts w:hint="eastAsia" w:hAnsi="宋体" w:cs="宋体"/>
                <w:b/>
                <w:bCs/>
                <w:color w:val="auto"/>
                <w:highlight w:val="none"/>
              </w:rPr>
              <w:t>4.配送服务方案</w:t>
            </w:r>
            <w:r>
              <w:rPr>
                <w:rFonts w:hint="eastAsia" w:hAnsi="宋体" w:cs="宋体"/>
                <w:color w:val="auto"/>
                <w:highlight w:val="none"/>
              </w:rPr>
              <w:t>：</w:t>
            </w:r>
            <w:r>
              <w:rPr>
                <w:rFonts w:hint="eastAsia" w:ascii="宋体" w:hAnsi="宋体" w:cs="宋体"/>
                <w:color w:val="auto"/>
                <w:szCs w:val="21"/>
                <w:highlight w:val="none"/>
                <w:lang w:bidi="ar"/>
              </w:rPr>
              <w:t>结合本项目采购需求及评审方法及供应商自身情况，</w:t>
            </w:r>
            <w:r>
              <w:rPr>
                <w:rFonts w:hint="eastAsia" w:ascii="宋体" w:hAnsi="宋体"/>
                <w:bCs/>
                <w:color w:val="auto"/>
                <w:szCs w:val="21"/>
                <w:highlight w:val="none"/>
              </w:rPr>
              <w:t>对配送服务要求的响应程度及提供的配送服务方案、售后服务措施（包括：承诺如何确保按期、按质、按量供货；出现问题时如何采取相应的措施；如何保障后期服务）等情况。</w:t>
            </w:r>
          </w:p>
        </w:tc>
      </w:tr>
      <w:tr w14:paraId="10C17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88" w:type="dxa"/>
            <w:gridSpan w:val="3"/>
            <w:tcBorders>
              <w:top w:val="single" w:color="auto" w:sz="4" w:space="0"/>
              <w:left w:val="single" w:color="auto" w:sz="4" w:space="0"/>
              <w:bottom w:val="single" w:color="auto" w:sz="4" w:space="0"/>
              <w:right w:val="single" w:color="auto" w:sz="4" w:space="0"/>
            </w:tcBorders>
            <w:vAlign w:val="center"/>
          </w:tcPr>
          <w:p w14:paraId="3FFA50D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核心产品说明</w:t>
            </w:r>
          </w:p>
        </w:tc>
        <w:tc>
          <w:tcPr>
            <w:tcW w:w="9046" w:type="dxa"/>
            <w:gridSpan w:val="2"/>
            <w:tcBorders>
              <w:top w:val="single" w:color="auto" w:sz="4" w:space="0"/>
              <w:left w:val="single" w:color="auto" w:sz="4" w:space="0"/>
              <w:bottom w:val="single" w:color="auto" w:sz="4" w:space="0"/>
              <w:right w:val="single" w:color="auto" w:sz="4" w:space="0"/>
            </w:tcBorders>
            <w:vAlign w:val="center"/>
          </w:tcPr>
          <w:p w14:paraId="00FC00D5">
            <w:pPr>
              <w:spacing w:line="440" w:lineRule="exact"/>
              <w:ind w:firstLine="420"/>
              <w:rPr>
                <w:rFonts w:ascii="宋体" w:hAnsi="宋体" w:cs="宋体"/>
                <w:color w:val="auto"/>
                <w:szCs w:val="21"/>
                <w:highlight w:val="none"/>
              </w:rPr>
            </w:pPr>
            <w:r>
              <w:rPr>
                <w:rFonts w:hint="eastAsia" w:ascii="宋体" w:hAnsi="宋体" w:cs="宋体"/>
                <w:color w:val="auto"/>
                <w:szCs w:val="21"/>
                <w:highlight w:val="none"/>
              </w:rPr>
              <w:t>本项目为服务类项目，无核心产品。</w:t>
            </w:r>
          </w:p>
        </w:tc>
      </w:tr>
    </w:tbl>
    <w:p w14:paraId="51524B69">
      <w:pPr>
        <w:rPr>
          <w:rFonts w:ascii="宋体" w:hAnsi="宋体" w:cs="Arial"/>
          <w:bCs/>
          <w:color w:val="auto"/>
          <w:szCs w:val="21"/>
          <w:highlight w:val="none"/>
          <w:u w:val="single"/>
        </w:rPr>
        <w:sectPr>
          <w:pgSz w:w="16838" w:h="11911" w:orient="landscape"/>
          <w:pgMar w:top="1678" w:right="1519" w:bottom="1502" w:left="278" w:header="720" w:footer="720" w:gutter="0"/>
          <w:cols w:space="0" w:num="1"/>
          <w:titlePg/>
        </w:sectPr>
      </w:pPr>
      <w:r>
        <w:rPr>
          <w:rFonts w:hint="eastAsia" w:ascii="宋体" w:hAnsi="宋体" w:cs="Arial"/>
          <w:bCs/>
          <w:color w:val="auto"/>
          <w:szCs w:val="21"/>
          <w:highlight w:val="none"/>
          <w:u w:val="single"/>
        </w:rPr>
        <w:br w:type="page" w:clear="all"/>
      </w:r>
    </w:p>
    <w:p w14:paraId="06E017CC">
      <w:pPr>
        <w:rPr>
          <w:rFonts w:ascii="宋体" w:hAnsi="宋体" w:cs="Arial"/>
          <w:bCs/>
          <w:color w:val="auto"/>
          <w:szCs w:val="21"/>
          <w:highlight w:val="none"/>
          <w:u w:val="single"/>
        </w:rPr>
      </w:pPr>
    </w:p>
    <w:p w14:paraId="16FCE17C">
      <w:pPr>
        <w:widowControl/>
        <w:spacing w:line="360" w:lineRule="auto"/>
        <w:rPr>
          <w:rFonts w:ascii="黑体" w:hAnsi="黑体" w:eastAsia="黑体" w:cs="黑体"/>
          <w:color w:val="auto"/>
          <w:spacing w:val="-5"/>
          <w:sz w:val="32"/>
          <w:szCs w:val="32"/>
          <w:highlight w:val="none"/>
        </w:rPr>
      </w:pPr>
      <w:r>
        <w:rPr>
          <w:rFonts w:hint="eastAsia" w:ascii="黑体" w:hAnsi="黑体" w:eastAsia="黑体" w:cs="黑体"/>
          <w:b/>
          <w:bCs/>
          <w:color w:val="auto"/>
          <w:spacing w:val="-3"/>
          <w:sz w:val="32"/>
          <w:szCs w:val="32"/>
          <w:highlight w:val="none"/>
        </w:rPr>
        <w:t>附件1</w:t>
      </w:r>
      <w:r>
        <w:rPr>
          <w:rFonts w:hint="eastAsia" w:ascii="黑体" w:hAnsi="黑体" w:eastAsia="黑体" w:cs="黑体"/>
          <w:color w:val="auto"/>
          <w:spacing w:val="-3"/>
          <w:sz w:val="32"/>
          <w:szCs w:val="32"/>
          <w:highlight w:val="none"/>
        </w:rPr>
        <w:t>：</w:t>
      </w:r>
      <w:r>
        <w:rPr>
          <w:rFonts w:hint="eastAsia" w:ascii="黑体" w:hAnsi="黑体" w:eastAsia="黑体" w:cs="黑体"/>
          <w:b/>
          <w:bCs/>
          <w:color w:val="auto"/>
          <w:sz w:val="32"/>
          <w:szCs w:val="32"/>
          <w:highlight w:val="none"/>
          <w:lang w:bidi="ar"/>
        </w:rPr>
        <w:t>供应商考核细则表</w:t>
      </w:r>
    </w:p>
    <w:tbl>
      <w:tblPr>
        <w:tblStyle w:val="279"/>
        <w:tblpPr w:leftFromText="180" w:rightFromText="180" w:vertAnchor="text" w:horzAnchor="page" w:tblpX="1301" w:tblpY="220"/>
        <w:tblOverlap w:val="never"/>
        <w:tblW w:w="957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7"/>
        <w:gridCol w:w="679"/>
        <w:gridCol w:w="5250"/>
        <w:gridCol w:w="2377"/>
      </w:tblGrid>
      <w:tr w14:paraId="26582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67" w:type="dxa"/>
          </w:tcPr>
          <w:p w14:paraId="7E631986">
            <w:pPr>
              <w:pStyle w:val="317"/>
              <w:spacing w:before="36" w:line="360" w:lineRule="auto"/>
              <w:ind w:left="431"/>
              <w:rPr>
                <w:rFonts w:eastAsia="Times New Roman"/>
                <w:color w:val="auto"/>
                <w:sz w:val="21"/>
                <w:szCs w:val="21"/>
                <w:highlight w:val="none"/>
              </w:rPr>
            </w:pPr>
            <w:r>
              <w:rPr>
                <w:rFonts w:hint="eastAsia" w:eastAsia="Times New Roman"/>
                <w:color w:val="auto"/>
                <w:spacing w:val="-3"/>
                <w:sz w:val="21"/>
                <w:szCs w:val="21"/>
                <w:highlight w:val="none"/>
              </w:rPr>
              <w:t>项类</w:t>
            </w:r>
          </w:p>
        </w:tc>
        <w:tc>
          <w:tcPr>
            <w:tcW w:w="679" w:type="dxa"/>
          </w:tcPr>
          <w:p w14:paraId="3AD734D2">
            <w:pPr>
              <w:pStyle w:val="317"/>
              <w:spacing w:before="36" w:line="360" w:lineRule="auto"/>
              <w:ind w:left="242"/>
              <w:jc w:val="left"/>
              <w:rPr>
                <w:rFonts w:eastAsia="Times New Roman"/>
                <w:color w:val="auto"/>
                <w:sz w:val="21"/>
                <w:szCs w:val="21"/>
                <w:highlight w:val="none"/>
              </w:rPr>
            </w:pPr>
            <w:r>
              <w:rPr>
                <w:rFonts w:hint="eastAsia" w:eastAsia="Times New Roman"/>
                <w:color w:val="auto"/>
                <w:spacing w:val="-2"/>
                <w:sz w:val="21"/>
                <w:szCs w:val="21"/>
                <w:highlight w:val="none"/>
              </w:rPr>
              <w:t>序号</w:t>
            </w:r>
          </w:p>
        </w:tc>
        <w:tc>
          <w:tcPr>
            <w:tcW w:w="5250" w:type="dxa"/>
          </w:tcPr>
          <w:p w14:paraId="6D1241F7">
            <w:pPr>
              <w:pStyle w:val="317"/>
              <w:spacing w:before="36" w:line="360" w:lineRule="auto"/>
              <w:ind w:left="559"/>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考核细则（以</w:t>
            </w:r>
            <w:r>
              <w:rPr>
                <w:rFonts w:hint="eastAsia" w:eastAsia="Times New Roman"/>
                <w:color w:val="auto"/>
                <w:spacing w:val="-24"/>
                <w:sz w:val="21"/>
                <w:szCs w:val="21"/>
                <w:highlight w:val="none"/>
                <w:lang w:eastAsia="zh-CN"/>
              </w:rPr>
              <w:t xml:space="preserve"> </w:t>
            </w:r>
            <w:r>
              <w:rPr>
                <w:rFonts w:hint="eastAsia" w:eastAsia="Times New Roman"/>
                <w:color w:val="auto"/>
                <w:spacing w:val="-2"/>
                <w:sz w:val="21"/>
                <w:szCs w:val="21"/>
                <w:highlight w:val="none"/>
                <w:lang w:eastAsia="zh-CN"/>
              </w:rPr>
              <w:t>100分为基准，扣完为止）</w:t>
            </w:r>
          </w:p>
        </w:tc>
        <w:tc>
          <w:tcPr>
            <w:tcW w:w="2377" w:type="dxa"/>
          </w:tcPr>
          <w:p w14:paraId="70798D39">
            <w:pPr>
              <w:pStyle w:val="317"/>
              <w:spacing w:before="36" w:line="360" w:lineRule="auto"/>
              <w:ind w:left="1262"/>
              <w:rPr>
                <w:rFonts w:eastAsia="Times New Roman"/>
                <w:color w:val="auto"/>
                <w:sz w:val="21"/>
                <w:szCs w:val="21"/>
                <w:highlight w:val="none"/>
              </w:rPr>
            </w:pPr>
            <w:r>
              <w:rPr>
                <w:rFonts w:hint="eastAsia" w:eastAsia="Times New Roman"/>
                <w:color w:val="auto"/>
                <w:spacing w:val="-3"/>
                <w:sz w:val="21"/>
                <w:szCs w:val="21"/>
                <w:highlight w:val="none"/>
              </w:rPr>
              <w:t>备注</w:t>
            </w:r>
          </w:p>
        </w:tc>
      </w:tr>
      <w:tr w14:paraId="2F110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67" w:type="dxa"/>
          </w:tcPr>
          <w:p w14:paraId="641E925B">
            <w:pPr>
              <w:pStyle w:val="317"/>
              <w:spacing w:before="29" w:line="360" w:lineRule="auto"/>
              <w:ind w:left="116"/>
              <w:rPr>
                <w:rFonts w:eastAsia="Times New Roman"/>
                <w:color w:val="auto"/>
                <w:sz w:val="21"/>
                <w:szCs w:val="21"/>
                <w:highlight w:val="none"/>
              </w:rPr>
            </w:pPr>
            <w:r>
              <w:rPr>
                <w:rFonts w:hint="eastAsia" w:eastAsia="Times New Roman"/>
                <w:color w:val="auto"/>
                <w:spacing w:val="-2"/>
                <w:sz w:val="21"/>
                <w:szCs w:val="21"/>
                <w:highlight w:val="none"/>
              </w:rPr>
              <w:t>服务态度</w:t>
            </w:r>
          </w:p>
        </w:tc>
        <w:tc>
          <w:tcPr>
            <w:tcW w:w="679" w:type="dxa"/>
          </w:tcPr>
          <w:p w14:paraId="03E192D1">
            <w:pPr>
              <w:spacing w:before="53" w:line="360" w:lineRule="auto"/>
              <w:ind w:left="416"/>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1</w:t>
            </w:r>
          </w:p>
        </w:tc>
        <w:tc>
          <w:tcPr>
            <w:tcW w:w="5250" w:type="dxa"/>
          </w:tcPr>
          <w:p w14:paraId="7FCA19AA">
            <w:pPr>
              <w:pStyle w:val="317"/>
              <w:spacing w:before="29" w:line="360" w:lineRule="auto"/>
              <w:ind w:left="110"/>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服务态度差，服务不到位，受到学校食堂工作人员投诉，</w:t>
            </w:r>
            <w:r>
              <w:rPr>
                <w:rFonts w:hint="eastAsia" w:eastAsia="Times New Roman"/>
                <w:color w:val="auto"/>
                <w:spacing w:val="2"/>
                <w:sz w:val="21"/>
                <w:szCs w:val="21"/>
                <w:highlight w:val="none"/>
                <w:lang w:eastAsia="zh-CN"/>
              </w:rPr>
              <w:t>情况属实的</w:t>
            </w:r>
            <w:r>
              <w:rPr>
                <w:rFonts w:hint="eastAsia" w:eastAsia="Times New Roman"/>
                <w:color w:val="auto"/>
                <w:spacing w:val="-2"/>
                <w:sz w:val="21"/>
                <w:szCs w:val="21"/>
                <w:highlight w:val="none"/>
                <w:lang w:eastAsia="zh-CN"/>
              </w:rPr>
              <w:t>每次扣</w:t>
            </w:r>
            <w:r>
              <w:rPr>
                <w:rFonts w:hint="eastAsia" w:eastAsia="Times New Roman"/>
                <w:color w:val="auto"/>
                <w:spacing w:val="-26"/>
                <w:sz w:val="21"/>
                <w:szCs w:val="21"/>
                <w:highlight w:val="none"/>
                <w:lang w:eastAsia="zh-CN"/>
              </w:rPr>
              <w:t>5</w:t>
            </w:r>
            <w:r>
              <w:rPr>
                <w:rFonts w:hint="eastAsia" w:eastAsia="Times New Roman"/>
                <w:color w:val="auto"/>
                <w:spacing w:val="-2"/>
                <w:sz w:val="21"/>
                <w:szCs w:val="21"/>
                <w:highlight w:val="none"/>
                <w:lang w:eastAsia="zh-CN"/>
              </w:rPr>
              <w:t>分。</w:t>
            </w:r>
          </w:p>
        </w:tc>
        <w:tc>
          <w:tcPr>
            <w:tcW w:w="2377" w:type="dxa"/>
          </w:tcPr>
          <w:p w14:paraId="07478260">
            <w:pPr>
              <w:spacing w:line="360" w:lineRule="auto"/>
              <w:rPr>
                <w:rFonts w:ascii="宋体" w:hAnsi="宋体" w:eastAsia="Times New Roman" w:cs="宋体"/>
                <w:color w:val="auto"/>
                <w:szCs w:val="21"/>
                <w:highlight w:val="none"/>
                <w:lang w:eastAsia="en-US"/>
              </w:rPr>
            </w:pPr>
          </w:p>
        </w:tc>
      </w:tr>
      <w:tr w14:paraId="3E928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tcPr>
          <w:p w14:paraId="7AE6CC42">
            <w:pPr>
              <w:pStyle w:val="317"/>
              <w:spacing w:before="166" w:line="360" w:lineRule="auto"/>
              <w:ind w:left="114"/>
              <w:rPr>
                <w:rFonts w:eastAsia="Times New Roman"/>
                <w:color w:val="auto"/>
                <w:sz w:val="21"/>
                <w:szCs w:val="21"/>
                <w:highlight w:val="none"/>
              </w:rPr>
            </w:pPr>
            <w:r>
              <w:rPr>
                <w:rFonts w:hint="eastAsia" w:eastAsia="Times New Roman"/>
                <w:color w:val="auto"/>
                <w:spacing w:val="-1"/>
                <w:sz w:val="21"/>
                <w:szCs w:val="21"/>
                <w:highlight w:val="none"/>
              </w:rPr>
              <w:t>报价要求</w:t>
            </w:r>
          </w:p>
        </w:tc>
        <w:tc>
          <w:tcPr>
            <w:tcW w:w="679" w:type="dxa"/>
          </w:tcPr>
          <w:p w14:paraId="0336FE3C">
            <w:pPr>
              <w:spacing w:before="51" w:line="360" w:lineRule="auto"/>
              <w:ind w:left="396"/>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2</w:t>
            </w:r>
          </w:p>
        </w:tc>
        <w:tc>
          <w:tcPr>
            <w:tcW w:w="5250" w:type="dxa"/>
          </w:tcPr>
          <w:p w14:paraId="6FC3F9D1">
            <w:pPr>
              <w:pStyle w:val="317"/>
              <w:spacing w:before="29" w:line="360" w:lineRule="auto"/>
              <w:ind w:left="113" w:right="101" w:firstLine="31"/>
              <w:rPr>
                <w:rFonts w:eastAsia="Times New Roman"/>
                <w:color w:val="auto"/>
                <w:sz w:val="21"/>
                <w:szCs w:val="21"/>
                <w:highlight w:val="none"/>
                <w:lang w:eastAsia="zh-CN"/>
              </w:rPr>
            </w:pPr>
            <w:r>
              <w:rPr>
                <w:rFonts w:hint="eastAsia" w:eastAsia="Times New Roman"/>
                <w:color w:val="auto"/>
                <w:spacing w:val="-3"/>
                <w:sz w:val="21"/>
                <w:szCs w:val="21"/>
                <w:highlight w:val="none"/>
                <w:lang w:eastAsia="zh-CN"/>
              </w:rPr>
              <w:t>擅自更改经采购人确认的基准价的，每次</w:t>
            </w:r>
            <w:r>
              <w:rPr>
                <w:rFonts w:hint="eastAsia" w:eastAsia="Times New Roman"/>
                <w:color w:val="auto"/>
                <w:spacing w:val="-11"/>
                <w:sz w:val="21"/>
                <w:szCs w:val="21"/>
                <w:highlight w:val="none"/>
                <w:lang w:eastAsia="zh-CN"/>
              </w:rPr>
              <w:t>扣</w:t>
            </w:r>
            <w:r>
              <w:rPr>
                <w:rFonts w:hint="eastAsia" w:eastAsia="Times New Roman"/>
                <w:color w:val="auto"/>
                <w:spacing w:val="-41"/>
                <w:sz w:val="21"/>
                <w:szCs w:val="21"/>
                <w:highlight w:val="none"/>
                <w:lang w:eastAsia="zh-CN"/>
              </w:rPr>
              <w:t xml:space="preserve"> </w:t>
            </w:r>
            <w:r>
              <w:rPr>
                <w:rFonts w:hint="eastAsia" w:eastAsia="Times New Roman"/>
                <w:color w:val="auto"/>
                <w:spacing w:val="-11"/>
                <w:sz w:val="21"/>
                <w:szCs w:val="21"/>
                <w:highlight w:val="none"/>
                <w:lang w:eastAsia="zh-CN"/>
              </w:rPr>
              <w:t>5分。</w:t>
            </w:r>
          </w:p>
        </w:tc>
        <w:tc>
          <w:tcPr>
            <w:tcW w:w="2377" w:type="dxa"/>
          </w:tcPr>
          <w:p w14:paraId="4C53C5B5">
            <w:pPr>
              <w:pStyle w:val="317"/>
              <w:spacing w:before="30" w:line="360" w:lineRule="auto"/>
              <w:ind w:left="116"/>
              <w:rPr>
                <w:rFonts w:eastAsia="Times New Roman"/>
                <w:color w:val="auto"/>
                <w:sz w:val="21"/>
                <w:szCs w:val="21"/>
                <w:highlight w:val="none"/>
                <w:lang w:eastAsia="zh-CN"/>
              </w:rPr>
            </w:pPr>
          </w:p>
        </w:tc>
      </w:tr>
      <w:tr w14:paraId="3D19C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restart"/>
            <w:tcBorders>
              <w:bottom w:val="nil"/>
            </w:tcBorders>
            <w:vAlign w:val="center"/>
          </w:tcPr>
          <w:p w14:paraId="2879BF08">
            <w:pPr>
              <w:pStyle w:val="317"/>
              <w:spacing w:before="68" w:line="360" w:lineRule="auto"/>
              <w:ind w:left="116"/>
              <w:jc w:val="center"/>
              <w:rPr>
                <w:rFonts w:eastAsia="Times New Roman"/>
                <w:color w:val="auto"/>
                <w:sz w:val="21"/>
                <w:szCs w:val="21"/>
                <w:highlight w:val="none"/>
              </w:rPr>
            </w:pPr>
            <w:r>
              <w:rPr>
                <w:rFonts w:hint="eastAsia" w:eastAsia="Times New Roman"/>
                <w:color w:val="auto"/>
                <w:spacing w:val="-2"/>
                <w:sz w:val="21"/>
                <w:szCs w:val="21"/>
                <w:highlight w:val="none"/>
              </w:rPr>
              <w:t>配送要求</w:t>
            </w:r>
          </w:p>
        </w:tc>
        <w:tc>
          <w:tcPr>
            <w:tcW w:w="679" w:type="dxa"/>
          </w:tcPr>
          <w:p w14:paraId="61A259B7">
            <w:pPr>
              <w:spacing w:before="54" w:line="360" w:lineRule="auto"/>
              <w:ind w:left="400"/>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3</w:t>
            </w:r>
          </w:p>
        </w:tc>
        <w:tc>
          <w:tcPr>
            <w:tcW w:w="5250" w:type="dxa"/>
          </w:tcPr>
          <w:p w14:paraId="2C58AA15">
            <w:pPr>
              <w:pStyle w:val="317"/>
              <w:spacing w:before="29" w:line="360" w:lineRule="auto"/>
              <w:ind w:left="115" w:right="105" w:hanging="5"/>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配送车辆、实际运输不符合投标响应及合同约</w:t>
            </w:r>
            <w:r>
              <w:rPr>
                <w:rFonts w:hint="eastAsia" w:eastAsia="Times New Roman"/>
                <w:color w:val="auto"/>
                <w:spacing w:val="-3"/>
                <w:sz w:val="21"/>
                <w:szCs w:val="21"/>
                <w:highlight w:val="none"/>
                <w:lang w:eastAsia="zh-CN"/>
              </w:rPr>
              <w:t>定的，每次扣</w:t>
            </w:r>
            <w:r>
              <w:rPr>
                <w:rFonts w:hint="eastAsia" w:eastAsia="Times New Roman"/>
                <w:color w:val="auto"/>
                <w:spacing w:val="-45"/>
                <w:sz w:val="21"/>
                <w:szCs w:val="21"/>
                <w:highlight w:val="none"/>
                <w:lang w:eastAsia="zh-CN"/>
              </w:rPr>
              <w:t xml:space="preserve"> </w:t>
            </w:r>
            <w:r>
              <w:rPr>
                <w:rFonts w:hint="eastAsia" w:eastAsia="Times New Roman"/>
                <w:color w:val="auto"/>
                <w:spacing w:val="-3"/>
                <w:sz w:val="21"/>
                <w:szCs w:val="21"/>
                <w:highlight w:val="none"/>
                <w:lang w:eastAsia="zh-CN"/>
              </w:rPr>
              <w:t>2分。</w:t>
            </w:r>
          </w:p>
        </w:tc>
        <w:tc>
          <w:tcPr>
            <w:tcW w:w="2377" w:type="dxa"/>
          </w:tcPr>
          <w:p w14:paraId="6081B0FB">
            <w:pPr>
              <w:spacing w:line="360" w:lineRule="auto"/>
              <w:rPr>
                <w:rFonts w:ascii="宋体" w:hAnsi="宋体" w:eastAsia="Times New Roman" w:cs="宋体"/>
                <w:color w:val="auto"/>
                <w:szCs w:val="21"/>
                <w:highlight w:val="none"/>
                <w:lang w:eastAsia="en-US"/>
              </w:rPr>
            </w:pPr>
          </w:p>
        </w:tc>
      </w:tr>
      <w:tr w14:paraId="79AF6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nil"/>
              <w:bottom w:val="nil"/>
            </w:tcBorders>
          </w:tcPr>
          <w:p w14:paraId="53900C25">
            <w:pPr>
              <w:spacing w:line="360" w:lineRule="auto"/>
              <w:rPr>
                <w:rFonts w:ascii="宋体" w:hAnsi="宋体" w:eastAsia="Times New Roman" w:cs="宋体"/>
                <w:color w:val="auto"/>
                <w:szCs w:val="21"/>
                <w:highlight w:val="none"/>
                <w:lang w:eastAsia="en-US"/>
              </w:rPr>
            </w:pPr>
          </w:p>
        </w:tc>
        <w:tc>
          <w:tcPr>
            <w:tcW w:w="679" w:type="dxa"/>
          </w:tcPr>
          <w:p w14:paraId="582ED656">
            <w:pPr>
              <w:spacing w:before="54" w:line="360" w:lineRule="auto"/>
              <w:ind w:left="394"/>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4</w:t>
            </w:r>
          </w:p>
        </w:tc>
        <w:tc>
          <w:tcPr>
            <w:tcW w:w="5250" w:type="dxa"/>
          </w:tcPr>
          <w:p w14:paraId="17E1747E">
            <w:pPr>
              <w:pStyle w:val="317"/>
              <w:spacing w:before="31" w:line="360" w:lineRule="auto"/>
              <w:ind w:left="114" w:right="105" w:hanging="5"/>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在协议供货期，未在规定时间内完成配送、供</w:t>
            </w:r>
            <w:r>
              <w:rPr>
                <w:rFonts w:hint="eastAsia" w:eastAsia="Times New Roman"/>
                <w:color w:val="auto"/>
                <w:spacing w:val="-4"/>
                <w:sz w:val="21"/>
                <w:szCs w:val="21"/>
                <w:highlight w:val="none"/>
                <w:lang w:eastAsia="zh-CN"/>
              </w:rPr>
              <w:t>货，每次扣</w:t>
            </w:r>
            <w:r>
              <w:rPr>
                <w:rFonts w:hint="eastAsia" w:eastAsia="Times New Roman"/>
                <w:color w:val="auto"/>
                <w:spacing w:val="2"/>
                <w:sz w:val="21"/>
                <w:szCs w:val="21"/>
                <w:highlight w:val="none"/>
                <w:lang w:eastAsia="zh-CN"/>
              </w:rPr>
              <w:t>3分</w:t>
            </w:r>
            <w:r>
              <w:rPr>
                <w:rFonts w:hint="eastAsia" w:eastAsia="Times New Roman"/>
                <w:color w:val="auto"/>
                <w:spacing w:val="-4"/>
                <w:sz w:val="21"/>
                <w:szCs w:val="21"/>
                <w:highlight w:val="none"/>
                <w:lang w:eastAsia="zh-CN"/>
              </w:rPr>
              <w:t>。</w:t>
            </w:r>
          </w:p>
        </w:tc>
        <w:tc>
          <w:tcPr>
            <w:tcW w:w="2377" w:type="dxa"/>
          </w:tcPr>
          <w:p w14:paraId="3F3EB1AF">
            <w:pPr>
              <w:spacing w:line="360" w:lineRule="auto"/>
              <w:rPr>
                <w:rFonts w:ascii="宋体" w:hAnsi="宋体" w:eastAsia="Times New Roman" w:cs="宋体"/>
                <w:color w:val="auto"/>
                <w:szCs w:val="21"/>
                <w:highlight w:val="none"/>
                <w:lang w:eastAsia="en-US"/>
              </w:rPr>
            </w:pPr>
          </w:p>
        </w:tc>
      </w:tr>
      <w:tr w14:paraId="7389D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nil"/>
              <w:bottom w:val="nil"/>
            </w:tcBorders>
          </w:tcPr>
          <w:p w14:paraId="41D0792B">
            <w:pPr>
              <w:spacing w:line="360" w:lineRule="auto"/>
              <w:rPr>
                <w:rFonts w:ascii="宋体" w:hAnsi="宋体" w:eastAsia="Times New Roman" w:cs="宋体"/>
                <w:color w:val="auto"/>
                <w:szCs w:val="21"/>
                <w:highlight w:val="none"/>
                <w:lang w:eastAsia="en-US"/>
              </w:rPr>
            </w:pPr>
          </w:p>
        </w:tc>
        <w:tc>
          <w:tcPr>
            <w:tcW w:w="679" w:type="dxa"/>
          </w:tcPr>
          <w:p w14:paraId="75C5355E">
            <w:pPr>
              <w:spacing w:before="58" w:line="360" w:lineRule="auto"/>
              <w:ind w:left="401"/>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5</w:t>
            </w:r>
          </w:p>
        </w:tc>
        <w:tc>
          <w:tcPr>
            <w:tcW w:w="5250" w:type="dxa"/>
          </w:tcPr>
          <w:p w14:paraId="299D53AE">
            <w:pPr>
              <w:pStyle w:val="317"/>
              <w:spacing w:before="31" w:line="360" w:lineRule="auto"/>
              <w:ind w:left="127" w:right="107" w:hanging="12"/>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实际配送食材少于订购数量且不能及时补充</w:t>
            </w:r>
            <w:r>
              <w:rPr>
                <w:rFonts w:hint="eastAsia" w:eastAsia="Times New Roman"/>
                <w:color w:val="auto"/>
                <w:spacing w:val="-9"/>
                <w:sz w:val="21"/>
                <w:szCs w:val="21"/>
                <w:highlight w:val="none"/>
                <w:lang w:eastAsia="zh-CN"/>
              </w:rPr>
              <w:t>的，每次扣</w:t>
            </w:r>
            <w:r>
              <w:rPr>
                <w:rFonts w:hint="eastAsia" w:eastAsia="Times New Roman"/>
                <w:color w:val="auto"/>
                <w:spacing w:val="-26"/>
                <w:sz w:val="21"/>
                <w:szCs w:val="21"/>
                <w:highlight w:val="none"/>
                <w:lang w:eastAsia="zh-CN"/>
              </w:rPr>
              <w:t xml:space="preserve"> </w:t>
            </w:r>
            <w:r>
              <w:rPr>
                <w:rFonts w:hint="eastAsia" w:eastAsia="Times New Roman"/>
                <w:color w:val="auto"/>
                <w:spacing w:val="-9"/>
                <w:sz w:val="21"/>
                <w:szCs w:val="21"/>
                <w:highlight w:val="none"/>
                <w:lang w:eastAsia="zh-CN"/>
              </w:rPr>
              <w:t>1分。</w:t>
            </w:r>
          </w:p>
        </w:tc>
        <w:tc>
          <w:tcPr>
            <w:tcW w:w="2377" w:type="dxa"/>
          </w:tcPr>
          <w:p w14:paraId="13A00FDB">
            <w:pPr>
              <w:spacing w:line="360" w:lineRule="auto"/>
              <w:rPr>
                <w:rFonts w:ascii="宋体" w:hAnsi="宋体" w:eastAsia="Times New Roman" w:cs="宋体"/>
                <w:color w:val="auto"/>
                <w:szCs w:val="21"/>
                <w:highlight w:val="none"/>
                <w:lang w:eastAsia="en-US"/>
              </w:rPr>
            </w:pPr>
          </w:p>
        </w:tc>
      </w:tr>
      <w:tr w14:paraId="2CD82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267" w:type="dxa"/>
            <w:vMerge w:val="continue"/>
            <w:tcBorders>
              <w:top w:val="nil"/>
              <w:bottom w:val="nil"/>
            </w:tcBorders>
          </w:tcPr>
          <w:p w14:paraId="049DBA35">
            <w:pPr>
              <w:spacing w:line="360" w:lineRule="auto"/>
              <w:rPr>
                <w:rFonts w:ascii="宋体" w:hAnsi="宋体" w:eastAsia="Times New Roman" w:cs="宋体"/>
                <w:color w:val="auto"/>
                <w:szCs w:val="21"/>
                <w:highlight w:val="none"/>
                <w:lang w:eastAsia="en-US"/>
              </w:rPr>
            </w:pPr>
          </w:p>
        </w:tc>
        <w:tc>
          <w:tcPr>
            <w:tcW w:w="679" w:type="dxa"/>
          </w:tcPr>
          <w:p w14:paraId="31FD3C93">
            <w:pPr>
              <w:spacing w:before="55" w:line="360" w:lineRule="auto"/>
              <w:ind w:left="400"/>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6</w:t>
            </w:r>
          </w:p>
        </w:tc>
        <w:tc>
          <w:tcPr>
            <w:tcW w:w="5250" w:type="dxa"/>
          </w:tcPr>
          <w:p w14:paraId="5B09AB84">
            <w:pPr>
              <w:pStyle w:val="317"/>
              <w:spacing w:before="32" w:line="360" w:lineRule="auto"/>
              <w:ind w:left="109" w:right="10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在未征得采购人同意的情况下，实际配送的食材与订购食材种类、质量不符，采购人有权拒</w:t>
            </w:r>
            <w:r>
              <w:rPr>
                <w:rFonts w:hint="eastAsia" w:eastAsia="Times New Roman"/>
                <w:color w:val="auto"/>
                <w:spacing w:val="-2"/>
                <w:sz w:val="21"/>
                <w:szCs w:val="21"/>
                <w:highlight w:val="none"/>
                <w:lang w:eastAsia="zh-CN"/>
              </w:rPr>
              <w:t>收，每次扣3分（在规定时间内无条件成功退</w:t>
            </w:r>
            <w:r>
              <w:rPr>
                <w:rFonts w:hint="eastAsia" w:eastAsia="Times New Roman"/>
                <w:color w:val="auto"/>
                <w:spacing w:val="-14"/>
                <w:sz w:val="21"/>
                <w:szCs w:val="21"/>
                <w:highlight w:val="none"/>
                <w:lang w:eastAsia="zh-CN"/>
              </w:rPr>
              <w:t>换的，则不扣分）。</w:t>
            </w:r>
          </w:p>
        </w:tc>
        <w:tc>
          <w:tcPr>
            <w:tcW w:w="2377" w:type="dxa"/>
          </w:tcPr>
          <w:p w14:paraId="1D05D82C">
            <w:pPr>
              <w:pStyle w:val="317"/>
              <w:spacing w:before="31" w:line="360" w:lineRule="auto"/>
              <w:ind w:left="116"/>
              <w:rPr>
                <w:rFonts w:eastAsia="Times New Roman"/>
                <w:color w:val="auto"/>
                <w:sz w:val="21"/>
                <w:szCs w:val="21"/>
                <w:highlight w:val="none"/>
                <w:lang w:eastAsia="zh-CN"/>
              </w:rPr>
            </w:pPr>
          </w:p>
        </w:tc>
      </w:tr>
      <w:tr w14:paraId="19516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1267" w:type="dxa"/>
            <w:vMerge w:val="continue"/>
            <w:tcBorders>
              <w:top w:val="nil"/>
            </w:tcBorders>
          </w:tcPr>
          <w:p w14:paraId="12F4D927">
            <w:pPr>
              <w:spacing w:line="360" w:lineRule="auto"/>
              <w:rPr>
                <w:rFonts w:ascii="宋体" w:hAnsi="宋体" w:eastAsia="Times New Roman" w:cs="宋体"/>
                <w:color w:val="auto"/>
                <w:szCs w:val="21"/>
                <w:highlight w:val="none"/>
                <w:lang w:eastAsia="en-US"/>
              </w:rPr>
            </w:pPr>
          </w:p>
        </w:tc>
        <w:tc>
          <w:tcPr>
            <w:tcW w:w="679" w:type="dxa"/>
          </w:tcPr>
          <w:p w14:paraId="563B56D4">
            <w:pPr>
              <w:spacing w:before="59" w:line="360" w:lineRule="auto"/>
              <w:ind w:left="399"/>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7</w:t>
            </w:r>
          </w:p>
        </w:tc>
        <w:tc>
          <w:tcPr>
            <w:tcW w:w="5250" w:type="dxa"/>
          </w:tcPr>
          <w:p w14:paraId="3D7EDC8E">
            <w:pPr>
              <w:pStyle w:val="317"/>
              <w:spacing w:before="32" w:line="360" w:lineRule="auto"/>
              <w:ind w:left="110"/>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食材来源不明的，发现一次扣</w:t>
            </w:r>
            <w:r>
              <w:rPr>
                <w:rFonts w:hint="eastAsia" w:eastAsia="Times New Roman"/>
                <w:color w:val="auto"/>
                <w:spacing w:val="-34"/>
                <w:sz w:val="21"/>
                <w:szCs w:val="21"/>
                <w:highlight w:val="none"/>
                <w:lang w:eastAsia="zh-CN"/>
              </w:rPr>
              <w:t xml:space="preserve"> </w:t>
            </w:r>
            <w:r>
              <w:rPr>
                <w:rFonts w:hint="eastAsia" w:eastAsia="Times New Roman"/>
                <w:color w:val="auto"/>
                <w:spacing w:val="-2"/>
                <w:sz w:val="21"/>
                <w:szCs w:val="21"/>
                <w:highlight w:val="none"/>
                <w:lang w:eastAsia="zh-CN"/>
              </w:rPr>
              <w:t>5分。</w:t>
            </w:r>
          </w:p>
        </w:tc>
        <w:tc>
          <w:tcPr>
            <w:tcW w:w="2377" w:type="dxa"/>
          </w:tcPr>
          <w:p w14:paraId="46E00FBF">
            <w:pPr>
              <w:spacing w:line="360" w:lineRule="auto"/>
              <w:rPr>
                <w:rFonts w:ascii="宋体" w:hAnsi="宋体" w:eastAsia="Times New Roman" w:cs="宋体"/>
                <w:color w:val="auto"/>
                <w:szCs w:val="21"/>
                <w:highlight w:val="none"/>
                <w:lang w:eastAsia="en-US"/>
              </w:rPr>
            </w:pPr>
          </w:p>
        </w:tc>
      </w:tr>
      <w:tr w14:paraId="2D4D6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restart"/>
            <w:tcBorders>
              <w:bottom w:val="nil"/>
            </w:tcBorders>
            <w:vAlign w:val="center"/>
          </w:tcPr>
          <w:p w14:paraId="65826310">
            <w:pPr>
              <w:pStyle w:val="317"/>
              <w:spacing w:before="69" w:line="360" w:lineRule="auto"/>
              <w:ind w:left="117"/>
              <w:jc w:val="center"/>
              <w:rPr>
                <w:rFonts w:eastAsia="Times New Roman"/>
                <w:color w:val="auto"/>
                <w:sz w:val="21"/>
                <w:szCs w:val="21"/>
                <w:highlight w:val="none"/>
              </w:rPr>
            </w:pPr>
            <w:r>
              <w:rPr>
                <w:rFonts w:hint="eastAsia" w:eastAsia="Times New Roman"/>
                <w:color w:val="auto"/>
                <w:spacing w:val="-2"/>
                <w:sz w:val="21"/>
                <w:szCs w:val="21"/>
                <w:highlight w:val="none"/>
              </w:rPr>
              <w:t>质量要求</w:t>
            </w:r>
          </w:p>
        </w:tc>
        <w:tc>
          <w:tcPr>
            <w:tcW w:w="679" w:type="dxa"/>
          </w:tcPr>
          <w:p w14:paraId="561F5D04">
            <w:pPr>
              <w:spacing w:before="56" w:line="360" w:lineRule="auto"/>
              <w:ind w:left="404"/>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8</w:t>
            </w:r>
          </w:p>
        </w:tc>
        <w:tc>
          <w:tcPr>
            <w:tcW w:w="5250" w:type="dxa"/>
          </w:tcPr>
          <w:p w14:paraId="0C403421">
            <w:pPr>
              <w:pStyle w:val="317"/>
              <w:spacing w:before="31" w:line="360" w:lineRule="auto"/>
              <w:ind w:left="127" w:right="107" w:hanging="17"/>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相应批次的食材未能提供相关合格检验证明</w:t>
            </w:r>
            <w:r>
              <w:rPr>
                <w:rFonts w:hint="eastAsia" w:eastAsia="Times New Roman"/>
                <w:color w:val="auto"/>
                <w:spacing w:val="-5"/>
                <w:sz w:val="21"/>
                <w:szCs w:val="21"/>
                <w:highlight w:val="none"/>
                <w:lang w:eastAsia="zh-CN"/>
              </w:rPr>
              <w:t>，每次扣</w:t>
            </w:r>
            <w:r>
              <w:rPr>
                <w:rFonts w:hint="eastAsia" w:eastAsia="Times New Roman"/>
                <w:color w:val="auto"/>
                <w:spacing w:val="-42"/>
                <w:sz w:val="21"/>
                <w:szCs w:val="21"/>
                <w:highlight w:val="none"/>
                <w:lang w:eastAsia="zh-CN"/>
              </w:rPr>
              <w:t xml:space="preserve"> </w:t>
            </w:r>
            <w:r>
              <w:rPr>
                <w:rFonts w:hint="eastAsia" w:eastAsia="Times New Roman"/>
                <w:color w:val="auto"/>
                <w:spacing w:val="-5"/>
                <w:sz w:val="21"/>
                <w:szCs w:val="21"/>
                <w:highlight w:val="none"/>
                <w:lang w:eastAsia="zh-CN"/>
              </w:rPr>
              <w:t>5分。</w:t>
            </w:r>
          </w:p>
        </w:tc>
        <w:tc>
          <w:tcPr>
            <w:tcW w:w="2377" w:type="dxa"/>
          </w:tcPr>
          <w:p w14:paraId="161C8904">
            <w:pPr>
              <w:spacing w:line="360" w:lineRule="auto"/>
              <w:rPr>
                <w:rFonts w:ascii="宋体" w:hAnsi="宋体" w:eastAsia="Times New Roman" w:cs="宋体"/>
                <w:color w:val="auto"/>
                <w:szCs w:val="21"/>
                <w:highlight w:val="none"/>
                <w:lang w:eastAsia="en-US"/>
              </w:rPr>
            </w:pPr>
          </w:p>
        </w:tc>
      </w:tr>
      <w:tr w14:paraId="4CED7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vAlign w:val="center"/>
          </w:tcPr>
          <w:p w14:paraId="10DBDAF7">
            <w:pPr>
              <w:pStyle w:val="317"/>
              <w:spacing w:before="69" w:line="360" w:lineRule="auto"/>
              <w:ind w:left="117"/>
              <w:jc w:val="center"/>
              <w:rPr>
                <w:rFonts w:eastAsia="Times New Roman"/>
                <w:color w:val="auto"/>
                <w:spacing w:val="-2"/>
                <w:sz w:val="21"/>
                <w:szCs w:val="21"/>
                <w:highlight w:val="none"/>
                <w:lang w:eastAsia="zh-CN"/>
              </w:rPr>
            </w:pPr>
          </w:p>
        </w:tc>
        <w:tc>
          <w:tcPr>
            <w:tcW w:w="679" w:type="dxa"/>
          </w:tcPr>
          <w:p w14:paraId="5D6C01B5">
            <w:pPr>
              <w:spacing w:before="56" w:line="360" w:lineRule="auto"/>
              <w:ind w:left="404"/>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9</w:t>
            </w:r>
          </w:p>
        </w:tc>
        <w:tc>
          <w:tcPr>
            <w:tcW w:w="5250" w:type="dxa"/>
          </w:tcPr>
          <w:p w14:paraId="138A5DA4">
            <w:pPr>
              <w:pStyle w:val="317"/>
              <w:spacing w:before="31" w:line="360" w:lineRule="auto"/>
              <w:ind w:left="127" w:right="107" w:hanging="17"/>
              <w:rPr>
                <w:rFonts w:eastAsia="Times New Roman"/>
                <w:color w:val="auto"/>
                <w:spacing w:val="13"/>
                <w:sz w:val="21"/>
                <w:szCs w:val="21"/>
                <w:highlight w:val="none"/>
                <w:lang w:eastAsia="zh-CN"/>
              </w:rPr>
            </w:pPr>
            <w:r>
              <w:rPr>
                <w:rFonts w:hint="eastAsia" w:eastAsia="Times New Roman"/>
                <w:color w:val="auto"/>
                <w:spacing w:val="13"/>
                <w:sz w:val="21"/>
                <w:szCs w:val="21"/>
                <w:highlight w:val="none"/>
                <w:lang w:eastAsia="zh-CN"/>
              </w:rPr>
              <w:t>食材以次充好，</w:t>
            </w:r>
            <w:r>
              <w:rPr>
                <w:rFonts w:hint="eastAsia" w:eastAsia="Times New Roman"/>
                <w:color w:val="auto"/>
                <w:spacing w:val="-2"/>
                <w:sz w:val="21"/>
                <w:szCs w:val="21"/>
                <w:highlight w:val="none"/>
                <w:lang w:eastAsia="zh-CN"/>
              </w:rPr>
              <w:t>发现一次扣</w:t>
            </w:r>
            <w:r>
              <w:rPr>
                <w:rFonts w:hint="eastAsia" w:eastAsia="Times New Roman"/>
                <w:color w:val="auto"/>
                <w:spacing w:val="-34"/>
                <w:sz w:val="21"/>
                <w:szCs w:val="21"/>
                <w:highlight w:val="none"/>
                <w:lang w:eastAsia="zh-CN"/>
              </w:rPr>
              <w:t xml:space="preserve"> </w:t>
            </w:r>
            <w:r>
              <w:rPr>
                <w:rFonts w:hint="eastAsia" w:eastAsia="Times New Roman"/>
                <w:color w:val="auto"/>
                <w:spacing w:val="-2"/>
                <w:sz w:val="21"/>
                <w:szCs w:val="21"/>
                <w:highlight w:val="none"/>
                <w:lang w:eastAsia="zh-CN"/>
              </w:rPr>
              <w:t>5分。</w:t>
            </w:r>
          </w:p>
        </w:tc>
        <w:tc>
          <w:tcPr>
            <w:tcW w:w="2377" w:type="dxa"/>
          </w:tcPr>
          <w:p w14:paraId="3E370ABC">
            <w:pPr>
              <w:spacing w:line="360" w:lineRule="auto"/>
              <w:rPr>
                <w:rFonts w:ascii="宋体" w:hAnsi="宋体" w:eastAsia="Times New Roman" w:cs="宋体"/>
                <w:color w:val="auto"/>
                <w:szCs w:val="21"/>
                <w:highlight w:val="none"/>
                <w:lang w:eastAsia="en-US"/>
              </w:rPr>
            </w:pPr>
          </w:p>
        </w:tc>
      </w:tr>
      <w:tr w14:paraId="0134C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267" w:type="dxa"/>
            <w:vMerge w:val="continue"/>
            <w:tcBorders>
              <w:top w:val="nil"/>
              <w:bottom w:val="nil"/>
            </w:tcBorders>
          </w:tcPr>
          <w:p w14:paraId="00D51FA2">
            <w:pPr>
              <w:spacing w:line="360" w:lineRule="auto"/>
              <w:rPr>
                <w:rFonts w:ascii="宋体" w:hAnsi="宋体" w:eastAsia="Times New Roman" w:cs="宋体"/>
                <w:color w:val="auto"/>
                <w:szCs w:val="21"/>
                <w:highlight w:val="none"/>
                <w:lang w:eastAsia="en-US"/>
              </w:rPr>
            </w:pPr>
          </w:p>
        </w:tc>
        <w:tc>
          <w:tcPr>
            <w:tcW w:w="679" w:type="dxa"/>
          </w:tcPr>
          <w:p w14:paraId="0B2B3D7B">
            <w:pPr>
              <w:spacing w:before="57" w:line="360" w:lineRule="auto"/>
              <w:ind w:left="400"/>
              <w:jc w:val="left"/>
              <w:rPr>
                <w:rFonts w:ascii="宋体" w:hAnsi="宋体" w:eastAsia="Times New Roman" w:cs="宋体"/>
                <w:color w:val="auto"/>
                <w:szCs w:val="21"/>
                <w:highlight w:val="none"/>
                <w:lang w:eastAsia="en-US"/>
              </w:rPr>
            </w:pPr>
            <w:r>
              <w:rPr>
                <w:rFonts w:hint="eastAsia" w:ascii="宋体" w:hAnsi="宋体" w:eastAsia="Times New Roman" w:cs="宋体"/>
                <w:color w:val="auto"/>
                <w:szCs w:val="21"/>
                <w:highlight w:val="none"/>
                <w:lang w:eastAsia="en-US"/>
              </w:rPr>
              <w:t>10</w:t>
            </w:r>
          </w:p>
        </w:tc>
        <w:tc>
          <w:tcPr>
            <w:tcW w:w="5250" w:type="dxa"/>
          </w:tcPr>
          <w:p w14:paraId="14E250EF">
            <w:pPr>
              <w:pStyle w:val="317"/>
              <w:spacing w:before="31" w:line="360" w:lineRule="auto"/>
              <w:ind w:left="111" w:right="104" w:hanging="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食品质量不符合要求，以次充好，出现质量问题（肉类出</w:t>
            </w:r>
            <w:r>
              <w:rPr>
                <w:rFonts w:hint="eastAsia" w:eastAsia="Times New Roman"/>
                <w:color w:val="auto"/>
                <w:spacing w:val="13"/>
                <w:sz w:val="21"/>
                <w:szCs w:val="21"/>
                <w:highlight w:val="none"/>
                <w:lang w:eastAsia="zh-CN"/>
              </w:rPr>
              <w:t>现不正常气味的、蔬菜出现大批腐烂或黄叶</w:t>
            </w:r>
            <w:r>
              <w:rPr>
                <w:rFonts w:hint="eastAsia" w:eastAsia="Times New Roman"/>
                <w:color w:val="auto"/>
                <w:spacing w:val="-12"/>
                <w:sz w:val="21"/>
                <w:szCs w:val="21"/>
                <w:highlight w:val="none"/>
                <w:lang w:eastAsia="zh-CN"/>
              </w:rPr>
              <w:t>的</w:t>
            </w:r>
            <w:r>
              <w:rPr>
                <w:rFonts w:hint="eastAsia" w:eastAsia="Times New Roman"/>
                <w:color w:val="auto"/>
                <w:spacing w:val="-19"/>
                <w:sz w:val="21"/>
                <w:szCs w:val="21"/>
                <w:highlight w:val="none"/>
                <w:lang w:eastAsia="zh-CN"/>
              </w:rPr>
              <w:t>），</w:t>
            </w:r>
            <w:r>
              <w:rPr>
                <w:rFonts w:hint="eastAsia" w:eastAsia="Times New Roman"/>
                <w:color w:val="auto"/>
                <w:spacing w:val="-12"/>
                <w:sz w:val="21"/>
                <w:szCs w:val="21"/>
                <w:highlight w:val="none"/>
                <w:lang w:eastAsia="zh-CN"/>
              </w:rPr>
              <w:t>每</w:t>
            </w:r>
            <w:r>
              <w:rPr>
                <w:rFonts w:hint="eastAsia" w:eastAsia="Times New Roman"/>
                <w:color w:val="auto"/>
                <w:spacing w:val="2"/>
                <w:sz w:val="21"/>
                <w:szCs w:val="21"/>
                <w:highlight w:val="none"/>
                <w:lang w:eastAsia="zh-CN"/>
              </w:rPr>
              <w:t>次扣3分。</w:t>
            </w:r>
          </w:p>
        </w:tc>
        <w:tc>
          <w:tcPr>
            <w:tcW w:w="2377" w:type="dxa"/>
          </w:tcPr>
          <w:p w14:paraId="4947971C">
            <w:pPr>
              <w:pStyle w:val="317"/>
              <w:spacing w:before="33" w:line="360" w:lineRule="auto"/>
              <w:ind w:left="116"/>
              <w:rPr>
                <w:rFonts w:eastAsia="Times New Roman"/>
                <w:color w:val="auto"/>
                <w:sz w:val="21"/>
                <w:szCs w:val="21"/>
                <w:highlight w:val="none"/>
                <w:lang w:eastAsia="zh-CN"/>
              </w:rPr>
            </w:pPr>
          </w:p>
        </w:tc>
      </w:tr>
      <w:tr w14:paraId="03E5E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267" w:type="dxa"/>
            <w:vMerge w:val="continue"/>
            <w:tcBorders>
              <w:top w:val="nil"/>
              <w:bottom w:val="nil"/>
            </w:tcBorders>
          </w:tcPr>
          <w:p w14:paraId="05485932">
            <w:pPr>
              <w:spacing w:line="360" w:lineRule="auto"/>
              <w:rPr>
                <w:rFonts w:ascii="宋体" w:hAnsi="宋体" w:eastAsia="Times New Roman" w:cs="宋体"/>
                <w:color w:val="auto"/>
                <w:szCs w:val="21"/>
                <w:highlight w:val="none"/>
                <w:lang w:eastAsia="en-US"/>
              </w:rPr>
            </w:pPr>
          </w:p>
        </w:tc>
        <w:tc>
          <w:tcPr>
            <w:tcW w:w="679" w:type="dxa"/>
          </w:tcPr>
          <w:p w14:paraId="439298C6">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6"/>
                <w:szCs w:val="21"/>
                <w:highlight w:val="none"/>
                <w:lang w:eastAsia="en-US"/>
              </w:rPr>
              <w:t>11</w:t>
            </w:r>
          </w:p>
        </w:tc>
        <w:tc>
          <w:tcPr>
            <w:tcW w:w="5250" w:type="dxa"/>
          </w:tcPr>
          <w:p w14:paraId="69FBB3F3">
            <w:pPr>
              <w:pStyle w:val="317"/>
              <w:spacing w:before="32" w:line="360" w:lineRule="auto"/>
              <w:ind w:left="109"/>
              <w:rPr>
                <w:rFonts w:eastAsia="Times New Roman"/>
                <w:color w:val="auto"/>
                <w:sz w:val="21"/>
                <w:szCs w:val="21"/>
                <w:highlight w:val="none"/>
                <w:lang w:eastAsia="zh-CN"/>
              </w:rPr>
            </w:pPr>
            <w:r>
              <w:rPr>
                <w:rFonts w:hint="eastAsia" w:eastAsia="Times New Roman"/>
                <w:color w:val="auto"/>
                <w:spacing w:val="-1"/>
                <w:sz w:val="21"/>
                <w:szCs w:val="21"/>
                <w:highlight w:val="none"/>
                <w:lang w:eastAsia="zh-CN"/>
              </w:rPr>
              <w:t>造成食物中毒等，</w:t>
            </w:r>
            <w:r>
              <w:rPr>
                <w:rFonts w:hint="eastAsia" w:eastAsia="Times New Roman"/>
                <w:color w:val="auto"/>
                <w:spacing w:val="-2"/>
                <w:sz w:val="21"/>
                <w:szCs w:val="21"/>
                <w:highlight w:val="none"/>
                <w:lang w:eastAsia="zh-CN"/>
              </w:rPr>
              <w:t>发现一次扣</w:t>
            </w:r>
            <w:r>
              <w:rPr>
                <w:rFonts w:hint="eastAsia" w:eastAsia="Times New Roman"/>
                <w:color w:val="auto"/>
                <w:spacing w:val="-34"/>
                <w:sz w:val="21"/>
                <w:szCs w:val="21"/>
                <w:highlight w:val="none"/>
                <w:lang w:eastAsia="zh-CN"/>
              </w:rPr>
              <w:t xml:space="preserve"> </w:t>
            </w:r>
            <w:r>
              <w:rPr>
                <w:rFonts w:hint="eastAsia" w:eastAsia="Times New Roman"/>
                <w:color w:val="auto"/>
                <w:spacing w:val="-2"/>
                <w:sz w:val="21"/>
                <w:szCs w:val="21"/>
                <w:highlight w:val="none"/>
                <w:lang w:eastAsia="zh-CN"/>
              </w:rPr>
              <w:t>20分。</w:t>
            </w:r>
          </w:p>
        </w:tc>
        <w:tc>
          <w:tcPr>
            <w:tcW w:w="2377" w:type="dxa"/>
          </w:tcPr>
          <w:p w14:paraId="7833712D">
            <w:pPr>
              <w:pStyle w:val="317"/>
              <w:spacing w:before="35" w:line="360" w:lineRule="auto"/>
              <w:ind w:left="115" w:right="105" w:firstLine="19"/>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中标供应商承担由此造成的全部</w:t>
            </w:r>
            <w:r>
              <w:rPr>
                <w:rFonts w:hint="eastAsia" w:eastAsia="Times New Roman"/>
                <w:color w:val="auto"/>
                <w:spacing w:val="-3"/>
                <w:sz w:val="21"/>
                <w:szCs w:val="21"/>
                <w:highlight w:val="none"/>
                <w:lang w:eastAsia="zh-CN"/>
              </w:rPr>
              <w:t>法律责任、经济损失赔偿（主</w:t>
            </w:r>
            <w:r>
              <w:rPr>
                <w:rFonts w:hint="eastAsia" w:eastAsia="Times New Roman"/>
                <w:color w:val="auto"/>
                <w:spacing w:val="15"/>
                <w:sz w:val="21"/>
                <w:szCs w:val="21"/>
                <w:highlight w:val="none"/>
                <w:lang w:eastAsia="zh-CN"/>
              </w:rPr>
              <w:t>要包括但不限于食物中毒人</w:t>
            </w:r>
            <w:r>
              <w:rPr>
                <w:rFonts w:hint="eastAsia" w:eastAsia="Times New Roman"/>
                <w:color w:val="auto"/>
                <w:spacing w:val="13"/>
                <w:sz w:val="21"/>
                <w:szCs w:val="21"/>
                <w:highlight w:val="none"/>
                <w:lang w:eastAsia="zh-CN"/>
              </w:rPr>
              <w:t>员医疗费、误工费、事故处理费等）。</w:t>
            </w:r>
          </w:p>
        </w:tc>
      </w:tr>
      <w:tr w14:paraId="1C397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67" w:type="dxa"/>
            <w:vMerge w:val="continue"/>
            <w:tcBorders>
              <w:top w:val="nil"/>
              <w:bottom w:val="single" w:color="auto" w:sz="4" w:space="0"/>
            </w:tcBorders>
          </w:tcPr>
          <w:p w14:paraId="09ABCE0A">
            <w:pPr>
              <w:spacing w:line="360" w:lineRule="auto"/>
              <w:rPr>
                <w:rFonts w:ascii="宋体" w:hAnsi="宋体" w:eastAsia="Times New Roman" w:cs="宋体"/>
                <w:color w:val="auto"/>
                <w:szCs w:val="21"/>
                <w:highlight w:val="none"/>
                <w:lang w:eastAsia="en-US"/>
              </w:rPr>
            </w:pPr>
          </w:p>
        </w:tc>
        <w:tc>
          <w:tcPr>
            <w:tcW w:w="679" w:type="dxa"/>
            <w:tcBorders>
              <w:bottom w:val="single" w:color="auto" w:sz="4" w:space="0"/>
            </w:tcBorders>
          </w:tcPr>
          <w:p w14:paraId="1F0C09EF">
            <w:pPr>
              <w:spacing w:before="58" w:line="360" w:lineRule="auto"/>
              <w:ind w:left="368"/>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8"/>
                <w:szCs w:val="21"/>
                <w:highlight w:val="none"/>
                <w:lang w:eastAsia="en-US"/>
              </w:rPr>
              <w:t>12</w:t>
            </w:r>
          </w:p>
        </w:tc>
        <w:tc>
          <w:tcPr>
            <w:tcW w:w="5250" w:type="dxa"/>
            <w:tcBorders>
              <w:bottom w:val="single" w:color="auto" w:sz="4" w:space="0"/>
            </w:tcBorders>
          </w:tcPr>
          <w:p w14:paraId="2BE5E76C">
            <w:pPr>
              <w:pStyle w:val="317"/>
              <w:spacing w:before="32" w:line="360" w:lineRule="auto"/>
              <w:ind w:left="110" w:right="90"/>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滥用或过量使用食品添加剂、发现使用劣质原</w:t>
            </w:r>
            <w:r>
              <w:rPr>
                <w:rFonts w:hint="eastAsia" w:eastAsia="Times New Roman"/>
                <w:color w:val="auto"/>
                <w:spacing w:val="-3"/>
                <w:sz w:val="21"/>
                <w:szCs w:val="21"/>
                <w:highlight w:val="none"/>
                <w:lang w:eastAsia="zh-CN"/>
              </w:rPr>
              <w:t>料、抗生素、激素等有害物质，每次扣10分。</w:t>
            </w:r>
          </w:p>
        </w:tc>
        <w:tc>
          <w:tcPr>
            <w:tcW w:w="2377" w:type="dxa"/>
            <w:tcBorders>
              <w:bottom w:val="single" w:color="auto" w:sz="4" w:space="0"/>
            </w:tcBorders>
          </w:tcPr>
          <w:p w14:paraId="2DEBECA8">
            <w:pPr>
              <w:pStyle w:val="317"/>
              <w:spacing w:before="34" w:line="360" w:lineRule="auto"/>
              <w:ind w:left="116"/>
              <w:rPr>
                <w:rFonts w:eastAsia="Times New Roman"/>
                <w:color w:val="auto"/>
                <w:sz w:val="21"/>
                <w:szCs w:val="21"/>
                <w:highlight w:val="none"/>
                <w:lang w:eastAsia="zh-CN"/>
              </w:rPr>
            </w:pPr>
          </w:p>
        </w:tc>
      </w:tr>
      <w:tr w14:paraId="3ADCB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3" w:hRule="atLeast"/>
        </w:trPr>
        <w:tc>
          <w:tcPr>
            <w:tcW w:w="1267" w:type="dxa"/>
            <w:vMerge w:val="restart"/>
            <w:tcBorders>
              <w:top w:val="single" w:color="auto" w:sz="4" w:space="0"/>
              <w:left w:val="single" w:color="auto" w:sz="4" w:space="0"/>
              <w:bottom w:val="single" w:color="auto" w:sz="4" w:space="0"/>
              <w:right w:val="single" w:color="auto" w:sz="4" w:space="0"/>
            </w:tcBorders>
            <w:vAlign w:val="center"/>
          </w:tcPr>
          <w:p w14:paraId="6B3B439D">
            <w:pPr>
              <w:pStyle w:val="317"/>
              <w:spacing w:before="68" w:line="360" w:lineRule="auto"/>
              <w:ind w:right="105"/>
              <w:jc w:val="center"/>
              <w:rPr>
                <w:rFonts w:eastAsia="Times New Roman"/>
                <w:color w:val="auto"/>
                <w:sz w:val="21"/>
                <w:szCs w:val="21"/>
                <w:highlight w:val="none"/>
              </w:rPr>
            </w:pPr>
            <w:r>
              <w:rPr>
                <w:rFonts w:hint="eastAsia" w:eastAsia="Times New Roman"/>
                <w:color w:val="auto"/>
                <w:spacing w:val="-12"/>
                <w:sz w:val="21"/>
                <w:szCs w:val="21"/>
                <w:highlight w:val="none"/>
              </w:rPr>
              <w:t>食品安全</w:t>
            </w:r>
            <w:r>
              <w:rPr>
                <w:rFonts w:hint="eastAsia" w:eastAsia="Times New Roman"/>
                <w:color w:val="auto"/>
                <w:spacing w:val="-3"/>
                <w:sz w:val="21"/>
                <w:szCs w:val="21"/>
                <w:highlight w:val="none"/>
              </w:rPr>
              <w:t>管理要求</w:t>
            </w:r>
          </w:p>
        </w:tc>
        <w:tc>
          <w:tcPr>
            <w:tcW w:w="679" w:type="dxa"/>
            <w:tcBorders>
              <w:top w:val="single" w:color="auto" w:sz="4" w:space="0"/>
              <w:left w:val="single" w:color="auto" w:sz="4" w:space="0"/>
              <w:bottom w:val="single" w:color="auto" w:sz="4" w:space="0"/>
              <w:right w:val="single" w:color="auto" w:sz="4" w:space="0"/>
            </w:tcBorders>
          </w:tcPr>
          <w:p w14:paraId="5B9DD3E5">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13</w:t>
            </w:r>
          </w:p>
        </w:tc>
        <w:tc>
          <w:tcPr>
            <w:tcW w:w="5250" w:type="dxa"/>
            <w:tcBorders>
              <w:top w:val="single" w:color="auto" w:sz="4" w:space="0"/>
              <w:left w:val="single" w:color="auto" w:sz="4" w:space="0"/>
              <w:bottom w:val="single" w:color="auto" w:sz="4" w:space="0"/>
              <w:right w:val="single" w:color="auto" w:sz="4" w:space="0"/>
            </w:tcBorders>
          </w:tcPr>
          <w:p w14:paraId="50D6EDC1">
            <w:pPr>
              <w:pStyle w:val="317"/>
              <w:spacing w:before="36" w:line="360" w:lineRule="auto"/>
              <w:ind w:left="110" w:right="105" w:firstLine="3"/>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没有建立、健全本公司食品安全责任制，制定食品安全规章制度和操作规程，或违反制度操</w:t>
            </w:r>
            <w:r>
              <w:rPr>
                <w:rFonts w:hint="eastAsia" w:eastAsia="Times New Roman"/>
                <w:color w:val="auto"/>
                <w:spacing w:val="-3"/>
                <w:sz w:val="21"/>
                <w:szCs w:val="21"/>
                <w:highlight w:val="none"/>
                <w:lang w:eastAsia="zh-CN"/>
              </w:rPr>
              <w:t>作的，每次</w:t>
            </w:r>
            <w:r>
              <w:rPr>
                <w:rFonts w:hint="eastAsia" w:eastAsia="Times New Roman"/>
                <w:color w:val="auto"/>
                <w:spacing w:val="2"/>
                <w:sz w:val="21"/>
                <w:szCs w:val="21"/>
                <w:highlight w:val="none"/>
                <w:lang w:eastAsia="zh-CN"/>
              </w:rPr>
              <w:t>扣3</w:t>
            </w:r>
            <w:r>
              <w:rPr>
                <w:rFonts w:hint="eastAsia" w:eastAsia="Times New Roman"/>
                <w:color w:val="auto"/>
                <w:spacing w:val="-3"/>
                <w:sz w:val="21"/>
                <w:szCs w:val="21"/>
                <w:highlight w:val="none"/>
                <w:lang w:eastAsia="zh-CN"/>
              </w:rPr>
              <w:t>分。</w:t>
            </w:r>
          </w:p>
        </w:tc>
        <w:tc>
          <w:tcPr>
            <w:tcW w:w="2377" w:type="dxa"/>
            <w:tcBorders>
              <w:top w:val="single" w:color="auto" w:sz="4" w:space="0"/>
              <w:left w:val="single" w:color="auto" w:sz="4" w:space="0"/>
              <w:bottom w:val="single" w:color="auto" w:sz="4" w:space="0"/>
              <w:right w:val="single" w:color="auto" w:sz="4" w:space="0"/>
            </w:tcBorders>
          </w:tcPr>
          <w:p w14:paraId="606BDEBA">
            <w:pPr>
              <w:spacing w:line="360" w:lineRule="auto"/>
              <w:rPr>
                <w:rFonts w:ascii="宋体" w:hAnsi="宋体" w:eastAsia="Times New Roman" w:cs="宋体"/>
                <w:color w:val="auto"/>
                <w:szCs w:val="21"/>
                <w:highlight w:val="none"/>
                <w:lang w:eastAsia="en-US"/>
              </w:rPr>
            </w:pPr>
          </w:p>
        </w:tc>
      </w:tr>
      <w:tr w14:paraId="5FE4A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267" w:type="dxa"/>
            <w:vMerge w:val="continue"/>
            <w:tcBorders>
              <w:top w:val="single" w:color="auto" w:sz="4" w:space="0"/>
              <w:left w:val="single" w:color="auto" w:sz="4" w:space="0"/>
              <w:bottom w:val="single" w:color="auto" w:sz="4" w:space="0"/>
              <w:right w:val="single" w:color="auto" w:sz="4" w:space="0"/>
            </w:tcBorders>
          </w:tcPr>
          <w:p w14:paraId="7F5980C7">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27AE45C2">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14</w:t>
            </w:r>
          </w:p>
        </w:tc>
        <w:tc>
          <w:tcPr>
            <w:tcW w:w="5250" w:type="dxa"/>
            <w:tcBorders>
              <w:top w:val="single" w:color="auto" w:sz="4" w:space="0"/>
              <w:left w:val="single" w:color="auto" w:sz="4" w:space="0"/>
              <w:bottom w:val="single" w:color="auto" w:sz="4" w:space="0"/>
              <w:right w:val="single" w:color="auto" w:sz="4" w:space="0"/>
            </w:tcBorders>
          </w:tcPr>
          <w:p w14:paraId="63B6F9DE">
            <w:pPr>
              <w:pStyle w:val="317"/>
              <w:spacing w:before="32" w:line="360" w:lineRule="auto"/>
              <w:ind w:left="113"/>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没有相关应急预案的，</w:t>
            </w:r>
            <w:r>
              <w:rPr>
                <w:rFonts w:hint="eastAsia" w:eastAsia="Times New Roman"/>
                <w:color w:val="auto"/>
                <w:spacing w:val="2"/>
                <w:sz w:val="21"/>
                <w:szCs w:val="21"/>
                <w:highlight w:val="none"/>
                <w:lang w:eastAsia="zh-CN"/>
              </w:rPr>
              <w:t>每次扣3分。</w:t>
            </w:r>
          </w:p>
        </w:tc>
        <w:tc>
          <w:tcPr>
            <w:tcW w:w="2377" w:type="dxa"/>
            <w:tcBorders>
              <w:top w:val="single" w:color="auto" w:sz="4" w:space="0"/>
              <w:left w:val="single" w:color="auto" w:sz="4" w:space="0"/>
              <w:bottom w:val="single" w:color="auto" w:sz="4" w:space="0"/>
              <w:right w:val="single" w:color="auto" w:sz="4" w:space="0"/>
            </w:tcBorders>
          </w:tcPr>
          <w:p w14:paraId="7D9CA40B">
            <w:pPr>
              <w:spacing w:line="360" w:lineRule="auto"/>
              <w:rPr>
                <w:rFonts w:ascii="宋体" w:hAnsi="宋体" w:eastAsia="Times New Roman" w:cs="宋体"/>
                <w:color w:val="auto"/>
                <w:szCs w:val="21"/>
                <w:highlight w:val="none"/>
                <w:lang w:eastAsia="en-US"/>
              </w:rPr>
            </w:pPr>
          </w:p>
        </w:tc>
      </w:tr>
      <w:tr w14:paraId="2C127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single" w:color="auto" w:sz="4" w:space="0"/>
              <w:left w:val="single" w:color="auto" w:sz="4" w:space="0"/>
              <w:bottom w:val="single" w:color="auto" w:sz="4" w:space="0"/>
              <w:right w:val="single" w:color="auto" w:sz="4" w:space="0"/>
            </w:tcBorders>
          </w:tcPr>
          <w:p w14:paraId="3CB40CEE">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6260E1CC">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15</w:t>
            </w:r>
          </w:p>
        </w:tc>
        <w:tc>
          <w:tcPr>
            <w:tcW w:w="5250" w:type="dxa"/>
            <w:tcBorders>
              <w:top w:val="single" w:color="auto" w:sz="4" w:space="0"/>
              <w:left w:val="single" w:color="auto" w:sz="4" w:space="0"/>
              <w:bottom w:val="single" w:color="auto" w:sz="4" w:space="0"/>
              <w:right w:val="single" w:color="auto" w:sz="4" w:space="0"/>
            </w:tcBorders>
          </w:tcPr>
          <w:p w14:paraId="39C3390F">
            <w:pPr>
              <w:pStyle w:val="317"/>
              <w:spacing w:before="33" w:line="360" w:lineRule="auto"/>
              <w:ind w:left="111" w:right="117" w:hanging="2"/>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造成重大事故或有重大事故不配合处理的，每</w:t>
            </w:r>
            <w:r>
              <w:rPr>
                <w:rFonts w:hint="eastAsia" w:eastAsia="Times New Roman"/>
                <w:color w:val="auto"/>
                <w:spacing w:val="-10"/>
                <w:sz w:val="21"/>
                <w:szCs w:val="21"/>
                <w:highlight w:val="none"/>
                <w:lang w:eastAsia="zh-CN"/>
              </w:rPr>
              <w:t>宗扣</w:t>
            </w:r>
            <w:r>
              <w:rPr>
                <w:rFonts w:hint="eastAsia" w:eastAsia="Times New Roman"/>
                <w:color w:val="auto"/>
                <w:spacing w:val="-23"/>
                <w:sz w:val="21"/>
                <w:szCs w:val="21"/>
                <w:highlight w:val="none"/>
                <w:lang w:eastAsia="zh-CN"/>
              </w:rPr>
              <w:t xml:space="preserve"> </w:t>
            </w:r>
            <w:r>
              <w:rPr>
                <w:rFonts w:hint="eastAsia" w:eastAsia="Times New Roman"/>
                <w:color w:val="auto"/>
                <w:spacing w:val="-10"/>
                <w:sz w:val="21"/>
                <w:szCs w:val="21"/>
                <w:highlight w:val="none"/>
                <w:lang w:eastAsia="zh-CN"/>
              </w:rPr>
              <w:t>10</w:t>
            </w:r>
            <w:r>
              <w:rPr>
                <w:rFonts w:hint="eastAsia" w:eastAsia="Times New Roman"/>
                <w:color w:val="auto"/>
                <w:spacing w:val="11"/>
                <w:sz w:val="21"/>
                <w:szCs w:val="21"/>
                <w:highlight w:val="none"/>
                <w:lang w:eastAsia="zh-CN"/>
              </w:rPr>
              <w:t xml:space="preserve"> </w:t>
            </w:r>
            <w:r>
              <w:rPr>
                <w:rFonts w:hint="eastAsia" w:eastAsia="Times New Roman"/>
                <w:color w:val="auto"/>
                <w:spacing w:val="-10"/>
                <w:sz w:val="21"/>
                <w:szCs w:val="21"/>
                <w:highlight w:val="none"/>
                <w:lang w:eastAsia="zh-CN"/>
              </w:rPr>
              <w:t>分。</w:t>
            </w:r>
          </w:p>
        </w:tc>
        <w:tc>
          <w:tcPr>
            <w:tcW w:w="2377" w:type="dxa"/>
            <w:tcBorders>
              <w:top w:val="single" w:color="auto" w:sz="4" w:space="0"/>
              <w:left w:val="single" w:color="auto" w:sz="4" w:space="0"/>
              <w:bottom w:val="single" w:color="auto" w:sz="4" w:space="0"/>
              <w:right w:val="single" w:color="auto" w:sz="4" w:space="0"/>
            </w:tcBorders>
          </w:tcPr>
          <w:p w14:paraId="1170C826">
            <w:pPr>
              <w:pStyle w:val="317"/>
              <w:spacing w:before="33" w:line="360" w:lineRule="auto"/>
              <w:ind w:left="115" w:right="107" w:firstLine="19"/>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中标供应商承担由此造成的全部</w:t>
            </w:r>
            <w:r>
              <w:rPr>
                <w:rFonts w:hint="eastAsia" w:eastAsia="Times New Roman"/>
                <w:color w:val="auto"/>
                <w:spacing w:val="7"/>
                <w:sz w:val="21"/>
                <w:szCs w:val="21"/>
                <w:highlight w:val="none"/>
                <w:lang w:eastAsia="zh-CN"/>
              </w:rPr>
              <w:t xml:space="preserve"> </w:t>
            </w:r>
            <w:r>
              <w:rPr>
                <w:rFonts w:hint="eastAsia" w:eastAsia="Times New Roman"/>
                <w:color w:val="auto"/>
                <w:spacing w:val="-1"/>
                <w:sz w:val="21"/>
                <w:szCs w:val="21"/>
                <w:highlight w:val="none"/>
                <w:lang w:eastAsia="zh-CN"/>
              </w:rPr>
              <w:t>法律责任及经济损失赔偿。</w:t>
            </w:r>
          </w:p>
        </w:tc>
      </w:tr>
      <w:tr w14:paraId="2644E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67" w:type="dxa"/>
            <w:vMerge w:val="continue"/>
            <w:tcBorders>
              <w:top w:val="single" w:color="auto" w:sz="4" w:space="0"/>
              <w:left w:val="single" w:color="auto" w:sz="4" w:space="0"/>
              <w:bottom w:val="single" w:color="auto" w:sz="4" w:space="0"/>
              <w:right w:val="single" w:color="auto" w:sz="4" w:space="0"/>
            </w:tcBorders>
          </w:tcPr>
          <w:p w14:paraId="585B3BF1">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3F17626B">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16</w:t>
            </w:r>
          </w:p>
        </w:tc>
        <w:tc>
          <w:tcPr>
            <w:tcW w:w="5250" w:type="dxa"/>
            <w:tcBorders>
              <w:top w:val="single" w:color="auto" w:sz="4" w:space="0"/>
              <w:left w:val="single" w:color="auto" w:sz="4" w:space="0"/>
              <w:bottom w:val="single" w:color="auto" w:sz="4" w:space="0"/>
              <w:right w:val="single" w:color="auto" w:sz="4" w:space="0"/>
            </w:tcBorders>
          </w:tcPr>
          <w:p w14:paraId="7F2782DA">
            <w:pPr>
              <w:pStyle w:val="317"/>
              <w:spacing w:before="33" w:line="360" w:lineRule="auto"/>
              <w:ind w:left="113" w:right="105"/>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未按要求及时、如实报告食品安全事故，每次</w:t>
            </w:r>
            <w:r>
              <w:rPr>
                <w:rFonts w:hint="eastAsia" w:eastAsia="Times New Roman"/>
                <w:color w:val="auto"/>
                <w:spacing w:val="-11"/>
                <w:sz w:val="21"/>
                <w:szCs w:val="21"/>
                <w:highlight w:val="none"/>
                <w:lang w:eastAsia="zh-CN"/>
              </w:rPr>
              <w:t>扣</w:t>
            </w:r>
            <w:r>
              <w:rPr>
                <w:rFonts w:hint="eastAsia" w:eastAsia="Times New Roman"/>
                <w:color w:val="auto"/>
                <w:spacing w:val="-28"/>
                <w:sz w:val="21"/>
                <w:szCs w:val="21"/>
                <w:highlight w:val="none"/>
                <w:lang w:eastAsia="zh-CN"/>
              </w:rPr>
              <w:t xml:space="preserve"> </w:t>
            </w:r>
            <w:r>
              <w:rPr>
                <w:rFonts w:hint="eastAsia" w:eastAsia="Times New Roman"/>
                <w:color w:val="auto"/>
                <w:spacing w:val="-11"/>
                <w:sz w:val="21"/>
                <w:szCs w:val="21"/>
                <w:highlight w:val="none"/>
                <w:lang w:eastAsia="zh-CN"/>
              </w:rPr>
              <w:t>10</w:t>
            </w:r>
            <w:r>
              <w:rPr>
                <w:rFonts w:hint="eastAsia" w:eastAsia="Times New Roman"/>
                <w:color w:val="auto"/>
                <w:spacing w:val="10"/>
                <w:sz w:val="21"/>
                <w:szCs w:val="21"/>
                <w:highlight w:val="none"/>
                <w:lang w:eastAsia="zh-CN"/>
              </w:rPr>
              <w:t xml:space="preserve"> </w:t>
            </w:r>
            <w:r>
              <w:rPr>
                <w:rFonts w:hint="eastAsia" w:eastAsia="Times New Roman"/>
                <w:color w:val="auto"/>
                <w:spacing w:val="-11"/>
                <w:sz w:val="21"/>
                <w:szCs w:val="21"/>
                <w:highlight w:val="none"/>
                <w:lang w:eastAsia="zh-CN"/>
              </w:rPr>
              <w:t>分。</w:t>
            </w:r>
          </w:p>
        </w:tc>
        <w:tc>
          <w:tcPr>
            <w:tcW w:w="2377" w:type="dxa"/>
            <w:tcBorders>
              <w:top w:val="single" w:color="auto" w:sz="4" w:space="0"/>
              <w:left w:val="single" w:color="auto" w:sz="4" w:space="0"/>
              <w:bottom w:val="single" w:color="auto" w:sz="4" w:space="0"/>
              <w:right w:val="single" w:color="auto" w:sz="4" w:space="0"/>
            </w:tcBorders>
          </w:tcPr>
          <w:p w14:paraId="29D3D930">
            <w:pPr>
              <w:pStyle w:val="317"/>
              <w:spacing w:before="33" w:line="360" w:lineRule="auto"/>
              <w:ind w:left="116"/>
              <w:rPr>
                <w:rFonts w:eastAsia="Times New Roman"/>
                <w:color w:val="auto"/>
                <w:sz w:val="21"/>
                <w:szCs w:val="21"/>
                <w:highlight w:val="none"/>
                <w:lang w:eastAsia="zh-CN"/>
              </w:rPr>
            </w:pPr>
          </w:p>
        </w:tc>
      </w:tr>
      <w:tr w14:paraId="449DC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67" w:type="dxa"/>
            <w:vMerge w:val="continue"/>
            <w:tcBorders>
              <w:top w:val="single" w:color="auto" w:sz="4" w:space="0"/>
              <w:left w:val="single" w:color="auto" w:sz="4" w:space="0"/>
              <w:bottom w:val="single" w:color="auto" w:sz="4" w:space="0"/>
              <w:right w:val="single" w:color="auto" w:sz="4" w:space="0"/>
            </w:tcBorders>
          </w:tcPr>
          <w:p w14:paraId="0BD48BC9">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7403558A">
            <w:pPr>
              <w:spacing w:before="57"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17</w:t>
            </w:r>
          </w:p>
        </w:tc>
        <w:tc>
          <w:tcPr>
            <w:tcW w:w="5250" w:type="dxa"/>
            <w:tcBorders>
              <w:top w:val="single" w:color="auto" w:sz="4" w:space="0"/>
              <w:left w:val="single" w:color="auto" w:sz="4" w:space="0"/>
              <w:bottom w:val="single" w:color="auto" w:sz="4" w:space="0"/>
              <w:right w:val="single" w:color="auto" w:sz="4" w:space="0"/>
            </w:tcBorders>
          </w:tcPr>
          <w:p w14:paraId="3EF57FD3">
            <w:pPr>
              <w:pStyle w:val="317"/>
              <w:spacing w:before="33" w:line="360" w:lineRule="auto"/>
              <w:ind w:left="11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提供资料弄虚作假的，每次扣</w:t>
            </w:r>
            <w:r>
              <w:rPr>
                <w:rFonts w:hint="eastAsia" w:eastAsia="Times New Roman"/>
                <w:color w:val="auto"/>
                <w:spacing w:val="-35"/>
                <w:sz w:val="21"/>
                <w:szCs w:val="21"/>
                <w:highlight w:val="none"/>
                <w:lang w:eastAsia="zh-CN"/>
              </w:rPr>
              <w:t xml:space="preserve"> </w:t>
            </w:r>
            <w:r>
              <w:rPr>
                <w:rFonts w:hint="eastAsia" w:eastAsia="Times New Roman"/>
                <w:color w:val="auto"/>
                <w:spacing w:val="-2"/>
                <w:sz w:val="21"/>
                <w:szCs w:val="21"/>
                <w:highlight w:val="none"/>
                <w:lang w:eastAsia="zh-CN"/>
              </w:rPr>
              <w:t>5分。</w:t>
            </w:r>
          </w:p>
        </w:tc>
        <w:tc>
          <w:tcPr>
            <w:tcW w:w="2377" w:type="dxa"/>
            <w:tcBorders>
              <w:top w:val="single" w:color="auto" w:sz="4" w:space="0"/>
              <w:left w:val="single" w:color="auto" w:sz="4" w:space="0"/>
              <w:bottom w:val="single" w:color="auto" w:sz="4" w:space="0"/>
              <w:right w:val="single" w:color="auto" w:sz="4" w:space="0"/>
            </w:tcBorders>
          </w:tcPr>
          <w:p w14:paraId="6B35A2AF">
            <w:pPr>
              <w:spacing w:line="360" w:lineRule="auto"/>
              <w:rPr>
                <w:rFonts w:ascii="宋体" w:hAnsi="宋体" w:eastAsia="Times New Roman" w:cs="宋体"/>
                <w:color w:val="auto"/>
                <w:szCs w:val="21"/>
                <w:highlight w:val="none"/>
                <w:lang w:eastAsia="en-US"/>
              </w:rPr>
            </w:pPr>
          </w:p>
        </w:tc>
      </w:tr>
      <w:tr w14:paraId="00FBC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267" w:type="dxa"/>
            <w:vMerge w:val="restart"/>
            <w:tcBorders>
              <w:top w:val="single" w:color="auto" w:sz="4" w:space="0"/>
              <w:left w:val="single" w:color="auto" w:sz="4" w:space="0"/>
              <w:bottom w:val="single" w:color="auto" w:sz="4" w:space="0"/>
              <w:right w:val="single" w:color="auto" w:sz="4" w:space="0"/>
            </w:tcBorders>
            <w:vAlign w:val="center"/>
          </w:tcPr>
          <w:p w14:paraId="6A215E74">
            <w:pPr>
              <w:pStyle w:val="317"/>
              <w:spacing w:before="176" w:line="360" w:lineRule="auto"/>
              <w:ind w:left="117" w:right="105" w:hanging="1"/>
              <w:jc w:val="center"/>
              <w:rPr>
                <w:rFonts w:eastAsia="Times New Roman"/>
                <w:color w:val="auto"/>
                <w:sz w:val="21"/>
                <w:szCs w:val="21"/>
                <w:highlight w:val="none"/>
                <w:lang w:eastAsia="zh-CN"/>
              </w:rPr>
            </w:pPr>
            <w:r>
              <w:rPr>
                <w:rFonts w:hint="eastAsia" w:eastAsia="Times New Roman"/>
                <w:color w:val="auto"/>
                <w:spacing w:val="-12"/>
                <w:sz w:val="21"/>
                <w:szCs w:val="21"/>
                <w:highlight w:val="none"/>
                <w:lang w:eastAsia="zh-CN"/>
              </w:rPr>
              <w:t>负面影响</w:t>
            </w:r>
          </w:p>
        </w:tc>
        <w:tc>
          <w:tcPr>
            <w:tcW w:w="679" w:type="dxa"/>
            <w:tcBorders>
              <w:top w:val="single" w:color="auto" w:sz="4" w:space="0"/>
              <w:left w:val="single" w:color="auto" w:sz="4" w:space="0"/>
              <w:right w:val="single" w:color="auto" w:sz="4" w:space="0"/>
            </w:tcBorders>
          </w:tcPr>
          <w:p w14:paraId="1D318845">
            <w:pPr>
              <w:spacing w:before="58"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2"/>
                <w:szCs w:val="21"/>
                <w:highlight w:val="none"/>
                <w:lang w:eastAsia="en-US"/>
              </w:rPr>
              <w:t>18</w:t>
            </w:r>
          </w:p>
        </w:tc>
        <w:tc>
          <w:tcPr>
            <w:tcW w:w="5250" w:type="dxa"/>
            <w:tcBorders>
              <w:top w:val="single" w:color="auto" w:sz="4" w:space="0"/>
              <w:left w:val="single" w:color="auto" w:sz="4" w:space="0"/>
              <w:right w:val="single" w:color="auto" w:sz="4" w:space="0"/>
            </w:tcBorders>
          </w:tcPr>
          <w:p w14:paraId="104589C6">
            <w:pPr>
              <w:pStyle w:val="317"/>
              <w:spacing w:before="33" w:line="360" w:lineRule="auto"/>
              <w:ind w:left="110"/>
              <w:rPr>
                <w:rFonts w:eastAsia="Times New Roman"/>
                <w:color w:val="auto"/>
                <w:sz w:val="21"/>
                <w:szCs w:val="21"/>
                <w:highlight w:val="none"/>
                <w:lang w:eastAsia="zh-CN"/>
              </w:rPr>
            </w:pPr>
            <w:r>
              <w:rPr>
                <w:rFonts w:hint="eastAsia" w:eastAsia="Times New Roman"/>
                <w:color w:val="auto"/>
                <w:spacing w:val="-3"/>
                <w:sz w:val="21"/>
                <w:szCs w:val="21"/>
                <w:highlight w:val="none"/>
                <w:lang w:eastAsia="zh-CN"/>
              </w:rPr>
              <w:t>被媒体负面曝光且属实的，每宗扣10分。</w:t>
            </w:r>
          </w:p>
        </w:tc>
        <w:tc>
          <w:tcPr>
            <w:tcW w:w="2377" w:type="dxa"/>
            <w:tcBorders>
              <w:top w:val="single" w:color="auto" w:sz="4" w:space="0"/>
              <w:left w:val="single" w:color="auto" w:sz="4" w:space="0"/>
              <w:bottom w:val="single" w:color="auto" w:sz="4" w:space="0"/>
              <w:right w:val="single" w:color="auto" w:sz="4" w:space="0"/>
            </w:tcBorders>
          </w:tcPr>
          <w:p w14:paraId="56C32813">
            <w:pPr>
              <w:spacing w:line="360" w:lineRule="auto"/>
              <w:rPr>
                <w:rFonts w:ascii="宋体" w:hAnsi="宋体" w:eastAsia="Times New Roman" w:cs="宋体"/>
                <w:color w:val="auto"/>
                <w:szCs w:val="21"/>
                <w:highlight w:val="none"/>
                <w:lang w:eastAsia="en-US"/>
              </w:rPr>
            </w:pPr>
          </w:p>
        </w:tc>
      </w:tr>
      <w:tr w14:paraId="06011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267" w:type="dxa"/>
            <w:vMerge w:val="restart"/>
            <w:tcBorders>
              <w:top w:val="single" w:color="auto" w:sz="4" w:space="0"/>
              <w:left w:val="single" w:color="auto" w:sz="4" w:space="0"/>
              <w:bottom w:val="single" w:color="auto" w:sz="4" w:space="0"/>
              <w:right w:val="single" w:color="auto" w:sz="4" w:space="0"/>
            </w:tcBorders>
            <w:vAlign w:val="center"/>
          </w:tcPr>
          <w:p w14:paraId="53FF2F2C">
            <w:pPr>
              <w:pStyle w:val="317"/>
              <w:spacing w:before="68" w:line="360" w:lineRule="auto"/>
              <w:ind w:left="117"/>
              <w:jc w:val="center"/>
              <w:rPr>
                <w:rFonts w:eastAsia="Times New Roman"/>
                <w:color w:val="auto"/>
                <w:sz w:val="21"/>
                <w:szCs w:val="21"/>
                <w:highlight w:val="none"/>
              </w:rPr>
            </w:pPr>
            <w:r>
              <w:rPr>
                <w:rFonts w:hint="eastAsia" w:eastAsia="Times New Roman"/>
                <w:color w:val="auto"/>
                <w:spacing w:val="-2"/>
                <w:sz w:val="21"/>
                <w:szCs w:val="21"/>
                <w:highlight w:val="none"/>
              </w:rPr>
              <w:t>其他</w:t>
            </w:r>
          </w:p>
        </w:tc>
        <w:tc>
          <w:tcPr>
            <w:tcW w:w="679" w:type="dxa"/>
            <w:tcBorders>
              <w:top w:val="single" w:color="auto" w:sz="4" w:space="0"/>
              <w:left w:val="single" w:color="auto" w:sz="4" w:space="0"/>
              <w:bottom w:val="single" w:color="auto" w:sz="4" w:space="0"/>
              <w:right w:val="single" w:color="auto" w:sz="4" w:space="0"/>
            </w:tcBorders>
          </w:tcPr>
          <w:p w14:paraId="7FC18B90">
            <w:pPr>
              <w:spacing w:before="55" w:line="360" w:lineRule="auto"/>
              <w:ind w:left="36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6"/>
                <w:szCs w:val="21"/>
                <w:highlight w:val="none"/>
                <w:lang w:eastAsia="en-US"/>
              </w:rPr>
              <w:t>19</w:t>
            </w:r>
          </w:p>
        </w:tc>
        <w:tc>
          <w:tcPr>
            <w:tcW w:w="5250" w:type="dxa"/>
            <w:tcBorders>
              <w:top w:val="single" w:color="auto" w:sz="4" w:space="0"/>
              <w:left w:val="single" w:color="auto" w:sz="4" w:space="0"/>
              <w:bottom w:val="single" w:color="auto" w:sz="4" w:space="0"/>
              <w:right w:val="single" w:color="auto" w:sz="4" w:space="0"/>
            </w:tcBorders>
          </w:tcPr>
          <w:p w14:paraId="3F1418AF">
            <w:pPr>
              <w:pStyle w:val="317"/>
              <w:spacing w:before="35" w:line="360" w:lineRule="auto"/>
              <w:ind w:left="115" w:right="101" w:hanging="4"/>
              <w:rPr>
                <w:rFonts w:eastAsia="Times New Roman"/>
                <w:color w:val="auto"/>
                <w:sz w:val="21"/>
                <w:szCs w:val="21"/>
                <w:highlight w:val="none"/>
                <w:lang w:eastAsia="zh-CN"/>
              </w:rPr>
            </w:pPr>
            <w:r>
              <w:rPr>
                <w:rFonts w:hint="eastAsia" w:eastAsia="Times New Roman"/>
                <w:color w:val="auto"/>
                <w:spacing w:val="13"/>
                <w:sz w:val="21"/>
                <w:szCs w:val="21"/>
                <w:highlight w:val="none"/>
                <w:lang w:eastAsia="zh-CN"/>
              </w:rPr>
              <w:t>有违反招标文件及合同规定的其他违约事件</w:t>
            </w:r>
            <w:r>
              <w:rPr>
                <w:rFonts w:hint="eastAsia" w:eastAsia="Times New Roman"/>
                <w:color w:val="auto"/>
                <w:spacing w:val="-3"/>
                <w:sz w:val="21"/>
                <w:szCs w:val="21"/>
                <w:highlight w:val="none"/>
                <w:lang w:eastAsia="zh-CN"/>
              </w:rPr>
              <w:t>的，每发现1次，需按违约性质并结合上述违</w:t>
            </w:r>
            <w:r>
              <w:rPr>
                <w:rFonts w:hint="eastAsia" w:eastAsia="Times New Roman"/>
                <w:color w:val="auto"/>
                <w:spacing w:val="2"/>
                <w:sz w:val="21"/>
                <w:szCs w:val="21"/>
                <w:highlight w:val="none"/>
                <w:lang w:eastAsia="zh-CN"/>
              </w:rPr>
              <w:t>约类别，每次扣5分。</w:t>
            </w:r>
          </w:p>
        </w:tc>
        <w:tc>
          <w:tcPr>
            <w:tcW w:w="2377" w:type="dxa"/>
            <w:tcBorders>
              <w:top w:val="single" w:color="auto" w:sz="4" w:space="0"/>
              <w:left w:val="single" w:color="auto" w:sz="4" w:space="0"/>
              <w:bottom w:val="single" w:color="auto" w:sz="4" w:space="0"/>
              <w:right w:val="single" w:color="auto" w:sz="4" w:space="0"/>
            </w:tcBorders>
          </w:tcPr>
          <w:p w14:paraId="0103D7B5">
            <w:pPr>
              <w:spacing w:line="360" w:lineRule="auto"/>
              <w:rPr>
                <w:rFonts w:ascii="宋体" w:hAnsi="宋体" w:eastAsia="Times New Roman" w:cs="宋体"/>
                <w:color w:val="auto"/>
                <w:szCs w:val="21"/>
                <w:highlight w:val="none"/>
                <w:lang w:eastAsia="en-US"/>
              </w:rPr>
            </w:pPr>
          </w:p>
        </w:tc>
      </w:tr>
      <w:tr w14:paraId="0F413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267" w:type="dxa"/>
            <w:vMerge w:val="continue"/>
            <w:tcBorders>
              <w:top w:val="single" w:color="auto" w:sz="4" w:space="0"/>
              <w:left w:val="single" w:color="auto" w:sz="4" w:space="0"/>
              <w:bottom w:val="single" w:color="auto" w:sz="4" w:space="0"/>
              <w:right w:val="single" w:color="auto" w:sz="4" w:space="0"/>
            </w:tcBorders>
          </w:tcPr>
          <w:p w14:paraId="6A2E5B2B">
            <w:pPr>
              <w:spacing w:line="360" w:lineRule="auto"/>
              <w:rPr>
                <w:rFonts w:ascii="宋体" w:hAnsi="宋体" w:eastAsia="Times New Roman" w:cs="宋体"/>
                <w:color w:val="auto"/>
                <w:szCs w:val="21"/>
                <w:highlight w:val="none"/>
                <w:lang w:eastAsia="en-US"/>
              </w:rPr>
            </w:pPr>
          </w:p>
        </w:tc>
        <w:tc>
          <w:tcPr>
            <w:tcW w:w="679" w:type="dxa"/>
            <w:tcBorders>
              <w:top w:val="single" w:color="auto" w:sz="4" w:space="0"/>
              <w:left w:val="single" w:color="auto" w:sz="4" w:space="0"/>
              <w:bottom w:val="single" w:color="auto" w:sz="4" w:space="0"/>
              <w:right w:val="single" w:color="auto" w:sz="4" w:space="0"/>
            </w:tcBorders>
          </w:tcPr>
          <w:p w14:paraId="0F6C716E">
            <w:pPr>
              <w:spacing w:before="58" w:line="360" w:lineRule="auto"/>
              <w:ind w:left="343"/>
              <w:jc w:val="left"/>
              <w:rPr>
                <w:rFonts w:ascii="宋体" w:hAnsi="宋体" w:eastAsia="Times New Roman" w:cs="宋体"/>
                <w:color w:val="auto"/>
                <w:szCs w:val="21"/>
                <w:highlight w:val="none"/>
                <w:lang w:eastAsia="en-US"/>
              </w:rPr>
            </w:pPr>
            <w:r>
              <w:rPr>
                <w:rFonts w:hint="eastAsia" w:ascii="宋体" w:hAnsi="宋体" w:eastAsia="Times New Roman" w:cs="宋体"/>
                <w:color w:val="auto"/>
                <w:spacing w:val="-1"/>
                <w:szCs w:val="21"/>
                <w:highlight w:val="none"/>
                <w:lang w:eastAsia="en-US"/>
              </w:rPr>
              <w:t>20</w:t>
            </w:r>
          </w:p>
        </w:tc>
        <w:tc>
          <w:tcPr>
            <w:tcW w:w="5250" w:type="dxa"/>
            <w:tcBorders>
              <w:top w:val="single" w:color="auto" w:sz="4" w:space="0"/>
              <w:left w:val="single" w:color="auto" w:sz="4" w:space="0"/>
              <w:bottom w:val="single" w:color="auto" w:sz="4" w:space="0"/>
              <w:right w:val="single" w:color="auto" w:sz="4" w:space="0"/>
            </w:tcBorders>
          </w:tcPr>
          <w:p w14:paraId="4E483ADD">
            <w:pPr>
              <w:pStyle w:val="317"/>
              <w:spacing w:before="34" w:line="360" w:lineRule="auto"/>
              <w:ind w:left="113" w:right="105" w:hanging="1"/>
              <w:rPr>
                <w:rFonts w:eastAsia="Times New Roman"/>
                <w:color w:val="auto"/>
                <w:sz w:val="21"/>
                <w:szCs w:val="21"/>
                <w:highlight w:val="none"/>
                <w:lang w:eastAsia="zh-CN"/>
              </w:rPr>
            </w:pPr>
            <w:r>
              <w:rPr>
                <w:rFonts w:hint="eastAsia" w:eastAsia="Times New Roman"/>
                <w:color w:val="auto"/>
                <w:spacing w:val="2"/>
                <w:sz w:val="21"/>
                <w:szCs w:val="21"/>
                <w:highlight w:val="none"/>
                <w:lang w:eastAsia="zh-CN"/>
              </w:rPr>
              <w:t>服务人员操作熟练程度，影响采购人工作的，每次扣3分。</w:t>
            </w:r>
          </w:p>
        </w:tc>
        <w:tc>
          <w:tcPr>
            <w:tcW w:w="2377" w:type="dxa"/>
            <w:tcBorders>
              <w:top w:val="single" w:color="auto" w:sz="4" w:space="0"/>
              <w:left w:val="single" w:color="auto" w:sz="4" w:space="0"/>
              <w:bottom w:val="single" w:color="auto" w:sz="4" w:space="0"/>
              <w:right w:val="single" w:color="auto" w:sz="4" w:space="0"/>
            </w:tcBorders>
          </w:tcPr>
          <w:p w14:paraId="44070913">
            <w:pPr>
              <w:spacing w:line="360" w:lineRule="auto"/>
              <w:rPr>
                <w:rFonts w:ascii="宋体" w:hAnsi="宋体" w:eastAsia="Times New Roman" w:cs="宋体"/>
                <w:color w:val="auto"/>
                <w:szCs w:val="21"/>
                <w:highlight w:val="none"/>
                <w:lang w:eastAsia="en-US"/>
              </w:rPr>
            </w:pPr>
          </w:p>
        </w:tc>
      </w:tr>
    </w:tbl>
    <w:p w14:paraId="17DB5588">
      <w:pPr>
        <w:spacing w:before="81" w:line="360" w:lineRule="auto"/>
        <w:rPr>
          <w:rFonts w:ascii="宋体" w:hAnsi="宋体" w:cs="宋体"/>
          <w:color w:val="auto"/>
          <w:szCs w:val="21"/>
          <w:highlight w:val="none"/>
        </w:rPr>
      </w:pPr>
      <w:r>
        <w:rPr>
          <w:rFonts w:hint="eastAsia" w:ascii="宋体" w:hAnsi="宋体" w:cs="宋体"/>
          <w:color w:val="auto"/>
          <w:spacing w:val="-5"/>
          <w:szCs w:val="21"/>
          <w:highlight w:val="none"/>
        </w:rPr>
        <w:t>备注：由采购人组成考核小组，每学期考核1次。</w:t>
      </w:r>
    </w:p>
    <w:p w14:paraId="546D0B63">
      <w:pP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clear="all"/>
      </w:r>
    </w:p>
    <w:p w14:paraId="765AABA7">
      <w:pPr>
        <w:widowControl/>
        <w:jc w:val="left"/>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附件2：</w:t>
      </w:r>
    </w:p>
    <w:p w14:paraId="0F782BF1">
      <w:pPr>
        <w:pStyle w:val="18"/>
        <w:jc w:val="center"/>
        <w:rPr>
          <w:b/>
          <w:color w:val="auto"/>
          <w:sz w:val="28"/>
          <w:szCs w:val="28"/>
          <w:highlight w:val="none"/>
        </w:rPr>
      </w:pPr>
      <w:r>
        <w:rPr>
          <w:rFonts w:hint="eastAsia"/>
          <w:b/>
          <w:color w:val="auto"/>
          <w:sz w:val="28"/>
          <w:szCs w:val="28"/>
          <w:highlight w:val="none"/>
        </w:rPr>
        <w:t>中小企业划型标准规定</w:t>
      </w:r>
    </w:p>
    <w:p w14:paraId="103A8336">
      <w:pPr>
        <w:pStyle w:val="18"/>
        <w:jc w:val="center"/>
        <w:rPr>
          <w:rFonts w:ascii="宋体" w:hAnsi="宋体"/>
          <w:color w:val="auto"/>
          <w:sz w:val="21"/>
          <w:szCs w:val="21"/>
          <w:highlight w:val="none"/>
        </w:rPr>
      </w:pPr>
      <w:r>
        <w:rPr>
          <w:rFonts w:hint="eastAsia" w:ascii="宋体" w:hAnsi="宋体"/>
          <w:color w:val="auto"/>
          <w:sz w:val="21"/>
          <w:szCs w:val="21"/>
          <w:highlight w:val="none"/>
        </w:rPr>
        <w:t>工信部联企业〔2011〕300号</w:t>
      </w:r>
    </w:p>
    <w:p w14:paraId="2FC86D1C">
      <w:pPr>
        <w:pStyle w:val="18"/>
        <w:rPr>
          <w:color w:val="auto"/>
          <w:szCs w:val="21"/>
          <w:highlight w:val="none"/>
        </w:rPr>
      </w:pPr>
    </w:p>
    <w:p w14:paraId="370E9161">
      <w:pPr>
        <w:pStyle w:val="18"/>
        <w:rPr>
          <w:color w:val="auto"/>
          <w:szCs w:val="21"/>
          <w:highlight w:val="none"/>
        </w:rPr>
      </w:pPr>
      <w:r>
        <w:rPr>
          <w:rFonts w:hint="eastAsia"/>
          <w:color w:val="auto"/>
          <w:szCs w:val="21"/>
          <w:highlight w:val="none"/>
        </w:rPr>
        <w:t>　　一、根据《中华人民共和国中小企业促进法》和《国务院关于进一步促进中小企业发展的若干意见（国发〔2009〕36号），制定本规定。</w:t>
      </w:r>
    </w:p>
    <w:p w14:paraId="44EC17A5">
      <w:pPr>
        <w:pStyle w:val="18"/>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3053F3E0">
      <w:pPr>
        <w:pStyle w:val="18"/>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FBFB789">
      <w:pPr>
        <w:pStyle w:val="18"/>
        <w:rPr>
          <w:color w:val="auto"/>
          <w:szCs w:val="21"/>
          <w:highlight w:val="none"/>
        </w:rPr>
      </w:pPr>
      <w:r>
        <w:rPr>
          <w:rFonts w:hint="eastAsia"/>
          <w:color w:val="auto"/>
          <w:szCs w:val="21"/>
          <w:highlight w:val="none"/>
        </w:rPr>
        <w:t>　　四、各行业划型标准为：</w:t>
      </w:r>
    </w:p>
    <w:p w14:paraId="18F0D079">
      <w:pPr>
        <w:pStyle w:val="18"/>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697A734B">
      <w:pPr>
        <w:pStyle w:val="18"/>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19A5ED13">
      <w:pPr>
        <w:pStyle w:val="18"/>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0D84A9CD">
      <w:pPr>
        <w:pStyle w:val="18"/>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3572E448">
      <w:pPr>
        <w:pStyle w:val="18"/>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3AC6A96">
      <w:pPr>
        <w:pStyle w:val="18"/>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5881BA75">
      <w:pPr>
        <w:pStyle w:val="18"/>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3DAFCAA">
      <w:pPr>
        <w:pStyle w:val="18"/>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31BB74A">
      <w:pPr>
        <w:pStyle w:val="18"/>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5347D4">
      <w:pPr>
        <w:pStyle w:val="18"/>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AF787D3">
      <w:pPr>
        <w:pStyle w:val="18"/>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522AB81">
      <w:pPr>
        <w:pStyle w:val="18"/>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0E1A4577">
      <w:pPr>
        <w:pStyle w:val="18"/>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20E7924A">
      <w:pPr>
        <w:pStyle w:val="18"/>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6EE3F33A">
      <w:pPr>
        <w:pStyle w:val="18"/>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39F6E9D0">
      <w:pPr>
        <w:pStyle w:val="18"/>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5074A036">
      <w:pPr>
        <w:pStyle w:val="18"/>
        <w:rPr>
          <w:color w:val="auto"/>
          <w:szCs w:val="21"/>
          <w:highlight w:val="none"/>
        </w:rPr>
      </w:pPr>
      <w:r>
        <w:rPr>
          <w:rFonts w:hint="eastAsia"/>
          <w:color w:val="auto"/>
          <w:szCs w:val="21"/>
          <w:highlight w:val="none"/>
        </w:rPr>
        <w:t>　　五、企业类型的划分以统计部门的统计数据为依据。</w:t>
      </w:r>
    </w:p>
    <w:p w14:paraId="253314AE">
      <w:pPr>
        <w:pStyle w:val="18"/>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33AD219E">
      <w:pPr>
        <w:pStyle w:val="18"/>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13EF6C0A">
      <w:pPr>
        <w:pStyle w:val="18"/>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6310739A">
      <w:pPr>
        <w:pStyle w:val="18"/>
        <w:rPr>
          <w:color w:val="auto"/>
          <w:szCs w:val="21"/>
          <w:highlight w:val="none"/>
        </w:rPr>
      </w:pPr>
      <w:r>
        <w:rPr>
          <w:rFonts w:hint="eastAsia"/>
          <w:color w:val="auto"/>
          <w:szCs w:val="21"/>
          <w:highlight w:val="none"/>
        </w:rPr>
        <w:t>　　九、本规定由工业和信息化部、国家统计局会同有关部门负责解释。</w:t>
      </w:r>
    </w:p>
    <w:p w14:paraId="092FCF16">
      <w:pPr>
        <w:pStyle w:val="18"/>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0A28474D">
      <w:pPr>
        <w:rPr>
          <w:rFonts w:ascii="宋体" w:hAnsi="宋体" w:cs="宋体"/>
          <w:color w:val="auto"/>
          <w:sz w:val="20"/>
          <w:szCs w:val="20"/>
          <w:highlight w:val="none"/>
        </w:rPr>
      </w:pPr>
    </w:p>
    <w:p w14:paraId="46441350">
      <w:pPr>
        <w:spacing w:before="3"/>
        <w:rPr>
          <w:rFonts w:ascii="宋体" w:hAnsi="宋体" w:cs="宋体"/>
          <w:color w:val="auto"/>
          <w:sz w:val="15"/>
          <w:szCs w:val="15"/>
          <w:highlight w:val="none"/>
        </w:rPr>
      </w:pPr>
    </w:p>
    <w:p w14:paraId="3AF590AE">
      <w:pPr>
        <w:widowControl/>
        <w:rPr>
          <w:rFonts w:ascii="宋体" w:hAnsi="宋体" w:cs="宋体"/>
          <w:color w:val="auto"/>
          <w:sz w:val="20"/>
          <w:szCs w:val="20"/>
          <w:highlight w:val="none"/>
        </w:rPr>
        <w:sectPr>
          <w:pgSz w:w="11911" w:h="16838"/>
          <w:pgMar w:top="1519" w:right="1502" w:bottom="278" w:left="1678" w:header="720" w:footer="720" w:gutter="0"/>
          <w:cols w:space="0" w:num="1"/>
          <w:titlePg/>
        </w:sectPr>
      </w:pPr>
    </w:p>
    <w:p w14:paraId="3E2B1050">
      <w:pPr>
        <w:pStyle w:val="2"/>
        <w:keepNext w:val="0"/>
        <w:keepLines w:val="0"/>
        <w:tabs>
          <w:tab w:val="left" w:pos="0"/>
          <w:tab w:val="left" w:pos="3165"/>
          <w:tab w:val="center" w:pos="4153"/>
        </w:tabs>
        <w:spacing w:before="0" w:after="0" w:line="360" w:lineRule="auto"/>
        <w:jc w:val="center"/>
        <w:rPr>
          <w:color w:val="auto"/>
          <w:highlight w:val="none"/>
        </w:rPr>
      </w:pPr>
      <w:bookmarkStart w:id="44" w:name="_Toc25688"/>
      <w:r>
        <w:rPr>
          <w:rFonts w:hint="eastAsia"/>
          <w:color w:val="auto"/>
          <w:highlight w:val="none"/>
        </w:rPr>
        <w:t>第三章  投标人须知</w:t>
      </w:r>
      <w:bookmarkEnd w:id="44"/>
    </w:p>
    <w:p w14:paraId="151DAB40">
      <w:pPr>
        <w:jc w:val="center"/>
        <w:rPr>
          <w:color w:val="auto"/>
          <w:sz w:val="36"/>
          <w:szCs w:val="36"/>
          <w:highlight w:val="none"/>
        </w:rPr>
      </w:pPr>
      <w:bookmarkStart w:id="45" w:name="_Toc254970667"/>
      <w:bookmarkStart w:id="46" w:name="_Toc254970526"/>
      <w:r>
        <w:rPr>
          <w:rFonts w:hint="eastAsia"/>
          <w:color w:val="auto"/>
          <w:sz w:val="36"/>
          <w:szCs w:val="36"/>
          <w:highlight w:val="none"/>
        </w:rPr>
        <w:t>投标人须知前附表</w:t>
      </w:r>
      <w:bookmarkEnd w:id="45"/>
      <w:bookmarkEnd w:id="46"/>
    </w:p>
    <w:tbl>
      <w:tblPr>
        <w:tblStyle w:val="48"/>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74DB9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E3F7617">
            <w:pPr>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53A220E7">
            <w:pPr>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51420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4814DB1">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vAlign w:val="center"/>
          </w:tcPr>
          <w:p w14:paraId="2F8E456F">
            <w:pPr>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000A8DC4">
            <w:pPr>
              <w:spacing w:line="360" w:lineRule="auto"/>
              <w:jc w:val="lef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2FED54E5">
            <w:pPr>
              <w:spacing w:line="360" w:lineRule="auto"/>
              <w:jc w:val="left"/>
              <w:rPr>
                <w:rFonts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EDEB3FA">
            <w:pPr>
              <w:spacing w:line="360" w:lineRule="auto"/>
              <w:jc w:val="left"/>
              <w:rPr>
                <w:rFonts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F99A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90F5767">
            <w:pPr>
              <w:spacing w:line="360" w:lineRule="auto"/>
              <w:jc w:val="center"/>
              <w:rPr>
                <w:rFonts w:ascii="宋体" w:hAnsi="宋体"/>
                <w:color w:val="auto"/>
                <w:szCs w:val="21"/>
                <w:highlight w:val="none"/>
              </w:rPr>
            </w:pPr>
            <w:bookmarkStart w:id="47" w:name="_8.1"/>
            <w:bookmarkEnd w:id="47"/>
            <w:bookmarkStart w:id="48" w:name="_9.2"/>
            <w:bookmarkEnd w:id="48"/>
            <w:bookmarkStart w:id="49" w:name="_5"/>
            <w:bookmarkEnd w:id="49"/>
            <w:r>
              <w:rPr>
                <w:rFonts w:hint="eastAsia" w:ascii="宋体" w:hAnsi="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vAlign w:val="center"/>
          </w:tcPr>
          <w:p w14:paraId="6C98DC3D">
            <w:pPr>
              <w:pStyle w:val="16"/>
              <w:spacing w:line="360" w:lineRule="auto"/>
              <w:rPr>
                <w:rFonts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62593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BEC089A">
            <w:pPr>
              <w:spacing w:line="360" w:lineRule="auto"/>
              <w:jc w:val="center"/>
              <w:rPr>
                <w:rFonts w:ascii="宋体" w:hAnsi="宋体"/>
                <w:color w:val="auto"/>
                <w:szCs w:val="21"/>
                <w:highlight w:val="none"/>
              </w:rPr>
            </w:pPr>
            <w:r>
              <w:rPr>
                <w:rFonts w:ascii="宋体" w:hAnsi="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vAlign w:val="center"/>
          </w:tcPr>
          <w:p w14:paraId="29130477">
            <w:pPr>
              <w:pStyle w:val="16"/>
              <w:spacing w:line="360" w:lineRule="auto"/>
              <w:rPr>
                <w:rFonts w:ascii="宋体" w:hAnsi="宋体"/>
                <w:color w:val="auto"/>
                <w:szCs w:val="21"/>
                <w:highlight w:val="none"/>
              </w:rPr>
            </w:pPr>
            <w:bookmarkStart w:id="50" w:name="_Hlk54105293"/>
            <w:r>
              <w:rPr>
                <w:rFonts w:hint="eastAsia" w:ascii="宋体" w:hAnsi="宋体"/>
                <w:color w:val="auto"/>
                <w:szCs w:val="21"/>
                <w:highlight w:val="none"/>
              </w:rPr>
              <w:t>如接受联合体投标，</w:t>
            </w:r>
            <w:bookmarkEnd w:id="50"/>
            <w:r>
              <w:rPr>
                <w:rFonts w:hint="eastAsia" w:ascii="宋体" w:hAnsi="宋体"/>
                <w:color w:val="auto"/>
                <w:szCs w:val="21"/>
                <w:highlight w:val="none"/>
              </w:rPr>
              <w:t>联合体投标要求如下：</w:t>
            </w:r>
          </w:p>
          <w:p w14:paraId="599F2145">
            <w:pPr>
              <w:pStyle w:val="16"/>
              <w:spacing w:line="360" w:lineRule="auto"/>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两个以上投标人可以组成一个投标联合体，以一个投标人的身份共同参加投标。</w:t>
            </w:r>
            <w:r>
              <w:rPr>
                <w:rFonts w:hint="eastAsia" w:ascii="宋体" w:hAnsi="宋体"/>
                <w:b/>
                <w:bCs/>
                <w:color w:val="auto"/>
                <w:szCs w:val="21"/>
                <w:highlight w:val="none"/>
              </w:rPr>
              <w:t>联合体投标的，须提供《联合体投标协议书》（格式后附）</w:t>
            </w:r>
            <w:r>
              <w:rPr>
                <w:rFonts w:hint="eastAsia" w:ascii="宋体" w:hAnsi="宋体"/>
                <w:color w:val="auto"/>
                <w:szCs w:val="21"/>
                <w:highlight w:val="none"/>
              </w:rPr>
              <w:t>。</w:t>
            </w:r>
          </w:p>
          <w:p w14:paraId="48CC3E51">
            <w:pPr>
              <w:pStyle w:val="16"/>
              <w:spacing w:line="360" w:lineRule="auto"/>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5E7F72A1">
            <w:pPr>
              <w:pStyle w:val="16"/>
              <w:spacing w:line="360" w:lineRule="auto"/>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联合体各方之间必须签订联合投标协议，协议书必须明确主体方（或者牵头方）并明确约定联合体各方承担的工作和相应的责任（</w:t>
            </w:r>
            <w:r>
              <w:rPr>
                <w:rFonts w:hint="eastAsia" w:ascii="宋体" w:hAnsi="宋体"/>
                <w:b/>
                <w:color w:val="auto"/>
                <w:szCs w:val="21"/>
                <w:highlight w:val="none"/>
              </w:rPr>
              <w:t>各方承担责任与义务的分工必须符合采购需求，否则，联合体投标无效</w:t>
            </w:r>
            <w:r>
              <w:rPr>
                <w:rFonts w:hint="eastAsia" w:ascii="宋体" w:hAnsi="宋体"/>
                <w:color w:val="auto"/>
                <w:szCs w:val="21"/>
                <w:highlight w:val="none"/>
              </w:rPr>
              <w:t>），并将联合投标协议放入投标文件。联合体各方必须共同与采购人签订采购合同，就采购合同约定的事项对采购人承担连带责任。</w:t>
            </w:r>
          </w:p>
          <w:p w14:paraId="5A5D7616">
            <w:pPr>
              <w:pStyle w:val="16"/>
              <w:spacing w:line="360" w:lineRule="auto"/>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以联合体形式参加政府采购活动的，联合体各方不得再单独参加或者与其他投标人另外组成联合体参加同一合同项下的政府采购活动。</w:t>
            </w:r>
          </w:p>
          <w:p w14:paraId="4E87FD89">
            <w:pPr>
              <w:pStyle w:val="16"/>
              <w:spacing w:line="360" w:lineRule="auto"/>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联合体中有同类资质的投标人按照联合体分工承担相同工作的，应当按照资质等级较低的投标人确定资质等级。</w:t>
            </w:r>
          </w:p>
          <w:p w14:paraId="52165EEA">
            <w:pPr>
              <w:pStyle w:val="16"/>
              <w:spacing w:line="360" w:lineRule="auto"/>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联合体投标业绩、履约能力按照联合体各方其中较高的一方认定并计算（招标文件另有规定的除外）。</w:t>
            </w:r>
          </w:p>
          <w:p w14:paraId="3F44114C">
            <w:pPr>
              <w:pStyle w:val="16"/>
              <w:spacing w:line="360" w:lineRule="auto"/>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投标人为联合体的，可以由联合体中的一方或者多方共同交纳投标保证金，其交纳的保证金对联合体各方均具有约束力。</w:t>
            </w:r>
          </w:p>
          <w:p w14:paraId="315865BB">
            <w:pPr>
              <w:pStyle w:val="16"/>
              <w:spacing w:line="360" w:lineRule="auto"/>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联合体各方均应按照招标文件的规定提交资格证明文件。</w:t>
            </w:r>
          </w:p>
        </w:tc>
      </w:tr>
      <w:tr w14:paraId="68EA80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24FF90E">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vAlign w:val="center"/>
          </w:tcPr>
          <w:p w14:paraId="31126B13">
            <w:pPr>
              <w:pStyle w:val="16"/>
              <w:spacing w:line="360" w:lineRule="auto"/>
              <w:rPr>
                <w:rFonts w:ascii="宋体" w:hAnsi="宋体"/>
                <w:color w:val="auto"/>
                <w:szCs w:val="21"/>
                <w:highlight w:val="none"/>
              </w:rPr>
            </w:pPr>
            <w:r>
              <w:rPr>
                <w:rFonts w:hint="eastAsia" w:ascii="宋体" w:hAnsi="宋体"/>
                <w:color w:val="auto"/>
                <w:szCs w:val="21"/>
                <w:highlight w:val="none"/>
              </w:rPr>
              <w:t>☑不允许分包</w:t>
            </w:r>
          </w:p>
          <w:p w14:paraId="2AA27B57">
            <w:pPr>
              <w:pStyle w:val="16"/>
              <w:spacing w:line="360" w:lineRule="auto"/>
              <w:rPr>
                <w:rFonts w:ascii="宋体" w:hAnsi="宋体"/>
                <w:color w:val="auto"/>
                <w:szCs w:val="21"/>
                <w:highlight w:val="none"/>
              </w:rPr>
            </w:pPr>
            <w:r>
              <w:rPr>
                <w:rFonts w:hint="eastAsia" w:ascii="宋体" w:hAnsi="宋体"/>
                <w:color w:val="auto"/>
                <w:szCs w:val="21"/>
                <w:highlight w:val="none"/>
              </w:rPr>
              <w:t>□允许分包</w:t>
            </w:r>
          </w:p>
          <w:p w14:paraId="36627E5D">
            <w:pPr>
              <w:pStyle w:val="16"/>
              <w:spacing w:line="360" w:lineRule="auto"/>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 。</w:t>
            </w:r>
          </w:p>
          <w:p w14:paraId="7B9693BE">
            <w:pPr>
              <w:pStyle w:val="16"/>
              <w:spacing w:line="360" w:lineRule="auto"/>
              <w:jc w:val="both"/>
              <w:rPr>
                <w:rFonts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  。</w:t>
            </w:r>
          </w:p>
        </w:tc>
      </w:tr>
      <w:tr w14:paraId="20068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00953190">
            <w:pPr>
              <w:spacing w:line="360" w:lineRule="auto"/>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175" w:type="dxa"/>
            <w:tcBorders>
              <w:top w:val="single" w:color="auto" w:sz="4" w:space="0"/>
              <w:left w:val="single" w:color="auto" w:sz="4" w:space="0"/>
              <w:bottom w:val="single" w:color="auto" w:sz="4" w:space="0"/>
              <w:right w:val="single" w:color="auto" w:sz="4" w:space="0"/>
            </w:tcBorders>
            <w:vAlign w:val="center"/>
          </w:tcPr>
          <w:p w14:paraId="769B24BF">
            <w:pPr>
              <w:spacing w:line="360" w:lineRule="auto"/>
              <w:rPr>
                <w:rFonts w:ascii="宋体" w:hAnsi="宋体"/>
                <w:color w:val="auto"/>
                <w:szCs w:val="21"/>
                <w:highlight w:val="none"/>
              </w:rPr>
            </w:pPr>
            <w:r>
              <w:rPr>
                <w:rFonts w:hint="eastAsia" w:ascii="宋体" w:hAnsi="宋体"/>
                <w:color w:val="auto"/>
                <w:szCs w:val="21"/>
                <w:highlight w:val="none"/>
              </w:rPr>
              <w:t>☑不组织现场考察</w:t>
            </w:r>
          </w:p>
          <w:p w14:paraId="38DD9F83">
            <w:pPr>
              <w:spacing w:line="360" w:lineRule="auto"/>
              <w:rPr>
                <w:rFonts w:ascii="宋体" w:hAnsi="宋体"/>
                <w:color w:val="auto"/>
                <w:szCs w:val="21"/>
                <w:highlight w:val="none"/>
              </w:rPr>
            </w:pPr>
            <w:r>
              <w:rPr>
                <w:rFonts w:hint="eastAsia" w:ascii="宋体" w:hAnsi="宋体"/>
                <w:color w:val="auto"/>
                <w:szCs w:val="21"/>
                <w:highlight w:val="none"/>
              </w:rPr>
              <w:t>□组织现场考察：</w:t>
            </w:r>
          </w:p>
          <w:p w14:paraId="293D27CD">
            <w:pPr>
              <w:spacing w:line="360" w:lineRule="auto"/>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2A2CBAB1">
            <w:pPr>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36A90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35C8C684">
            <w:pPr>
              <w:spacing w:line="360" w:lineRule="auto"/>
              <w:jc w:val="center"/>
              <w:rPr>
                <w:rFonts w:ascii="宋体" w:hAnsi="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vAlign w:val="center"/>
          </w:tcPr>
          <w:p w14:paraId="72747710">
            <w:pPr>
              <w:spacing w:line="360" w:lineRule="auto"/>
              <w:rPr>
                <w:rFonts w:ascii="宋体" w:hAnsi="宋体"/>
                <w:color w:val="auto"/>
                <w:szCs w:val="21"/>
                <w:highlight w:val="none"/>
              </w:rPr>
            </w:pPr>
            <w:r>
              <w:rPr>
                <w:rFonts w:hint="eastAsia" w:ascii="宋体" w:hAnsi="宋体"/>
                <w:color w:val="auto"/>
                <w:szCs w:val="21"/>
                <w:highlight w:val="none"/>
              </w:rPr>
              <w:t>☑不组织召开开标前答疑会</w:t>
            </w:r>
          </w:p>
          <w:p w14:paraId="79089B18">
            <w:pPr>
              <w:spacing w:line="360" w:lineRule="auto"/>
              <w:rPr>
                <w:rFonts w:ascii="宋体" w:hAnsi="宋体"/>
                <w:color w:val="auto"/>
                <w:szCs w:val="21"/>
                <w:highlight w:val="none"/>
              </w:rPr>
            </w:pPr>
            <w:r>
              <w:rPr>
                <w:rFonts w:hint="eastAsia" w:ascii="宋体" w:hAnsi="宋体"/>
                <w:color w:val="auto"/>
                <w:szCs w:val="21"/>
                <w:highlight w:val="none"/>
              </w:rPr>
              <w:t>□组织召开开标前答疑会</w:t>
            </w:r>
          </w:p>
          <w:p w14:paraId="5A32D257">
            <w:pPr>
              <w:spacing w:line="360" w:lineRule="auto"/>
              <w:rPr>
                <w:rFonts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7509B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52E5A088">
            <w:pPr>
              <w:spacing w:line="360" w:lineRule="auto"/>
              <w:rPr>
                <w:rFonts w:ascii="宋体" w:hAnsi="宋体"/>
                <w:color w:val="auto"/>
                <w:szCs w:val="21"/>
                <w:highlight w:val="none"/>
              </w:rPr>
            </w:pPr>
            <w:bookmarkStart w:id="51" w:name="_13.1"/>
            <w:bookmarkEnd w:id="51"/>
            <w:r>
              <w:rPr>
                <w:rFonts w:hint="eastAsia" w:ascii="宋体" w:hAnsi="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vAlign w:val="center"/>
          </w:tcPr>
          <w:p w14:paraId="4E4C52B4">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报价文件：</w:t>
            </w:r>
          </w:p>
          <w:p w14:paraId="610DA04D">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62CB8CCD">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2.开标一览表（格式后附）；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5E584B7">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3.投标人针对报价需要说明的其他文件和说明（格式自拟）。</w:t>
            </w:r>
            <w:r>
              <w:rPr>
                <w:rFonts w:hint="eastAsia" w:ascii="宋体" w:hAnsi="宋体"/>
                <w:iCs/>
                <w:color w:val="auto"/>
                <w:szCs w:val="21"/>
                <w:highlight w:val="none"/>
              </w:rPr>
              <w:t>（如有则提供）</w:t>
            </w:r>
          </w:p>
          <w:p w14:paraId="41213E11">
            <w:pPr>
              <w:tabs>
                <w:tab w:val="left" w:pos="459"/>
              </w:tabs>
              <w:spacing w:line="360" w:lineRule="auto"/>
              <w:ind w:left="420"/>
              <w:jc w:val="left"/>
              <w:rPr>
                <w:rFonts w:ascii="宋体" w:hAnsi="宋体"/>
                <w:color w:val="auto"/>
                <w:szCs w:val="21"/>
                <w:highlight w:val="none"/>
              </w:rPr>
            </w:pPr>
            <w:r>
              <w:rPr>
                <w:rFonts w:hint="eastAsia" w:ascii="宋体" w:hAnsi="宋体" w:cs="宋体"/>
                <w:b/>
                <w:color w:val="auto"/>
                <w:szCs w:val="21"/>
                <w:highlight w:val="none"/>
              </w:rPr>
              <w:t>注：以上标明“必须提供”的，必须加盖投标人电子签章，否则按无效投标处理。</w:t>
            </w:r>
          </w:p>
        </w:tc>
      </w:tr>
      <w:tr w14:paraId="522A9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27E88FCB">
            <w:pPr>
              <w:spacing w:line="360" w:lineRule="auto"/>
              <w:rPr>
                <w:rFonts w:ascii="宋体" w:hAnsi="宋体"/>
                <w:color w:val="auto"/>
                <w:szCs w:val="21"/>
                <w:highlight w:val="none"/>
              </w:rPr>
            </w:pPr>
            <w:bookmarkStart w:id="52" w:name="_13.2"/>
            <w:bookmarkEnd w:id="52"/>
          </w:p>
        </w:tc>
        <w:tc>
          <w:tcPr>
            <w:tcW w:w="8175" w:type="dxa"/>
            <w:tcBorders>
              <w:top w:val="single" w:color="auto" w:sz="4" w:space="0"/>
              <w:left w:val="single" w:color="auto" w:sz="4" w:space="0"/>
              <w:bottom w:val="single" w:color="auto" w:sz="4" w:space="0"/>
              <w:right w:val="single" w:color="auto" w:sz="4" w:space="0"/>
            </w:tcBorders>
            <w:vAlign w:val="center"/>
          </w:tcPr>
          <w:p w14:paraId="1FE11958">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资格证明文件</w:t>
            </w:r>
          </w:p>
          <w:p w14:paraId="1995FA18">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257"/>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复印件，需加盖公章</w:t>
            </w:r>
            <w:r>
              <w:rPr>
                <w:rFonts w:hint="eastAsia" w:ascii="宋体" w:hAnsi="宋体" w:cs="宋体"/>
                <w:color w:val="auto"/>
                <w:szCs w:val="21"/>
                <w:highlight w:val="none"/>
              </w:rPr>
              <w:t>）</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9A83C3E">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2. 投标人依法缴纳税收的相关材料（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5</w:t>
            </w:r>
            <w:r>
              <w:rPr>
                <w:rFonts w:hint="eastAsia" w:ascii="宋体" w:hAnsi="宋体" w:cs="宋体"/>
                <w:color w:val="auto"/>
                <w:szCs w:val="21"/>
                <w:highlight w:val="none"/>
              </w:rPr>
              <w:t>月至</w:t>
            </w:r>
            <w:r>
              <w:rPr>
                <w:rFonts w:hint="eastAsia" w:ascii="宋体" w:hAnsi="宋体" w:cs="宋体"/>
                <w:color w:val="auto"/>
                <w:szCs w:val="21"/>
                <w:highlight w:val="none"/>
                <w:u w:val="single"/>
              </w:rPr>
              <w:t>提交投标文件截止之日</w:t>
            </w:r>
            <w:r>
              <w:rPr>
                <w:rFonts w:hint="eastAsia" w:ascii="宋体" w:hAnsi="宋体" w:cs="宋体"/>
                <w:color w:val="auto"/>
                <w:szCs w:val="21"/>
                <w:highlight w:val="none"/>
              </w:rPr>
              <w:t>前任意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个月的依法缴纳税收的</w:t>
            </w:r>
            <w:r>
              <w:rPr>
                <w:rFonts w:hint="eastAsia"/>
                <w:color w:val="auto"/>
                <w:highlight w:val="none"/>
              </w:rPr>
              <w:t>证明材料</w:t>
            </w:r>
            <w:r>
              <w:rPr>
                <w:rFonts w:hint="eastAsia" w:ascii="宋体" w:hAnsi="宋体" w:cs="宋体"/>
                <w:color w:val="auto"/>
                <w:szCs w:val="21"/>
                <w:highlight w:val="none"/>
              </w:rPr>
              <w:t>复印件；</w:t>
            </w:r>
            <w:r>
              <w:rPr>
                <w:rFonts w:hint="eastAsia" w:ascii="宋体" w:hAnsi="宋体"/>
                <w:color w:val="auto"/>
                <w:szCs w:val="21"/>
                <w:highlight w:val="none"/>
              </w:rPr>
              <w:t>依法免税的供应商，</w:t>
            </w:r>
            <w:r>
              <w:rPr>
                <w:rFonts w:hint="eastAsia"/>
                <w:color w:val="auto"/>
                <w:highlight w:val="none"/>
              </w:rPr>
              <w:t>必须提供符合免税条件的证明材料</w:t>
            </w:r>
            <w:r>
              <w:rPr>
                <w:rFonts w:hint="eastAsia" w:ascii="宋体" w:hAnsi="宋体"/>
                <w:color w:val="auto"/>
                <w:szCs w:val="21"/>
                <w:highlight w:val="none"/>
              </w:rPr>
              <w:t>。</w:t>
            </w:r>
            <w:r>
              <w:rPr>
                <w:rFonts w:hint="eastAsia" w:ascii="宋体" w:hAnsi="宋体" w:cs="宋体"/>
                <w:color w:val="auto"/>
                <w:szCs w:val="21"/>
                <w:highlight w:val="none"/>
              </w:rPr>
              <w:t>从</w:t>
            </w:r>
            <w:r>
              <w:rPr>
                <w:rFonts w:hint="eastAsia"/>
                <w:color w:val="auto"/>
                <w:szCs w:val="21"/>
                <w:highlight w:val="none"/>
              </w:rPr>
              <w:t>成立之日</w:t>
            </w:r>
            <w:r>
              <w:rPr>
                <w:rFonts w:hint="eastAsia" w:ascii="宋体" w:hAnsi="宋体" w:cs="宋体"/>
                <w:color w:val="auto"/>
                <w:szCs w:val="21"/>
                <w:highlight w:val="none"/>
              </w:rPr>
              <w:t>起到投标文件提交截止时间止不足要求月数的则不需提供）</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61BE1FA">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3. 投标人依法缴纳社会保障资金的相关材料[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5</w:t>
            </w:r>
            <w:r>
              <w:rPr>
                <w:rFonts w:hint="eastAsia" w:ascii="宋体" w:hAnsi="宋体" w:cs="宋体"/>
                <w:color w:val="auto"/>
                <w:szCs w:val="21"/>
                <w:highlight w:val="none"/>
              </w:rPr>
              <w:t>月至</w:t>
            </w:r>
            <w:r>
              <w:rPr>
                <w:rFonts w:hint="eastAsia" w:ascii="宋体" w:hAnsi="宋体" w:cs="宋体"/>
                <w:color w:val="auto"/>
                <w:szCs w:val="21"/>
                <w:highlight w:val="none"/>
                <w:u w:val="single"/>
              </w:rPr>
              <w:t>提交投标文件截止之日</w:t>
            </w:r>
            <w:r>
              <w:rPr>
                <w:rFonts w:hint="eastAsia" w:ascii="宋体" w:hAnsi="宋体" w:cs="宋体"/>
                <w:color w:val="auto"/>
                <w:szCs w:val="21"/>
                <w:highlight w:val="none"/>
              </w:rPr>
              <w:t>前任意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个月的依法缴纳社会保障资金的缴费</w:t>
            </w:r>
            <w:r>
              <w:rPr>
                <w:rFonts w:hint="eastAsia"/>
                <w:color w:val="auto"/>
                <w:highlight w:val="none"/>
              </w:rPr>
              <w:t>证明材料</w:t>
            </w:r>
            <w:r>
              <w:rPr>
                <w:rFonts w:hint="eastAsia" w:ascii="宋体" w:hAnsi="宋体" w:cs="宋体"/>
                <w:color w:val="auto"/>
                <w:szCs w:val="21"/>
                <w:highlight w:val="none"/>
              </w:rPr>
              <w:t>（</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到投标文件提交截止时间止不足要求月数的则不需提供]</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6B90A49">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4.投标人</w:t>
            </w:r>
            <w:r>
              <w:rPr>
                <w:rFonts w:hint="eastAsia"/>
                <w:color w:val="auto"/>
                <w:szCs w:val="21"/>
                <w:highlight w:val="none"/>
              </w:rPr>
              <w:t>财务状况报告（</w:t>
            </w:r>
            <w:r>
              <w:rPr>
                <w:rFonts w:hint="eastAsia"/>
                <w:color w:val="auto"/>
                <w:szCs w:val="21"/>
                <w:highlight w:val="none"/>
                <w:u w:val="single"/>
              </w:rPr>
              <w:t>2025</w:t>
            </w:r>
            <w:r>
              <w:rPr>
                <w:rFonts w:hint="eastAsia"/>
                <w:color w:val="auto"/>
                <w:szCs w:val="21"/>
                <w:highlight w:val="none"/>
              </w:rPr>
              <w:t>年度财务报表复印件，或者银行出具的资信证明，或者中国人民银行征信中心出具的信用报告（企业投标的提供企业信用报告，自然人投标的提供个人信用报告</w:t>
            </w:r>
            <w:r>
              <w:rPr>
                <w:rFonts w:hint="eastAsia"/>
                <w:color w:val="auto"/>
                <w:highlight w:val="none"/>
              </w:rPr>
              <w:t>，</w:t>
            </w:r>
            <w:r>
              <w:rPr>
                <w:rFonts w:hint="eastAsia" w:ascii="宋体" w:hAnsi="宋体"/>
                <w:color w:val="auto"/>
                <w:highlight w:val="none"/>
              </w:rPr>
              <w:t>投标人属于成立时间在规定年度之后的法人或其他组织，</w:t>
            </w:r>
            <w:r>
              <w:rPr>
                <w:rFonts w:hint="eastAsia"/>
                <w:color w:val="auto"/>
                <w:highlight w:val="none"/>
              </w:rPr>
              <w:t>需提供成立之日起至投标截止时间前的月报表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3CC83E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5.投标人直接控股股东信息表（格式后附）；（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7EC6E7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4576EC8">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7.投标声明（格式后附）；（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9419911">
            <w:pPr>
              <w:spacing w:line="360" w:lineRule="auto"/>
              <w:ind w:firstLine="420"/>
              <w:rPr>
                <w:rFonts w:ascii="宋体" w:hAnsi="宋体"/>
                <w:color w:val="auto"/>
                <w:szCs w:val="21"/>
                <w:highlight w:val="none"/>
              </w:rPr>
            </w:pPr>
            <w:r>
              <w:rPr>
                <w:rFonts w:hint="eastAsia" w:ascii="宋体" w:hAnsi="宋体"/>
                <w:color w:val="auto"/>
                <w:szCs w:val="21"/>
                <w:highlight w:val="none"/>
              </w:rPr>
              <w:t>8.投标人有效的《食品经营许可证》复印件，许可证主体业态需为“食品销售经营者，如供应商的食品经营许可证与营业执照合并办理的，须提供扫描营业执照二维码后的有效备案信息截图；如为联合体投标的，则联合体各方均必须满足申请人的资格要求第1、2条及特定行业法定准入要求即具备有效的《食品经营许可证》，许可证主体业态需为“食品销售经营者”。（</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125E6C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9.《中小企业声明函》（格式后附）；</w:t>
            </w:r>
            <w:r>
              <w:rPr>
                <w:rFonts w:hint="eastAsia"/>
                <w:color w:val="auto"/>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6140DBB">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10.联合体协议书（格式后附）；（</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p>
          <w:p w14:paraId="1A5F8EC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11.除招标文件规定必须提供以外，投标人认为需要提供的其他证明材料。</w:t>
            </w:r>
            <w:r>
              <w:rPr>
                <w:rFonts w:hint="eastAsia" w:ascii="宋体" w:hAnsi="宋体"/>
                <w:iCs/>
                <w:color w:val="auto"/>
                <w:szCs w:val="21"/>
                <w:highlight w:val="none"/>
              </w:rPr>
              <w:t>（如有则提供）</w:t>
            </w:r>
          </w:p>
          <w:p w14:paraId="5EF666CD">
            <w:pPr>
              <w:spacing w:line="360" w:lineRule="auto"/>
              <w:ind w:firstLine="422"/>
              <w:jc w:val="left"/>
              <w:rPr>
                <w:rFonts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以上标明“必须提供”的材料的，必须加盖投标人电子签章，否则按无效投标</w:t>
            </w:r>
            <w:r>
              <w:rPr>
                <w:rFonts w:hint="eastAsia" w:ascii="宋体" w:hAnsi="宋体" w:cs="Courier New"/>
                <w:b/>
                <w:color w:val="auto"/>
                <w:szCs w:val="21"/>
                <w:highlight w:val="none"/>
              </w:rPr>
              <w:t>处理。</w:t>
            </w:r>
          </w:p>
          <w:p w14:paraId="2DD2AAE1">
            <w:pPr>
              <w:spacing w:line="360" w:lineRule="auto"/>
              <w:ind w:firstLine="422"/>
              <w:jc w:val="left"/>
              <w:rPr>
                <w:rFonts w:ascii="宋体" w:hAnsi="宋体"/>
                <w:b/>
                <w:bCs/>
                <w:color w:val="auto"/>
                <w:szCs w:val="21"/>
                <w:highlight w:val="none"/>
              </w:rPr>
            </w:pPr>
            <w:r>
              <w:rPr>
                <w:rFonts w:hint="eastAsia" w:ascii="宋体" w:hAnsi="宋体"/>
                <w:b/>
                <w:bCs/>
                <w:color w:val="auto"/>
                <w:szCs w:val="21"/>
                <w:highlight w:val="none"/>
              </w:rPr>
              <w:t>2.联合体投标时，第1-6项、8-9项资格证明文件联合体各方均必须分别提供，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3D63E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3907CE45">
            <w:pPr>
              <w:spacing w:line="360" w:lineRule="auto"/>
              <w:rPr>
                <w:rFonts w:ascii="宋体" w:hAnsi="宋体"/>
                <w:color w:val="auto"/>
                <w:szCs w:val="21"/>
                <w:highlight w:val="none"/>
              </w:rPr>
            </w:pPr>
            <w:bookmarkStart w:id="53" w:name="_13.3"/>
            <w:bookmarkEnd w:id="53"/>
          </w:p>
        </w:tc>
        <w:tc>
          <w:tcPr>
            <w:tcW w:w="8175" w:type="dxa"/>
            <w:tcBorders>
              <w:top w:val="single" w:color="auto" w:sz="4" w:space="0"/>
              <w:left w:val="single" w:color="auto" w:sz="4" w:space="0"/>
              <w:bottom w:val="single" w:color="auto" w:sz="4" w:space="0"/>
              <w:right w:val="single" w:color="auto" w:sz="4" w:space="0"/>
            </w:tcBorders>
            <w:vAlign w:val="center"/>
          </w:tcPr>
          <w:p w14:paraId="7B8109C0">
            <w:pPr>
              <w:spacing w:line="360" w:lineRule="auto"/>
              <w:jc w:val="left"/>
              <w:rPr>
                <w:rFonts w:ascii="宋体" w:hAnsi="宋体" w:cs="Courier New"/>
                <w:b/>
                <w:color w:val="auto"/>
                <w:szCs w:val="21"/>
                <w:highlight w:val="none"/>
              </w:rPr>
            </w:pPr>
            <w:r>
              <w:rPr>
                <w:rFonts w:hint="eastAsia"/>
                <w:b/>
                <w:color w:val="auto"/>
                <w:highlight w:val="none"/>
                <w:u w:val="single"/>
              </w:rPr>
              <w:t>商务及技术文件</w:t>
            </w:r>
            <w:r>
              <w:rPr>
                <w:rFonts w:hint="eastAsia" w:ascii="宋体" w:hAnsi="宋体" w:cs="Courier New"/>
                <w:b/>
                <w:color w:val="auto"/>
                <w:szCs w:val="21"/>
                <w:highlight w:val="none"/>
              </w:rPr>
              <w:t>：</w:t>
            </w:r>
          </w:p>
          <w:p w14:paraId="205FFF0A">
            <w:pPr>
              <w:spacing w:line="360" w:lineRule="auto"/>
              <w:ind w:left="413"/>
              <w:jc w:val="left"/>
              <w:rPr>
                <w:rFonts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DC7F8E1">
            <w:pPr>
              <w:spacing w:line="360" w:lineRule="auto"/>
              <w:ind w:left="413"/>
              <w:jc w:val="left"/>
              <w:rPr>
                <w:rFonts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highlight w:val="none"/>
              </w:rPr>
              <w:t>必须提供</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1BA385D7">
            <w:pPr>
              <w:spacing w:line="360" w:lineRule="auto"/>
              <w:ind w:left="413"/>
              <w:jc w:val="left"/>
              <w:rPr>
                <w:rFonts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B524220">
            <w:pPr>
              <w:spacing w:line="360" w:lineRule="auto"/>
              <w:ind w:left="413"/>
              <w:jc w:val="left"/>
              <w:rPr>
                <w:rFonts w:ascii="宋体" w:hAnsi="宋体"/>
                <w:color w:val="auto"/>
                <w:szCs w:val="21"/>
                <w:highlight w:val="none"/>
              </w:rPr>
            </w:pPr>
            <w:r>
              <w:rPr>
                <w:rFonts w:hint="eastAsia" w:ascii="宋体" w:hAnsi="宋体"/>
                <w:color w:val="auto"/>
                <w:szCs w:val="21"/>
                <w:highlight w:val="none"/>
              </w:rPr>
              <w:t>4.授权委托书及委托代理人有效身份证正反面复印件（格式后附）；（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4DBFA83B">
            <w:pPr>
              <w:spacing w:line="360" w:lineRule="auto"/>
              <w:ind w:left="413"/>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CA5BAC5">
            <w:pPr>
              <w:spacing w:line="360" w:lineRule="auto"/>
              <w:ind w:left="413"/>
              <w:jc w:val="left"/>
              <w:rPr>
                <w:rFonts w:ascii="宋体" w:hAnsi="宋体"/>
                <w:color w:val="auto"/>
                <w:szCs w:val="21"/>
                <w:highlight w:val="none"/>
              </w:rPr>
            </w:pPr>
            <w:r>
              <w:rPr>
                <w:rFonts w:hint="eastAsia" w:ascii="宋体" w:hAnsi="宋体"/>
                <w:color w:val="auto"/>
                <w:szCs w:val="21"/>
                <w:highlight w:val="none"/>
              </w:rPr>
              <w:t>6.</w:t>
            </w:r>
            <w:r>
              <w:rPr>
                <w:rFonts w:hint="eastAsia" w:hAnsi="宋体" w:cs="宋体"/>
                <w:color w:val="auto"/>
                <w:highlight w:val="none"/>
              </w:rPr>
              <w:t>采购代理服务费</w:t>
            </w:r>
            <w:r>
              <w:rPr>
                <w:rFonts w:hint="eastAsia" w:ascii="宋体" w:hAnsi="宋体"/>
                <w:color w:val="auto"/>
                <w:szCs w:val="21"/>
                <w:highlight w:val="none"/>
              </w:rPr>
              <w:t>承诺书（格式后附）；</w:t>
            </w:r>
          </w:p>
          <w:p w14:paraId="0CFB0185">
            <w:pPr>
              <w:spacing w:line="360" w:lineRule="auto"/>
              <w:ind w:left="420"/>
              <w:jc w:val="left"/>
              <w:rPr>
                <w:rFonts w:ascii="宋体" w:hAnsi="宋体"/>
                <w:color w:val="auto"/>
                <w:szCs w:val="21"/>
                <w:highlight w:val="none"/>
              </w:rPr>
            </w:pPr>
            <w:r>
              <w:rPr>
                <w:rFonts w:hint="eastAsia" w:ascii="宋体" w:hAnsi="宋体"/>
                <w:color w:val="auto"/>
                <w:szCs w:val="21"/>
                <w:highlight w:val="none"/>
              </w:rPr>
              <w:t>7.服务内容及技术要求偏离表（格式后附）；（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475F8A7">
            <w:pPr>
              <w:spacing w:line="360" w:lineRule="auto"/>
              <w:ind w:left="420"/>
              <w:jc w:val="left"/>
              <w:rPr>
                <w:rFonts w:ascii="宋体" w:hAnsi="宋体"/>
                <w:color w:val="auto"/>
                <w:szCs w:val="21"/>
                <w:highlight w:val="none"/>
              </w:rPr>
            </w:pPr>
            <w:r>
              <w:rPr>
                <w:rFonts w:hint="eastAsia" w:ascii="宋体" w:hAnsi="宋体"/>
                <w:color w:val="auto"/>
                <w:szCs w:val="21"/>
                <w:highlight w:val="none"/>
              </w:rPr>
              <w:t>8.技术方案（含</w:t>
            </w:r>
            <w:r>
              <w:rPr>
                <w:rFonts w:hint="eastAsia" w:ascii="宋体" w:hAnsi="宋体" w:cs="宋体"/>
                <w:b/>
                <w:color w:val="auto"/>
                <w:szCs w:val="21"/>
                <w:highlight w:val="none"/>
              </w:rPr>
              <w:t>食材安全措施、内部管理措施、</w:t>
            </w:r>
            <w:r>
              <w:rPr>
                <w:rFonts w:hint="eastAsia" w:hAnsi="宋体" w:cs="宋体"/>
                <w:b/>
                <w:color w:val="auto"/>
                <w:highlight w:val="none"/>
              </w:rPr>
              <w:t>应急预案、配送服务方案</w:t>
            </w:r>
            <w:r>
              <w:rPr>
                <w:rFonts w:hint="eastAsia" w:ascii="宋体" w:hAnsi="宋体" w:cs="宋体"/>
                <w:color w:val="auto"/>
                <w:szCs w:val="21"/>
                <w:highlight w:val="none"/>
              </w:rPr>
              <w:t>等</w:t>
            </w:r>
            <w:r>
              <w:rPr>
                <w:rFonts w:hint="eastAsia" w:ascii="宋体" w:hAnsi="宋体"/>
                <w:color w:val="auto"/>
                <w:szCs w:val="21"/>
                <w:highlight w:val="none"/>
              </w:rPr>
              <w:t>）（格式自拟）；</w:t>
            </w:r>
          </w:p>
          <w:p w14:paraId="0CD0CE07">
            <w:pPr>
              <w:spacing w:line="360" w:lineRule="auto"/>
              <w:ind w:left="420"/>
              <w:jc w:val="left"/>
              <w:rPr>
                <w:rFonts w:ascii="宋体" w:hAnsi="宋体"/>
                <w:color w:val="auto"/>
                <w:szCs w:val="21"/>
                <w:highlight w:val="none"/>
              </w:rPr>
            </w:pPr>
            <w:r>
              <w:rPr>
                <w:rFonts w:hint="eastAsia" w:ascii="宋体" w:hAnsi="宋体"/>
                <w:color w:val="auto"/>
                <w:szCs w:val="21"/>
                <w:highlight w:val="none"/>
              </w:rPr>
              <w:t>9.项目实施人员一览表（格式后附）；</w:t>
            </w:r>
          </w:p>
          <w:p w14:paraId="417C8E3A">
            <w:pPr>
              <w:spacing w:line="360" w:lineRule="auto"/>
              <w:ind w:left="413"/>
              <w:jc w:val="left"/>
              <w:rPr>
                <w:rFonts w:ascii="宋体" w:hAnsi="宋体"/>
                <w:color w:val="auto"/>
                <w:szCs w:val="21"/>
                <w:highlight w:val="none"/>
              </w:rPr>
            </w:pPr>
            <w:r>
              <w:rPr>
                <w:rFonts w:hint="eastAsia" w:ascii="宋体" w:hAnsi="宋体"/>
                <w:color w:val="auto"/>
                <w:szCs w:val="21"/>
                <w:highlight w:val="none"/>
              </w:rPr>
              <w:t>10.除招标文件规定必须提供以外，投标人认为需要提供的其他证明材料（格式自拟）。（投标人根据“第二章 采购需求”及“第四章 评标方法及评标标准”提供有关证明材料）。</w:t>
            </w:r>
            <w:r>
              <w:rPr>
                <w:rFonts w:hint="eastAsia" w:ascii="宋体" w:hAnsi="宋体"/>
                <w:iCs/>
                <w:color w:val="auto"/>
                <w:szCs w:val="21"/>
                <w:highlight w:val="none"/>
              </w:rPr>
              <w:t>（如有则提供）</w:t>
            </w:r>
          </w:p>
          <w:p w14:paraId="62691CF0">
            <w:pPr>
              <w:spacing w:line="360" w:lineRule="auto"/>
              <w:jc w:val="left"/>
              <w:rPr>
                <w:rFonts w:ascii="宋体" w:hAnsi="宋体" w:cs="Courier New"/>
                <w:b/>
                <w:color w:val="auto"/>
                <w:szCs w:val="21"/>
                <w:highlight w:val="none"/>
              </w:rPr>
            </w:pPr>
            <w:r>
              <w:rPr>
                <w:rFonts w:hint="eastAsia" w:ascii="宋体" w:hAnsi="宋体"/>
                <w:b/>
                <w:bCs/>
                <w:color w:val="auto"/>
                <w:szCs w:val="21"/>
                <w:highlight w:val="none"/>
              </w:rPr>
              <w:t>注：以上标明“必须提供”的材料的，必须加盖投标人电子签章，否则按无效投标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1A05BF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DEE7C9B">
            <w:pPr>
              <w:spacing w:line="360" w:lineRule="auto"/>
              <w:rPr>
                <w:rFonts w:ascii="宋体" w:hAnsi="宋体"/>
                <w:color w:val="auto"/>
                <w:szCs w:val="21"/>
                <w:highlight w:val="none"/>
              </w:rPr>
            </w:pPr>
            <w:bookmarkStart w:id="54" w:name="_13.5"/>
            <w:bookmarkEnd w:id="54"/>
            <w:bookmarkStart w:id="55" w:name="_16.2"/>
            <w:bookmarkEnd w:id="55"/>
            <w:bookmarkStart w:id="56" w:name="_13.4"/>
            <w:bookmarkEnd w:id="56"/>
            <w:r>
              <w:rPr>
                <w:rFonts w:hint="eastAsia" w:ascii="宋体" w:hAnsi="宋体"/>
                <w:color w:val="auto"/>
                <w:szCs w:val="21"/>
                <w:highlight w:val="none"/>
              </w:rPr>
              <w:t>16</w:t>
            </w:r>
            <w:bookmarkStart w:id="57" w:name="_Hlt19194067"/>
            <w:bookmarkStart w:id="58" w:name="_Hlt19693758"/>
            <w:bookmarkStart w:id="59" w:name="_Hlt19194066"/>
            <w:bookmarkStart w:id="60" w:name="_Hlt19693759"/>
            <w:r>
              <w:rPr>
                <w:rFonts w:hint="eastAsia" w:ascii="宋体" w:hAnsi="宋体"/>
                <w:color w:val="auto"/>
                <w:szCs w:val="21"/>
                <w:highlight w:val="none"/>
              </w:rPr>
              <w:t>.</w:t>
            </w:r>
            <w:bookmarkEnd w:id="57"/>
            <w:bookmarkEnd w:id="58"/>
            <w:bookmarkEnd w:id="59"/>
            <w:bookmarkEnd w:id="60"/>
            <w:r>
              <w:rPr>
                <w:rFonts w:hint="eastAsia"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4EB95570">
            <w:pPr>
              <w:spacing w:line="360" w:lineRule="auto"/>
              <w:rPr>
                <w:rFonts w:ascii="宋体" w:hAnsi="宋体"/>
                <w:b/>
                <w:i/>
                <w:color w:val="auto"/>
                <w:szCs w:val="21"/>
                <w:highlight w:val="none"/>
              </w:rPr>
            </w:pPr>
            <w:r>
              <w:rPr>
                <w:rFonts w:hint="eastAsia" w:ascii="宋体" w:hAnsi="宋体"/>
                <w:color w:val="auto"/>
                <w:szCs w:val="21"/>
                <w:highlight w:val="none"/>
              </w:rPr>
              <w:t>投标报价为采购人指定地点的现场交货价，包含但不限于</w:t>
            </w:r>
            <w:r>
              <w:rPr>
                <w:rFonts w:hint="eastAsia" w:ascii="宋体" w:hAnsi="宋体" w:cs="宋体"/>
                <w:color w:val="auto"/>
                <w:spacing w:val="6"/>
                <w:szCs w:val="21"/>
                <w:highlight w:val="none"/>
              </w:rPr>
              <w:t>实施和完成本项目所需的全部食材原料费、工作劳务费、技术服务费、交通费、通讯费、办公场地费、保险费、税费、利润、检测业务费等一切费用，以及政策性文件规定和合同包含的风险、责任和各种应有费用</w:t>
            </w:r>
            <w:r>
              <w:rPr>
                <w:rFonts w:hint="eastAsia" w:ascii="宋体" w:hAnsi="宋体"/>
                <w:color w:val="auto"/>
                <w:szCs w:val="21"/>
                <w:highlight w:val="none"/>
              </w:rPr>
              <w:t>。</w:t>
            </w:r>
          </w:p>
        </w:tc>
      </w:tr>
      <w:tr w14:paraId="053C4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ADC30B4">
            <w:pPr>
              <w:spacing w:line="360" w:lineRule="auto"/>
              <w:rPr>
                <w:rFonts w:ascii="宋体" w:hAnsi="宋体"/>
                <w:color w:val="auto"/>
                <w:szCs w:val="21"/>
                <w:highlight w:val="none"/>
              </w:rPr>
            </w:pPr>
            <w:bookmarkStart w:id="61" w:name="_17.1"/>
            <w:bookmarkEnd w:id="61"/>
            <w:r>
              <w:rPr>
                <w:rFonts w:hint="eastAsia" w:ascii="宋体" w:hAnsi="宋体"/>
                <w:color w:val="auto"/>
                <w:szCs w:val="21"/>
                <w:highlight w:val="none"/>
              </w:rPr>
              <w:t>17.</w:t>
            </w:r>
            <w:r>
              <w:rPr>
                <w:rFonts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1C454ACD">
            <w:pPr>
              <w:spacing w:line="360" w:lineRule="auto"/>
              <w:rPr>
                <w:rFonts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rPr>
              <w:t>120</w:t>
            </w:r>
            <w:r>
              <w:rPr>
                <w:rFonts w:hint="eastAsia" w:ascii="宋体" w:hAnsi="宋体"/>
                <w:color w:val="auto"/>
                <w:szCs w:val="21"/>
                <w:highlight w:val="none"/>
              </w:rPr>
              <w:t>日。</w:t>
            </w:r>
          </w:p>
        </w:tc>
      </w:tr>
      <w:tr w14:paraId="10DB2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CA5AC27">
            <w:pPr>
              <w:spacing w:line="360" w:lineRule="auto"/>
              <w:rPr>
                <w:rFonts w:ascii="宋体" w:hAnsi="宋体"/>
                <w:color w:val="auto"/>
                <w:szCs w:val="21"/>
                <w:highlight w:val="none"/>
              </w:rPr>
            </w:pPr>
            <w:bookmarkStart w:id="62" w:name="_18"/>
            <w:bookmarkEnd w:id="62"/>
            <w:r>
              <w:rPr>
                <w:rFonts w:hint="eastAsia" w:ascii="宋体" w:hAnsi="宋体"/>
                <w:color w:val="auto"/>
                <w:szCs w:val="21"/>
                <w:highlight w:val="none"/>
              </w:rPr>
              <w:t>18</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7ACA483B">
            <w:pPr>
              <w:spacing w:line="360" w:lineRule="auto"/>
              <w:rPr>
                <w:rFonts w:ascii="宋体" w:hAnsi="宋体"/>
                <w:color w:val="auto"/>
                <w:szCs w:val="21"/>
                <w:highlight w:val="none"/>
              </w:rPr>
            </w:pPr>
            <w:r>
              <w:rPr>
                <w:rFonts w:hint="eastAsia" w:ascii="宋体" w:hAnsi="宋体"/>
                <w:color w:val="auto"/>
                <w:szCs w:val="21"/>
                <w:highlight w:val="none"/>
              </w:rPr>
              <w:t>□本项目不收取投标保证金。</w:t>
            </w:r>
          </w:p>
          <w:p w14:paraId="3D41E736">
            <w:pPr>
              <w:spacing w:line="360" w:lineRule="auto"/>
              <w:rPr>
                <w:rFonts w:ascii="宋体" w:hAnsi="宋体"/>
                <w:color w:val="auto"/>
                <w:szCs w:val="21"/>
                <w:highlight w:val="none"/>
              </w:rPr>
            </w:pPr>
            <w:r>
              <w:rPr>
                <w:rFonts w:hint="eastAsia" w:ascii="宋体" w:hAnsi="宋体"/>
                <w:color w:val="auto"/>
                <w:szCs w:val="21"/>
                <w:highlight w:val="none"/>
              </w:rPr>
              <w:t>☑本项目收取投标保证金，具体规定如下：</w:t>
            </w:r>
          </w:p>
          <w:p w14:paraId="244FCC20">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分标投标保证金人民币</w:t>
            </w:r>
            <w:r>
              <w:rPr>
                <w:rFonts w:hint="eastAsia" w:ascii="宋体" w:hAnsi="宋体" w:cs="宋体"/>
                <w:color w:val="auto"/>
                <w:szCs w:val="21"/>
                <w:highlight w:val="none"/>
                <w:u w:val="single"/>
              </w:rPr>
              <w:t>100000</w:t>
            </w:r>
            <w:r>
              <w:rPr>
                <w:rFonts w:hint="eastAsia" w:ascii="宋体" w:hAnsi="宋体" w:cs="宋体"/>
                <w:color w:val="auto"/>
                <w:szCs w:val="21"/>
                <w:highlight w:val="none"/>
              </w:rPr>
              <w:t>元。</w:t>
            </w:r>
          </w:p>
          <w:p w14:paraId="2456A25F">
            <w:pPr>
              <w:spacing w:line="360" w:lineRule="auto"/>
              <w:rPr>
                <w:rFonts w:ascii="宋体" w:hAnsi="宋体"/>
                <w:b/>
                <w:bCs/>
                <w:color w:val="auto"/>
                <w:szCs w:val="21"/>
                <w:highlight w:val="none"/>
              </w:rPr>
            </w:pPr>
            <w:r>
              <w:rPr>
                <w:rFonts w:hint="eastAsia" w:ascii="宋体" w:hAnsi="宋体" w:cs="宋体"/>
                <w:color w:val="auto"/>
                <w:szCs w:val="21"/>
                <w:highlight w:val="none"/>
              </w:rPr>
              <w:t>投标保证金的交纳方式：银行转账、支票、汇票、本票或者银行、保险机构出具的保函（包含电子保函），禁止采用现钞方式。采用银行转账方式的，在投标截止时间前</w:t>
            </w:r>
            <w:r>
              <w:rPr>
                <w:rFonts w:hint="eastAsia"/>
                <w:color w:val="auto"/>
                <w:highlight w:val="none"/>
              </w:rPr>
              <w:t>从投标人账户</w:t>
            </w:r>
            <w:r>
              <w:rPr>
                <w:rFonts w:hint="eastAsia" w:ascii="宋体" w:hAnsi="宋体" w:cs="宋体"/>
                <w:color w:val="auto"/>
                <w:szCs w:val="21"/>
                <w:highlight w:val="none"/>
              </w:rPr>
              <w:t>交至指定账户并且到账（开户银行：中信银行股份有限公司南宁园湖支行，开户名称：云之龙咨询集团有限公司梧州分公司，银行账号：8113001013700074625）；采用支票、汇票、本票或者保函等方式的，在投标截止时间前，投标人必须递交单独密封的支票、汇票、本票或者保函原件（电子保函须提交复印件并加盖投标人公章）。</w:t>
            </w:r>
            <w:r>
              <w:rPr>
                <w:rFonts w:hint="eastAsia" w:ascii="宋体" w:hAnsi="宋体" w:cs="宋体"/>
                <w:b/>
                <w:bCs/>
                <w:color w:val="auto"/>
                <w:szCs w:val="21"/>
                <w:highlight w:val="none"/>
              </w:rPr>
              <w:t>否则视为无效投标保证金。</w:t>
            </w:r>
          </w:p>
          <w:p w14:paraId="2A9FD993">
            <w:pPr>
              <w:spacing w:line="360" w:lineRule="auto"/>
              <w:rPr>
                <w:rFonts w:ascii="宋体" w:hAnsi="宋体"/>
                <w:color w:val="auto"/>
                <w:szCs w:val="21"/>
                <w:highlight w:val="none"/>
              </w:rPr>
            </w:pPr>
            <w:r>
              <w:rPr>
                <w:rFonts w:hint="eastAsia" w:ascii="宋体" w:hAnsi="宋体"/>
                <w:color w:val="auto"/>
                <w:szCs w:val="21"/>
                <w:highlight w:val="none"/>
              </w:rPr>
              <w:t>相关要求：</w:t>
            </w:r>
          </w:p>
          <w:p w14:paraId="516AA5AE">
            <w:pPr>
              <w:pStyle w:val="16"/>
              <w:spacing w:line="360" w:lineRule="auto"/>
              <w:rPr>
                <w:rFonts w:ascii="宋体" w:hAnsi="宋体"/>
                <w:color w:val="auto"/>
                <w:szCs w:val="21"/>
                <w:highlight w:val="none"/>
              </w:rPr>
            </w:pPr>
            <w:r>
              <w:rPr>
                <w:rFonts w:hint="eastAsia" w:ascii="宋体" w:hAnsi="宋体"/>
                <w:color w:val="auto"/>
                <w:szCs w:val="21"/>
                <w:highlight w:val="none"/>
              </w:rPr>
              <w:t>1.投标保证金采用银行转账交纳方式的，在投标截止时间前交至指定账户并且到账，投标人应将银行转账底单的复印件作为投标保证金提交凭证，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商务及技术文件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0362F6C8">
            <w:pPr>
              <w:spacing w:line="360" w:lineRule="auto"/>
              <w:rPr>
                <w:rFonts w:ascii="宋体" w:hAnsi="宋体"/>
                <w:color w:val="auto"/>
                <w:szCs w:val="21"/>
                <w:highlight w:val="none"/>
              </w:rPr>
            </w:pPr>
            <w:r>
              <w:rPr>
                <w:rFonts w:hint="eastAsia" w:ascii="宋体" w:hAnsi="宋体"/>
                <w:color w:val="auto"/>
                <w:szCs w:val="21"/>
                <w:highlight w:val="none"/>
              </w:rPr>
              <w:t>2.投标保证金采用支票、汇票、本票或者银行、保险机构出具的保函（包含电子保函）交纳方式的，投标人应将支票、汇票、本票或者银行、保险机构出具的保函（包含电子保函）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w:t>
            </w:r>
            <w:r>
              <w:rPr>
                <w:rFonts w:hint="eastAsia"/>
                <w:color w:val="auto"/>
                <w:highlight w:val="none"/>
              </w:rPr>
              <w:t>在投标截止时间前采用现场或邮寄方式（现场提交地址：梧州市新兴三路30号神冠豪都B栋1单元1008号房；邮寄地址：梧州市新兴三路30号神冠豪都B栋1单元1008号房，收件人：黄泳瑜、陈丽莹，联系方式：0774-3859935）</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w:t>
            </w:r>
            <w:r>
              <w:rPr>
                <w:rFonts w:hint="eastAsia" w:ascii="宋体" w:hAnsi="宋体" w:cs="宋体"/>
                <w:color w:val="auto"/>
                <w:szCs w:val="21"/>
                <w:highlight w:val="none"/>
              </w:rPr>
              <w:t>（电子保函须提交复印件并加盖投标人公章）</w:t>
            </w:r>
            <w:r>
              <w:rPr>
                <w:rFonts w:hint="eastAsia" w:ascii="宋体" w:hAnsi="宋体"/>
                <w:color w:val="auto"/>
                <w:szCs w:val="21"/>
                <w:highlight w:val="none"/>
              </w:rPr>
              <w:t>提交给采购人或者采购代理机构，未按时提交的</w:t>
            </w:r>
            <w:r>
              <w:rPr>
                <w:rFonts w:hint="eastAsia" w:ascii="宋体" w:hAnsi="宋体"/>
                <w:b/>
                <w:color w:val="auto"/>
                <w:szCs w:val="21"/>
                <w:highlight w:val="none"/>
              </w:rPr>
              <w:t>，投标无效</w:t>
            </w:r>
            <w:r>
              <w:rPr>
                <w:rFonts w:hint="eastAsia" w:ascii="宋体" w:hAnsi="宋体"/>
                <w:color w:val="auto"/>
                <w:szCs w:val="21"/>
                <w:highlight w:val="none"/>
              </w:rPr>
              <w:t>。</w:t>
            </w:r>
          </w:p>
          <w:p w14:paraId="06A1FFB9">
            <w:pPr>
              <w:spacing w:line="360" w:lineRule="auto"/>
              <w:rPr>
                <w:rFonts w:ascii="宋体" w:hAnsi="宋体"/>
                <w:color w:val="auto"/>
                <w:szCs w:val="21"/>
                <w:highlight w:val="none"/>
              </w:rPr>
            </w:pPr>
            <w:r>
              <w:rPr>
                <w:rFonts w:hint="eastAsia" w:ascii="宋体" w:hAnsi="宋体" w:cs="宋体"/>
                <w:color w:val="auto"/>
                <w:szCs w:val="21"/>
                <w:highlight w:val="none"/>
              </w:rPr>
              <w:t>3.投标人为联合体的，可以由联合体中的一方或者多方共同交纳投标保证金，其交纳的保证金对联合体各方均具有约束力。</w:t>
            </w:r>
          </w:p>
          <w:p w14:paraId="0FDBFE01">
            <w:pPr>
              <w:spacing w:line="360" w:lineRule="auto"/>
              <w:rPr>
                <w:rFonts w:ascii="宋体" w:hAnsi="宋体"/>
                <w:b/>
                <w:color w:val="auto"/>
                <w:szCs w:val="21"/>
                <w:highlight w:val="none"/>
              </w:rPr>
            </w:pPr>
            <w:r>
              <w:rPr>
                <w:rFonts w:hint="eastAsia" w:ascii="宋体" w:hAnsi="宋体"/>
                <w:b/>
                <w:color w:val="auto"/>
                <w:szCs w:val="21"/>
                <w:highlight w:val="none"/>
              </w:rPr>
              <w:t xml:space="preserve">备注： </w:t>
            </w:r>
          </w:p>
          <w:p w14:paraId="05AC1CC5">
            <w:pPr>
              <w:spacing w:line="360" w:lineRule="auto"/>
              <w:rPr>
                <w:rFonts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36D87215">
            <w:pPr>
              <w:spacing w:line="360" w:lineRule="auto"/>
              <w:rPr>
                <w:rFonts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289D522B">
            <w:pPr>
              <w:spacing w:line="360" w:lineRule="auto"/>
              <w:rPr>
                <w:rFonts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3665FA7D">
            <w:pPr>
              <w:spacing w:line="360" w:lineRule="auto"/>
              <w:rPr>
                <w:rFonts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0147501A">
            <w:pPr>
              <w:spacing w:line="360" w:lineRule="auto"/>
              <w:rPr>
                <w:rFonts w:ascii="宋体" w:hAnsi="宋体"/>
                <w:b/>
                <w:color w:val="auto"/>
                <w:szCs w:val="21"/>
                <w:highlight w:val="none"/>
              </w:rPr>
            </w:pPr>
            <w:r>
              <w:rPr>
                <w:rFonts w:hint="eastAsia" w:ascii="宋体" w:hAnsi="宋体"/>
                <w:b/>
                <w:color w:val="auto"/>
                <w:szCs w:val="21"/>
                <w:highlight w:val="none"/>
              </w:rPr>
              <w:t>5.采用银行、保险机构出具保函（包含电子保函）的，必须为无条件保函，否则视为无效投标保证金。</w:t>
            </w:r>
          </w:p>
        </w:tc>
      </w:tr>
      <w:tr w14:paraId="229C6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vAlign w:val="center"/>
          </w:tcPr>
          <w:p w14:paraId="3BE10DE9">
            <w:pPr>
              <w:spacing w:line="360" w:lineRule="auto"/>
              <w:jc w:val="center"/>
              <w:rPr>
                <w:rFonts w:ascii="宋体" w:hAnsi="宋体"/>
                <w:color w:val="auto"/>
                <w:szCs w:val="21"/>
                <w:highlight w:val="none"/>
              </w:rPr>
            </w:pPr>
            <w:bookmarkStart w:id="63" w:name="_21.1"/>
            <w:bookmarkEnd w:id="63"/>
            <w:bookmarkStart w:id="64" w:name="_19.2"/>
            <w:bookmarkEnd w:id="64"/>
            <w:r>
              <w:rPr>
                <w:rFonts w:hint="eastAsia" w:ascii="宋体" w:hAnsi="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vAlign w:val="center"/>
          </w:tcPr>
          <w:p w14:paraId="43DF7CB2">
            <w:pPr>
              <w:spacing w:line="360" w:lineRule="auto"/>
              <w:rPr>
                <w:rFonts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p w14:paraId="6FBFA11D">
            <w:pPr>
              <w:spacing w:line="360" w:lineRule="auto"/>
              <w:rPr>
                <w:color w:val="auto"/>
                <w:highlight w:val="none"/>
              </w:rPr>
            </w:pPr>
            <w:r>
              <w:rPr>
                <w:rFonts w:hint="eastAsia" w:ascii="宋体" w:hAnsi="宋体"/>
                <w:color w:val="auto"/>
                <w:szCs w:val="21"/>
                <w:highlight w:val="none"/>
              </w:rPr>
              <w:t>□</w:t>
            </w:r>
            <w:r>
              <w:rPr>
                <w:rFonts w:hint="eastAsia"/>
                <w:color w:val="auto"/>
                <w:highlight w:val="none"/>
              </w:rPr>
              <w:t>本项目接受电子备份投标文件。</w:t>
            </w:r>
          </w:p>
          <w:p w14:paraId="2594B752">
            <w:pPr>
              <w:spacing w:line="360" w:lineRule="auto"/>
              <w:ind w:firstLine="420"/>
              <w:rPr>
                <w:color w:val="auto"/>
                <w:highlight w:val="none"/>
              </w:rPr>
            </w:pPr>
            <w:r>
              <w:rPr>
                <w:rFonts w:hint="eastAsia"/>
                <w:color w:val="auto"/>
                <w:highlight w:val="none"/>
              </w:rPr>
              <w:t>电子</w:t>
            </w:r>
            <w:r>
              <w:rPr>
                <w:rFonts w:hint="eastAsia" w:ascii="宋体" w:hAnsi="宋体"/>
                <w:color w:val="auto"/>
                <w:szCs w:val="21"/>
                <w:highlight w:val="none"/>
              </w:rPr>
              <w:t>备份投标文件</w:t>
            </w:r>
            <w:r>
              <w:rPr>
                <w:rFonts w:hint="eastAsia"/>
                <w:color w:val="auto"/>
                <w:highlight w:val="none"/>
              </w:rPr>
              <w:t>提交方式：投标人可以在投标截止时间前采用以下</w:t>
            </w:r>
            <w:r>
              <w:rPr>
                <w:color w:val="auto"/>
                <w:highlight w:val="none"/>
                <w:u w:val="single"/>
              </w:rPr>
              <w:t xml:space="preserve">     </w:t>
            </w:r>
            <w:r>
              <w:rPr>
                <w:rFonts w:hint="eastAsia"/>
                <w:color w:val="auto"/>
                <w:highlight w:val="none"/>
              </w:rPr>
              <w:t>种方式向采购代理机构提交电子备份投标文件：</w:t>
            </w:r>
          </w:p>
          <w:p w14:paraId="554979EA">
            <w:pPr>
              <w:spacing w:line="360" w:lineRule="auto"/>
              <w:rPr>
                <w:color w:val="auto"/>
                <w:highlight w:val="none"/>
              </w:rPr>
            </w:pPr>
            <w:r>
              <w:rPr>
                <w:rFonts w:hint="eastAsia"/>
                <w:color w:val="auto"/>
                <w:highlight w:val="none"/>
              </w:rPr>
              <w:t>（</w:t>
            </w:r>
            <w:r>
              <w:rPr>
                <w:color w:val="auto"/>
                <w:highlight w:val="none"/>
              </w:rPr>
              <w:t>1</w:t>
            </w:r>
            <w:r>
              <w:rPr>
                <w:rFonts w:hint="eastAsia"/>
                <w:color w:val="auto"/>
                <w:highlight w:val="none"/>
              </w:rPr>
              <w:t>）现场提交方式，应采用</w:t>
            </w:r>
            <w:r>
              <w:rPr>
                <w:color w:val="auto"/>
                <w:highlight w:val="none"/>
              </w:rPr>
              <w:t>U</w:t>
            </w:r>
            <w:r>
              <w:rPr>
                <w:rFonts w:hint="eastAsia"/>
                <w:color w:val="auto"/>
                <w:highlight w:val="none"/>
              </w:rPr>
              <w:t>盘进行存储，提交地址：</w:t>
            </w:r>
            <w:r>
              <w:rPr>
                <w:rFonts w:hint="eastAsia" w:ascii="宋体" w:hAnsi="宋体"/>
                <w:color w:val="auto"/>
                <w:szCs w:val="21"/>
                <w:highlight w:val="none"/>
                <w:u w:val="single"/>
              </w:rPr>
              <w:t xml:space="preserve">    </w:t>
            </w:r>
            <w:r>
              <w:rPr>
                <w:rFonts w:hint="eastAsia"/>
                <w:color w:val="auto"/>
                <w:highlight w:val="none"/>
              </w:rPr>
              <w:t>；提交截止时间：</w:t>
            </w:r>
            <w:r>
              <w:rPr>
                <w:rFonts w:hint="eastAsia" w:ascii="宋体" w:hAnsi="宋体"/>
                <w:color w:val="auto"/>
                <w:szCs w:val="21"/>
                <w:highlight w:val="none"/>
                <w:u w:val="single"/>
              </w:rPr>
              <w:t xml:space="preserve">    </w:t>
            </w:r>
            <w:r>
              <w:rPr>
                <w:rFonts w:hint="eastAsia"/>
                <w:color w:val="auto"/>
                <w:highlight w:val="none"/>
              </w:rPr>
              <w:t>；外包装上注明投标人名称、项目名称及项目编号（外包装不作密封要求）。</w:t>
            </w:r>
          </w:p>
          <w:p w14:paraId="7ED6D787">
            <w:pPr>
              <w:spacing w:line="360" w:lineRule="auto"/>
              <w:rPr>
                <w:color w:val="auto"/>
                <w:highlight w:val="none"/>
              </w:rPr>
            </w:pPr>
            <w:r>
              <w:rPr>
                <w:rFonts w:hint="eastAsia"/>
                <w:color w:val="auto"/>
                <w:highlight w:val="none"/>
              </w:rPr>
              <w:t>（</w:t>
            </w:r>
            <w:r>
              <w:rPr>
                <w:color w:val="auto"/>
                <w:highlight w:val="none"/>
              </w:rPr>
              <w:t>2</w:t>
            </w:r>
            <w:r>
              <w:rPr>
                <w:rFonts w:hint="eastAsia"/>
                <w:color w:val="auto"/>
                <w:highlight w:val="none"/>
              </w:rPr>
              <w:t>）电子邮件方式，接收电子备份投标文件的电子邮箱为：</w:t>
            </w:r>
            <w:r>
              <w:rPr>
                <w:color w:val="auto"/>
                <w:highlight w:val="none"/>
                <w:u w:val="single"/>
              </w:rPr>
              <w:t xml:space="preserve">            </w:t>
            </w:r>
            <w:r>
              <w:rPr>
                <w:rFonts w:hint="eastAsia"/>
                <w:color w:val="auto"/>
                <w:highlight w:val="none"/>
              </w:rPr>
              <w:t>。</w:t>
            </w:r>
          </w:p>
          <w:p w14:paraId="131747DD">
            <w:pPr>
              <w:pStyle w:val="16"/>
              <w:spacing w:line="360" w:lineRule="auto"/>
              <w:jc w:val="both"/>
              <w:rPr>
                <w:color w:val="auto"/>
                <w:highlight w:val="none"/>
              </w:rPr>
            </w:pPr>
            <w:r>
              <w:rPr>
                <w:rFonts w:hint="eastAsia"/>
                <w:color w:val="auto"/>
                <w:highlight w:val="none"/>
              </w:rPr>
              <w:t>（</w:t>
            </w:r>
            <w:r>
              <w:rPr>
                <w:color w:val="auto"/>
                <w:highlight w:val="none"/>
              </w:rPr>
              <w:t>3</w:t>
            </w:r>
            <w:r>
              <w:rPr>
                <w:rFonts w:hint="eastAsia"/>
                <w:color w:val="auto"/>
                <w:highlight w:val="none"/>
              </w:rPr>
              <w:t>）邮寄方式，应采用</w:t>
            </w:r>
            <w:r>
              <w:rPr>
                <w:color w:val="auto"/>
                <w:highlight w:val="none"/>
              </w:rPr>
              <w:t>U</w:t>
            </w:r>
            <w:r>
              <w:rPr>
                <w:rFonts w:hint="eastAsia"/>
                <w:color w:val="auto"/>
                <w:highlight w:val="none"/>
              </w:rPr>
              <w:t>盘进行存储，邮寄地址：</w:t>
            </w:r>
            <w:r>
              <w:rPr>
                <w:color w:val="auto"/>
                <w:highlight w:val="none"/>
                <w:u w:val="single"/>
              </w:rPr>
              <w:t xml:space="preserve">       </w:t>
            </w:r>
            <w:r>
              <w:rPr>
                <w:rFonts w:hint="eastAsia"/>
                <w:color w:val="auto"/>
                <w:highlight w:val="none"/>
              </w:rPr>
              <w:t>，截止接收时间：</w:t>
            </w:r>
            <w:r>
              <w:rPr>
                <w:color w:val="auto"/>
                <w:highlight w:val="none"/>
                <w:u w:val="single"/>
              </w:rPr>
              <w:t xml:space="preserve">       </w:t>
            </w:r>
            <w:r>
              <w:rPr>
                <w:rFonts w:hint="eastAsia"/>
                <w:color w:val="auto"/>
                <w:highlight w:val="none"/>
              </w:rPr>
              <w:t>，收件人：</w:t>
            </w:r>
            <w:r>
              <w:rPr>
                <w:color w:val="auto"/>
                <w:highlight w:val="none"/>
                <w:u w:val="single"/>
              </w:rPr>
              <w:t xml:space="preserve">       </w:t>
            </w:r>
            <w:r>
              <w:rPr>
                <w:rFonts w:hint="eastAsia"/>
                <w:color w:val="auto"/>
                <w:highlight w:val="none"/>
              </w:rPr>
              <w:t>，联系方式：</w:t>
            </w:r>
            <w:r>
              <w:rPr>
                <w:color w:val="auto"/>
                <w:highlight w:val="none"/>
                <w:u w:val="single"/>
              </w:rPr>
              <w:t xml:space="preserve">       </w:t>
            </w:r>
            <w:r>
              <w:rPr>
                <w:rFonts w:hint="eastAsia"/>
                <w:color w:val="auto"/>
                <w:highlight w:val="none"/>
              </w:rPr>
              <w:t>；外包装上注明投标人名称、项目名称及项目编号（外包装不作密封要求）。</w:t>
            </w:r>
          </w:p>
          <w:p w14:paraId="7F2C9976">
            <w:pPr>
              <w:spacing w:line="360" w:lineRule="auto"/>
              <w:ind w:firstLine="420"/>
              <w:rPr>
                <w:rFonts w:ascii="宋体" w:hAnsi="宋体"/>
                <w:color w:val="auto"/>
                <w:szCs w:val="21"/>
                <w:highlight w:val="none"/>
              </w:rPr>
            </w:pPr>
            <w:r>
              <w:rPr>
                <w:rFonts w:hint="eastAsia"/>
                <w:color w:val="auto"/>
                <w:highlight w:val="none"/>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b/>
                <w:color w:val="auto"/>
                <w:highlight w:val="none"/>
              </w:rPr>
              <w:t>投标人的投标文件作无效处理</w:t>
            </w:r>
            <w:r>
              <w:rPr>
                <w:rFonts w:hint="eastAsia"/>
                <w:color w:val="auto"/>
                <w:highlight w:val="none"/>
              </w:rPr>
              <w:t>。</w:t>
            </w:r>
          </w:p>
        </w:tc>
      </w:tr>
      <w:tr w14:paraId="471D35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6FFA65F0">
            <w:pPr>
              <w:spacing w:line="360" w:lineRule="auto"/>
              <w:jc w:val="center"/>
              <w:rPr>
                <w:rFonts w:ascii="宋体" w:hAnsi="宋体"/>
                <w:color w:val="auto"/>
                <w:szCs w:val="21"/>
                <w:highlight w:val="none"/>
              </w:rPr>
            </w:pPr>
            <w:r>
              <w:rPr>
                <w:rFonts w:hint="eastAsia" w:ascii="宋体" w:hAnsi="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74259A4D">
            <w:pPr>
              <w:spacing w:line="360" w:lineRule="auto"/>
              <w:rPr>
                <w:rFonts w:ascii="宋体" w:hAnsi="宋体"/>
                <w:color w:val="auto"/>
                <w:szCs w:val="21"/>
                <w:highlight w:val="none"/>
                <w:u w:val="single"/>
              </w:rPr>
            </w:pPr>
            <w:r>
              <w:rPr>
                <w:rFonts w:hint="eastAsia" w:ascii="宋体" w:hAnsi="宋体"/>
                <w:color w:val="auto"/>
                <w:szCs w:val="21"/>
                <w:highlight w:val="none"/>
              </w:rPr>
              <w:t>1.提交投标文件截止时间：详见招标公告</w:t>
            </w:r>
          </w:p>
          <w:p w14:paraId="619D6E63">
            <w:pPr>
              <w:spacing w:line="360" w:lineRule="auto"/>
              <w:rPr>
                <w:rFonts w:ascii="宋体" w:hAnsi="宋体"/>
                <w:color w:val="auto"/>
                <w:szCs w:val="21"/>
                <w:highlight w:val="none"/>
              </w:rPr>
            </w:pPr>
            <w:r>
              <w:rPr>
                <w:rFonts w:hint="eastAsia" w:ascii="宋体" w:hAnsi="宋体"/>
                <w:color w:val="auto"/>
                <w:szCs w:val="21"/>
                <w:highlight w:val="none"/>
              </w:rPr>
              <w:t>2.投标地点：详见招标公告</w:t>
            </w:r>
          </w:p>
        </w:tc>
      </w:tr>
      <w:tr w14:paraId="4C331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3220933">
            <w:pPr>
              <w:spacing w:line="360" w:lineRule="auto"/>
              <w:jc w:val="center"/>
              <w:rPr>
                <w:rFonts w:ascii="宋体" w:hAnsi="宋体"/>
                <w:color w:val="auto"/>
                <w:szCs w:val="21"/>
                <w:highlight w:val="none"/>
              </w:rPr>
            </w:pPr>
            <w:bookmarkStart w:id="65" w:name="_23"/>
            <w:bookmarkEnd w:id="65"/>
            <w:r>
              <w:rPr>
                <w:rFonts w:hint="eastAsia" w:ascii="宋体" w:hAnsi="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vAlign w:val="center"/>
          </w:tcPr>
          <w:p w14:paraId="4BC79536">
            <w:pPr>
              <w:spacing w:line="360" w:lineRule="auto"/>
              <w:rPr>
                <w:rFonts w:ascii="宋体" w:hAnsi="宋体"/>
                <w:color w:val="auto"/>
                <w:szCs w:val="21"/>
                <w:highlight w:val="none"/>
              </w:rPr>
            </w:pPr>
            <w:r>
              <w:rPr>
                <w:rFonts w:hint="eastAsia" w:ascii="宋体" w:hAnsi="宋体"/>
                <w:color w:val="auto"/>
                <w:szCs w:val="21"/>
                <w:highlight w:val="none"/>
              </w:rPr>
              <w:t>1.开标时间：详见招标公告</w:t>
            </w:r>
          </w:p>
          <w:p w14:paraId="42B40E7D">
            <w:pPr>
              <w:spacing w:line="360" w:lineRule="auto"/>
              <w:rPr>
                <w:rFonts w:ascii="宋体" w:hAnsi="宋体"/>
                <w:color w:val="auto"/>
                <w:szCs w:val="21"/>
                <w:highlight w:val="none"/>
              </w:rPr>
            </w:pPr>
            <w:r>
              <w:rPr>
                <w:rFonts w:hint="eastAsia" w:ascii="宋体" w:hAnsi="宋体"/>
                <w:color w:val="auto"/>
                <w:szCs w:val="21"/>
                <w:highlight w:val="none"/>
              </w:rPr>
              <w:t>2.开标地点：详见招标公告</w:t>
            </w:r>
          </w:p>
        </w:tc>
      </w:tr>
      <w:tr w14:paraId="7065D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400F7D4">
            <w:pPr>
              <w:spacing w:line="360" w:lineRule="auto"/>
              <w:jc w:val="center"/>
              <w:rPr>
                <w:rFonts w:ascii="宋体" w:hAnsi="宋体"/>
                <w:color w:val="auto"/>
                <w:szCs w:val="21"/>
                <w:highlight w:val="none"/>
              </w:rPr>
            </w:pPr>
            <w:r>
              <w:rPr>
                <w:rFonts w:hint="eastAsia" w:ascii="宋体" w:hAnsi="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14306193">
            <w:pPr>
              <w:spacing w:line="360" w:lineRule="auto"/>
              <w:rPr>
                <w:rFonts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 xml:space="preserve"> 30  </w:t>
            </w:r>
            <w:r>
              <w:rPr>
                <w:rFonts w:hint="eastAsia" w:hAnsi="宋体"/>
                <w:color w:val="auto"/>
                <w:highlight w:val="none"/>
              </w:rPr>
              <w:t>分钟</w:t>
            </w:r>
          </w:p>
        </w:tc>
      </w:tr>
      <w:tr w14:paraId="3E375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1DB6391">
            <w:pPr>
              <w:spacing w:line="360" w:lineRule="auto"/>
              <w:jc w:val="center"/>
              <w:rPr>
                <w:rFonts w:ascii="宋体" w:hAnsi="宋体"/>
                <w:color w:val="auto"/>
                <w:szCs w:val="21"/>
                <w:highlight w:val="none"/>
              </w:rPr>
            </w:pPr>
            <w:bookmarkStart w:id="66" w:name="_25.3"/>
            <w:bookmarkEnd w:id="66"/>
            <w:r>
              <w:rPr>
                <w:rFonts w:hint="eastAsia" w:ascii="宋体" w:hAnsi="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288759C4">
            <w:pPr>
              <w:spacing w:line="360" w:lineRule="auto"/>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6B8B6E7F">
            <w:pPr>
              <w:spacing w:line="360" w:lineRule="auto"/>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5F1AE41D">
            <w:pPr>
              <w:spacing w:line="360" w:lineRule="auto"/>
              <w:rPr>
                <w:rFonts w:ascii="宋体" w:hAnsi="宋体"/>
                <w:color w:val="auto"/>
                <w:szCs w:val="21"/>
                <w:highlight w:val="none"/>
              </w:rPr>
            </w:pPr>
            <w:r>
              <w:rPr>
                <w:rFonts w:hint="eastAsia" w:ascii="宋体" w:hAnsi="宋体"/>
                <w:color w:val="auto"/>
                <w:szCs w:val="21"/>
                <w:highlight w:val="none"/>
              </w:rPr>
              <w:t>信用查询截止时点：资格审查结束前</w:t>
            </w:r>
          </w:p>
          <w:p w14:paraId="25AE0E9E">
            <w:pPr>
              <w:spacing w:line="360" w:lineRule="auto"/>
              <w:rPr>
                <w:rFonts w:ascii="宋体" w:hAnsi="宋体"/>
                <w:color w:val="auto"/>
                <w:szCs w:val="21"/>
                <w:highlight w:val="none"/>
              </w:rPr>
            </w:pPr>
            <w:r>
              <w:rPr>
                <w:rFonts w:hint="eastAsia" w:ascii="宋体" w:hAnsi="宋体"/>
                <w:color w:val="auto"/>
                <w:szCs w:val="21"/>
                <w:highlight w:val="none"/>
              </w:rPr>
              <w:t>查询记录和证据留存方式：在查询网站中直接截图查询记录，截图作为在广西政府采购云平台作为附件上传保存。</w:t>
            </w:r>
          </w:p>
          <w:p w14:paraId="21739453">
            <w:pPr>
              <w:spacing w:line="360" w:lineRule="auto"/>
              <w:rPr>
                <w:rFonts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2E82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378D1C8">
            <w:pPr>
              <w:spacing w:line="360" w:lineRule="auto"/>
              <w:jc w:val="center"/>
              <w:rPr>
                <w:rFonts w:ascii="宋体" w:hAnsi="宋体"/>
                <w:color w:val="auto"/>
                <w:szCs w:val="21"/>
                <w:highlight w:val="none"/>
              </w:rPr>
            </w:pPr>
            <w:bookmarkStart w:id="67" w:name="_26"/>
            <w:bookmarkEnd w:id="67"/>
            <w:r>
              <w:rPr>
                <w:rFonts w:hint="eastAsia" w:ascii="宋体" w:hAnsi="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3D14ADAA">
            <w:pPr>
              <w:spacing w:line="360" w:lineRule="auto"/>
              <w:rPr>
                <w:rFonts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7</w:t>
            </w:r>
            <w:r>
              <w:rPr>
                <w:rFonts w:hint="eastAsia" w:ascii="宋体" w:hAnsi="宋体"/>
                <w:color w:val="auto"/>
                <w:szCs w:val="21"/>
                <w:highlight w:val="none"/>
              </w:rPr>
              <w:t>人</w:t>
            </w:r>
          </w:p>
        </w:tc>
      </w:tr>
      <w:tr w14:paraId="07126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1CA389C">
            <w:pPr>
              <w:spacing w:line="360" w:lineRule="auto"/>
              <w:jc w:val="center"/>
              <w:rPr>
                <w:rFonts w:ascii="宋体" w:hAnsi="宋体"/>
                <w:color w:val="auto"/>
                <w:szCs w:val="21"/>
                <w:highlight w:val="none"/>
              </w:rPr>
            </w:pPr>
            <w:r>
              <w:rPr>
                <w:rFonts w:hint="eastAsia" w:ascii="宋体" w:hAnsi="宋体"/>
                <w:color w:val="auto"/>
                <w:szCs w:val="21"/>
                <w:highlight w:val="none"/>
              </w:rPr>
              <w:t>27</w:t>
            </w:r>
          </w:p>
        </w:tc>
        <w:tc>
          <w:tcPr>
            <w:tcW w:w="8175" w:type="dxa"/>
            <w:tcBorders>
              <w:top w:val="single" w:color="auto" w:sz="4" w:space="0"/>
              <w:left w:val="single" w:color="auto" w:sz="4" w:space="0"/>
              <w:bottom w:val="single" w:color="auto" w:sz="4" w:space="0"/>
              <w:right w:val="single" w:color="auto" w:sz="4" w:space="0"/>
            </w:tcBorders>
            <w:vAlign w:val="center"/>
          </w:tcPr>
          <w:p w14:paraId="75EAA0D2">
            <w:pPr>
              <w:spacing w:line="360" w:lineRule="auto"/>
              <w:rPr>
                <w:rFonts w:ascii="宋体" w:hAnsi="宋体"/>
                <w:color w:val="auto"/>
                <w:szCs w:val="21"/>
                <w:highlight w:val="none"/>
              </w:rPr>
            </w:pPr>
            <w:r>
              <w:rPr>
                <w:rFonts w:hint="eastAsia" w:ascii="宋体" w:hAnsi="宋体"/>
                <w:color w:val="auto"/>
                <w:szCs w:val="21"/>
                <w:highlight w:val="none"/>
              </w:rPr>
              <w:t>如投标人系统平台报价与电子投标文件中报价不一致的，以投标文件开标一览表报价为准。</w:t>
            </w:r>
          </w:p>
        </w:tc>
      </w:tr>
      <w:tr w14:paraId="2E0232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E780DAA">
            <w:pPr>
              <w:spacing w:line="360" w:lineRule="auto"/>
              <w:jc w:val="center"/>
              <w:rPr>
                <w:rFonts w:ascii="宋体" w:hAnsi="宋体"/>
                <w:color w:val="auto"/>
                <w:szCs w:val="21"/>
                <w:highlight w:val="none"/>
              </w:rPr>
            </w:pPr>
            <w:bookmarkStart w:id="68" w:name="_28.3"/>
            <w:bookmarkEnd w:id="68"/>
            <w:r>
              <w:rPr>
                <w:rFonts w:ascii="宋体" w:hAnsi="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1EB0FA8B">
            <w:pPr>
              <w:spacing w:line="360" w:lineRule="auto"/>
              <w:rPr>
                <w:rFonts w:ascii="宋体" w:hAnsi="宋体"/>
                <w:color w:val="auto"/>
                <w:szCs w:val="21"/>
                <w:highlight w:val="none"/>
              </w:rPr>
            </w:pPr>
            <w:r>
              <w:rPr>
                <w:rFonts w:hint="eastAsia" w:ascii="宋体" w:hAnsi="宋体"/>
                <w:color w:val="auto"/>
                <w:szCs w:val="21"/>
                <w:highlight w:val="none"/>
              </w:rPr>
              <w:t>评标方法：</w:t>
            </w:r>
          </w:p>
          <w:p w14:paraId="06885A6D">
            <w:pPr>
              <w:spacing w:line="360" w:lineRule="auto"/>
              <w:rPr>
                <w:rFonts w:ascii="宋体" w:hAnsi="宋体"/>
                <w:color w:val="auto"/>
                <w:szCs w:val="21"/>
                <w:highlight w:val="none"/>
              </w:rPr>
            </w:pPr>
            <w:r>
              <w:rPr>
                <w:rFonts w:hint="eastAsia" w:ascii="宋体" w:hAnsi="宋体"/>
                <w:color w:val="auto"/>
                <w:szCs w:val="21"/>
                <w:highlight w:val="none"/>
              </w:rPr>
              <w:t>☑综合评分法</w:t>
            </w:r>
          </w:p>
          <w:p w14:paraId="3801B65B">
            <w:pPr>
              <w:spacing w:line="360" w:lineRule="auto"/>
              <w:rPr>
                <w:rFonts w:ascii="宋体" w:hAnsi="宋体"/>
                <w:color w:val="auto"/>
                <w:szCs w:val="21"/>
                <w:highlight w:val="none"/>
              </w:rPr>
            </w:pPr>
            <w:r>
              <w:rPr>
                <w:rFonts w:hint="eastAsia" w:ascii="宋体" w:hAnsi="宋体"/>
                <w:color w:val="auto"/>
                <w:szCs w:val="21"/>
                <w:highlight w:val="none"/>
              </w:rPr>
              <w:t>□最低评标价法</w:t>
            </w:r>
          </w:p>
        </w:tc>
      </w:tr>
      <w:tr w14:paraId="32174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vAlign w:val="center"/>
          </w:tcPr>
          <w:p w14:paraId="652666AE">
            <w:pPr>
              <w:spacing w:line="360" w:lineRule="auto"/>
              <w:jc w:val="center"/>
              <w:rPr>
                <w:rFonts w:ascii="宋体" w:hAnsi="宋体"/>
                <w:color w:val="auto"/>
                <w:szCs w:val="21"/>
                <w:highlight w:val="none"/>
              </w:rPr>
            </w:pPr>
            <w:bookmarkStart w:id="69" w:name="_29.2.2（2）"/>
            <w:bookmarkEnd w:id="69"/>
            <w:r>
              <w:rPr>
                <w:rFonts w:hint="eastAsia" w:ascii="宋体" w:hAnsi="宋体"/>
                <w:color w:val="auto"/>
                <w:szCs w:val="21"/>
                <w:highlight w:val="none"/>
              </w:rPr>
              <w:t>29</w:t>
            </w:r>
            <w:r>
              <w:rPr>
                <w:rFonts w:ascii="宋体" w:hAnsi="宋体"/>
                <w:color w:val="auto"/>
                <w:szCs w:val="21"/>
                <w:highlight w:val="none"/>
              </w:rPr>
              <w:t>.2</w:t>
            </w:r>
          </w:p>
        </w:tc>
        <w:tc>
          <w:tcPr>
            <w:tcW w:w="8175" w:type="dxa"/>
            <w:tcBorders>
              <w:top w:val="single" w:color="auto" w:sz="4" w:space="0"/>
              <w:left w:val="single" w:color="auto" w:sz="4" w:space="0"/>
              <w:right w:val="single" w:color="auto" w:sz="4" w:space="0"/>
            </w:tcBorders>
            <w:vAlign w:val="center"/>
          </w:tcPr>
          <w:p w14:paraId="0D3DFE33">
            <w:pPr>
              <w:spacing w:line="360" w:lineRule="auto"/>
              <w:rPr>
                <w:rFonts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p w14:paraId="1E4DADF7">
            <w:pPr>
              <w:spacing w:line="360" w:lineRule="auto"/>
              <w:rPr>
                <w:rFonts w:ascii="宋体" w:hAnsi="宋体"/>
                <w:color w:val="auto"/>
                <w:szCs w:val="21"/>
                <w:highlight w:val="none"/>
              </w:rPr>
            </w:pPr>
            <w:r>
              <w:rPr>
                <w:rFonts w:hint="eastAsia" w:ascii="宋体" w:hAnsi="宋体" w:cs="宋体"/>
                <w:color w:val="auto"/>
                <w:szCs w:val="21"/>
                <w:highlight w:val="none"/>
              </w:rPr>
              <w:t>服务内容及技术要求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tc>
      </w:tr>
      <w:tr w14:paraId="5951E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16C17360">
            <w:pPr>
              <w:spacing w:line="360" w:lineRule="auto"/>
              <w:jc w:val="center"/>
              <w:rPr>
                <w:rFonts w:ascii="宋体" w:hAnsi="宋体"/>
                <w:color w:val="auto"/>
                <w:szCs w:val="21"/>
                <w:highlight w:val="none"/>
              </w:rPr>
            </w:pPr>
            <w:r>
              <w:rPr>
                <w:rFonts w:hint="eastAsia" w:ascii="宋体" w:hAnsi="宋体"/>
                <w:color w:val="auto"/>
                <w:szCs w:val="21"/>
                <w:highlight w:val="none"/>
              </w:rPr>
              <w:t>29.3</w:t>
            </w:r>
          </w:p>
        </w:tc>
        <w:tc>
          <w:tcPr>
            <w:tcW w:w="8175" w:type="dxa"/>
            <w:tcBorders>
              <w:top w:val="single" w:color="auto" w:sz="4" w:space="0"/>
              <w:left w:val="single" w:color="auto" w:sz="4" w:space="0"/>
              <w:right w:val="single" w:color="auto" w:sz="4" w:space="0"/>
            </w:tcBorders>
            <w:vAlign w:val="center"/>
          </w:tcPr>
          <w:p w14:paraId="1673D4D0">
            <w:pPr>
              <w:spacing w:line="360" w:lineRule="auto"/>
              <w:rPr>
                <w:rFonts w:hAnsi="宋体"/>
                <w:color w:val="auto"/>
                <w:highlight w:val="none"/>
              </w:rPr>
            </w:pPr>
            <w:r>
              <w:rPr>
                <w:rFonts w:hAnsi="宋体"/>
                <w:color w:val="auto"/>
                <w:highlight w:val="none"/>
              </w:rPr>
              <w:t>中标候选人推荐数量</w:t>
            </w:r>
            <w:r>
              <w:rPr>
                <w:rFonts w:hint="eastAsia" w:hAnsi="宋体"/>
                <w:color w:val="auto"/>
                <w:highlight w:val="none"/>
              </w:rPr>
              <w:t>：</w:t>
            </w:r>
          </w:p>
          <w:p w14:paraId="74B7E61B">
            <w:pPr>
              <w:spacing w:line="360" w:lineRule="auto"/>
              <w:rPr>
                <w:rFonts w:hAnsi="宋体"/>
                <w:color w:val="auto"/>
                <w:highlight w:val="none"/>
              </w:rPr>
            </w:pPr>
            <w:r>
              <w:rPr>
                <w:rFonts w:hint="eastAsia" w:ascii="宋体" w:hAnsi="宋体"/>
                <w:color w:val="auto"/>
                <w:szCs w:val="21"/>
                <w:highlight w:val="none"/>
              </w:rPr>
              <w:t>☑</w:t>
            </w:r>
            <w:r>
              <w:rPr>
                <w:rFonts w:hint="eastAsia" w:hAnsi="宋体"/>
                <w:color w:val="auto"/>
                <w:highlight w:val="none"/>
                <w:u w:val="single"/>
              </w:rPr>
              <w:t>3</w:t>
            </w:r>
            <w:r>
              <w:rPr>
                <w:rFonts w:hAnsi="宋体"/>
                <w:color w:val="auto"/>
                <w:highlight w:val="none"/>
                <w:u w:val="single"/>
              </w:rPr>
              <w:t xml:space="preserve"> </w:t>
            </w:r>
            <w:r>
              <w:rPr>
                <w:rFonts w:hAnsi="宋体"/>
                <w:color w:val="auto"/>
                <w:highlight w:val="none"/>
              </w:rPr>
              <w:t>名</w:t>
            </w:r>
          </w:p>
          <w:p w14:paraId="4E03A300">
            <w:pPr>
              <w:spacing w:line="360" w:lineRule="auto"/>
              <w:rPr>
                <w:rFonts w:ascii="宋体" w:hAnsi="宋体" w:cs="宋体"/>
                <w:color w:val="auto"/>
                <w:szCs w:val="21"/>
                <w:highlight w:val="none"/>
              </w:rPr>
            </w:pPr>
            <w:r>
              <w:rPr>
                <w:rFonts w:hint="eastAsia" w:ascii="宋体" w:hAnsi="宋体"/>
                <w:color w:val="auto"/>
                <w:szCs w:val="21"/>
                <w:highlight w:val="none"/>
              </w:rPr>
              <w:t>□</w:t>
            </w:r>
            <w:r>
              <w:rPr>
                <w:rFonts w:hint="eastAsia" w:hAnsi="宋体"/>
                <w:color w:val="auto"/>
                <w:highlight w:val="none"/>
              </w:rPr>
              <w:t>根据[总得分由高到低（综合评分法）/评标报价从低到高（最低评标价法）</w:t>
            </w:r>
            <w:r>
              <w:rPr>
                <w:rFonts w:hAnsi="宋体"/>
                <w:color w:val="auto"/>
                <w:highlight w:val="none"/>
              </w:rPr>
              <w:t>]</w:t>
            </w:r>
            <w:r>
              <w:rPr>
                <w:rFonts w:hint="eastAsia" w:hAnsi="宋体"/>
                <w:color w:val="auto"/>
                <w:highlight w:val="none"/>
              </w:rPr>
              <w:t>排列次序并全部推荐为中标候选人</w:t>
            </w:r>
          </w:p>
        </w:tc>
      </w:tr>
      <w:tr w14:paraId="33C27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79E32FA">
            <w:pPr>
              <w:spacing w:line="360" w:lineRule="auto"/>
              <w:jc w:val="center"/>
              <w:rPr>
                <w:rFonts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3B169808">
            <w:pPr>
              <w:spacing w:line="360" w:lineRule="auto"/>
              <w:rPr>
                <w:rFonts w:ascii="宋体" w:hAnsi="宋体"/>
                <w:color w:val="auto"/>
                <w:szCs w:val="21"/>
                <w:highlight w:val="none"/>
              </w:rPr>
            </w:pPr>
            <w:r>
              <w:rPr>
                <w:rFonts w:hint="eastAsia" w:ascii="宋体" w:hAnsi="宋体"/>
                <w:color w:val="auto"/>
                <w:szCs w:val="21"/>
                <w:highlight w:val="none"/>
              </w:rPr>
              <w:t>采用综合评分法的采购项目，采购人确定中标供应商时，出现中标候选人并列的情形，采购人按以下的方式确定中标供应商：</w:t>
            </w:r>
          </w:p>
          <w:p w14:paraId="6CD3445E">
            <w:pPr>
              <w:spacing w:line="360" w:lineRule="auto"/>
              <w:rPr>
                <w:rFonts w:ascii="宋体" w:hAnsi="宋体"/>
                <w:color w:val="auto"/>
                <w:szCs w:val="21"/>
                <w:highlight w:val="none"/>
              </w:rPr>
            </w:pPr>
            <w:r>
              <w:rPr>
                <w:rFonts w:hint="eastAsia" w:ascii="宋体" w:hAnsi="宋体"/>
                <w:color w:val="auto"/>
                <w:szCs w:val="21"/>
                <w:highlight w:val="none"/>
              </w:rPr>
              <w:t>☑依次按投标报价低的优先、政策分得分高的优先、技术评分高的优先、商务评分高的优先、服务响应时间优先的顺序确定；</w:t>
            </w:r>
          </w:p>
          <w:p w14:paraId="7FF2C5B4">
            <w:pPr>
              <w:spacing w:line="360" w:lineRule="auto"/>
              <w:rPr>
                <w:rFonts w:ascii="宋体" w:hAnsi="宋体"/>
                <w:b/>
                <w:color w:val="auto"/>
                <w:szCs w:val="21"/>
                <w:highlight w:val="none"/>
              </w:rPr>
            </w:pPr>
            <w:r>
              <w:rPr>
                <w:rFonts w:hint="eastAsia" w:ascii="宋体" w:hAnsi="宋体"/>
                <w:color w:val="auto"/>
                <w:szCs w:val="21"/>
                <w:highlight w:val="none"/>
              </w:rPr>
              <w:t>□随机抽取；</w:t>
            </w:r>
          </w:p>
        </w:tc>
      </w:tr>
      <w:tr w14:paraId="7BD91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10F51A44">
            <w:pPr>
              <w:spacing w:line="360" w:lineRule="auto"/>
              <w:jc w:val="center"/>
              <w:rPr>
                <w:rFonts w:ascii="宋体" w:hAnsi="宋体"/>
                <w:color w:val="auto"/>
                <w:szCs w:val="21"/>
                <w:highlight w:val="none"/>
              </w:rPr>
            </w:pPr>
            <w:bookmarkStart w:id="70" w:name="_39.1"/>
            <w:bookmarkEnd w:id="70"/>
            <w:r>
              <w:rPr>
                <w:rFonts w:hint="eastAsia" w:ascii="宋体" w:hAnsi="宋体"/>
                <w:color w:val="auto"/>
                <w:szCs w:val="21"/>
                <w:highlight w:val="none"/>
              </w:rPr>
              <w:t>35</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25FD5C8D">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03D44965">
            <w:pPr>
              <w:spacing w:line="360" w:lineRule="auto"/>
              <w:rPr>
                <w:rFonts w:ascii="宋体" w:hAnsi="宋体"/>
                <w:color w:val="auto"/>
                <w:szCs w:val="21"/>
                <w:highlight w:val="none"/>
              </w:rPr>
            </w:pPr>
            <w:r>
              <w:rPr>
                <w:rFonts w:hint="eastAsia" w:ascii="宋体" w:hAnsi="宋体"/>
                <w:color w:val="auto"/>
                <w:szCs w:val="21"/>
                <w:highlight w:val="none"/>
              </w:rPr>
              <w:t>☑本项目收取履约保证金，具体规定如下：</w:t>
            </w:r>
          </w:p>
          <w:p w14:paraId="021055B4">
            <w:pPr>
              <w:spacing w:line="360" w:lineRule="auto"/>
              <w:rPr>
                <w:rFonts w:ascii="宋体" w:hAnsi="宋体"/>
                <w:color w:val="auto"/>
                <w:szCs w:val="21"/>
                <w:highlight w:val="none"/>
              </w:rPr>
            </w:pPr>
            <w:r>
              <w:rPr>
                <w:rFonts w:hint="eastAsia" w:ascii="宋体" w:hAnsi="宋体"/>
                <w:color w:val="auto"/>
                <w:szCs w:val="21"/>
                <w:highlight w:val="none"/>
              </w:rPr>
              <w:t>履约保证金金额：</w:t>
            </w:r>
            <w:r>
              <w:rPr>
                <w:rFonts w:hint="eastAsia" w:ascii="宋体" w:hAnsi="宋体"/>
                <w:color w:val="auto"/>
                <w:szCs w:val="21"/>
                <w:highlight w:val="none"/>
                <w:u w:val="single"/>
              </w:rPr>
              <w:t>贰拾贰万元整</w:t>
            </w:r>
            <w:r>
              <w:rPr>
                <w:rFonts w:hint="eastAsia" w:ascii="宋体" w:hAnsi="宋体"/>
                <w:color w:val="auto"/>
                <w:szCs w:val="21"/>
                <w:highlight w:val="none"/>
              </w:rPr>
              <w:t>。</w:t>
            </w:r>
          </w:p>
          <w:p w14:paraId="47B47BBC">
            <w:pPr>
              <w:spacing w:line="360" w:lineRule="auto"/>
              <w:rPr>
                <w:rFonts w:ascii="宋体" w:hAnsi="宋体"/>
                <w:color w:val="auto"/>
                <w:szCs w:val="21"/>
                <w:highlight w:val="none"/>
              </w:rPr>
            </w:pPr>
            <w:r>
              <w:rPr>
                <w:rFonts w:hint="eastAsia" w:ascii="宋体" w:hAnsi="宋体"/>
                <w:color w:val="auto"/>
                <w:szCs w:val="21"/>
                <w:highlight w:val="none"/>
              </w:rPr>
              <w:t>履约保证金递交方式：银行转账、支票、汇票、本票或者银行、保险机构出具的保函等非现金方式。</w:t>
            </w:r>
          </w:p>
          <w:p w14:paraId="71FBAE9E">
            <w:pPr>
              <w:spacing w:line="360" w:lineRule="auto"/>
              <w:rPr>
                <w:rFonts w:ascii="宋体" w:hAnsi="宋体"/>
                <w:color w:val="auto"/>
                <w:szCs w:val="21"/>
                <w:highlight w:val="none"/>
              </w:rPr>
            </w:pPr>
            <w:r>
              <w:rPr>
                <w:rFonts w:hint="eastAsia" w:ascii="宋体" w:hAnsi="宋体"/>
                <w:color w:val="auto"/>
                <w:szCs w:val="21"/>
                <w:highlight w:val="none"/>
              </w:rPr>
              <w:t>履约保证金缴纳期限:</w:t>
            </w:r>
            <w:r>
              <w:rPr>
                <w:color w:val="auto"/>
                <w:highlight w:val="none"/>
              </w:rPr>
              <w:t xml:space="preserve"> </w:t>
            </w:r>
            <w:r>
              <w:rPr>
                <w:rFonts w:hint="eastAsia"/>
                <w:color w:val="auto"/>
                <w:highlight w:val="none"/>
                <w:u w:val="single"/>
              </w:rPr>
              <w:t>政府</w:t>
            </w:r>
            <w:r>
              <w:rPr>
                <w:rFonts w:hint="eastAsia" w:ascii="宋体" w:hAnsi="宋体"/>
                <w:iCs/>
                <w:color w:val="auto"/>
                <w:szCs w:val="21"/>
                <w:highlight w:val="none"/>
                <w:u w:val="single"/>
              </w:rPr>
              <w:t>采购合同签订前</w:t>
            </w:r>
            <w:r>
              <w:rPr>
                <w:rFonts w:hint="eastAsia" w:ascii="宋体" w:hAnsi="宋体"/>
                <w:iCs/>
                <w:color w:val="auto"/>
                <w:szCs w:val="21"/>
                <w:highlight w:val="none"/>
              </w:rPr>
              <w:t>。</w:t>
            </w:r>
          </w:p>
          <w:p w14:paraId="5F66D3A4">
            <w:pPr>
              <w:spacing w:line="360" w:lineRule="auto"/>
              <w:rPr>
                <w:rFonts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color w:val="auto"/>
                <w:szCs w:val="21"/>
                <w:highlight w:val="none"/>
                <w:u w:val="single"/>
              </w:rPr>
              <w:t xml:space="preserve"> 由中标供应商向履约保证金收取单位提供《广西壮族自治区政府采购项目合同验收书》（详见桂财采〔2015〕22号），保证金收取单位在收到合格材料后5个工作日内办理退还手续（不计利息） 。</w:t>
            </w:r>
          </w:p>
          <w:p w14:paraId="06D21851">
            <w:pPr>
              <w:spacing w:line="360" w:lineRule="auto"/>
              <w:rPr>
                <w:rFonts w:ascii="宋体" w:hAnsi="宋体"/>
                <w:color w:val="auto"/>
                <w:szCs w:val="21"/>
                <w:highlight w:val="none"/>
              </w:rPr>
            </w:pPr>
            <w:r>
              <w:rPr>
                <w:rFonts w:hint="eastAsia" w:ascii="宋体" w:hAnsi="宋体"/>
                <w:color w:val="auto"/>
                <w:szCs w:val="21"/>
                <w:highlight w:val="none"/>
              </w:rPr>
              <w:t>履约保证金指定账户：</w:t>
            </w:r>
          </w:p>
          <w:p w14:paraId="546C7F18">
            <w:pPr>
              <w:spacing w:line="360" w:lineRule="auto"/>
              <w:rPr>
                <w:rFonts w:ascii="宋体" w:hAnsi="宋体"/>
                <w:color w:val="auto"/>
                <w:szCs w:val="21"/>
                <w:highlight w:val="none"/>
              </w:rPr>
            </w:pPr>
            <w:r>
              <w:rPr>
                <w:rFonts w:hint="eastAsia" w:ascii="宋体" w:hAnsi="宋体"/>
                <w:color w:val="auto"/>
                <w:szCs w:val="21"/>
                <w:highlight w:val="none"/>
              </w:rPr>
              <w:t xml:space="preserve">开户名：梧州市万秀区教育局 </w:t>
            </w:r>
          </w:p>
          <w:p w14:paraId="217FD98E">
            <w:pPr>
              <w:spacing w:line="360" w:lineRule="auto"/>
              <w:rPr>
                <w:rFonts w:ascii="宋体" w:hAnsi="宋体"/>
                <w:color w:val="auto"/>
                <w:szCs w:val="21"/>
                <w:highlight w:val="none"/>
              </w:rPr>
            </w:pPr>
            <w:r>
              <w:rPr>
                <w:rFonts w:hint="eastAsia" w:ascii="宋体" w:hAnsi="宋体"/>
                <w:color w:val="auto"/>
                <w:szCs w:val="21"/>
                <w:highlight w:val="none"/>
              </w:rPr>
              <w:t>开户行：工商银行梧州分行营业部</w:t>
            </w:r>
          </w:p>
          <w:p w14:paraId="4FD08ABD">
            <w:pPr>
              <w:spacing w:line="360" w:lineRule="auto"/>
              <w:rPr>
                <w:rFonts w:ascii="宋体" w:hAnsi="宋体"/>
                <w:color w:val="auto"/>
                <w:szCs w:val="21"/>
                <w:highlight w:val="none"/>
              </w:rPr>
            </w:pPr>
            <w:r>
              <w:rPr>
                <w:rFonts w:hint="eastAsia" w:ascii="宋体" w:hAnsi="宋体"/>
                <w:color w:val="auto"/>
                <w:szCs w:val="21"/>
                <w:highlight w:val="none"/>
              </w:rPr>
              <w:t>账  号：2104310029201128055</w:t>
            </w:r>
          </w:p>
          <w:p w14:paraId="44FB97D1">
            <w:pPr>
              <w:spacing w:line="360" w:lineRule="auto"/>
              <w:jc w:val="left"/>
              <w:rPr>
                <w:rFonts w:ascii="宋体" w:hAnsi="宋体" w:cs="Courier New"/>
                <w:color w:val="auto"/>
                <w:szCs w:val="21"/>
                <w:highlight w:val="none"/>
              </w:rPr>
            </w:pPr>
            <w:r>
              <w:rPr>
                <w:rFonts w:ascii="宋体" w:hAnsi="宋体" w:cs="Courier New"/>
                <w:color w:val="auto"/>
                <w:szCs w:val="21"/>
                <w:highlight w:val="none"/>
              </w:rPr>
              <w:t>备注：</w:t>
            </w:r>
          </w:p>
          <w:p w14:paraId="02FC1634">
            <w:pPr>
              <w:spacing w:line="360" w:lineRule="auto"/>
              <w:jc w:val="left"/>
              <w:rPr>
                <w:rFonts w:ascii="宋体" w:hAnsi="宋体"/>
                <w:b/>
                <w:color w:val="auto"/>
                <w:szCs w:val="21"/>
                <w:highlight w:val="none"/>
              </w:rPr>
            </w:pPr>
            <w:bookmarkStart w:id="71" w:name="_Hlk54170335"/>
            <w:r>
              <w:rPr>
                <w:rFonts w:hint="eastAsia" w:ascii="宋体" w:hAnsi="宋体"/>
                <w:b/>
                <w:color w:val="auto"/>
                <w:szCs w:val="21"/>
                <w:highlight w:val="none"/>
              </w:rPr>
              <w:t>1.根据</w:t>
            </w:r>
            <w:bookmarkEnd w:id="71"/>
            <w:r>
              <w:rPr>
                <w:rFonts w:hint="eastAsia" w:ascii="宋体" w:hAnsi="宋体"/>
                <w:b/>
                <w:color w:val="auto"/>
                <w:szCs w:val="21"/>
                <w:highlight w:val="none"/>
              </w:rPr>
              <w:t>《广西壮族自治区财政厅关于持续优化政府采购营商环境推动高质量发展的通知》（桂财采〔2024〕55号）规定，履约保证金数额不得超过政府采购合同金额的5%，对中小企业收取的履约保证金数额不得超过政府采购合同金额的2%。预算单位（采购人）可根据供应商的资信等情况减免履约保证金。</w:t>
            </w:r>
          </w:p>
          <w:p w14:paraId="1BEC843D">
            <w:pPr>
              <w:spacing w:line="360" w:lineRule="auto"/>
              <w:jc w:val="left"/>
              <w:rPr>
                <w:rFonts w:ascii="宋体" w:hAnsi="宋体"/>
                <w:b/>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5B99C63E">
            <w:pPr>
              <w:spacing w:line="360" w:lineRule="auto"/>
              <w:jc w:val="left"/>
              <w:rPr>
                <w:rFonts w:ascii="宋体" w:hAnsi="宋体"/>
                <w:b/>
                <w:color w:val="auto"/>
                <w:szCs w:val="21"/>
                <w:highlight w:val="none"/>
              </w:rPr>
            </w:pPr>
            <w:r>
              <w:rPr>
                <w:rFonts w:ascii="宋体" w:hAnsi="宋体"/>
                <w:b/>
                <w:color w:val="auto"/>
                <w:szCs w:val="21"/>
                <w:highlight w:val="none"/>
              </w:rPr>
              <w:t>3.采用银行、保险机构出具的保函的，必须为无条件保函，否则不予签订合同。</w:t>
            </w:r>
          </w:p>
          <w:p w14:paraId="35571E34">
            <w:pPr>
              <w:spacing w:line="360" w:lineRule="auto"/>
              <w:jc w:val="left"/>
              <w:rPr>
                <w:rFonts w:ascii="宋体" w:hAnsi="宋体" w:cs="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4AF6C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398FB9F">
            <w:pPr>
              <w:spacing w:line="360" w:lineRule="auto"/>
              <w:jc w:val="center"/>
              <w:rPr>
                <w:rFonts w:ascii="宋体" w:hAnsi="宋体"/>
                <w:color w:val="auto"/>
                <w:szCs w:val="21"/>
                <w:highlight w:val="none"/>
              </w:rPr>
            </w:pPr>
            <w:bookmarkStart w:id="72" w:name="_40.1"/>
            <w:bookmarkEnd w:id="72"/>
            <w:r>
              <w:rPr>
                <w:rFonts w:hint="eastAsia" w:ascii="宋体" w:hAnsi="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6EF9BF73">
            <w:pPr>
              <w:spacing w:line="360" w:lineRule="auto"/>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7E32A3EC">
            <w:pPr>
              <w:spacing w:line="360" w:lineRule="auto"/>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77C78C64">
            <w:pPr>
              <w:spacing w:line="360" w:lineRule="auto"/>
              <w:rPr>
                <w:rFonts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1521B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E3565B8">
            <w:pPr>
              <w:spacing w:line="360" w:lineRule="auto"/>
              <w:jc w:val="center"/>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175" w:type="dxa"/>
            <w:tcBorders>
              <w:top w:val="single" w:color="auto" w:sz="4" w:space="0"/>
              <w:left w:val="single" w:color="auto" w:sz="4" w:space="0"/>
              <w:bottom w:val="single" w:color="auto" w:sz="4" w:space="0"/>
              <w:right w:val="single" w:color="auto" w:sz="4" w:space="0"/>
            </w:tcBorders>
            <w:vAlign w:val="center"/>
          </w:tcPr>
          <w:p w14:paraId="118C36F0">
            <w:pPr>
              <w:spacing w:line="360" w:lineRule="auto"/>
              <w:rPr>
                <w:rFonts w:ascii="宋体" w:hAnsi="宋体"/>
                <w:color w:val="auto"/>
                <w:szCs w:val="21"/>
                <w:highlight w:val="none"/>
              </w:rPr>
            </w:pPr>
            <w:r>
              <w:rPr>
                <w:rFonts w:hint="eastAsia" w:ascii="宋体" w:hAnsi="宋体"/>
                <w:color w:val="auto"/>
                <w:szCs w:val="21"/>
                <w:highlight w:val="none"/>
              </w:rPr>
              <w:t>接收质疑函方式：以书面形式</w:t>
            </w:r>
          </w:p>
          <w:p w14:paraId="4B2448AA">
            <w:pPr>
              <w:spacing w:line="360" w:lineRule="auto"/>
              <w:rPr>
                <w:rFonts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rPr>
              <w:t>云之龙咨询集团有限公司梧州分公司招标部，联系电话：0774-3859935，通讯地址：（梧州市新兴三路30号神冠豪都B栋1单元1008号房）</w:t>
            </w:r>
          </w:p>
          <w:p w14:paraId="4A04736E">
            <w:pPr>
              <w:spacing w:line="360" w:lineRule="auto"/>
              <w:rPr>
                <w:rFonts w:ascii="宋体" w:hAnsi="宋体"/>
                <w:color w:val="auto"/>
                <w:szCs w:val="21"/>
                <w:highlight w:val="none"/>
              </w:rPr>
            </w:pPr>
            <w:r>
              <w:rPr>
                <w:rFonts w:hint="eastAsia" w:hAnsi="宋体" w:cs="宋体"/>
                <w:color w:val="auto"/>
                <w:highlight w:val="none"/>
              </w:rPr>
              <w:t>业务时间：工作日每天上午</w:t>
            </w:r>
            <w:r>
              <w:rPr>
                <w:rFonts w:hAnsi="宋体" w:cs="宋体"/>
                <w:color w:val="auto"/>
                <w:highlight w:val="none"/>
              </w:rPr>
              <w:t>8</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12</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分，下午</w:t>
            </w:r>
            <w:r>
              <w:rPr>
                <w:rFonts w:hAnsi="宋体" w:cs="宋体"/>
                <w:color w:val="auto"/>
                <w:highlight w:val="none"/>
              </w:rPr>
              <w:t>3</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6</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w:t>
            </w:r>
          </w:p>
        </w:tc>
      </w:tr>
      <w:tr w14:paraId="548E1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2C576ED">
            <w:pPr>
              <w:spacing w:line="360" w:lineRule="auto"/>
              <w:jc w:val="center"/>
              <w:rPr>
                <w:rFonts w:ascii="宋体" w:hAnsi="宋体"/>
                <w:color w:val="auto"/>
                <w:szCs w:val="21"/>
                <w:highlight w:val="none"/>
              </w:rPr>
            </w:pPr>
            <w:bookmarkStart w:id="73" w:name="_41"/>
            <w:bookmarkEnd w:id="73"/>
            <w:bookmarkStart w:id="74" w:name="_42"/>
            <w:bookmarkEnd w:id="74"/>
            <w:bookmarkStart w:id="75" w:name="_Hlt17709148"/>
            <w:r>
              <w:rPr>
                <w:rFonts w:hint="eastAsia" w:ascii="宋体" w:hAnsi="宋体"/>
                <w:color w:val="auto"/>
                <w:szCs w:val="21"/>
                <w:highlight w:val="none"/>
              </w:rPr>
              <w:t>3</w:t>
            </w:r>
            <w:bookmarkEnd w:id="75"/>
            <w:r>
              <w:rPr>
                <w:rFonts w:ascii="宋体" w:hAnsi="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vAlign w:val="center"/>
          </w:tcPr>
          <w:p w14:paraId="6C70077C">
            <w:pPr>
              <w:pStyle w:val="24"/>
              <w:spacing w:line="360" w:lineRule="auto"/>
              <w:rPr>
                <w:rFonts w:hAnsi="宋体" w:cs="宋体"/>
                <w:color w:val="auto"/>
                <w:sz w:val="21"/>
                <w:highlight w:val="none"/>
              </w:rPr>
            </w:pPr>
            <w:r>
              <w:rPr>
                <w:rFonts w:hint="eastAsia" w:hAnsi="宋体" w:cs="宋体"/>
                <w:color w:val="auto"/>
                <w:sz w:val="21"/>
                <w:highlight w:val="none"/>
              </w:rPr>
              <w:t>1.采购代理服务费支付方式：</w:t>
            </w:r>
          </w:p>
          <w:p w14:paraId="20DC1264">
            <w:pPr>
              <w:pStyle w:val="24"/>
              <w:spacing w:line="360" w:lineRule="auto"/>
              <w:rPr>
                <w:rFonts w:hAnsi="宋体" w:cs="宋体"/>
                <w:color w:val="auto"/>
                <w:sz w:val="21"/>
                <w:highlight w:val="none"/>
              </w:rPr>
            </w:pPr>
            <w:r>
              <w:rPr>
                <w:rFonts w:hint="eastAsia" w:hAnsi="宋体" w:cs="宋体"/>
                <w:color w:val="auto"/>
                <w:sz w:val="21"/>
                <w:highlight w:val="none"/>
              </w:rPr>
              <w:t>☑本项目采购代理服务费由中标供应商在发布中标结果公告后5日内一次性向采购代理机构支付。</w:t>
            </w:r>
          </w:p>
          <w:p w14:paraId="35BA57ED">
            <w:pPr>
              <w:pStyle w:val="24"/>
              <w:spacing w:line="360" w:lineRule="auto"/>
              <w:rPr>
                <w:rFonts w:hAnsi="宋体" w:cs="宋体"/>
                <w:color w:val="auto"/>
                <w:sz w:val="21"/>
                <w:highlight w:val="none"/>
              </w:rPr>
            </w:pPr>
            <w:r>
              <w:rPr>
                <w:rFonts w:hint="eastAsia" w:hAnsi="宋体" w:cs="宋体"/>
                <w:color w:val="auto"/>
                <w:sz w:val="21"/>
                <w:highlight w:val="none"/>
              </w:rPr>
              <w:t>□采购人支付。</w:t>
            </w:r>
          </w:p>
          <w:p w14:paraId="48CBF185">
            <w:pPr>
              <w:pStyle w:val="24"/>
              <w:spacing w:line="360" w:lineRule="auto"/>
              <w:rPr>
                <w:rFonts w:hAnsi="宋体" w:cs="宋体"/>
                <w:color w:val="auto"/>
                <w:sz w:val="21"/>
                <w:highlight w:val="none"/>
              </w:rPr>
            </w:pPr>
            <w:r>
              <w:rPr>
                <w:rFonts w:hint="eastAsia" w:hAnsi="宋体" w:cs="宋体"/>
                <w:color w:val="auto"/>
                <w:sz w:val="21"/>
                <w:highlight w:val="none"/>
              </w:rPr>
              <w:t>2.采购代理服务费收取标准：</w:t>
            </w:r>
          </w:p>
          <w:p w14:paraId="52FD4DA9">
            <w:pPr>
              <w:pStyle w:val="24"/>
              <w:spacing w:line="360" w:lineRule="auto"/>
              <w:rPr>
                <w:rFonts w:hAnsi="宋体" w:cs="宋体"/>
                <w:color w:val="auto"/>
                <w:sz w:val="21"/>
                <w:highlight w:val="none"/>
              </w:rPr>
            </w:pPr>
            <w:r>
              <w:rPr>
                <w:rFonts w:hint="eastAsia" w:hAnsi="宋体" w:cs="宋体"/>
                <w:color w:val="auto"/>
                <w:sz w:val="21"/>
                <w:highlight w:val="none"/>
              </w:rPr>
              <w:t>☑以分标中标金额（按预算金额×中标折扣）为计费额，按本须知正文第</w:t>
            </w:r>
            <w:r>
              <w:rPr>
                <w:rFonts w:hAnsi="宋体" w:cs="宋体"/>
                <w:color w:val="auto"/>
                <w:sz w:val="21"/>
                <w:highlight w:val="none"/>
              </w:rPr>
              <w:t>39</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条规定的收费计算标准服务招标采用差额定率累进法计算出收费基准价格，采购代理收费以收费基准价格下浮20%收取。</w:t>
            </w:r>
          </w:p>
          <w:p w14:paraId="5A993E22">
            <w:pPr>
              <w:pStyle w:val="24"/>
              <w:spacing w:line="360" w:lineRule="auto"/>
              <w:rPr>
                <w:rFonts w:hAnsi="宋体" w:cs="宋体"/>
                <w:color w:val="auto"/>
                <w:sz w:val="21"/>
                <w:highlight w:val="non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r>
              <w:rPr>
                <w:rFonts w:hint="eastAsia" w:hAnsi="宋体" w:cs="宋体"/>
                <w:color w:val="auto"/>
                <w:sz w:val="21"/>
                <w:highlight w:val="none"/>
              </w:rPr>
              <w:t xml:space="preserve"> 。</w:t>
            </w:r>
          </w:p>
          <w:p w14:paraId="43F19437">
            <w:pPr>
              <w:pStyle w:val="24"/>
              <w:spacing w:line="360" w:lineRule="auto"/>
              <w:rPr>
                <w:rFonts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w:t>
            </w:r>
            <w:r>
              <w:rPr>
                <w:rFonts w:hint="eastAsia" w:hAnsi="宋体" w:cs="宋体"/>
                <w:color w:val="auto"/>
                <w:sz w:val="21"/>
                <w:highlight w:val="none"/>
              </w:rPr>
              <w:t>账户名称：云之龙咨询集团有限公司梧州分公司</w:t>
            </w:r>
          </w:p>
          <w:p w14:paraId="25CFD11B">
            <w:pPr>
              <w:pStyle w:val="24"/>
              <w:spacing w:line="360" w:lineRule="auto"/>
              <w:rPr>
                <w:rFonts w:hAnsi="宋体" w:cs="宋体"/>
                <w:color w:val="auto"/>
                <w:sz w:val="21"/>
                <w:highlight w:val="none"/>
              </w:rPr>
            </w:pPr>
            <w:r>
              <w:rPr>
                <w:rFonts w:hint="eastAsia" w:hAnsi="宋体" w:cs="宋体"/>
                <w:color w:val="auto"/>
                <w:sz w:val="21"/>
                <w:highlight w:val="none"/>
              </w:rPr>
              <w:t>账号：8113001014500158361</w:t>
            </w:r>
          </w:p>
          <w:p w14:paraId="3095CB75">
            <w:pPr>
              <w:pStyle w:val="24"/>
              <w:spacing w:line="360" w:lineRule="auto"/>
              <w:rPr>
                <w:rFonts w:hAnsi="宋体" w:cs="宋体"/>
                <w:color w:val="auto"/>
                <w:sz w:val="21"/>
                <w:highlight w:val="none"/>
              </w:rPr>
            </w:pPr>
            <w:r>
              <w:rPr>
                <w:rFonts w:hint="eastAsia" w:hAnsi="宋体" w:cs="宋体"/>
                <w:color w:val="auto"/>
                <w:sz w:val="21"/>
                <w:highlight w:val="none"/>
              </w:rPr>
              <w:t>开户行：中信银行股份有限公司南宁园湖支行</w:t>
            </w:r>
          </w:p>
        </w:tc>
      </w:tr>
      <w:tr w14:paraId="17866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56DC9B5">
            <w:pPr>
              <w:spacing w:line="360" w:lineRule="auto"/>
              <w:jc w:val="center"/>
              <w:rPr>
                <w:rFonts w:ascii="宋体" w:hAnsi="宋体"/>
                <w:color w:val="auto"/>
                <w:szCs w:val="21"/>
                <w:highlight w:val="none"/>
              </w:rPr>
            </w:pPr>
            <w:r>
              <w:rPr>
                <w:rFonts w:ascii="宋体" w:hAnsi="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7FDFF573">
            <w:pPr>
              <w:spacing w:line="360" w:lineRule="auto"/>
              <w:rPr>
                <w:rFonts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466F1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983338E">
            <w:pPr>
              <w:spacing w:line="360" w:lineRule="auto"/>
              <w:jc w:val="center"/>
              <w:rPr>
                <w:rFonts w:ascii="宋体" w:hAnsi="宋体"/>
                <w:color w:val="auto"/>
                <w:szCs w:val="21"/>
                <w:highlight w:val="none"/>
              </w:rPr>
            </w:pPr>
            <w:r>
              <w:rPr>
                <w:rFonts w:ascii="宋体" w:hAnsi="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395DBBD5">
            <w:pPr>
              <w:pStyle w:val="24"/>
              <w:spacing w:line="360" w:lineRule="auto"/>
              <w:rPr>
                <w:rFonts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BFBADEC">
            <w:pPr>
              <w:pStyle w:val="24"/>
              <w:spacing w:line="360" w:lineRule="auto"/>
              <w:rPr>
                <w:rFonts w:hAnsi="宋体" w:cs="宋体"/>
                <w:bCs/>
                <w:color w:val="auto"/>
                <w:sz w:val="21"/>
                <w:highlight w:val="none"/>
              </w:rPr>
            </w:pPr>
            <w:r>
              <w:rPr>
                <w:rFonts w:hint="eastAsia" w:hAnsi="宋体" w:cs="宋体"/>
                <w:bCs/>
                <w:color w:val="auto"/>
                <w:sz w:val="21"/>
                <w:highlight w:val="none"/>
              </w:rPr>
              <w:t>2.本招标文件所称的“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614C24E1">
            <w:pPr>
              <w:pStyle w:val="24"/>
              <w:spacing w:line="360" w:lineRule="auto"/>
              <w:rPr>
                <w:rFonts w:hAnsi="宋体" w:cs="宋体"/>
                <w:bCs/>
                <w:color w:val="auto"/>
                <w:sz w:val="21"/>
                <w:highlight w:val="none"/>
              </w:rPr>
            </w:pPr>
            <w:r>
              <w:rPr>
                <w:rFonts w:hint="eastAsia" w:hAnsi="宋体" w:cs="宋体"/>
                <w:bCs/>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12FA607">
            <w:pPr>
              <w:pStyle w:val="24"/>
              <w:spacing w:line="360" w:lineRule="auto"/>
              <w:rPr>
                <w:rFonts w:hAnsi="宋体" w:cs="宋体"/>
                <w:bCs/>
                <w:color w:val="auto"/>
                <w:sz w:val="21"/>
                <w:highlight w:val="none"/>
              </w:rPr>
            </w:pPr>
            <w:r>
              <w:rPr>
                <w:rFonts w:hint="eastAsia" w:hAnsi="宋体" w:cs="宋体"/>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5C012FA9">
            <w:pPr>
              <w:spacing w:line="360" w:lineRule="auto"/>
              <w:jc w:val="left"/>
              <w:rPr>
                <w:rFonts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szCs w:val="21"/>
                <w:highlight w:val="none"/>
              </w:rPr>
              <w:t>本招标文件所称的“以上”“以下”“以内”“届满”，包括本数；所称的“不满”“超过”“以外”，不包括本数。</w:t>
            </w:r>
          </w:p>
        </w:tc>
      </w:tr>
    </w:tbl>
    <w:p w14:paraId="6FF74007">
      <w:pPr>
        <w:rPr>
          <w:color w:val="auto"/>
          <w:highlight w:val="none"/>
        </w:rPr>
      </w:pPr>
      <w:r>
        <w:rPr>
          <w:rFonts w:hint="eastAsia"/>
          <w:color w:val="auto"/>
          <w:highlight w:val="none"/>
        </w:rPr>
        <w:br w:type="page" w:clear="all"/>
      </w:r>
    </w:p>
    <w:p w14:paraId="050E8076">
      <w:pPr>
        <w:pStyle w:val="4"/>
        <w:keepNext w:val="0"/>
        <w:keepLines w:val="0"/>
        <w:jc w:val="center"/>
        <w:rPr>
          <w:color w:val="auto"/>
          <w:highlight w:val="none"/>
        </w:rPr>
      </w:pPr>
      <w:r>
        <w:rPr>
          <w:rFonts w:hint="eastAsia"/>
          <w:color w:val="auto"/>
          <w:highlight w:val="none"/>
        </w:rPr>
        <w:t>投标人须知正文</w:t>
      </w:r>
    </w:p>
    <w:p w14:paraId="1862F4A1">
      <w:pPr>
        <w:pStyle w:val="4"/>
        <w:keepNext w:val="0"/>
        <w:keepLines w:val="0"/>
        <w:jc w:val="center"/>
        <w:rPr>
          <w:color w:val="auto"/>
          <w:highlight w:val="none"/>
        </w:rPr>
      </w:pPr>
      <w:r>
        <w:rPr>
          <w:rFonts w:hint="eastAsia"/>
          <w:color w:val="auto"/>
          <w:highlight w:val="none"/>
        </w:rPr>
        <w:t>一、总  则</w:t>
      </w:r>
    </w:p>
    <w:p w14:paraId="274F7C16">
      <w:pPr>
        <w:pStyle w:val="6"/>
        <w:keepNext w:val="0"/>
        <w:keepLines w:val="0"/>
        <w:spacing w:before="0" w:after="0" w:line="360" w:lineRule="auto"/>
        <w:ind w:left="420"/>
        <w:rPr>
          <w:rFonts w:ascii="黑体" w:hAnsi="黑体" w:eastAsia="黑体"/>
          <w:color w:val="auto"/>
          <w:sz w:val="24"/>
          <w:highlight w:val="none"/>
        </w:rPr>
      </w:pPr>
      <w:bookmarkStart w:id="76" w:name="_Toc254970527"/>
      <w:bookmarkStart w:id="77" w:name="_Toc254970668"/>
      <w:r>
        <w:rPr>
          <w:rFonts w:hint="eastAsia" w:ascii="黑体" w:hAnsi="黑体" w:eastAsia="黑体"/>
          <w:color w:val="auto"/>
          <w:sz w:val="24"/>
          <w:highlight w:val="none"/>
        </w:rPr>
        <w:t>1.适用范围</w:t>
      </w:r>
      <w:bookmarkEnd w:id="76"/>
      <w:bookmarkEnd w:id="77"/>
    </w:p>
    <w:p w14:paraId="2F58294A">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434D8C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5A6DC693">
      <w:pPr>
        <w:pStyle w:val="6"/>
        <w:keepNext w:val="0"/>
        <w:keepLines w:val="0"/>
        <w:spacing w:before="0" w:after="0" w:line="360" w:lineRule="auto"/>
        <w:ind w:left="420"/>
        <w:rPr>
          <w:rFonts w:ascii="黑体" w:hAnsi="黑体" w:eastAsia="黑体"/>
          <w:color w:val="auto"/>
          <w:sz w:val="24"/>
          <w:highlight w:val="none"/>
        </w:rPr>
      </w:pPr>
      <w:bookmarkStart w:id="78" w:name="_Toc254970528"/>
      <w:bookmarkStart w:id="79" w:name="_Toc254970669"/>
      <w:r>
        <w:rPr>
          <w:rFonts w:hint="eastAsia" w:ascii="黑体" w:hAnsi="黑体" w:eastAsia="黑体"/>
          <w:color w:val="auto"/>
          <w:sz w:val="24"/>
          <w:highlight w:val="none"/>
        </w:rPr>
        <w:t>2.定义</w:t>
      </w:r>
      <w:bookmarkEnd w:id="78"/>
      <w:bookmarkEnd w:id="79"/>
    </w:p>
    <w:p w14:paraId="4067E5A5">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6CE1C886">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2CD6B7D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44586470">
      <w:pPr>
        <w:pStyle w:val="7"/>
        <w:spacing w:line="360" w:lineRule="auto"/>
        <w:rPr>
          <w:rFonts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0E11FDA6">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2.5“服务”是指除货物和工程以外的其他政府采购对象。</w:t>
      </w:r>
    </w:p>
    <w:p w14:paraId="633C7E6D">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2.</w:t>
      </w:r>
      <w:r>
        <w:rPr>
          <w:rFonts w:ascii="宋体" w:hAnsi="宋体"/>
          <w:b w:val="0"/>
          <w:color w:val="auto"/>
          <w:sz w:val="21"/>
          <w:szCs w:val="21"/>
          <w:highlight w:val="none"/>
        </w:rPr>
        <w:t>6</w:t>
      </w:r>
      <w:r>
        <w:rPr>
          <w:rFonts w:hint="eastAsia" w:ascii="宋体" w:hAnsi="宋体"/>
          <w:b w:val="0"/>
          <w:color w:val="auto"/>
          <w:sz w:val="21"/>
          <w:szCs w:val="21"/>
          <w:highlight w:val="none"/>
        </w:rPr>
        <w:t>“书面形式”是指合同书、信件和数据电文（包括电报、电传、传真、电子数据交换和电子邮件）等可以有形地表现所载内容的形式。</w:t>
      </w:r>
    </w:p>
    <w:p w14:paraId="22CB137C">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“实质性要求”是指招标文件中已经指明不满足则投标无效的条款，或者不能负偏离的条款，或者采购需求中带“▲”的条款。</w:t>
      </w:r>
    </w:p>
    <w:p w14:paraId="63B7477F">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093ECFF9">
      <w:pPr>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49BD281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80" w:name="_Toc254970670"/>
      <w:bookmarkStart w:id="81" w:name="_Toc254970529"/>
    </w:p>
    <w:p w14:paraId="78B81A1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bookmarkEnd w:id="80"/>
      <w:bookmarkEnd w:id="81"/>
      <w:r>
        <w:rPr>
          <w:rFonts w:hint="eastAsia" w:ascii="黑体" w:hAnsi="黑体" w:eastAsia="黑体"/>
          <w:color w:val="auto"/>
          <w:sz w:val="24"/>
          <w:highlight w:val="none"/>
        </w:rPr>
        <w:t>投标人的资格要求</w:t>
      </w:r>
    </w:p>
    <w:p w14:paraId="49CE3B2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投标人的资格要求详见“投标人须知前附表”。</w:t>
      </w:r>
    </w:p>
    <w:p w14:paraId="07C0FE33">
      <w:pPr>
        <w:pStyle w:val="6"/>
        <w:keepNext w:val="0"/>
        <w:keepLines w:val="0"/>
        <w:spacing w:before="0" w:after="0" w:line="360" w:lineRule="auto"/>
        <w:ind w:left="420"/>
        <w:rPr>
          <w:rFonts w:ascii="黑体" w:hAnsi="黑体" w:eastAsia="黑体"/>
          <w:color w:val="auto"/>
          <w:sz w:val="24"/>
          <w:highlight w:val="none"/>
        </w:rPr>
      </w:pPr>
      <w:bookmarkStart w:id="82" w:name="_Toc254970671"/>
      <w:bookmarkStart w:id="83" w:name="_Toc254970530"/>
      <w:r>
        <w:rPr>
          <w:rFonts w:hint="eastAsia" w:ascii="黑体" w:hAnsi="黑体" w:eastAsia="黑体"/>
          <w:color w:val="auto"/>
          <w:sz w:val="24"/>
          <w:highlight w:val="none"/>
        </w:rPr>
        <w:t>4.投标委托</w:t>
      </w:r>
      <w:bookmarkEnd w:id="82"/>
      <w:bookmarkEnd w:id="83"/>
    </w:p>
    <w:p w14:paraId="11E49DA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0A7FFEAF">
      <w:pPr>
        <w:pStyle w:val="6"/>
        <w:keepNext w:val="0"/>
        <w:keepLines w:val="0"/>
        <w:spacing w:before="0" w:after="0" w:line="360" w:lineRule="auto"/>
        <w:ind w:left="420"/>
        <w:rPr>
          <w:rFonts w:ascii="黑体" w:hAnsi="黑体" w:eastAsia="黑体"/>
          <w:color w:val="auto"/>
          <w:sz w:val="24"/>
          <w:highlight w:val="none"/>
        </w:rPr>
      </w:pPr>
      <w:bookmarkStart w:id="84" w:name="_5.投标费用"/>
      <w:bookmarkEnd w:id="84"/>
      <w:bookmarkStart w:id="85" w:name="_Toc254970531"/>
      <w:bookmarkStart w:id="86" w:name="_Toc254970672"/>
      <w:r>
        <w:rPr>
          <w:rFonts w:hint="eastAsia" w:ascii="黑体" w:hAnsi="黑体" w:eastAsia="黑体"/>
          <w:color w:val="auto"/>
          <w:sz w:val="24"/>
          <w:highlight w:val="none"/>
        </w:rPr>
        <w:t>5.投标费用</w:t>
      </w:r>
      <w:bookmarkEnd w:id="85"/>
      <w:bookmarkEnd w:id="86"/>
    </w:p>
    <w:p w14:paraId="6B5A4734">
      <w:pPr>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16A889C">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6.联合体投标</w:t>
      </w:r>
    </w:p>
    <w:p w14:paraId="6F077FB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0DBC8946">
      <w:pPr>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14EAFB01">
      <w:pPr>
        <w:spacing w:line="360" w:lineRule="auto"/>
        <w:ind w:firstLine="420"/>
        <w:jc w:val="left"/>
        <w:rPr>
          <w:rFonts w:ascii="宋体" w:hAnsi="宋体"/>
          <w:color w:val="auto"/>
          <w:szCs w:val="21"/>
          <w:highlight w:val="none"/>
        </w:rPr>
      </w:pPr>
      <w:r>
        <w:rPr>
          <w:rFonts w:hint="eastAsia" w:ascii="宋体" w:hAnsi="宋体"/>
          <w:bCs/>
          <w:color w:val="auto"/>
          <w:szCs w:val="21"/>
          <w:highlight w:val="none"/>
        </w:rPr>
        <w:t>6.3根据《政府采购促进中小企业发展管理办法》（财库〔2020〕46号）及《广西壮族自治区财政厅关于持续优化政府采购营商环境推动高质量发展的通知》（</w:t>
      </w:r>
      <w:r>
        <w:rPr>
          <w:color w:val="auto"/>
          <w:highlight w:val="none"/>
        </w:rPr>
        <w:t>桂财采〔2024〕55号</w:t>
      </w:r>
      <w:r>
        <w:rPr>
          <w:rFonts w:hint="eastAsia" w:ascii="宋体" w:hAnsi="宋体"/>
          <w:bCs/>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15AC0E2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04A80899">
      <w:pPr>
        <w:pStyle w:val="6"/>
        <w:keepNext w:val="0"/>
        <w:keepLines w:val="0"/>
        <w:spacing w:before="0" w:after="0" w:line="360" w:lineRule="auto"/>
        <w:ind w:left="420"/>
        <w:rPr>
          <w:rFonts w:ascii="宋体" w:hAnsi="宋体"/>
          <w:b w:val="0"/>
          <w:color w:val="auto"/>
          <w:sz w:val="21"/>
          <w:szCs w:val="21"/>
          <w:highlight w:val="none"/>
        </w:rPr>
      </w:pPr>
      <w:bookmarkStart w:id="87" w:name="_Toc254970532"/>
      <w:bookmarkStart w:id="88" w:name="_Toc254970673"/>
      <w:r>
        <w:rPr>
          <w:rFonts w:hint="eastAsia" w:ascii="宋体" w:hAnsi="宋体"/>
          <w:b w:val="0"/>
          <w:color w:val="auto"/>
          <w:sz w:val="21"/>
          <w:szCs w:val="21"/>
          <w:highlight w:val="none"/>
        </w:rPr>
        <w:t>7.1本项目不允许转包。</w:t>
      </w:r>
    </w:p>
    <w:p w14:paraId="3D5E96EC">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0D09E31">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0E51C26D">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8.特别说明</w:t>
      </w:r>
      <w:bookmarkEnd w:id="87"/>
      <w:bookmarkEnd w:id="88"/>
    </w:p>
    <w:p w14:paraId="719C968D">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 。</w:t>
      </w:r>
    </w:p>
    <w:p w14:paraId="1F489FF4">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402D0984">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1AD2D76F">
      <w:pPr>
        <w:pStyle w:val="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259F85EF">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73E1D5AC">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）参加采购活动前3年内与</w:t>
      </w:r>
      <w:r>
        <w:rPr>
          <w:rFonts w:hint="eastAsia" w:hAnsi="宋体"/>
          <w:color w:val="auto"/>
          <w:sz w:val="21"/>
          <w:highlight w:val="none"/>
        </w:rPr>
        <w:t>供应商</w:t>
      </w:r>
      <w:r>
        <w:rPr>
          <w:rFonts w:hAnsi="宋体"/>
          <w:color w:val="auto"/>
          <w:sz w:val="21"/>
          <w:highlight w:val="none"/>
        </w:rPr>
        <w:t>存在劳动关系；</w:t>
      </w:r>
    </w:p>
    <w:p w14:paraId="39CF1C00">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）参加采购活动前3年内担任</w:t>
      </w:r>
      <w:r>
        <w:rPr>
          <w:rFonts w:hint="eastAsia" w:hAnsi="宋体"/>
          <w:color w:val="auto"/>
          <w:sz w:val="21"/>
          <w:highlight w:val="none"/>
        </w:rPr>
        <w:t>供应商</w:t>
      </w:r>
      <w:r>
        <w:rPr>
          <w:rFonts w:hAnsi="宋体"/>
          <w:color w:val="auto"/>
          <w:sz w:val="21"/>
          <w:highlight w:val="none"/>
        </w:rPr>
        <w:t>的董事、监事；</w:t>
      </w:r>
    </w:p>
    <w:p w14:paraId="5971F0DC">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）参加采购活动前3年内是</w:t>
      </w:r>
      <w:r>
        <w:rPr>
          <w:rFonts w:hint="eastAsia" w:hAnsi="宋体"/>
          <w:color w:val="auto"/>
          <w:sz w:val="21"/>
          <w:highlight w:val="none"/>
        </w:rPr>
        <w:t>供应商</w:t>
      </w:r>
      <w:r>
        <w:rPr>
          <w:rFonts w:hAnsi="宋体"/>
          <w:color w:val="auto"/>
          <w:sz w:val="21"/>
          <w:highlight w:val="none"/>
        </w:rPr>
        <w:t>的控股股东或者实际控制人；</w:t>
      </w:r>
    </w:p>
    <w:p w14:paraId="0331FEFE">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4</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的法定代表人或者负责人有夫妻、直系血亲、三代以内旁系血亲或者近姻亲关系；</w:t>
      </w:r>
    </w:p>
    <w:p w14:paraId="30100C4C">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5</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有其他可能影响政府采购活动公平、公正进行的关系。</w:t>
      </w:r>
    </w:p>
    <w:p w14:paraId="72B49806">
      <w:pPr>
        <w:pStyle w:val="24"/>
        <w:spacing w:line="360" w:lineRule="auto"/>
        <w:ind w:left="2" w:firstLine="420"/>
        <w:rPr>
          <w:rFonts w:hAnsi="宋体"/>
          <w:color w:val="auto"/>
          <w:sz w:val="21"/>
          <w:highlight w:val="none"/>
        </w:rPr>
      </w:pPr>
      <w:r>
        <w:rPr>
          <w:rFonts w:hint="eastAsia" w:hAnsi="宋体"/>
          <w:color w:val="auto"/>
          <w:sz w:val="21"/>
          <w:highlight w:val="none"/>
        </w:rPr>
        <w:t>供应商</w:t>
      </w:r>
      <w:r>
        <w:rPr>
          <w:rFonts w:hAnsi="宋体"/>
          <w:color w:val="auto"/>
          <w:sz w:val="21"/>
          <w:highlight w:val="none"/>
        </w:rPr>
        <w:t>认为采购人员及相关人员与其他</w:t>
      </w:r>
      <w:r>
        <w:rPr>
          <w:rFonts w:hint="eastAsia" w:hAnsi="宋体"/>
          <w:color w:val="auto"/>
          <w:sz w:val="21"/>
          <w:highlight w:val="none"/>
        </w:rPr>
        <w:t>供应商</w:t>
      </w:r>
      <w:r>
        <w:rPr>
          <w:rFonts w:hAnsi="宋体"/>
          <w:color w:val="auto"/>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15391BEA">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4AF08BB1">
      <w:pPr>
        <w:pStyle w:val="24"/>
        <w:spacing w:line="360" w:lineRule="auto"/>
        <w:ind w:left="2" w:firstLine="422"/>
        <w:rPr>
          <w:rFonts w:hAnsi="宋体"/>
          <w:b/>
          <w:color w:val="auto"/>
          <w:sz w:val="21"/>
          <w:highlight w:val="none"/>
        </w:rPr>
      </w:pPr>
      <w:r>
        <w:rPr>
          <w:rFonts w:hint="eastAsia" w:hAnsi="宋体"/>
          <w:b/>
          <w:color w:val="auto"/>
          <w:sz w:val="21"/>
          <w:highlight w:val="none"/>
        </w:rPr>
        <w:t>（1）不同投标人的投标文件由同一单位或者个人编制，或不同投标人报名的IP地址一致的；或不同投标人投标设备信息（包括但不限于：IP地址、MAC地址、硬盘号、CPU号、主板号）一致的；</w:t>
      </w:r>
    </w:p>
    <w:p w14:paraId="092BDB2C">
      <w:pPr>
        <w:pStyle w:val="24"/>
        <w:spacing w:line="360" w:lineRule="auto"/>
        <w:ind w:left="2" w:firstLine="422"/>
        <w:rPr>
          <w:rFonts w:hAnsi="宋体"/>
          <w:b/>
          <w:color w:val="auto"/>
          <w:sz w:val="21"/>
          <w:highlight w:val="none"/>
        </w:rPr>
      </w:pPr>
      <w:r>
        <w:rPr>
          <w:rFonts w:hint="eastAsia" w:hAnsi="宋体"/>
          <w:b/>
          <w:color w:val="auto"/>
          <w:sz w:val="21"/>
          <w:highlight w:val="none"/>
        </w:rPr>
        <w:t>（2）不同投标人委托同一单位或者个人办理投标事宜；</w:t>
      </w:r>
    </w:p>
    <w:p w14:paraId="7283E09A">
      <w:pPr>
        <w:pStyle w:val="24"/>
        <w:spacing w:line="360" w:lineRule="auto"/>
        <w:ind w:left="2" w:firstLine="422"/>
        <w:rPr>
          <w:rFonts w:hAnsi="宋体"/>
          <w:b/>
          <w:color w:val="auto"/>
          <w:sz w:val="21"/>
          <w:highlight w:val="none"/>
        </w:rPr>
      </w:pPr>
      <w:r>
        <w:rPr>
          <w:rFonts w:hint="eastAsia" w:hAnsi="宋体"/>
          <w:b/>
          <w:color w:val="auto"/>
          <w:sz w:val="21"/>
          <w:highlight w:val="none"/>
        </w:rPr>
        <w:t>（3）不同的投标人的投标文件载明的项目管理员为同一个人；</w:t>
      </w:r>
    </w:p>
    <w:p w14:paraId="484C67EF">
      <w:pPr>
        <w:pStyle w:val="24"/>
        <w:spacing w:line="360" w:lineRule="auto"/>
        <w:ind w:left="2" w:firstLine="422"/>
        <w:rPr>
          <w:rFonts w:hAnsi="宋体"/>
          <w:b/>
          <w:color w:val="auto"/>
          <w:sz w:val="21"/>
          <w:highlight w:val="none"/>
        </w:rPr>
      </w:pPr>
      <w:r>
        <w:rPr>
          <w:rFonts w:hint="eastAsia" w:hAnsi="宋体"/>
          <w:b/>
          <w:color w:val="auto"/>
          <w:sz w:val="21"/>
          <w:highlight w:val="none"/>
        </w:rPr>
        <w:t>（4）不同投标人的投标文件异常一致或者投标报价呈规律性差异；</w:t>
      </w:r>
    </w:p>
    <w:p w14:paraId="363C1C8F">
      <w:pPr>
        <w:pStyle w:val="24"/>
        <w:spacing w:line="360" w:lineRule="auto"/>
        <w:ind w:left="2" w:firstLine="422"/>
        <w:rPr>
          <w:rFonts w:hAnsi="宋体"/>
          <w:b/>
          <w:color w:val="auto"/>
          <w:sz w:val="21"/>
          <w:highlight w:val="none"/>
        </w:rPr>
      </w:pPr>
      <w:r>
        <w:rPr>
          <w:rFonts w:hint="eastAsia" w:hAnsi="宋体"/>
          <w:b/>
          <w:color w:val="auto"/>
          <w:sz w:val="21"/>
          <w:highlight w:val="none"/>
        </w:rPr>
        <w:t>（5）不同投标人的投标文件相互混装；</w:t>
      </w:r>
    </w:p>
    <w:p w14:paraId="3B206088">
      <w:pPr>
        <w:pStyle w:val="24"/>
        <w:spacing w:line="360" w:lineRule="auto"/>
        <w:ind w:left="2" w:firstLine="422"/>
        <w:rPr>
          <w:rFonts w:hAnsi="宋体"/>
          <w:b/>
          <w:color w:val="auto"/>
          <w:sz w:val="21"/>
          <w:highlight w:val="none"/>
        </w:rPr>
      </w:pPr>
      <w:r>
        <w:rPr>
          <w:rFonts w:hint="eastAsia" w:hAnsi="宋体"/>
          <w:b/>
          <w:color w:val="auto"/>
          <w:sz w:val="21"/>
          <w:highlight w:val="none"/>
        </w:rPr>
        <w:t>（6）不同投标人的投标保证金从同一单位或者个人账户转出。</w:t>
      </w:r>
    </w:p>
    <w:p w14:paraId="64241F4A">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58D14A93">
      <w:pPr>
        <w:pStyle w:val="24"/>
        <w:spacing w:line="360" w:lineRule="auto"/>
        <w:ind w:left="2" w:firstLine="420"/>
        <w:rPr>
          <w:rFonts w:hAnsi="宋体"/>
          <w:color w:val="auto"/>
          <w:sz w:val="21"/>
          <w:highlight w:val="none"/>
        </w:rPr>
      </w:pPr>
      <w:r>
        <w:rPr>
          <w:rFonts w:hint="eastAsia" w:hAnsi="宋体"/>
          <w:color w:val="auto"/>
          <w:sz w:val="21"/>
          <w:highlight w:val="none"/>
        </w:rPr>
        <w:t>（1）供应商直接或者间接从采购人或者采购代理机构处获得其他供应商的相关信息并修改其投标文件或者响应文件；</w:t>
      </w:r>
    </w:p>
    <w:p w14:paraId="7026CA6F">
      <w:pPr>
        <w:pStyle w:val="24"/>
        <w:spacing w:line="360" w:lineRule="auto"/>
        <w:ind w:left="2" w:firstLine="420"/>
        <w:rPr>
          <w:rFonts w:hAnsi="宋体"/>
          <w:color w:val="auto"/>
          <w:sz w:val="21"/>
          <w:highlight w:val="none"/>
        </w:rPr>
      </w:pPr>
      <w:r>
        <w:rPr>
          <w:rFonts w:hint="eastAsia" w:hAnsi="宋体"/>
          <w:color w:val="auto"/>
          <w:sz w:val="21"/>
          <w:highlight w:val="none"/>
        </w:rPr>
        <w:t>（2）供应商按照采购人或者采购代理机构的授意撤换、修改投标文件或者响应文件；</w:t>
      </w:r>
    </w:p>
    <w:p w14:paraId="1B30E6C8">
      <w:pPr>
        <w:pStyle w:val="24"/>
        <w:spacing w:line="360" w:lineRule="auto"/>
        <w:ind w:left="2" w:firstLine="420"/>
        <w:rPr>
          <w:rFonts w:hAnsi="宋体"/>
          <w:color w:val="auto"/>
          <w:sz w:val="21"/>
          <w:highlight w:val="none"/>
        </w:rPr>
      </w:pPr>
      <w:r>
        <w:rPr>
          <w:rFonts w:hint="eastAsia" w:hAnsi="宋体"/>
          <w:color w:val="auto"/>
          <w:sz w:val="21"/>
          <w:highlight w:val="none"/>
        </w:rPr>
        <w:t>（3）供应商之间协商报价、技术方案等投标文件或者响应文件的实质性内容；</w:t>
      </w:r>
    </w:p>
    <w:p w14:paraId="3E125435">
      <w:pPr>
        <w:pStyle w:val="24"/>
        <w:spacing w:line="360" w:lineRule="auto"/>
        <w:ind w:left="2" w:firstLine="420"/>
        <w:rPr>
          <w:rFonts w:hAnsi="宋体"/>
          <w:color w:val="auto"/>
          <w:sz w:val="21"/>
          <w:highlight w:val="none"/>
        </w:rPr>
      </w:pPr>
      <w:r>
        <w:rPr>
          <w:rFonts w:hint="eastAsia" w:hAnsi="宋体"/>
          <w:color w:val="auto"/>
          <w:sz w:val="21"/>
          <w:highlight w:val="none"/>
        </w:rPr>
        <w:t>（4）属于同一集团、协会、商会等组织成员的供应商按照该组织要求协同参加政府采购活动；</w:t>
      </w:r>
    </w:p>
    <w:p w14:paraId="60354F04">
      <w:pPr>
        <w:pStyle w:val="24"/>
        <w:spacing w:line="360" w:lineRule="auto"/>
        <w:ind w:left="2" w:firstLine="420"/>
        <w:rPr>
          <w:rFonts w:hAnsi="宋体"/>
          <w:color w:val="auto"/>
          <w:sz w:val="21"/>
          <w:highlight w:val="none"/>
        </w:rPr>
      </w:pPr>
      <w:r>
        <w:rPr>
          <w:rFonts w:hint="eastAsia" w:hAnsi="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78253D84">
      <w:pPr>
        <w:pStyle w:val="24"/>
        <w:spacing w:line="360" w:lineRule="auto"/>
        <w:ind w:left="2" w:firstLine="420"/>
        <w:rPr>
          <w:rFonts w:hAnsi="宋体"/>
          <w:color w:val="auto"/>
          <w:sz w:val="21"/>
          <w:highlight w:val="none"/>
        </w:rPr>
      </w:pPr>
      <w:r>
        <w:rPr>
          <w:rFonts w:hint="eastAsia" w:hAnsi="宋体"/>
          <w:color w:val="auto"/>
          <w:sz w:val="21"/>
          <w:highlight w:val="none"/>
        </w:rPr>
        <w:t>（6）供应商之间商定部分供应商放弃参加政府采购活动或者放弃中标；</w:t>
      </w:r>
    </w:p>
    <w:p w14:paraId="47B5F4D4">
      <w:pPr>
        <w:pStyle w:val="24"/>
        <w:spacing w:line="360" w:lineRule="auto"/>
        <w:ind w:left="2" w:firstLine="420"/>
        <w:rPr>
          <w:rFonts w:hAnsi="宋体"/>
          <w:color w:val="auto"/>
          <w:sz w:val="21"/>
          <w:highlight w:val="none"/>
        </w:rPr>
      </w:pPr>
      <w:r>
        <w:rPr>
          <w:rFonts w:hint="eastAsia" w:hAnsi="宋体"/>
          <w:color w:val="auto"/>
          <w:sz w:val="21"/>
          <w:highlight w:val="none"/>
        </w:rPr>
        <w:t>（7）供应商与采购人或者采购代理机构之间、供应商相互之间，为谋求特定供应商中标或者排斥其他供应商的其他串通行为。</w:t>
      </w:r>
    </w:p>
    <w:p w14:paraId="2A7E36DE">
      <w:pPr>
        <w:pStyle w:val="24"/>
        <w:spacing w:line="360" w:lineRule="auto"/>
        <w:ind w:left="2" w:firstLine="422"/>
        <w:rPr>
          <w:rFonts w:hAnsi="宋体"/>
          <w:b/>
          <w:color w:val="auto"/>
          <w:sz w:val="21"/>
          <w:highlight w:val="none"/>
        </w:rPr>
      </w:pPr>
    </w:p>
    <w:p w14:paraId="470BB1EC">
      <w:pPr>
        <w:pStyle w:val="4"/>
        <w:keepNext w:val="0"/>
        <w:keepLines w:val="0"/>
        <w:jc w:val="center"/>
        <w:rPr>
          <w:color w:val="auto"/>
          <w:highlight w:val="none"/>
        </w:rPr>
      </w:pPr>
      <w:bookmarkStart w:id="89" w:name="_Toc254970675"/>
      <w:bookmarkStart w:id="90" w:name="_Toc254970534"/>
      <w:r>
        <w:rPr>
          <w:rFonts w:hint="eastAsia"/>
          <w:color w:val="auto"/>
          <w:highlight w:val="none"/>
        </w:rPr>
        <w:t>二、招标文件</w:t>
      </w:r>
      <w:bookmarkEnd w:id="89"/>
      <w:bookmarkEnd w:id="90"/>
    </w:p>
    <w:p w14:paraId="26B58B52">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1DAE817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（1）招标公告；</w:t>
      </w:r>
    </w:p>
    <w:p w14:paraId="4AA86573">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（2）采购需求； </w:t>
      </w:r>
    </w:p>
    <w:p w14:paraId="3948DCB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（3）投标人须知；</w:t>
      </w:r>
    </w:p>
    <w:p w14:paraId="3B4866E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（4）评标方法及评标标准；</w:t>
      </w:r>
    </w:p>
    <w:p w14:paraId="63A12AA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（5）拟签订的合同文本；</w:t>
      </w:r>
    </w:p>
    <w:p w14:paraId="38EEF881">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（6）投标文件格式。</w:t>
      </w:r>
    </w:p>
    <w:p w14:paraId="42C0358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62D2F6AD">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24E3B3D">
      <w:pPr>
        <w:pStyle w:val="24"/>
        <w:spacing w:line="360" w:lineRule="auto"/>
        <w:ind w:firstLine="420"/>
        <w:rPr>
          <w:rFonts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1E437EAF">
      <w:pPr>
        <w:pStyle w:val="24"/>
        <w:spacing w:line="360" w:lineRule="auto"/>
        <w:ind w:firstLine="420"/>
        <w:rPr>
          <w:rFonts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91"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bookmarkEnd w:id="91"/>
    </w:p>
    <w:p w14:paraId="1E5FCC27">
      <w:pPr>
        <w:pStyle w:val="4"/>
        <w:keepNext w:val="0"/>
        <w:keepLines w:val="0"/>
        <w:jc w:val="center"/>
        <w:rPr>
          <w:color w:val="auto"/>
          <w:highlight w:val="none"/>
        </w:rPr>
      </w:pPr>
      <w:bookmarkStart w:id="92" w:name="_Toc254970535"/>
      <w:bookmarkStart w:id="93" w:name="_Toc254970676"/>
      <w:r>
        <w:rPr>
          <w:rFonts w:hint="eastAsia"/>
          <w:color w:val="auto"/>
          <w:highlight w:val="none"/>
        </w:rPr>
        <w:t>三、投标文件的编制</w:t>
      </w:r>
      <w:bookmarkEnd w:id="92"/>
      <w:bookmarkEnd w:id="93"/>
    </w:p>
    <w:p w14:paraId="5C27C012">
      <w:pPr>
        <w:pStyle w:val="6"/>
        <w:keepNext w:val="0"/>
        <w:keepLines w:val="0"/>
        <w:spacing w:before="0" w:after="0" w:line="360" w:lineRule="auto"/>
        <w:ind w:left="420"/>
        <w:rPr>
          <w:rFonts w:ascii="黑体" w:hAnsi="黑体" w:eastAsia="黑体"/>
          <w:color w:val="auto"/>
          <w:sz w:val="24"/>
          <w:highlight w:val="none"/>
        </w:rPr>
      </w:pPr>
      <w:bookmarkStart w:id="94" w:name="_Toc254970536"/>
      <w:bookmarkStart w:id="95" w:name="_Toc254970677"/>
      <w:r>
        <w:rPr>
          <w:rFonts w:hint="eastAsia" w:ascii="黑体" w:hAnsi="黑体" w:eastAsia="黑体"/>
          <w:color w:val="auto"/>
          <w:sz w:val="24"/>
          <w:highlight w:val="none"/>
        </w:rPr>
        <w:t>12.投标文件的编制原则</w:t>
      </w:r>
    </w:p>
    <w:p w14:paraId="7C004C73">
      <w:pPr>
        <w:spacing w:line="360" w:lineRule="auto"/>
        <w:ind w:firstLine="420"/>
        <w:jc w:val="left"/>
        <w:rPr>
          <w:rFonts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3281D6C8">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13.投标文件的组成</w:t>
      </w:r>
      <w:bookmarkEnd w:id="94"/>
      <w:bookmarkEnd w:id="95"/>
    </w:p>
    <w:p w14:paraId="3A198C0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011CB193">
      <w:pPr>
        <w:pStyle w:val="6"/>
        <w:keepNext w:val="0"/>
        <w:keepLines w:val="0"/>
        <w:spacing w:before="0" w:after="0" w:line="360" w:lineRule="auto"/>
        <w:ind w:left="420"/>
        <w:rPr>
          <w:rFonts w:ascii="宋体" w:hAnsi="宋体"/>
          <w:b w:val="0"/>
          <w:color w:val="auto"/>
          <w:sz w:val="21"/>
          <w:szCs w:val="21"/>
          <w:highlight w:val="none"/>
        </w:rPr>
      </w:pPr>
      <w:bookmarkStart w:id="96" w:name="_13.1报价文件:_具体材料见“投标人须知前附表”。"/>
      <w:bookmarkEnd w:id="96"/>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44D4F226">
      <w:pPr>
        <w:pStyle w:val="6"/>
        <w:keepNext w:val="0"/>
        <w:keepLines w:val="0"/>
        <w:spacing w:before="0" w:after="0" w:line="360" w:lineRule="auto"/>
        <w:ind w:left="420"/>
        <w:rPr>
          <w:rFonts w:ascii="宋体" w:hAnsi="宋体"/>
          <w:b w:val="0"/>
          <w:color w:val="auto"/>
          <w:sz w:val="21"/>
          <w:szCs w:val="21"/>
          <w:highlight w:val="none"/>
        </w:rPr>
      </w:pPr>
      <w:bookmarkStart w:id="97" w:name="_13.2资格证明文件：具体材料见“投标人须知前附表”。"/>
      <w:bookmarkEnd w:id="97"/>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385A79EB">
      <w:pPr>
        <w:pStyle w:val="6"/>
        <w:keepNext w:val="0"/>
        <w:keepLines w:val="0"/>
        <w:spacing w:before="0" w:after="0" w:line="360" w:lineRule="auto"/>
        <w:ind w:left="420"/>
        <w:rPr>
          <w:rFonts w:ascii="宋体" w:hAnsi="宋体"/>
          <w:b w:val="0"/>
          <w:color w:val="auto"/>
          <w:sz w:val="21"/>
          <w:szCs w:val="21"/>
          <w:highlight w:val="none"/>
        </w:rPr>
      </w:pPr>
      <w:bookmarkStart w:id="98" w:name="_13.3商务文件:_具体材料见“投标人须知前附表”。"/>
      <w:bookmarkEnd w:id="98"/>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0203F0B6">
      <w:pPr>
        <w:pStyle w:val="6"/>
        <w:keepNext w:val="0"/>
        <w:keepLines w:val="0"/>
        <w:spacing w:before="0" w:after="0" w:line="360" w:lineRule="auto"/>
        <w:ind w:left="420"/>
        <w:rPr>
          <w:rFonts w:ascii="黑体" w:hAnsi="黑体" w:eastAsia="黑体"/>
          <w:color w:val="auto"/>
          <w:sz w:val="24"/>
          <w:highlight w:val="none"/>
        </w:rPr>
      </w:pPr>
      <w:bookmarkStart w:id="99" w:name="_13.4技术文件：具体材料见“投标人须知前附表”。"/>
      <w:bookmarkEnd w:id="99"/>
      <w:bookmarkStart w:id="100" w:name="_13.5投标文件电子版：具体材料见“投标人须知前附表”。"/>
      <w:bookmarkEnd w:id="100"/>
      <w:bookmarkStart w:id="101" w:name="_Toc254970537"/>
      <w:bookmarkStart w:id="102" w:name="_Toc254970678"/>
      <w:r>
        <w:rPr>
          <w:rFonts w:hint="eastAsia" w:ascii="黑体" w:hAnsi="黑体" w:eastAsia="黑体"/>
          <w:color w:val="auto"/>
          <w:sz w:val="24"/>
          <w:highlight w:val="none"/>
        </w:rPr>
        <w:t>14.投标文件的语言及计量</w:t>
      </w:r>
      <w:bookmarkEnd w:id="101"/>
      <w:bookmarkEnd w:id="102"/>
    </w:p>
    <w:p w14:paraId="6C361C67">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14.1语言文字</w:t>
      </w:r>
    </w:p>
    <w:p w14:paraId="72EC94A7">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准。对不同文字文本投标文件的解释发生异议的，以中文文本为准。</w:t>
      </w:r>
    </w:p>
    <w:p w14:paraId="790FB789">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6B01001F">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bCs/>
          <w:color w:val="auto"/>
          <w:sz w:val="21"/>
          <w:szCs w:val="21"/>
          <w:highlight w:val="none"/>
        </w:rPr>
        <w:t>，否则视同未响应。</w:t>
      </w:r>
    </w:p>
    <w:p w14:paraId="206EA11F">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15.投标的风险</w:t>
      </w:r>
    </w:p>
    <w:p w14:paraId="4F27DF7A">
      <w:pPr>
        <w:pStyle w:val="24"/>
        <w:spacing w:line="360" w:lineRule="auto"/>
        <w:ind w:firstLine="420"/>
        <w:jc w:val="left"/>
        <w:rPr>
          <w:rFonts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47B53485">
      <w:pPr>
        <w:pStyle w:val="6"/>
        <w:keepNext w:val="0"/>
        <w:keepLines w:val="0"/>
        <w:spacing w:before="0" w:after="0" w:line="360" w:lineRule="auto"/>
        <w:ind w:left="420"/>
        <w:rPr>
          <w:rFonts w:ascii="黑体" w:hAnsi="黑体" w:eastAsia="黑体"/>
          <w:color w:val="auto"/>
          <w:sz w:val="24"/>
          <w:highlight w:val="none"/>
        </w:rPr>
      </w:pPr>
      <w:bookmarkStart w:id="103" w:name="_Toc254970538"/>
      <w:bookmarkStart w:id="104" w:name="_Toc254970679"/>
      <w:r>
        <w:rPr>
          <w:rFonts w:hint="eastAsia" w:ascii="黑体" w:hAnsi="黑体" w:eastAsia="黑体"/>
          <w:color w:val="auto"/>
          <w:sz w:val="24"/>
          <w:highlight w:val="none"/>
        </w:rPr>
        <w:t>16.投标报价</w:t>
      </w:r>
      <w:bookmarkEnd w:id="103"/>
      <w:bookmarkEnd w:id="104"/>
    </w:p>
    <w:p w14:paraId="0DACAD0F">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3477CAA7">
      <w:pPr>
        <w:pStyle w:val="6"/>
        <w:keepNext w:val="0"/>
        <w:keepLines w:val="0"/>
        <w:spacing w:before="0" w:after="0" w:line="360" w:lineRule="auto"/>
        <w:ind w:left="420"/>
        <w:rPr>
          <w:rFonts w:ascii="宋体" w:hAnsi="宋体"/>
          <w:b w:val="0"/>
          <w:color w:val="auto"/>
          <w:sz w:val="21"/>
          <w:szCs w:val="21"/>
          <w:highlight w:val="none"/>
        </w:rPr>
      </w:pPr>
      <w:bookmarkStart w:id="105" w:name="_16.2投标报价具体定义见投标人须知前附表。"/>
      <w:bookmarkEnd w:id="105"/>
      <w:r>
        <w:rPr>
          <w:rFonts w:hint="eastAsia" w:ascii="宋体" w:hAnsi="宋体"/>
          <w:b w:val="0"/>
          <w:color w:val="auto"/>
          <w:sz w:val="21"/>
          <w:szCs w:val="21"/>
          <w:highlight w:val="none"/>
        </w:rPr>
        <w:t>16.2投标报价具体包括内容详见“投标人须知前附表”。</w:t>
      </w:r>
    </w:p>
    <w:p w14:paraId="72A636F7">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6D979AD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17.投标有效期</w:t>
      </w:r>
    </w:p>
    <w:p w14:paraId="6C1B0BC8">
      <w:pPr>
        <w:pStyle w:val="6"/>
        <w:keepNext w:val="0"/>
        <w:keepLines w:val="0"/>
        <w:spacing w:before="0" w:after="0" w:line="360" w:lineRule="auto"/>
        <w:ind w:firstLine="420"/>
        <w:rPr>
          <w:rFonts w:ascii="宋体" w:hAnsi="宋体"/>
          <w:b w:val="0"/>
          <w:color w:val="auto"/>
          <w:sz w:val="21"/>
          <w:szCs w:val="21"/>
          <w:highlight w:val="none"/>
        </w:rPr>
      </w:pPr>
      <w:bookmarkStart w:id="106" w:name="_17.1投标有效期应按“投标人须知中的前附表”规定的期限。"/>
      <w:bookmarkEnd w:id="106"/>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649FD8FC">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17.2</w:t>
      </w:r>
      <w:bookmarkStart w:id="107" w:name="_Toc254970540"/>
      <w:bookmarkStart w:id="108" w:name="_Toc254970681"/>
      <w:r>
        <w:rPr>
          <w:rFonts w:hint="eastAsia" w:ascii="宋体" w:hAnsi="宋体"/>
          <w:b w:val="0"/>
          <w:color w:val="auto"/>
          <w:sz w:val="21"/>
          <w:szCs w:val="21"/>
          <w:highlight w:val="none"/>
        </w:rPr>
        <w:t xml:space="preserve"> 投标有效期应按招标文件规定的期限作出承诺，具体详见“投标人须知前附表”。</w:t>
      </w:r>
      <w:r>
        <w:rPr>
          <w:rFonts w:hint="eastAsia" w:ascii="宋体" w:hAnsi="宋体"/>
          <w:color w:val="auto"/>
          <w:sz w:val="21"/>
          <w:szCs w:val="21"/>
          <w:highlight w:val="none"/>
        </w:rPr>
        <w:t>承诺的投标有效期低于招标文件规定期限的，按无效投标处理。</w:t>
      </w:r>
    </w:p>
    <w:p w14:paraId="635439F3">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07"/>
      <w:bookmarkEnd w:id="108"/>
    </w:p>
    <w:p w14:paraId="31400987">
      <w:pPr>
        <w:pStyle w:val="6"/>
        <w:keepNext w:val="0"/>
        <w:keepLines w:val="0"/>
        <w:spacing w:before="0" w:after="0" w:line="360" w:lineRule="auto"/>
        <w:ind w:left="420"/>
        <w:rPr>
          <w:rFonts w:ascii="黑体" w:hAnsi="黑体" w:eastAsia="黑体"/>
          <w:color w:val="auto"/>
          <w:sz w:val="24"/>
          <w:highlight w:val="none"/>
        </w:rPr>
      </w:pPr>
      <w:bookmarkStart w:id="109" w:name="_18.投标保证金"/>
      <w:bookmarkEnd w:id="109"/>
      <w:bookmarkStart w:id="110" w:name="_Toc254970682"/>
      <w:bookmarkStart w:id="111" w:name="_Toc254970541"/>
      <w:r>
        <w:rPr>
          <w:rFonts w:hint="eastAsia" w:ascii="黑体" w:hAnsi="黑体" w:eastAsia="黑体"/>
          <w:color w:val="auto"/>
          <w:sz w:val="24"/>
          <w:highlight w:val="none"/>
        </w:rPr>
        <w:t>18.投标保证金</w:t>
      </w:r>
      <w:bookmarkEnd w:id="110"/>
      <w:bookmarkEnd w:id="111"/>
    </w:p>
    <w:p w14:paraId="00BA4941">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0598E17D">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550F2598">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 xml:space="preserve">未中标供应商的投标保证金自中标通知书发出之日起5个工作日内退还；中标供应商的投标保证金自政府采购合同签订之日起5个工作日内退还。 </w:t>
      </w:r>
    </w:p>
    <w:p w14:paraId="41220B7F">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521FE878">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2D261B90">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（1）投标人在投标有效期内撤销投标文件的；</w:t>
      </w:r>
    </w:p>
    <w:p w14:paraId="29FC203B">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（2）未按规定提交履约保证金的；</w:t>
      </w:r>
    </w:p>
    <w:p w14:paraId="486D44C2">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22F3B1B3">
      <w:pPr>
        <w:spacing w:line="360" w:lineRule="auto"/>
        <w:ind w:firstLine="411"/>
        <w:rPr>
          <w:rFonts w:ascii="宋体" w:hAnsi="宋体"/>
          <w:color w:val="auto"/>
          <w:szCs w:val="21"/>
          <w:highlight w:val="none"/>
        </w:rPr>
      </w:pPr>
      <w:r>
        <w:rPr>
          <w:rFonts w:hint="eastAsia" w:ascii="宋体" w:hAnsi="宋体"/>
          <w:color w:val="auto"/>
          <w:szCs w:val="21"/>
          <w:highlight w:val="none"/>
        </w:rPr>
        <w:t>（4）中标供应商无正当理由不与采购人签订合同的；</w:t>
      </w:r>
    </w:p>
    <w:p w14:paraId="79F4F717">
      <w:pPr>
        <w:spacing w:line="360" w:lineRule="auto"/>
        <w:ind w:firstLine="420"/>
        <w:rPr>
          <w:rFonts w:ascii="宋体" w:hAnsi="宋体"/>
          <w:color w:val="auto"/>
          <w:szCs w:val="21"/>
          <w:highlight w:val="none"/>
        </w:rPr>
      </w:pPr>
      <w:bookmarkStart w:id="112" w:name="_Toc254970683"/>
      <w:bookmarkStart w:id="113" w:name="_Toc254970542"/>
      <w:r>
        <w:rPr>
          <w:rFonts w:hint="eastAsia" w:ascii="宋体" w:hAnsi="宋体"/>
          <w:color w:val="auto"/>
          <w:szCs w:val="21"/>
          <w:highlight w:val="none"/>
        </w:rPr>
        <w:t>（5）投标人出现本章第9.2、9.3情形的；</w:t>
      </w:r>
    </w:p>
    <w:p w14:paraId="45B8301B">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bookmarkEnd w:id="112"/>
      <w:bookmarkEnd w:id="113"/>
    </w:p>
    <w:p w14:paraId="461A544D">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19.投标文件的编制</w:t>
      </w:r>
    </w:p>
    <w:p w14:paraId="7B20D54D">
      <w:pPr>
        <w:pStyle w:val="6"/>
        <w:keepNext w:val="0"/>
        <w:keepLines w:val="0"/>
        <w:numPr>
          <w:ilvl w:val="4"/>
          <w:numId w:val="6"/>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35A3E82E">
      <w:pPr>
        <w:numPr>
          <w:ilvl w:val="4"/>
          <w:numId w:val="6"/>
        </w:numPr>
        <w:spacing w:line="360" w:lineRule="auto"/>
        <w:ind w:firstLine="315"/>
        <w:outlineLvl w:val="4"/>
        <w:rPr>
          <w:rFonts w:ascii="宋体" w:hAnsi="宋体"/>
          <w:color w:val="auto"/>
          <w:szCs w:val="21"/>
          <w:highlight w:val="none"/>
        </w:rPr>
      </w:pPr>
      <w:bookmarkStart w:id="114" w:name="_19.2投标文件应按报价文件、资格证明文件、商务文件、技术文件分别编制"/>
      <w:bookmarkEnd w:id="114"/>
      <w:r>
        <w:rPr>
          <w:rFonts w:hint="eastAsia" w:ascii="宋体" w:hAnsi="宋体"/>
          <w:color w:val="auto"/>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6C0EF444">
      <w:pPr>
        <w:numPr>
          <w:ilvl w:val="4"/>
          <w:numId w:val="6"/>
        </w:numPr>
        <w:spacing w:line="360" w:lineRule="auto"/>
        <w:outlineLvl w:val="4"/>
        <w:rPr>
          <w:rFonts w:ascii="宋体" w:hAnsi="宋体"/>
          <w:color w:val="auto"/>
          <w:szCs w:val="21"/>
          <w:highlight w:val="none"/>
        </w:rPr>
      </w:pPr>
      <w:r>
        <w:rPr>
          <w:rFonts w:hint="eastAsia" w:ascii="宋体" w:hAnsi="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b/>
          <w:bCs/>
          <w:color w:val="auto"/>
          <w:szCs w:val="21"/>
          <w:highlight w:val="none"/>
        </w:rPr>
        <w:t>否则按无效投标处理</w:t>
      </w:r>
      <w:r>
        <w:rPr>
          <w:rFonts w:hint="eastAsia" w:ascii="宋体" w:hAnsi="宋体"/>
          <w:color w:val="auto"/>
          <w:szCs w:val="21"/>
          <w:highlight w:val="none"/>
        </w:rPr>
        <w:t>。</w:t>
      </w:r>
    </w:p>
    <w:p w14:paraId="14BDC074">
      <w:pPr>
        <w:numPr>
          <w:ilvl w:val="4"/>
          <w:numId w:val="6"/>
        </w:numPr>
        <w:spacing w:line="360" w:lineRule="auto"/>
        <w:ind w:firstLine="315"/>
        <w:outlineLvl w:val="4"/>
        <w:rPr>
          <w:rFonts w:ascii="宋体" w:hAnsi="宋体"/>
          <w:color w:val="auto"/>
          <w:szCs w:val="21"/>
          <w:highlight w:val="none"/>
        </w:rPr>
      </w:pPr>
      <w:r>
        <w:rPr>
          <w:rFonts w:hint="eastAsia" w:ascii="宋体" w:hAnsi="宋体"/>
          <w:color w:val="auto"/>
          <w:szCs w:val="21"/>
          <w:highlight w:val="none"/>
        </w:rPr>
        <w:t xml:space="preserve"> 19.4投标文件中标注的投标人名称应与主体资格证明（如营业执照或者事业单位法人证书或者执业许可证或者登记证书等）及公章一致</w:t>
      </w:r>
      <w:r>
        <w:rPr>
          <w:rFonts w:hint="eastAsia" w:ascii="宋体" w:hAnsi="宋体"/>
          <w:b/>
          <w:bCs/>
          <w:color w:val="auto"/>
          <w:szCs w:val="21"/>
          <w:highlight w:val="none"/>
        </w:rPr>
        <w:t>，并与广西政府采购云平台中获取招标文件的投标人名称一致</w:t>
      </w:r>
      <w:r>
        <w:rPr>
          <w:rFonts w:hint="eastAsia" w:ascii="宋体" w:hAnsi="宋体"/>
          <w:color w:val="auto"/>
          <w:szCs w:val="21"/>
          <w:highlight w:val="none"/>
        </w:rPr>
        <w:t>，投标人为自然人的，标注的投标人名称应与身份证姓名及签名一致，</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4E8CDD69">
      <w:pPr>
        <w:numPr>
          <w:ilvl w:val="4"/>
          <w:numId w:val="6"/>
        </w:numPr>
        <w:spacing w:line="360" w:lineRule="auto"/>
        <w:ind w:firstLine="315"/>
        <w:outlineLvl w:val="4"/>
        <w:rPr>
          <w:rFonts w:ascii="宋体" w:hAnsi="宋体"/>
          <w:color w:val="auto"/>
          <w:szCs w:val="21"/>
          <w:highlight w:val="none"/>
        </w:rPr>
      </w:pPr>
      <w:r>
        <w:rPr>
          <w:rFonts w:hint="eastAsia" w:ascii="宋体" w:hAnsi="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0D16D2A0">
      <w:pPr>
        <w:spacing w:line="360" w:lineRule="auto"/>
        <w:ind w:firstLine="480"/>
        <w:rPr>
          <w:rFonts w:ascii="黑体" w:hAnsi="黑体" w:eastAsia="黑体"/>
          <w:color w:val="auto"/>
          <w:sz w:val="24"/>
          <w:highlight w:val="none"/>
        </w:rPr>
      </w:pPr>
      <w:r>
        <w:rPr>
          <w:rFonts w:hint="eastAsia" w:ascii="黑体" w:hAnsi="黑体" w:eastAsia="黑体"/>
          <w:color w:val="auto"/>
          <w:sz w:val="24"/>
          <w:highlight w:val="none"/>
        </w:rPr>
        <w:t>20.电子备份投标文件</w:t>
      </w:r>
    </w:p>
    <w:p w14:paraId="3F9AF08F">
      <w:pPr>
        <w:spacing w:line="360" w:lineRule="auto"/>
        <w:ind w:firstLine="420"/>
        <w:rPr>
          <w:rFonts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详见在“投标人须知前附表”。</w:t>
      </w:r>
    </w:p>
    <w:p w14:paraId="360B6CC6">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21.投标文件的提交</w:t>
      </w:r>
    </w:p>
    <w:p w14:paraId="6F58C510">
      <w:pPr>
        <w:spacing w:line="360" w:lineRule="auto"/>
        <w:ind w:firstLine="420"/>
        <w:rPr>
          <w:rFonts w:hAnsi="宋体"/>
          <w:b/>
          <w:color w:val="auto"/>
          <w:highlight w:val="none"/>
        </w:rPr>
      </w:pPr>
      <w:bookmarkStart w:id="115" w:name="_21.1投标人必须在“投标人须知中的前附表”规定的投标文件接收时间和投"/>
      <w:bookmarkEnd w:id="115"/>
      <w:r>
        <w:rPr>
          <w:rFonts w:hint="eastAsia" w:hAnsi="宋体"/>
          <w:bCs/>
          <w:color w:val="auto"/>
          <w:szCs w:val="21"/>
          <w:highlight w:val="none"/>
        </w:rPr>
        <w:t>21.1投标人必须在“投标人须知前附表”规定的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3B8CEE8C">
      <w:pPr>
        <w:spacing w:line="360" w:lineRule="auto"/>
        <w:ind w:firstLine="422"/>
        <w:rPr>
          <w:rFonts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未在规定时间内提交或者未按照招标文件要求加密的电子投标文件，广西政府采购云平台将拒收。</w:t>
      </w:r>
    </w:p>
    <w:p w14:paraId="28A854E4">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5CCD751C">
      <w:pPr>
        <w:spacing w:line="360" w:lineRule="auto"/>
        <w:ind w:firstLine="420"/>
        <w:jc w:val="left"/>
        <w:rPr>
          <w:rFonts w:ascii="宋体" w:hAnsi="宋体"/>
          <w:color w:val="auto"/>
          <w:szCs w:val="21"/>
          <w:highlight w:val="none"/>
        </w:rPr>
      </w:pPr>
      <w:bookmarkStart w:id="116" w:name="_Toc254970684"/>
      <w:bookmarkStart w:id="117" w:name="_Toc254970543"/>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bookmarkEnd w:id="116"/>
      <w:bookmarkEnd w:id="117"/>
    </w:p>
    <w:p w14:paraId="51129B8C">
      <w:pPr>
        <w:pStyle w:val="284"/>
        <w:spacing w:before="0"/>
        <w:ind w:firstLine="420"/>
        <w:rPr>
          <w:rFonts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51E624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p w14:paraId="0519BA06">
      <w:pPr>
        <w:pStyle w:val="4"/>
        <w:keepNext w:val="0"/>
        <w:keepLines w:val="0"/>
        <w:jc w:val="center"/>
        <w:rPr>
          <w:color w:val="auto"/>
          <w:highlight w:val="none"/>
        </w:rPr>
      </w:pPr>
      <w:bookmarkStart w:id="118" w:name="_Toc254970685"/>
      <w:bookmarkStart w:id="119" w:name="_Toc254970544"/>
      <w:r>
        <w:rPr>
          <w:rFonts w:hint="eastAsia"/>
          <w:color w:val="auto"/>
          <w:highlight w:val="none"/>
        </w:rPr>
        <w:t>四、开    标</w:t>
      </w:r>
      <w:bookmarkEnd w:id="118"/>
      <w:bookmarkEnd w:id="119"/>
    </w:p>
    <w:p w14:paraId="47021BFF">
      <w:pPr>
        <w:pStyle w:val="6"/>
        <w:keepNext w:val="0"/>
        <w:keepLines w:val="0"/>
        <w:spacing w:before="0" w:after="0" w:line="360" w:lineRule="auto"/>
        <w:ind w:left="420"/>
        <w:rPr>
          <w:rFonts w:ascii="黑体" w:hAnsi="黑体" w:eastAsia="黑体"/>
          <w:color w:val="auto"/>
          <w:sz w:val="24"/>
          <w:highlight w:val="none"/>
        </w:rPr>
      </w:pPr>
      <w:bookmarkStart w:id="120" w:name="_23.开标时间和地点"/>
      <w:bookmarkEnd w:id="120"/>
      <w:r>
        <w:rPr>
          <w:rFonts w:hint="eastAsia" w:ascii="黑体" w:hAnsi="黑体" w:eastAsia="黑体"/>
          <w:color w:val="auto"/>
          <w:sz w:val="24"/>
          <w:highlight w:val="none"/>
        </w:rPr>
        <w:t>23.开标时间和地点</w:t>
      </w:r>
    </w:p>
    <w:p w14:paraId="36F8D8BC">
      <w:pPr>
        <w:spacing w:line="360" w:lineRule="auto"/>
        <w:ind w:firstLine="420"/>
        <w:rPr>
          <w:rFonts w:hAnsi="宋体"/>
          <w:bCs/>
          <w:color w:val="auto"/>
          <w:highlight w:val="none"/>
        </w:rPr>
      </w:pPr>
      <w:r>
        <w:rPr>
          <w:rFonts w:hint="eastAsia" w:hAnsi="宋体"/>
          <w:bCs/>
          <w:color w:val="auto"/>
          <w:highlight w:val="none"/>
        </w:rPr>
        <w:t>开标时间及地点详见“投标人须知前附表”</w:t>
      </w:r>
    </w:p>
    <w:p w14:paraId="039F68A3">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24.开标程序</w:t>
      </w:r>
    </w:p>
    <w:p w14:paraId="157DDB82">
      <w:pPr>
        <w:pStyle w:val="7"/>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185AB6BD">
      <w:pPr>
        <w:pStyle w:val="7"/>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6B212016">
      <w:pPr>
        <w:pStyle w:val="7"/>
        <w:spacing w:line="360" w:lineRule="auto"/>
        <w:rPr>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70D8EB5E">
      <w:pPr>
        <w:pStyle w:val="7"/>
        <w:spacing w:line="360" w:lineRule="auto"/>
        <w:rPr>
          <w:color w:val="auto"/>
          <w:highlight w:val="none"/>
        </w:rPr>
      </w:pPr>
      <w:r>
        <w:rPr>
          <w:rFonts w:hint="eastAsia"/>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b/>
          <w:color w:val="auto"/>
          <w:highlight w:val="none"/>
        </w:rPr>
        <w:t>投标人</w:t>
      </w:r>
      <w:r>
        <w:rPr>
          <w:rFonts w:hint="eastAsia"/>
          <w:b/>
          <w:color w:val="auto"/>
          <w:highlight w:val="none"/>
        </w:rPr>
        <w:t>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r>
        <w:rPr>
          <w:b/>
          <w:color w:val="auto"/>
          <w:highlight w:val="none"/>
        </w:rPr>
        <w:t>。</w:t>
      </w:r>
    </w:p>
    <w:p w14:paraId="4CCA6D42">
      <w:pPr>
        <w:pStyle w:val="7"/>
        <w:spacing w:line="360" w:lineRule="auto"/>
        <w:rPr>
          <w:color w:val="auto"/>
          <w:highlight w:val="none"/>
        </w:rPr>
      </w:pPr>
      <w:r>
        <w:rPr>
          <w:rFonts w:hint="eastAsia"/>
          <w:color w:val="auto"/>
          <w:highlight w:val="none"/>
        </w:rPr>
        <w:t>（2）电子唱标。投标文件解密结束，宣布的内容均在广西政府采购云平台远程开标大厅展示，具体详见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0CCE5D6A">
      <w:pPr>
        <w:pStyle w:val="7"/>
        <w:spacing w:line="360" w:lineRule="auto"/>
        <w:rPr>
          <w:color w:val="auto"/>
          <w:highlight w:val="none"/>
        </w:rPr>
      </w:pPr>
      <w:r>
        <w:rPr>
          <w:rFonts w:hint="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63E25637">
      <w:pPr>
        <w:pStyle w:val="7"/>
        <w:spacing w:line="360" w:lineRule="auto"/>
        <w:rPr>
          <w:color w:val="auto"/>
          <w:highlight w:val="none"/>
        </w:rPr>
      </w:pPr>
      <w:r>
        <w:rPr>
          <w:rFonts w:hint="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D126A59">
      <w:pPr>
        <w:pStyle w:val="7"/>
        <w:spacing w:line="360" w:lineRule="auto"/>
        <w:rPr>
          <w:color w:val="auto"/>
          <w:szCs w:val="21"/>
          <w:highlight w:val="none"/>
        </w:rPr>
      </w:pPr>
      <w:r>
        <w:rPr>
          <w:rFonts w:hint="eastAsia"/>
          <w:color w:val="auto"/>
          <w:szCs w:val="21"/>
          <w:highlight w:val="none"/>
        </w:rPr>
        <w:t>（5）开标结束。</w:t>
      </w:r>
    </w:p>
    <w:p w14:paraId="4686C787">
      <w:pPr>
        <w:pStyle w:val="24"/>
        <w:spacing w:line="360" w:lineRule="auto"/>
        <w:ind w:firstLine="420"/>
        <w:rPr>
          <w:rFonts w:hAnsi="宋体"/>
          <w:color w:val="auto"/>
          <w:sz w:val="21"/>
          <w:highlight w:val="none"/>
        </w:rPr>
      </w:pPr>
      <w:r>
        <w:rPr>
          <w:rFonts w:hint="eastAsia"/>
          <w:color w:val="auto"/>
          <w:sz w:val="21"/>
          <w:highlight w:val="none"/>
        </w:rPr>
        <w:t>特别说明：如遇广西政府采购云平台电子化开标或评审程序调整的，按调整后执行。</w:t>
      </w:r>
    </w:p>
    <w:p w14:paraId="3BA14ECD">
      <w:pPr>
        <w:pStyle w:val="24"/>
        <w:spacing w:line="360" w:lineRule="auto"/>
        <w:ind w:left="689" w:hanging="210"/>
        <w:rPr>
          <w:rFonts w:hAnsi="宋体"/>
          <w:color w:val="auto"/>
          <w:sz w:val="21"/>
          <w:highlight w:val="none"/>
        </w:rPr>
      </w:pPr>
    </w:p>
    <w:p w14:paraId="3658D043">
      <w:pPr>
        <w:pStyle w:val="4"/>
        <w:keepNext w:val="0"/>
        <w:keepLines w:val="0"/>
        <w:jc w:val="center"/>
        <w:rPr>
          <w:color w:val="auto"/>
          <w:highlight w:val="none"/>
        </w:rPr>
      </w:pPr>
      <w:r>
        <w:rPr>
          <w:rFonts w:hint="eastAsia"/>
          <w:color w:val="auto"/>
          <w:highlight w:val="none"/>
        </w:rPr>
        <w:t>五、资格审查</w:t>
      </w:r>
    </w:p>
    <w:p w14:paraId="083A604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25.资格审查</w:t>
      </w:r>
    </w:p>
    <w:p w14:paraId="428B3CC9">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72A7B412">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26B41A91">
      <w:pPr>
        <w:pStyle w:val="6"/>
        <w:keepNext w:val="0"/>
        <w:keepLines w:val="0"/>
        <w:numPr>
          <w:ilvl w:val="0"/>
          <w:numId w:val="0"/>
        </w:numPr>
        <w:spacing w:before="0" w:after="0" w:line="360" w:lineRule="auto"/>
        <w:ind w:firstLine="422"/>
        <w:rPr>
          <w:rFonts w:ascii="宋体" w:hAnsi="宋体"/>
          <w:color w:val="auto"/>
          <w:sz w:val="21"/>
          <w:szCs w:val="21"/>
          <w:highlight w:val="none"/>
        </w:rPr>
      </w:pPr>
      <w:bookmarkStart w:id="121" w:name="_25.3_投标人有下列情形之一的，资格审查不通过而导致其投标无效："/>
      <w:bookmarkEnd w:id="121"/>
      <w:r>
        <w:rPr>
          <w:rFonts w:hint="eastAsia" w:ascii="宋体" w:hAnsi="宋体"/>
          <w:color w:val="auto"/>
          <w:sz w:val="21"/>
          <w:szCs w:val="21"/>
          <w:highlight w:val="none"/>
        </w:rPr>
        <w:t>25.3 投标人有下列情形之一的，资格审查不通过，作无效投标处理：</w:t>
      </w:r>
    </w:p>
    <w:p w14:paraId="666BE23F">
      <w:pPr>
        <w:pStyle w:val="24"/>
        <w:spacing w:line="360" w:lineRule="auto"/>
        <w:ind w:firstLine="422"/>
        <w:rPr>
          <w:rFonts w:hAnsi="宋体"/>
          <w:b/>
          <w:color w:val="auto"/>
          <w:sz w:val="21"/>
          <w:highlight w:val="none"/>
        </w:rPr>
      </w:pPr>
      <w:r>
        <w:rPr>
          <w:rFonts w:hint="eastAsia" w:hAnsi="宋体"/>
          <w:b/>
          <w:color w:val="auto"/>
          <w:sz w:val="21"/>
          <w:highlight w:val="none"/>
        </w:rPr>
        <w:t>（1）不具备招标文件中规定的资格要求的；</w:t>
      </w:r>
    </w:p>
    <w:p w14:paraId="53D38638">
      <w:pPr>
        <w:pStyle w:val="24"/>
        <w:spacing w:line="360" w:lineRule="auto"/>
        <w:ind w:firstLine="422"/>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74D0EB6E">
      <w:pPr>
        <w:pStyle w:val="24"/>
        <w:spacing w:line="360" w:lineRule="auto"/>
        <w:ind w:firstLine="422"/>
        <w:rPr>
          <w:rFonts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0DE4DA0B">
      <w:pPr>
        <w:pStyle w:val="24"/>
        <w:spacing w:line="360" w:lineRule="auto"/>
        <w:ind w:firstLine="422"/>
        <w:rPr>
          <w:rFonts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1F8D8DDF">
      <w:pPr>
        <w:pStyle w:val="24"/>
        <w:spacing w:line="360" w:lineRule="auto"/>
        <w:ind w:firstLine="422"/>
        <w:rPr>
          <w:rFonts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14886E7E">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5103A061">
      <w:pPr>
        <w:pStyle w:val="24"/>
        <w:spacing w:line="360" w:lineRule="auto"/>
        <w:ind w:left="689" w:hanging="210"/>
        <w:rPr>
          <w:rFonts w:hAnsi="宋体"/>
          <w:color w:val="auto"/>
          <w:sz w:val="21"/>
          <w:highlight w:val="none"/>
        </w:rPr>
      </w:pPr>
    </w:p>
    <w:p w14:paraId="132C8374">
      <w:pPr>
        <w:pStyle w:val="4"/>
        <w:keepNext w:val="0"/>
        <w:keepLines w:val="0"/>
        <w:jc w:val="center"/>
        <w:rPr>
          <w:color w:val="auto"/>
          <w:highlight w:val="none"/>
        </w:rPr>
      </w:pPr>
      <w:r>
        <w:rPr>
          <w:rFonts w:hint="eastAsia"/>
          <w:color w:val="auto"/>
          <w:highlight w:val="none"/>
        </w:rPr>
        <w:t>六、评   标</w:t>
      </w:r>
    </w:p>
    <w:p w14:paraId="2DBBC74B">
      <w:pPr>
        <w:pStyle w:val="6"/>
        <w:keepNext w:val="0"/>
        <w:keepLines w:val="0"/>
        <w:spacing w:before="0" w:after="0" w:line="360" w:lineRule="auto"/>
        <w:ind w:left="420"/>
        <w:rPr>
          <w:rFonts w:ascii="黑体" w:hAnsi="黑体" w:eastAsia="黑体"/>
          <w:color w:val="auto"/>
          <w:sz w:val="24"/>
          <w:highlight w:val="none"/>
        </w:rPr>
      </w:pPr>
      <w:bookmarkStart w:id="122" w:name="_26.组建评标委员会"/>
      <w:bookmarkEnd w:id="122"/>
      <w:r>
        <w:rPr>
          <w:rFonts w:hint="eastAsia" w:ascii="黑体" w:hAnsi="黑体" w:eastAsia="黑体"/>
          <w:color w:val="auto"/>
          <w:sz w:val="24"/>
          <w:highlight w:val="none"/>
        </w:rPr>
        <w:t>26.组建评标委员会</w:t>
      </w:r>
    </w:p>
    <w:p w14:paraId="17D94D08">
      <w:pPr>
        <w:pStyle w:val="24"/>
        <w:spacing w:line="360" w:lineRule="auto"/>
        <w:ind w:firstLine="420"/>
        <w:rPr>
          <w:rFonts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066CFC02">
      <w:pPr>
        <w:pStyle w:val="24"/>
        <w:spacing w:line="360" w:lineRule="auto"/>
        <w:ind w:left="2" w:firstLine="420"/>
        <w:rPr>
          <w:rFonts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1E0C92E0">
      <w:pPr>
        <w:pStyle w:val="24"/>
        <w:spacing w:line="360" w:lineRule="auto"/>
        <w:ind w:left="2" w:firstLine="420"/>
        <w:rPr>
          <w:rFonts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采购代理机构应当基于广西政府采购云平台抽（选）取评审专家。</w:t>
      </w:r>
    </w:p>
    <w:p w14:paraId="636B4D0D">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27.评标的依据</w:t>
      </w:r>
    </w:p>
    <w:p w14:paraId="2677D5F9">
      <w:pPr>
        <w:pStyle w:val="24"/>
        <w:spacing w:line="360" w:lineRule="auto"/>
        <w:ind w:firstLine="420"/>
        <w:rPr>
          <w:rFonts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5E587AA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28.评标原则</w:t>
      </w:r>
    </w:p>
    <w:p w14:paraId="036690FF">
      <w:pPr>
        <w:pStyle w:val="24"/>
        <w:spacing w:line="360" w:lineRule="auto"/>
        <w:ind w:firstLine="420"/>
        <w:rPr>
          <w:rFonts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0D533D2">
      <w:pPr>
        <w:pStyle w:val="24"/>
        <w:spacing w:line="360" w:lineRule="auto"/>
        <w:ind w:firstLine="420"/>
        <w:rPr>
          <w:rFonts w:hAnsi="宋体"/>
          <w:color w:val="auto"/>
          <w:sz w:val="21"/>
          <w:highlight w:val="none"/>
        </w:rPr>
      </w:pPr>
      <w:r>
        <w:rPr>
          <w:rFonts w:hint="eastAsia" w:hAnsi="宋体"/>
          <w:color w:val="auto"/>
          <w:sz w:val="21"/>
          <w:highlight w:val="none"/>
        </w:rPr>
        <w:t>28.2</w:t>
      </w:r>
      <w:bookmarkStart w:id="123" w:name="_28.3评标方法。本项目将按须知前附表规定的评标办法进行评标，具体评标"/>
      <w:bookmarkEnd w:id="123"/>
      <w:r>
        <w:rPr>
          <w:rFonts w:hint="eastAsia" w:hAnsi="宋体"/>
          <w:color w:val="auto"/>
          <w:sz w:val="21"/>
          <w:highlight w:val="none"/>
        </w:rPr>
        <w:t>评委表决。评标委员会成员对需要共同认定的事项存在争议的，应当按照少数服从多数的原则作出结论。</w:t>
      </w:r>
    </w:p>
    <w:p w14:paraId="5E31C712">
      <w:pPr>
        <w:pStyle w:val="24"/>
        <w:spacing w:line="360" w:lineRule="auto"/>
        <w:ind w:firstLine="42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6AED7D4">
      <w:pPr>
        <w:pStyle w:val="24"/>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6C9AB522">
      <w:pPr>
        <w:pStyle w:val="6"/>
        <w:keepNext w:val="0"/>
        <w:keepLines w:val="0"/>
        <w:spacing w:before="0" w:after="0" w:line="360" w:lineRule="auto"/>
        <w:ind w:left="420"/>
        <w:rPr>
          <w:rFonts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0623C062">
      <w:pPr>
        <w:pStyle w:val="24"/>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249819CA">
      <w:pPr>
        <w:pStyle w:val="24"/>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int="eastAsia" w:hAnsi="宋体" w:cs="宋体"/>
          <w:color w:val="auto"/>
          <w:sz w:val="21"/>
          <w:highlight w:val="none"/>
        </w:rPr>
        <w:t>商务/</w:t>
      </w:r>
      <w:r>
        <w:rPr>
          <w:rFonts w:hint="eastAsia" w:hAnsi="宋体" w:cs="宋体"/>
          <w:color w:val="auto"/>
          <w:highlight w:val="none"/>
        </w:rPr>
        <w:t>服务内容及技术要求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7A2217F8">
      <w:pPr>
        <w:pStyle w:val="24"/>
        <w:spacing w:line="360" w:lineRule="auto"/>
        <w:ind w:firstLine="420"/>
        <w:rPr>
          <w:rFonts w:hAnsi="宋体" w:cs="宋体"/>
          <w:color w:val="auto"/>
          <w:sz w:val="21"/>
          <w:highlight w:val="none"/>
        </w:rPr>
      </w:pPr>
      <w:r>
        <w:rPr>
          <w:rFonts w:hint="eastAsia" w:hAnsi="宋体"/>
          <w:color w:val="auto"/>
          <w:sz w:val="21"/>
          <w:highlight w:val="none"/>
        </w:rPr>
        <w:t>2</w:t>
      </w:r>
      <w:r>
        <w:rPr>
          <w:rFonts w:hAnsi="宋体"/>
          <w:color w:val="auto"/>
          <w:sz w:val="21"/>
          <w:highlight w:val="none"/>
        </w:rPr>
        <w:t>9.3</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08FE9123">
      <w:pPr>
        <w:pStyle w:val="24"/>
        <w:spacing w:line="360" w:lineRule="auto"/>
        <w:ind w:firstLine="420"/>
        <w:rPr>
          <w:rFonts w:hAnsi="宋体"/>
          <w:color w:val="auto"/>
          <w:sz w:val="21"/>
          <w:highlight w:val="none"/>
        </w:rPr>
      </w:pPr>
      <w:r>
        <w:rPr>
          <w:rFonts w:hint="eastAsia" w:hAnsi="宋体"/>
          <w:color w:val="auto"/>
          <w:sz w:val="21"/>
          <w:highlight w:val="none"/>
        </w:rPr>
        <w:t>29.</w:t>
      </w:r>
      <w:r>
        <w:rPr>
          <w:rFonts w:hAnsi="宋体"/>
          <w:color w:val="auto"/>
          <w:sz w:val="21"/>
          <w:highlight w:val="none"/>
        </w:rPr>
        <w:t>4</w:t>
      </w:r>
      <w:r>
        <w:rPr>
          <w:rFonts w:hint="eastAsia" w:hAnsi="宋体"/>
          <w:color w:val="auto"/>
          <w:sz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2912B1ED">
      <w:pPr>
        <w:pStyle w:val="24"/>
        <w:spacing w:line="360" w:lineRule="auto"/>
        <w:ind w:firstLine="420"/>
        <w:rPr>
          <w:rFonts w:hAnsi="宋体"/>
          <w:color w:val="auto"/>
          <w:sz w:val="21"/>
          <w:highlight w:val="none"/>
        </w:rPr>
      </w:pPr>
      <w:r>
        <w:rPr>
          <w:rFonts w:hint="eastAsia" w:hAnsi="宋体"/>
          <w:color w:val="auto"/>
          <w:sz w:val="21"/>
          <w:highlight w:val="none"/>
        </w:rPr>
        <w:t xml:space="preserve">（1）电子交易平台发生故障而无法登录访问的； </w:t>
      </w:r>
    </w:p>
    <w:p w14:paraId="4D408C24">
      <w:pPr>
        <w:pStyle w:val="24"/>
        <w:spacing w:line="360" w:lineRule="auto"/>
        <w:ind w:firstLine="420"/>
        <w:rPr>
          <w:rFonts w:hAnsi="宋体"/>
          <w:color w:val="auto"/>
          <w:sz w:val="21"/>
          <w:highlight w:val="none"/>
        </w:rPr>
      </w:pPr>
      <w:r>
        <w:rPr>
          <w:rFonts w:hint="eastAsia" w:hAnsi="宋体"/>
          <w:color w:val="auto"/>
          <w:sz w:val="21"/>
          <w:highlight w:val="none"/>
        </w:rPr>
        <w:t>（2）电子交易平台应用或数据库出现错误，不能进行正常操作的；</w:t>
      </w:r>
    </w:p>
    <w:p w14:paraId="404D2003">
      <w:pPr>
        <w:pStyle w:val="24"/>
        <w:spacing w:line="360" w:lineRule="auto"/>
        <w:ind w:firstLine="420"/>
        <w:rPr>
          <w:rFonts w:hAnsi="宋体"/>
          <w:color w:val="auto"/>
          <w:sz w:val="21"/>
          <w:highlight w:val="none"/>
        </w:rPr>
      </w:pPr>
      <w:r>
        <w:rPr>
          <w:rFonts w:hint="eastAsia" w:hAnsi="宋体"/>
          <w:color w:val="auto"/>
          <w:sz w:val="21"/>
          <w:highlight w:val="none"/>
        </w:rPr>
        <w:t>（3）电子交易平台发现严重安全漏洞，有潜在泄密危险的；</w:t>
      </w:r>
    </w:p>
    <w:p w14:paraId="69D1F23F">
      <w:pPr>
        <w:pStyle w:val="24"/>
        <w:spacing w:line="360" w:lineRule="auto"/>
        <w:ind w:firstLine="420"/>
        <w:rPr>
          <w:rFonts w:hAnsi="宋体"/>
          <w:color w:val="auto"/>
          <w:sz w:val="21"/>
          <w:highlight w:val="none"/>
        </w:rPr>
      </w:pPr>
      <w:r>
        <w:rPr>
          <w:rFonts w:hint="eastAsia" w:hAnsi="宋体"/>
          <w:color w:val="auto"/>
          <w:sz w:val="21"/>
          <w:highlight w:val="none"/>
        </w:rPr>
        <w:t xml:space="preserve">（4）病毒发作导致不能进行正常操作的； </w:t>
      </w:r>
    </w:p>
    <w:p w14:paraId="36474EF4">
      <w:pPr>
        <w:pStyle w:val="24"/>
        <w:spacing w:line="360" w:lineRule="auto"/>
        <w:ind w:firstLine="420"/>
        <w:rPr>
          <w:rFonts w:hAnsi="宋体"/>
          <w:color w:val="auto"/>
          <w:sz w:val="21"/>
          <w:highlight w:val="none"/>
        </w:rPr>
      </w:pPr>
      <w:r>
        <w:rPr>
          <w:rFonts w:hint="eastAsia" w:hAnsi="宋体"/>
          <w:color w:val="auto"/>
          <w:sz w:val="21"/>
          <w:highlight w:val="none"/>
        </w:rPr>
        <w:t>（5）其他无法保证电子交易的公平、公正和安全的情况。</w:t>
      </w:r>
    </w:p>
    <w:p w14:paraId="68ACA7FA">
      <w:pPr>
        <w:pStyle w:val="24"/>
        <w:spacing w:line="360" w:lineRule="auto"/>
        <w:ind w:firstLine="420"/>
        <w:rPr>
          <w:rFonts w:hAnsi="宋体"/>
          <w:color w:val="auto"/>
          <w:sz w:val="21"/>
          <w:highlight w:val="none"/>
        </w:rPr>
      </w:pPr>
      <w:r>
        <w:rPr>
          <w:rFonts w:hint="eastAsia" w:hAnsi="宋体"/>
          <w:color w:val="auto"/>
          <w:sz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2B50AA5">
      <w:pPr>
        <w:pStyle w:val="24"/>
        <w:spacing w:line="360" w:lineRule="auto"/>
        <w:ind w:firstLine="420"/>
        <w:rPr>
          <w:rFonts w:hAnsi="宋体"/>
          <w:color w:val="auto"/>
          <w:sz w:val="21"/>
          <w:highlight w:val="none"/>
        </w:rPr>
      </w:pPr>
      <w:r>
        <w:rPr>
          <w:rFonts w:hint="eastAsia" w:hAnsi="宋体"/>
          <w:color w:val="auto"/>
          <w:sz w:val="21"/>
          <w:highlight w:val="none"/>
        </w:rPr>
        <w:t>29.5出现下列情形之一的，应予废标：</w:t>
      </w:r>
    </w:p>
    <w:p w14:paraId="36663A34">
      <w:pPr>
        <w:pStyle w:val="24"/>
        <w:spacing w:line="360" w:lineRule="auto"/>
        <w:ind w:firstLine="420"/>
        <w:rPr>
          <w:rFonts w:hAnsi="宋体"/>
          <w:color w:val="auto"/>
          <w:sz w:val="21"/>
          <w:highlight w:val="none"/>
        </w:rPr>
      </w:pPr>
      <w:r>
        <w:rPr>
          <w:rFonts w:hint="eastAsia" w:hAnsi="宋体"/>
          <w:color w:val="auto"/>
          <w:sz w:val="21"/>
          <w:highlight w:val="none"/>
        </w:rPr>
        <w:t>（1）符合专业条件的供应商或者对招标文件作实质响应的供应商不足三家的；</w:t>
      </w:r>
    </w:p>
    <w:p w14:paraId="0AD3A3B4">
      <w:pPr>
        <w:pStyle w:val="24"/>
        <w:spacing w:line="360" w:lineRule="auto"/>
        <w:ind w:firstLine="420"/>
        <w:rPr>
          <w:rFonts w:hAnsi="宋体"/>
          <w:color w:val="auto"/>
          <w:sz w:val="21"/>
          <w:highlight w:val="none"/>
        </w:rPr>
      </w:pPr>
      <w:r>
        <w:rPr>
          <w:rFonts w:hint="eastAsia" w:hAnsi="宋体"/>
          <w:color w:val="auto"/>
          <w:sz w:val="21"/>
          <w:highlight w:val="none"/>
        </w:rPr>
        <w:t>（2）出现影响采购公正的违法、违规行为的；</w:t>
      </w:r>
    </w:p>
    <w:p w14:paraId="743BD674">
      <w:pPr>
        <w:pStyle w:val="24"/>
        <w:spacing w:line="360" w:lineRule="auto"/>
        <w:ind w:firstLine="420"/>
        <w:rPr>
          <w:rFonts w:hAnsi="宋体"/>
          <w:color w:val="auto"/>
          <w:sz w:val="21"/>
          <w:highlight w:val="none"/>
        </w:rPr>
      </w:pPr>
      <w:r>
        <w:rPr>
          <w:rFonts w:hint="eastAsia" w:hAnsi="宋体"/>
          <w:color w:val="auto"/>
          <w:sz w:val="21"/>
          <w:highlight w:val="none"/>
        </w:rPr>
        <w:t>（3）投标人的报价均超过了采购预算，采购人不能支付的；</w:t>
      </w:r>
    </w:p>
    <w:p w14:paraId="369F0478">
      <w:pPr>
        <w:pStyle w:val="24"/>
        <w:spacing w:line="360" w:lineRule="auto"/>
        <w:ind w:firstLine="420"/>
        <w:rPr>
          <w:rFonts w:hAnsi="宋体"/>
          <w:color w:val="auto"/>
          <w:sz w:val="21"/>
          <w:highlight w:val="none"/>
        </w:rPr>
      </w:pPr>
      <w:r>
        <w:rPr>
          <w:rFonts w:hint="eastAsia" w:hAnsi="宋体"/>
          <w:color w:val="auto"/>
          <w:sz w:val="21"/>
          <w:highlight w:val="none"/>
        </w:rPr>
        <w:t>（4）因重大变故，采购任务取消的。</w:t>
      </w:r>
    </w:p>
    <w:p w14:paraId="0D7B51D4">
      <w:pPr>
        <w:pStyle w:val="24"/>
        <w:spacing w:line="360" w:lineRule="auto"/>
        <w:ind w:firstLine="420"/>
        <w:rPr>
          <w:rFonts w:hAnsi="宋体"/>
          <w:color w:val="auto"/>
          <w:sz w:val="21"/>
          <w:highlight w:val="none"/>
        </w:rPr>
      </w:pPr>
      <w:r>
        <w:rPr>
          <w:rFonts w:hint="eastAsia" w:hAnsi="宋体"/>
          <w:color w:val="auto"/>
          <w:sz w:val="21"/>
          <w:highlight w:val="none"/>
        </w:rPr>
        <w:t>废标后，采购人应当将废标理由通知所有投标人。</w:t>
      </w:r>
    </w:p>
    <w:p w14:paraId="4EFEEA83">
      <w:pPr>
        <w:pStyle w:val="24"/>
        <w:spacing w:line="360" w:lineRule="auto"/>
        <w:rPr>
          <w:rFonts w:hAnsi="宋体"/>
          <w:color w:val="auto"/>
          <w:sz w:val="21"/>
          <w:highlight w:val="none"/>
        </w:rPr>
      </w:pPr>
    </w:p>
    <w:p w14:paraId="24777BC8">
      <w:pPr>
        <w:pStyle w:val="4"/>
        <w:keepNext w:val="0"/>
        <w:keepLines w:val="0"/>
        <w:jc w:val="center"/>
        <w:rPr>
          <w:color w:val="auto"/>
          <w:highlight w:val="none"/>
        </w:rPr>
      </w:pPr>
      <w:bookmarkStart w:id="124" w:name="_Toc254970687"/>
      <w:bookmarkStart w:id="125" w:name="_Toc254970546"/>
      <w:r>
        <w:rPr>
          <w:rFonts w:hint="eastAsia"/>
          <w:color w:val="auto"/>
          <w:highlight w:val="none"/>
        </w:rPr>
        <w:t>七、</w:t>
      </w:r>
      <w:bookmarkEnd w:id="124"/>
      <w:bookmarkEnd w:id="125"/>
      <w:r>
        <w:rPr>
          <w:rFonts w:hint="eastAsia"/>
          <w:color w:val="auto"/>
          <w:highlight w:val="none"/>
        </w:rPr>
        <w:t>中标和合同</w:t>
      </w:r>
    </w:p>
    <w:p w14:paraId="16D4797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确定中标供应商</w:t>
      </w:r>
    </w:p>
    <w:p w14:paraId="704524A5">
      <w:pPr>
        <w:pStyle w:val="6"/>
        <w:keepNext w:val="0"/>
        <w:keepLines w:val="0"/>
        <w:spacing w:before="0" w:after="0" w:line="360" w:lineRule="auto"/>
        <w:ind w:firstLine="420"/>
        <w:rPr>
          <w:rFonts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279BBA4A">
      <w:pPr>
        <w:spacing w:line="360" w:lineRule="auto"/>
        <w:ind w:firstLine="420"/>
        <w:rPr>
          <w:rFonts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1C46758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31. 结果公告</w:t>
      </w:r>
    </w:p>
    <w:p w14:paraId="5617DBA4">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6C51F85E">
      <w:pPr>
        <w:spacing w:line="360" w:lineRule="auto"/>
        <w:ind w:firstLine="420"/>
        <w:rPr>
          <w:rFonts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1FB22D87">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118965C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5F12D6BD">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70C5012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50C91B1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4E22165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34.合同授予标准</w:t>
      </w:r>
    </w:p>
    <w:p w14:paraId="0CC06D57">
      <w:pPr>
        <w:spacing w:line="360" w:lineRule="auto"/>
        <w:ind w:firstLine="42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合同将授予被确定实质上响应招标文件要求，具备履行合同能力的中标供应商。</w:t>
      </w:r>
    </w:p>
    <w:p w14:paraId="4D2F52A2">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35.履约保证金</w:t>
      </w:r>
    </w:p>
    <w:p w14:paraId="2B81FB40">
      <w:pPr>
        <w:pStyle w:val="6"/>
        <w:keepNext w:val="0"/>
        <w:keepLines w:val="0"/>
        <w:spacing w:before="0" w:after="0" w:line="360" w:lineRule="auto"/>
        <w:ind w:firstLine="315"/>
        <w:rPr>
          <w:rFonts w:ascii="宋体" w:hAnsi="宋体"/>
          <w:b w:val="0"/>
          <w:color w:val="auto"/>
          <w:sz w:val="21"/>
          <w:szCs w:val="21"/>
          <w:highlight w:val="none"/>
        </w:rPr>
      </w:pPr>
      <w:bookmarkStart w:id="126" w:name="_39.1中标人须于签订合同前按本须知前附表规定的金额转账或电汇到指定账"/>
      <w:bookmarkEnd w:id="126"/>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履约保证金的金额、提交方式、缴纳期限、退付的时间和条件详见 “投标人须知前附表”。中标供应商未按规定提交履约保证金的，视为拒绝与采购人签订合同。</w:t>
      </w:r>
    </w:p>
    <w:p w14:paraId="34909D65">
      <w:pPr>
        <w:pStyle w:val="6"/>
        <w:keepNext w:val="0"/>
        <w:keepLines w:val="0"/>
        <w:spacing w:before="0" w:after="0" w:line="360" w:lineRule="auto"/>
        <w:ind w:firstLine="316"/>
        <w:rPr>
          <w:rFonts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bCs/>
          <w:color w:val="auto"/>
          <w:sz w:val="21"/>
          <w:szCs w:val="21"/>
          <w:highlight w:val="none"/>
        </w:rPr>
        <w:t>35.2在履约保证金退还日期前，若中标供应商的开户名称、开户银行、账号有变动的，请以书面形式通知履约保证金收取单位，否则由此产生的后果由中标供应商自行承担。</w:t>
      </w:r>
    </w:p>
    <w:p w14:paraId="2AF2E8AF">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36.签订合同</w:t>
      </w:r>
    </w:p>
    <w:p w14:paraId="43D555DE">
      <w:pPr>
        <w:pStyle w:val="6"/>
        <w:keepNext w:val="0"/>
        <w:keepLines w:val="0"/>
        <w:spacing w:before="0" w:after="0" w:line="360" w:lineRule="auto"/>
        <w:ind w:firstLine="315"/>
        <w:rPr>
          <w:rFonts w:ascii="宋体" w:hAnsi="宋体"/>
          <w:b w:val="0"/>
          <w:color w:val="auto"/>
          <w:sz w:val="21"/>
          <w:szCs w:val="21"/>
          <w:highlight w:val="none"/>
        </w:rPr>
      </w:pPr>
      <w:bookmarkStart w:id="127" w:name="_40.1投标人接到中标通知书后，按须知前附表规定向采购人出示相关资格证"/>
      <w:bookmarkEnd w:id="127"/>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36.1签订电子采购合同：中标供应商领取电子中标通知书后，在</w:t>
      </w:r>
      <w:r>
        <w:rPr>
          <w:rFonts w:hint="eastAsia" w:ascii="宋体" w:hAnsi="宋体"/>
          <w:color w:val="auto"/>
          <w:sz w:val="21"/>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6A4C0CBF">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0291F932">
      <w:pPr>
        <w:pStyle w:val="6"/>
        <w:keepNext w:val="0"/>
        <w:keepLines w:val="0"/>
        <w:numPr>
          <w:ilvl w:val="0"/>
          <w:numId w:val="0"/>
        </w:numPr>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3511A5AB">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10D54F0">
      <w:pPr>
        <w:spacing w:line="360" w:lineRule="auto"/>
        <w:ind w:firstLine="420"/>
        <w:rPr>
          <w:rFonts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7802E10">
      <w:pPr>
        <w:spacing w:line="360" w:lineRule="auto"/>
        <w:ind w:firstLine="420"/>
        <w:rPr>
          <w:rFonts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0B740278">
      <w:pPr>
        <w:spacing w:line="360" w:lineRule="auto"/>
        <w:ind w:firstLine="420"/>
        <w:rPr>
          <w:rFonts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7C8F6EC3">
      <w:pPr>
        <w:spacing w:line="360" w:lineRule="auto"/>
        <w:ind w:firstLine="420"/>
        <w:rPr>
          <w:rFonts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5991F62">
      <w:pPr>
        <w:pStyle w:val="6"/>
        <w:keepNext w:val="0"/>
        <w:keepLines w:val="0"/>
        <w:spacing w:before="0" w:after="0" w:line="360" w:lineRule="auto"/>
        <w:ind w:left="420"/>
        <w:rPr>
          <w:rFonts w:ascii="黑体" w:hAnsi="黑体" w:eastAsia="黑体"/>
          <w:color w:val="auto"/>
          <w:sz w:val="24"/>
          <w:highlight w:val="none"/>
        </w:rPr>
      </w:pPr>
      <w:bookmarkStart w:id="128" w:name="_41.政府采购合同公告"/>
      <w:bookmarkEnd w:id="128"/>
      <w:r>
        <w:rPr>
          <w:rFonts w:hint="eastAsia" w:ascii="黑体" w:hAnsi="黑体" w:eastAsia="黑体"/>
          <w:color w:val="auto"/>
          <w:sz w:val="24"/>
          <w:highlight w:val="none"/>
        </w:rPr>
        <w:t>37.政府采购合同公告</w:t>
      </w:r>
    </w:p>
    <w:p w14:paraId="7E55C5D8">
      <w:pPr>
        <w:pStyle w:val="24"/>
        <w:spacing w:line="360" w:lineRule="auto"/>
        <w:ind w:firstLine="420"/>
        <w:rPr>
          <w:rFonts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3B93E81B">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343C185E">
      <w:pPr>
        <w:pStyle w:val="7"/>
        <w:spacing w:line="360" w:lineRule="auto"/>
        <w:rPr>
          <w:rFonts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007FAFB6">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D847943">
      <w:pPr>
        <w:pStyle w:val="24"/>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1E2CD643">
      <w:pPr>
        <w:pStyle w:val="24"/>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39247BE4">
      <w:pPr>
        <w:pStyle w:val="24"/>
        <w:spacing w:line="360" w:lineRule="auto"/>
        <w:ind w:firstLine="420"/>
        <w:rPr>
          <w:rFonts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47B1B278">
      <w:pPr>
        <w:pStyle w:val="6"/>
        <w:keepNext w:val="0"/>
        <w:keepLines w:val="0"/>
        <w:spacing w:before="0" w:after="0" w:line="360" w:lineRule="auto"/>
        <w:ind w:firstLine="315"/>
        <w:rPr>
          <w:rFonts w:ascii="宋体" w:hAnsi="宋体"/>
          <w:b w:val="0"/>
          <w:color w:val="auto"/>
          <w:sz w:val="21"/>
          <w:szCs w:val="21"/>
          <w:highlight w:val="none"/>
        </w:rPr>
      </w:pPr>
      <w:bookmarkStart w:id="129" w:name="_9.2质疑、投诉应当采用书面形式，质疑函、投诉书均应明确阐述招标文件、"/>
      <w:bookmarkEnd w:id="129"/>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07187ADE">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512E3EE2">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762F52B1">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10845467">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3FA6AFE3">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78B66157">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07C14A8F">
      <w:pPr>
        <w:pStyle w:val="24"/>
        <w:spacing w:line="360" w:lineRule="auto"/>
        <w:ind w:firstLine="420"/>
        <w:rPr>
          <w:rFonts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1D55FE7B">
      <w:pPr>
        <w:pStyle w:val="6"/>
        <w:keepNext w:val="0"/>
        <w:keepLines w:val="0"/>
        <w:spacing w:before="0" w:after="0" w:line="360" w:lineRule="auto"/>
        <w:ind w:firstLine="420"/>
        <w:rPr>
          <w:rFonts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071086CF">
      <w:pPr>
        <w:pStyle w:val="24"/>
        <w:spacing w:line="360" w:lineRule="auto"/>
        <w:rPr>
          <w:rFonts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201069AD">
      <w:pPr>
        <w:pStyle w:val="24"/>
        <w:spacing w:line="360" w:lineRule="auto"/>
        <w:rPr>
          <w:rFonts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30B2C759">
      <w:pPr>
        <w:pStyle w:val="24"/>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55966F55">
      <w:pPr>
        <w:pStyle w:val="24"/>
        <w:spacing w:line="360" w:lineRule="auto"/>
        <w:ind w:firstLine="420"/>
        <w:rPr>
          <w:rFonts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739ED18">
      <w:pPr>
        <w:pStyle w:val="4"/>
        <w:keepNext w:val="0"/>
        <w:keepLines w:val="0"/>
        <w:spacing w:before="240" w:after="240" w:line="415" w:lineRule="auto"/>
        <w:jc w:val="center"/>
        <w:rPr>
          <w:color w:val="auto"/>
          <w:highlight w:val="none"/>
        </w:rPr>
      </w:pPr>
      <w:bookmarkStart w:id="130" w:name="_八、其他事项"/>
      <w:bookmarkEnd w:id="130"/>
      <w:r>
        <w:rPr>
          <w:rFonts w:hint="eastAsia"/>
          <w:color w:val="auto"/>
          <w:highlight w:val="none"/>
        </w:rPr>
        <w:t>八、其他事项</w:t>
      </w:r>
    </w:p>
    <w:p w14:paraId="544963B2">
      <w:pPr>
        <w:pStyle w:val="6"/>
        <w:keepNext w:val="0"/>
        <w:keepLines w:val="0"/>
        <w:spacing w:before="0" w:after="0" w:line="360" w:lineRule="auto"/>
        <w:ind w:left="420"/>
        <w:rPr>
          <w:rFonts w:ascii="黑体" w:hAnsi="黑体" w:eastAsia="黑体"/>
          <w:color w:val="auto"/>
          <w:sz w:val="24"/>
          <w:highlight w:val="none"/>
        </w:rPr>
      </w:pPr>
      <w:bookmarkStart w:id="131" w:name="_42.代理服务费"/>
      <w:bookmarkEnd w:id="131"/>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.采购代理服务费</w:t>
      </w:r>
    </w:p>
    <w:p w14:paraId="1E82836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.1采购代理服务收取标准及缴费账户详见“投标人须知前附表”，投标人为联合体的，可以由联合体中的一方或者多方共同交纳采购代理服务费。</w:t>
      </w:r>
    </w:p>
    <w:p w14:paraId="0FF8A552">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.2采购代理服务收费标准：</w:t>
      </w:r>
    </w:p>
    <w:p w14:paraId="50EB0185">
      <w:pPr>
        <w:spacing w:line="360" w:lineRule="auto"/>
        <w:rPr>
          <w:rFonts w:ascii="宋体" w:hAnsi="宋体"/>
          <w:color w:val="auto"/>
          <w:szCs w:val="21"/>
          <w:highlight w:val="none"/>
        </w:rPr>
      </w:pPr>
    </w:p>
    <w:tbl>
      <w:tblPr>
        <w:tblStyle w:val="48"/>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03E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2A63723">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1D9E222B">
            <w:pPr>
              <w:spacing w:line="360" w:lineRule="auto"/>
              <w:rPr>
                <w:rFonts w:ascii="宋体" w:hAnsi="宋体"/>
                <w:color w:val="auto"/>
                <w:szCs w:val="21"/>
                <w:highlight w:val="none"/>
              </w:rPr>
            </w:pPr>
            <w:r>
              <w:rPr>
                <w:rFonts w:hint="eastAsia" w:ascii="宋体" w:hAnsi="宋体"/>
                <w:color w:val="auto"/>
                <w:szCs w:val="21"/>
                <w:highlight w:val="none"/>
              </w:rPr>
              <w:t>中标金额</w:t>
            </w:r>
          </w:p>
        </w:tc>
        <w:tc>
          <w:tcPr>
            <w:tcW w:w="1659" w:type="dxa"/>
            <w:vAlign w:val="center"/>
          </w:tcPr>
          <w:p w14:paraId="5691870A">
            <w:pPr>
              <w:spacing w:line="360" w:lineRule="auto"/>
              <w:ind w:firstLine="105"/>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vAlign w:val="center"/>
          </w:tcPr>
          <w:p w14:paraId="27F6660C">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vAlign w:val="center"/>
          </w:tcPr>
          <w:p w14:paraId="32B5A4EA">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613E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D794E38">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11BAAF4F">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1.5%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Pr>
          <w:p w14:paraId="41E431EE">
            <w:pPr>
              <w:spacing w:line="360" w:lineRule="auto"/>
              <w:ind w:firstLine="210"/>
              <w:rPr>
                <w:rFonts w:ascii="宋体" w:hAnsi="宋体"/>
                <w:color w:val="auto"/>
                <w:szCs w:val="21"/>
                <w:highlight w:val="none"/>
              </w:rPr>
            </w:pPr>
            <w:r>
              <w:rPr>
                <w:rFonts w:ascii="宋体" w:hAnsi="宋体" w:cs="宋体"/>
                <w:color w:val="auto"/>
                <w:szCs w:val="21"/>
                <w:highlight w:val="none"/>
              </w:rPr>
              <w:t>1.5%</w:t>
            </w:r>
          </w:p>
        </w:tc>
        <w:tc>
          <w:tcPr>
            <w:tcW w:w="1659" w:type="dxa"/>
          </w:tcPr>
          <w:p w14:paraId="6A5C5532">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1.0% </w:t>
            </w:r>
          </w:p>
        </w:tc>
      </w:tr>
      <w:tr w14:paraId="2F50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016BDA6">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Pr>
          <w:p w14:paraId="537644B9">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1.1% </w:t>
            </w:r>
            <w:r>
              <w:rPr>
                <w:rFonts w:hint="eastAsia" w:ascii="宋体" w:hAnsi="宋体" w:cs="宋体"/>
                <w:color w:val="auto"/>
                <w:szCs w:val="21"/>
                <w:highlight w:val="none"/>
              </w:rPr>
              <w:t xml:space="preserve">                </w:t>
            </w:r>
          </w:p>
        </w:tc>
        <w:tc>
          <w:tcPr>
            <w:tcW w:w="1687" w:type="dxa"/>
          </w:tcPr>
          <w:p w14:paraId="7B37489E">
            <w:pPr>
              <w:spacing w:line="360" w:lineRule="auto"/>
              <w:ind w:firstLine="210"/>
              <w:rPr>
                <w:rFonts w:ascii="宋体" w:hAnsi="宋体"/>
                <w:color w:val="auto"/>
                <w:szCs w:val="21"/>
                <w:highlight w:val="none"/>
              </w:rPr>
            </w:pPr>
            <w:r>
              <w:rPr>
                <w:rFonts w:ascii="宋体" w:hAnsi="宋体" w:cs="宋体"/>
                <w:color w:val="auto"/>
                <w:szCs w:val="21"/>
                <w:highlight w:val="none"/>
              </w:rPr>
              <w:t>0.8%</w:t>
            </w:r>
          </w:p>
        </w:tc>
        <w:tc>
          <w:tcPr>
            <w:tcW w:w="1659" w:type="dxa"/>
          </w:tcPr>
          <w:p w14:paraId="12E9C652">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0.7% </w:t>
            </w:r>
          </w:p>
        </w:tc>
      </w:tr>
      <w:tr w14:paraId="7A03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1EC72F6">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Pr>
          <w:p w14:paraId="77033822">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0.8% </w:t>
            </w:r>
            <w:r>
              <w:rPr>
                <w:rFonts w:hint="eastAsia" w:ascii="宋体" w:hAnsi="宋体" w:cs="宋体"/>
                <w:color w:val="auto"/>
                <w:szCs w:val="21"/>
                <w:highlight w:val="none"/>
              </w:rPr>
              <w:t xml:space="preserve">               </w:t>
            </w:r>
          </w:p>
        </w:tc>
        <w:tc>
          <w:tcPr>
            <w:tcW w:w="1687" w:type="dxa"/>
          </w:tcPr>
          <w:p w14:paraId="518D585A">
            <w:pPr>
              <w:spacing w:line="360" w:lineRule="auto"/>
              <w:ind w:firstLine="210"/>
              <w:rPr>
                <w:rFonts w:ascii="宋体" w:hAnsi="宋体"/>
                <w:color w:val="auto"/>
                <w:szCs w:val="21"/>
                <w:highlight w:val="none"/>
              </w:rPr>
            </w:pPr>
            <w:r>
              <w:rPr>
                <w:rFonts w:ascii="宋体" w:hAnsi="宋体" w:cs="宋体"/>
                <w:color w:val="auto"/>
                <w:szCs w:val="21"/>
                <w:highlight w:val="none"/>
              </w:rPr>
              <w:t>0.45%</w:t>
            </w:r>
          </w:p>
        </w:tc>
        <w:tc>
          <w:tcPr>
            <w:tcW w:w="1659" w:type="dxa"/>
          </w:tcPr>
          <w:p w14:paraId="36835308">
            <w:pPr>
              <w:spacing w:line="360" w:lineRule="auto"/>
              <w:ind w:firstLine="210"/>
              <w:rPr>
                <w:rFonts w:ascii="宋体" w:hAnsi="宋体"/>
                <w:color w:val="auto"/>
                <w:szCs w:val="21"/>
                <w:highlight w:val="none"/>
              </w:rPr>
            </w:pPr>
            <w:r>
              <w:rPr>
                <w:rFonts w:ascii="宋体" w:hAnsi="宋体" w:cs="宋体"/>
                <w:color w:val="auto"/>
                <w:szCs w:val="21"/>
                <w:highlight w:val="none"/>
              </w:rPr>
              <w:t>0.55%</w:t>
            </w:r>
          </w:p>
        </w:tc>
      </w:tr>
      <w:tr w14:paraId="6E7F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1A02CE2">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Pr>
          <w:p w14:paraId="68E69871">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0.5% </w:t>
            </w:r>
            <w:r>
              <w:rPr>
                <w:rFonts w:hint="eastAsia" w:ascii="宋体" w:hAnsi="宋体" w:cs="宋体"/>
                <w:color w:val="auto"/>
                <w:szCs w:val="21"/>
                <w:highlight w:val="none"/>
              </w:rPr>
              <w:t xml:space="preserve">               </w:t>
            </w:r>
          </w:p>
        </w:tc>
        <w:tc>
          <w:tcPr>
            <w:tcW w:w="1687" w:type="dxa"/>
          </w:tcPr>
          <w:p w14:paraId="717305AF">
            <w:pPr>
              <w:spacing w:line="360" w:lineRule="auto"/>
              <w:ind w:firstLine="210"/>
              <w:rPr>
                <w:rFonts w:ascii="宋体" w:hAnsi="宋体"/>
                <w:color w:val="auto"/>
                <w:szCs w:val="21"/>
                <w:highlight w:val="none"/>
              </w:rPr>
            </w:pPr>
            <w:r>
              <w:rPr>
                <w:rFonts w:ascii="宋体" w:hAnsi="宋体" w:cs="宋体"/>
                <w:color w:val="auto"/>
                <w:szCs w:val="21"/>
                <w:highlight w:val="none"/>
              </w:rPr>
              <w:t>0.25%</w:t>
            </w:r>
          </w:p>
        </w:tc>
        <w:tc>
          <w:tcPr>
            <w:tcW w:w="1659" w:type="dxa"/>
          </w:tcPr>
          <w:p w14:paraId="64ADF439">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0.35% </w:t>
            </w:r>
          </w:p>
        </w:tc>
      </w:tr>
      <w:tr w14:paraId="5D55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5242CC6">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77D6703C">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0.25%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Pr>
          <w:p w14:paraId="789C9E00">
            <w:pPr>
              <w:spacing w:line="360" w:lineRule="auto"/>
              <w:ind w:firstLine="210"/>
              <w:rPr>
                <w:rFonts w:ascii="宋体" w:hAnsi="宋体"/>
                <w:color w:val="auto"/>
                <w:szCs w:val="21"/>
                <w:highlight w:val="none"/>
              </w:rPr>
            </w:pPr>
            <w:r>
              <w:rPr>
                <w:rFonts w:ascii="宋体" w:hAnsi="宋体" w:cs="宋体"/>
                <w:color w:val="auto"/>
                <w:szCs w:val="21"/>
                <w:highlight w:val="none"/>
              </w:rPr>
              <w:t>0.1%</w:t>
            </w:r>
          </w:p>
        </w:tc>
        <w:tc>
          <w:tcPr>
            <w:tcW w:w="1659" w:type="dxa"/>
          </w:tcPr>
          <w:p w14:paraId="2B665352">
            <w:pPr>
              <w:spacing w:line="360" w:lineRule="auto"/>
              <w:ind w:firstLine="210"/>
              <w:rPr>
                <w:rFonts w:ascii="宋体" w:hAnsi="宋体"/>
                <w:color w:val="auto"/>
                <w:szCs w:val="21"/>
                <w:highlight w:val="none"/>
              </w:rPr>
            </w:pPr>
            <w:r>
              <w:rPr>
                <w:rFonts w:ascii="宋体" w:hAnsi="宋体" w:cs="宋体"/>
                <w:color w:val="auto"/>
                <w:szCs w:val="21"/>
                <w:highlight w:val="none"/>
              </w:rPr>
              <w:t>0.2%</w:t>
            </w:r>
          </w:p>
        </w:tc>
      </w:tr>
      <w:tr w14:paraId="4CB8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A2DD320">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Pr>
          <w:p w14:paraId="0B09516A">
            <w:pPr>
              <w:spacing w:line="360" w:lineRule="auto"/>
              <w:ind w:firstLine="210"/>
              <w:rPr>
                <w:rFonts w:ascii="宋体" w:hAnsi="宋体"/>
                <w:color w:val="auto"/>
                <w:szCs w:val="21"/>
                <w:highlight w:val="none"/>
              </w:rPr>
            </w:pPr>
            <w:r>
              <w:rPr>
                <w:rFonts w:hint="eastAsia" w:ascii="宋体" w:hAnsi="宋体"/>
                <w:color w:val="auto"/>
                <w:szCs w:val="21"/>
                <w:highlight w:val="none"/>
              </w:rPr>
              <w:t>0.05%</w:t>
            </w:r>
          </w:p>
        </w:tc>
        <w:tc>
          <w:tcPr>
            <w:tcW w:w="1687" w:type="dxa"/>
          </w:tcPr>
          <w:p w14:paraId="7F84FA5D">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Pr>
          <w:p w14:paraId="2B85BE18">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0CD5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88A0314">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Pr>
          <w:p w14:paraId="31A4CCE4">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c>
          <w:tcPr>
            <w:tcW w:w="1687" w:type="dxa"/>
          </w:tcPr>
          <w:p w14:paraId="1A550A44">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Pr>
          <w:p w14:paraId="4B779876">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r>
      <w:tr w14:paraId="572F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22BCA4F">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Pr>
          <w:p w14:paraId="14FD3BFA">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c>
          <w:tcPr>
            <w:tcW w:w="1687" w:type="dxa"/>
          </w:tcPr>
          <w:p w14:paraId="51F2A249">
            <w:pPr>
              <w:spacing w:line="360" w:lineRule="auto"/>
              <w:ind w:firstLine="210"/>
              <w:rPr>
                <w:rFonts w:ascii="宋体" w:hAnsi="宋体"/>
                <w:color w:val="auto"/>
                <w:szCs w:val="21"/>
                <w:highlight w:val="none"/>
              </w:rPr>
            </w:pPr>
            <w:r>
              <w:rPr>
                <w:rFonts w:hint="eastAsia" w:ascii="宋体" w:hAnsi="宋体"/>
                <w:color w:val="auto"/>
                <w:szCs w:val="21"/>
                <w:highlight w:val="none"/>
              </w:rPr>
              <w:t>0.008%</w:t>
            </w:r>
          </w:p>
        </w:tc>
        <w:tc>
          <w:tcPr>
            <w:tcW w:w="1659" w:type="dxa"/>
          </w:tcPr>
          <w:p w14:paraId="6448BAC3">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r>
      <w:tr w14:paraId="6F90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D17326A">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Pr>
          <w:p w14:paraId="2DF5FE07">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Pr>
          <w:p w14:paraId="511F0D36">
            <w:pPr>
              <w:spacing w:line="360" w:lineRule="auto"/>
              <w:ind w:firstLine="210"/>
              <w:rPr>
                <w:rFonts w:ascii="宋体" w:hAnsi="宋体"/>
                <w:color w:val="auto"/>
                <w:szCs w:val="21"/>
                <w:highlight w:val="none"/>
              </w:rPr>
            </w:pPr>
            <w:r>
              <w:rPr>
                <w:rFonts w:hint="eastAsia" w:ascii="宋体" w:hAnsi="宋体"/>
                <w:color w:val="auto"/>
                <w:szCs w:val="21"/>
                <w:highlight w:val="none"/>
              </w:rPr>
              <w:t>0.006%</w:t>
            </w:r>
          </w:p>
        </w:tc>
        <w:tc>
          <w:tcPr>
            <w:tcW w:w="1659" w:type="dxa"/>
          </w:tcPr>
          <w:p w14:paraId="2F4AB313">
            <w:pPr>
              <w:spacing w:line="360" w:lineRule="auto"/>
              <w:ind w:firstLine="105"/>
              <w:rPr>
                <w:rFonts w:ascii="宋体" w:hAnsi="宋体"/>
                <w:color w:val="auto"/>
                <w:szCs w:val="21"/>
                <w:highlight w:val="none"/>
              </w:rPr>
            </w:pPr>
            <w:r>
              <w:rPr>
                <w:rFonts w:hint="eastAsia" w:ascii="宋体" w:hAnsi="宋体"/>
                <w:color w:val="auto"/>
                <w:szCs w:val="21"/>
                <w:highlight w:val="none"/>
              </w:rPr>
              <w:t>0.006%</w:t>
            </w:r>
          </w:p>
        </w:tc>
      </w:tr>
      <w:tr w14:paraId="1106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739552B">
            <w:pPr>
              <w:spacing w:line="360" w:lineRule="auto"/>
              <w:rPr>
                <w:rFonts w:ascii="宋体" w:hAnsi="宋体"/>
                <w:color w:val="auto"/>
                <w:szCs w:val="21"/>
                <w:highlight w:val="none"/>
              </w:rPr>
            </w:pPr>
            <w:r>
              <w:rPr>
                <w:rFonts w:hint="eastAsia" w:ascii="宋体" w:hAnsi="宋体"/>
                <w:color w:val="auto"/>
                <w:szCs w:val="21"/>
                <w:highlight w:val="none"/>
              </w:rPr>
              <w:t>100亿元以上</w:t>
            </w:r>
          </w:p>
        </w:tc>
        <w:tc>
          <w:tcPr>
            <w:tcW w:w="1659" w:type="dxa"/>
          </w:tcPr>
          <w:p w14:paraId="0D84FF35">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Pr>
          <w:p w14:paraId="423F4AA7">
            <w:pPr>
              <w:spacing w:line="360" w:lineRule="auto"/>
              <w:ind w:firstLine="210"/>
              <w:rPr>
                <w:rFonts w:ascii="宋体" w:hAnsi="宋体"/>
                <w:color w:val="auto"/>
                <w:szCs w:val="21"/>
                <w:highlight w:val="none"/>
              </w:rPr>
            </w:pPr>
            <w:r>
              <w:rPr>
                <w:rFonts w:hint="eastAsia" w:ascii="宋体" w:hAnsi="宋体"/>
                <w:color w:val="auto"/>
                <w:szCs w:val="21"/>
                <w:highlight w:val="none"/>
              </w:rPr>
              <w:t>0.004%</w:t>
            </w:r>
          </w:p>
        </w:tc>
        <w:tc>
          <w:tcPr>
            <w:tcW w:w="1659" w:type="dxa"/>
          </w:tcPr>
          <w:p w14:paraId="111FBD91">
            <w:pPr>
              <w:spacing w:line="360" w:lineRule="auto"/>
              <w:ind w:firstLine="105"/>
              <w:rPr>
                <w:rFonts w:ascii="宋体" w:hAnsi="宋体"/>
                <w:color w:val="auto"/>
                <w:szCs w:val="21"/>
                <w:highlight w:val="none"/>
              </w:rPr>
            </w:pPr>
            <w:r>
              <w:rPr>
                <w:rFonts w:hint="eastAsia" w:ascii="宋体" w:hAnsi="宋体"/>
                <w:color w:val="auto"/>
                <w:szCs w:val="21"/>
                <w:highlight w:val="none"/>
              </w:rPr>
              <w:t>0.004%</w:t>
            </w:r>
          </w:p>
        </w:tc>
      </w:tr>
    </w:tbl>
    <w:p w14:paraId="7534F228">
      <w:pPr>
        <w:spacing w:line="360" w:lineRule="auto"/>
        <w:ind w:firstLine="42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0B3AEA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6E4CE2A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169EFF46">
      <w:pPr>
        <w:spacing w:line="360" w:lineRule="auto"/>
        <w:ind w:firstLine="42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6CB3F0AD">
      <w:pPr>
        <w:spacing w:line="360" w:lineRule="auto"/>
        <w:ind w:firstLine="420"/>
        <w:rPr>
          <w:rFonts w:ascii="宋体" w:hAnsi="宋体" w:cs="宋体"/>
          <w:color w:val="auto"/>
          <w:szCs w:val="21"/>
          <w:highlight w:val="none"/>
        </w:rPr>
      </w:pPr>
      <w:r>
        <w:rPr>
          <w:rFonts w:ascii="宋体" w:hAnsi="宋体" w:cs="宋体"/>
          <w:color w:val="auto"/>
          <w:szCs w:val="21"/>
          <w:highlight w:val="none"/>
        </w:rPr>
        <w:t>100 万元×l.5 %＝ 1.5 万元</w:t>
      </w:r>
    </w:p>
    <w:p w14:paraId="4E250B4B">
      <w:pPr>
        <w:spacing w:line="360" w:lineRule="auto"/>
        <w:ind w:firstLine="420"/>
        <w:rPr>
          <w:rFonts w:ascii="宋体" w:hAnsi="宋体" w:cs="宋体"/>
          <w:color w:val="auto"/>
          <w:szCs w:val="21"/>
          <w:highlight w:val="none"/>
        </w:rPr>
      </w:pPr>
      <w:r>
        <w:rPr>
          <w:rFonts w:ascii="宋体" w:hAnsi="宋体" w:cs="宋体"/>
          <w:color w:val="auto"/>
          <w:szCs w:val="21"/>
          <w:highlight w:val="none"/>
        </w:rPr>
        <w:t>（ 200 － 100 ）万元 ×0.8%＝0.8万元</w:t>
      </w:r>
    </w:p>
    <w:p w14:paraId="7E2F0C31">
      <w:pPr>
        <w:pStyle w:val="24"/>
        <w:spacing w:line="360" w:lineRule="auto"/>
        <w:ind w:firstLine="42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0.8＝ 2.3（万元）</w:t>
      </w:r>
    </w:p>
    <w:p w14:paraId="6DF3ACBC">
      <w:pPr>
        <w:pStyle w:val="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40. 需要补充的其他内容</w:t>
      </w:r>
    </w:p>
    <w:p w14:paraId="383688BB">
      <w:pPr>
        <w:pStyle w:val="24"/>
        <w:spacing w:line="360" w:lineRule="auto"/>
        <w:ind w:firstLine="420"/>
        <w:rPr>
          <w:rFonts w:hAnsi="宋体" w:cs="宋体"/>
          <w:color w:val="auto"/>
          <w:sz w:val="21"/>
          <w:highlight w:val="none"/>
        </w:rPr>
      </w:pPr>
      <w:r>
        <w:rPr>
          <w:rFonts w:hint="eastAsia" w:hAnsi="宋体" w:cs="宋体"/>
          <w:color w:val="auto"/>
          <w:sz w:val="21"/>
          <w:highlight w:val="none"/>
        </w:rPr>
        <w:t>40.1本招标文件解释规则详见“投标人须知前附表”。</w:t>
      </w:r>
    </w:p>
    <w:p w14:paraId="1F283F15">
      <w:pPr>
        <w:pStyle w:val="24"/>
        <w:spacing w:line="360" w:lineRule="auto"/>
        <w:ind w:firstLine="420"/>
        <w:rPr>
          <w:rFonts w:hAnsi="宋体" w:cs="宋体"/>
          <w:color w:val="auto"/>
          <w:sz w:val="21"/>
          <w:highlight w:val="none"/>
        </w:rPr>
      </w:pPr>
      <w:r>
        <w:rPr>
          <w:rFonts w:hint="eastAsia" w:hAnsi="宋体" w:cs="宋体"/>
          <w:color w:val="auto"/>
          <w:sz w:val="21"/>
          <w:highlight w:val="none"/>
        </w:rPr>
        <w:t>40.2 其他事项详见“投标人须知前附表”。</w:t>
      </w:r>
    </w:p>
    <w:p w14:paraId="6608D79A">
      <w:pPr>
        <w:pStyle w:val="24"/>
        <w:spacing w:line="360" w:lineRule="auto"/>
        <w:ind w:firstLine="420"/>
        <w:rPr>
          <w:rFonts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7C441A04">
      <w:pPr>
        <w:pStyle w:val="24"/>
        <w:spacing w:line="360" w:lineRule="auto"/>
        <w:ind w:firstLine="420"/>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BA6FAF2">
      <w:pPr>
        <w:pStyle w:val="24"/>
        <w:spacing w:line="360" w:lineRule="auto"/>
        <w:ind w:firstLine="420"/>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2FF5FA8B">
      <w:pPr>
        <w:pStyle w:val="24"/>
        <w:spacing w:line="360" w:lineRule="auto"/>
        <w:ind w:firstLine="420"/>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A997E2A">
      <w:pPr>
        <w:pStyle w:val="24"/>
        <w:spacing w:line="360" w:lineRule="auto"/>
        <w:ind w:firstLine="420"/>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D89D8AA">
      <w:pPr>
        <w:pStyle w:val="24"/>
        <w:spacing w:line="360" w:lineRule="auto"/>
        <w:ind w:firstLine="420"/>
        <w:rPr>
          <w:rFonts w:hAnsi="宋体"/>
          <w:color w:val="auto"/>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r>
        <w:rPr>
          <w:rFonts w:hAnsi="宋体"/>
          <w:color w:val="auto"/>
          <w:highlight w:val="none"/>
        </w:rPr>
        <w:br w:type="page" w:clear="all"/>
      </w:r>
    </w:p>
    <w:p w14:paraId="6C49CF91">
      <w:pPr>
        <w:pStyle w:val="24"/>
        <w:spacing w:before="120" w:after="120"/>
        <w:rPr>
          <w:rFonts w:hAnsi="宋体"/>
          <w:color w:val="auto"/>
          <w:highlight w:val="none"/>
        </w:rPr>
      </w:pPr>
    </w:p>
    <w:p w14:paraId="66ACD766">
      <w:pPr>
        <w:pStyle w:val="24"/>
        <w:spacing w:before="120" w:after="120"/>
        <w:rPr>
          <w:rFonts w:hAnsi="宋体"/>
          <w:color w:val="auto"/>
          <w:highlight w:val="none"/>
        </w:rPr>
      </w:pPr>
    </w:p>
    <w:p w14:paraId="0FD04949">
      <w:pPr>
        <w:pStyle w:val="24"/>
        <w:spacing w:before="120" w:after="120"/>
        <w:rPr>
          <w:rFonts w:hAnsi="宋体"/>
          <w:color w:val="auto"/>
          <w:highlight w:val="none"/>
        </w:rPr>
      </w:pPr>
    </w:p>
    <w:p w14:paraId="44983835">
      <w:pPr>
        <w:pStyle w:val="24"/>
        <w:spacing w:before="120" w:after="120"/>
        <w:rPr>
          <w:rFonts w:hAnsi="宋体"/>
          <w:color w:val="auto"/>
          <w:highlight w:val="none"/>
        </w:rPr>
      </w:pPr>
    </w:p>
    <w:p w14:paraId="1EB1160F">
      <w:pPr>
        <w:pStyle w:val="24"/>
        <w:spacing w:before="120" w:after="120"/>
        <w:rPr>
          <w:rFonts w:hAnsi="宋体"/>
          <w:color w:val="auto"/>
          <w:highlight w:val="none"/>
        </w:rPr>
      </w:pPr>
    </w:p>
    <w:p w14:paraId="0AA7F7E6">
      <w:pPr>
        <w:pStyle w:val="24"/>
        <w:spacing w:before="120" w:after="120"/>
        <w:rPr>
          <w:rFonts w:hAnsi="宋体"/>
          <w:color w:val="auto"/>
          <w:highlight w:val="none"/>
        </w:rPr>
      </w:pPr>
    </w:p>
    <w:p w14:paraId="68DDD9BD">
      <w:pPr>
        <w:pStyle w:val="24"/>
        <w:spacing w:before="120" w:after="120"/>
        <w:rPr>
          <w:rFonts w:hAnsi="宋体"/>
          <w:color w:val="auto"/>
          <w:highlight w:val="none"/>
        </w:rPr>
      </w:pPr>
    </w:p>
    <w:p w14:paraId="21F727CA">
      <w:pPr>
        <w:pStyle w:val="24"/>
        <w:spacing w:before="120" w:after="120"/>
        <w:rPr>
          <w:rFonts w:hAnsi="宋体"/>
          <w:color w:val="auto"/>
          <w:highlight w:val="none"/>
        </w:rPr>
      </w:pPr>
    </w:p>
    <w:p w14:paraId="21BE3B17">
      <w:pPr>
        <w:pStyle w:val="24"/>
        <w:spacing w:before="120" w:after="120"/>
        <w:rPr>
          <w:rFonts w:hAnsi="宋体"/>
          <w:color w:val="auto"/>
          <w:highlight w:val="none"/>
        </w:rPr>
      </w:pPr>
    </w:p>
    <w:p w14:paraId="19ED9881">
      <w:pPr>
        <w:pStyle w:val="24"/>
        <w:spacing w:before="120" w:after="120"/>
        <w:rPr>
          <w:rFonts w:hAnsi="宋体"/>
          <w:color w:val="auto"/>
          <w:highlight w:val="none"/>
        </w:rPr>
      </w:pPr>
    </w:p>
    <w:p w14:paraId="4B005AB7">
      <w:pPr>
        <w:pStyle w:val="24"/>
        <w:spacing w:before="120" w:after="120"/>
        <w:rPr>
          <w:rFonts w:hAnsi="宋体"/>
          <w:color w:val="auto"/>
          <w:highlight w:val="none"/>
        </w:rPr>
      </w:pPr>
    </w:p>
    <w:p w14:paraId="67A4EDC1">
      <w:pPr>
        <w:pStyle w:val="24"/>
        <w:spacing w:before="120" w:after="120"/>
        <w:rPr>
          <w:rFonts w:hAnsi="宋体"/>
          <w:color w:val="auto"/>
          <w:highlight w:val="none"/>
        </w:rPr>
      </w:pPr>
    </w:p>
    <w:p w14:paraId="3D41E5B2">
      <w:pPr>
        <w:pStyle w:val="24"/>
        <w:spacing w:before="120" w:after="120"/>
        <w:rPr>
          <w:rFonts w:hAnsi="宋体"/>
          <w:color w:val="auto"/>
          <w:highlight w:val="none"/>
        </w:rPr>
      </w:pPr>
    </w:p>
    <w:p w14:paraId="2415BCAD">
      <w:pPr>
        <w:pStyle w:val="2"/>
        <w:jc w:val="center"/>
        <w:rPr>
          <w:color w:val="auto"/>
          <w:highlight w:val="none"/>
        </w:rPr>
      </w:pPr>
      <w:bookmarkStart w:id="132" w:name="_Toc330456896"/>
      <w:bookmarkStart w:id="133" w:name="_Toc254970548"/>
      <w:bookmarkStart w:id="134" w:name="_Toc15687"/>
      <w:bookmarkStart w:id="135" w:name="_Toc254970689"/>
      <w:r>
        <w:rPr>
          <w:rFonts w:hint="eastAsia"/>
          <w:color w:val="auto"/>
          <w:highlight w:val="none"/>
        </w:rPr>
        <w:t>第四章  评标方法及评标标准</w:t>
      </w:r>
      <w:bookmarkEnd w:id="132"/>
      <w:bookmarkEnd w:id="133"/>
      <w:bookmarkEnd w:id="134"/>
      <w:bookmarkEnd w:id="135"/>
    </w:p>
    <w:p w14:paraId="70F3F89C">
      <w:pPr>
        <w:rPr>
          <w:color w:val="auto"/>
          <w:highlight w:val="none"/>
        </w:rPr>
      </w:pPr>
      <w:bookmarkStart w:id="136" w:name="_Toc254970549"/>
      <w:bookmarkEnd w:id="136"/>
      <w:bookmarkStart w:id="137" w:name="_Toc254970690"/>
      <w:bookmarkEnd w:id="137"/>
    </w:p>
    <w:p w14:paraId="5A95689D">
      <w:pPr>
        <w:rPr>
          <w:color w:val="auto"/>
          <w:highlight w:val="none"/>
        </w:rPr>
      </w:pPr>
    </w:p>
    <w:p w14:paraId="30DB3743">
      <w:pPr>
        <w:rPr>
          <w:color w:val="auto"/>
          <w:highlight w:val="none"/>
        </w:rPr>
      </w:pPr>
    </w:p>
    <w:p w14:paraId="64E3D237">
      <w:pPr>
        <w:rPr>
          <w:color w:val="auto"/>
          <w:highlight w:val="none"/>
        </w:rPr>
      </w:pPr>
    </w:p>
    <w:p w14:paraId="13046FC2">
      <w:pPr>
        <w:rPr>
          <w:color w:val="auto"/>
          <w:highlight w:val="none"/>
        </w:rPr>
      </w:pPr>
    </w:p>
    <w:p w14:paraId="2C402EE8">
      <w:pPr>
        <w:rPr>
          <w:color w:val="auto"/>
          <w:highlight w:val="none"/>
        </w:rPr>
      </w:pPr>
    </w:p>
    <w:p w14:paraId="3554546C">
      <w:pPr>
        <w:rPr>
          <w:color w:val="auto"/>
          <w:highlight w:val="none"/>
        </w:rPr>
      </w:pPr>
    </w:p>
    <w:p w14:paraId="7F377A6A">
      <w:pPr>
        <w:rPr>
          <w:color w:val="auto"/>
          <w:highlight w:val="none"/>
        </w:rPr>
      </w:pPr>
    </w:p>
    <w:p w14:paraId="0E6023C8">
      <w:pPr>
        <w:rPr>
          <w:color w:val="auto"/>
          <w:highlight w:val="none"/>
        </w:rPr>
      </w:pPr>
    </w:p>
    <w:p w14:paraId="19495918">
      <w:pPr>
        <w:spacing w:before="120" w:after="120" w:line="400" w:lineRule="exact"/>
        <w:rPr>
          <w:rFonts w:ascii="宋体" w:hAnsi="宋体"/>
          <w:b/>
          <w:color w:val="auto"/>
          <w:sz w:val="24"/>
          <w:highlight w:val="none"/>
        </w:rPr>
      </w:pPr>
    </w:p>
    <w:p w14:paraId="2DEBB25B">
      <w:pPr>
        <w:spacing w:before="120" w:after="120" w:line="400" w:lineRule="exact"/>
        <w:rPr>
          <w:rFonts w:ascii="宋体" w:hAnsi="宋体"/>
          <w:b/>
          <w:color w:val="auto"/>
          <w:sz w:val="24"/>
          <w:highlight w:val="none"/>
        </w:rPr>
      </w:pPr>
    </w:p>
    <w:p w14:paraId="46260F38">
      <w:pPr>
        <w:pStyle w:val="24"/>
        <w:spacing w:line="360" w:lineRule="exact"/>
        <w:rPr>
          <w:rFonts w:hAnsi="宋体"/>
          <w:b/>
          <w:color w:val="auto"/>
          <w:sz w:val="24"/>
          <w:highlight w:val="none"/>
        </w:rPr>
      </w:pPr>
    </w:p>
    <w:p w14:paraId="3D22C018">
      <w:pPr>
        <w:pStyle w:val="24"/>
        <w:spacing w:line="360" w:lineRule="exact"/>
        <w:rPr>
          <w:rFonts w:hAnsi="宋体"/>
          <w:b/>
          <w:color w:val="auto"/>
          <w:sz w:val="24"/>
          <w:highlight w:val="none"/>
        </w:rPr>
      </w:pPr>
    </w:p>
    <w:p w14:paraId="79303002">
      <w:pPr>
        <w:pStyle w:val="24"/>
        <w:spacing w:line="360" w:lineRule="exact"/>
        <w:rPr>
          <w:rFonts w:hAnsi="宋体"/>
          <w:b/>
          <w:color w:val="auto"/>
          <w:sz w:val="24"/>
          <w:highlight w:val="none"/>
        </w:rPr>
      </w:pPr>
    </w:p>
    <w:p w14:paraId="48AEAE05">
      <w:pPr>
        <w:pStyle w:val="24"/>
        <w:spacing w:line="360" w:lineRule="exact"/>
        <w:rPr>
          <w:rFonts w:hAnsi="宋体"/>
          <w:b/>
          <w:color w:val="auto"/>
          <w:sz w:val="24"/>
          <w:highlight w:val="none"/>
        </w:rPr>
      </w:pPr>
    </w:p>
    <w:p w14:paraId="7056C1DE">
      <w:pPr>
        <w:pStyle w:val="24"/>
        <w:spacing w:line="360" w:lineRule="exact"/>
        <w:rPr>
          <w:rFonts w:hAnsi="宋体"/>
          <w:b/>
          <w:color w:val="auto"/>
          <w:sz w:val="24"/>
          <w:highlight w:val="none"/>
        </w:rPr>
      </w:pPr>
    </w:p>
    <w:p w14:paraId="4B584980">
      <w:pPr>
        <w:pStyle w:val="24"/>
        <w:spacing w:line="360" w:lineRule="exact"/>
        <w:rPr>
          <w:rFonts w:hAnsi="宋体"/>
          <w:b/>
          <w:color w:val="auto"/>
          <w:sz w:val="24"/>
          <w:highlight w:val="none"/>
        </w:rPr>
      </w:pPr>
    </w:p>
    <w:p w14:paraId="1508840D">
      <w:pPr>
        <w:pStyle w:val="24"/>
        <w:spacing w:line="360" w:lineRule="exact"/>
        <w:rPr>
          <w:rFonts w:hAnsi="宋体"/>
          <w:bCs/>
          <w:color w:val="auto"/>
          <w:highlight w:val="none"/>
        </w:rPr>
      </w:pPr>
      <w:r>
        <w:rPr>
          <w:rFonts w:hAnsi="宋体"/>
          <w:bCs/>
          <w:color w:val="auto"/>
          <w:highlight w:val="none"/>
        </w:rPr>
        <w:t xml:space="preserve"> </w:t>
      </w:r>
    </w:p>
    <w:p w14:paraId="02BEA451">
      <w:pPr>
        <w:pStyle w:val="4"/>
        <w:keepNext w:val="0"/>
        <w:keepLines w:val="0"/>
        <w:jc w:val="center"/>
        <w:rPr>
          <w:color w:val="auto"/>
          <w:highlight w:val="none"/>
        </w:rPr>
      </w:pPr>
      <w:r>
        <w:rPr>
          <w:rFonts w:hint="eastAsia"/>
          <w:color w:val="auto"/>
          <w:highlight w:val="none"/>
        </w:rPr>
        <w:br w:type="page" w:clear="all"/>
      </w:r>
      <w:r>
        <w:rPr>
          <w:rFonts w:hint="eastAsia"/>
          <w:color w:val="auto"/>
          <w:highlight w:val="none"/>
        </w:rPr>
        <w:t>一、评标方法</w:t>
      </w:r>
    </w:p>
    <w:p w14:paraId="66B276BD">
      <w:pPr>
        <w:pStyle w:val="24"/>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67821D28">
      <w:pPr>
        <w:pStyle w:val="24"/>
        <w:spacing w:line="360" w:lineRule="auto"/>
        <w:ind w:firstLine="420"/>
        <w:rPr>
          <w:rFonts w:hAnsi="宋体"/>
          <w:color w:val="auto"/>
          <w:sz w:val="21"/>
          <w:highlight w:val="none"/>
        </w:rPr>
      </w:pPr>
    </w:p>
    <w:p w14:paraId="05A578FA">
      <w:pPr>
        <w:pStyle w:val="4"/>
        <w:keepNext w:val="0"/>
        <w:keepLines w:val="0"/>
        <w:jc w:val="center"/>
        <w:rPr>
          <w:color w:val="auto"/>
          <w:highlight w:val="none"/>
        </w:rPr>
      </w:pPr>
      <w:r>
        <w:rPr>
          <w:rFonts w:hint="eastAsia"/>
          <w:color w:val="auto"/>
          <w:highlight w:val="none"/>
        </w:rPr>
        <w:t>二、评标程序</w:t>
      </w:r>
    </w:p>
    <w:p w14:paraId="381EC272">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1.符合性审查</w:t>
      </w:r>
    </w:p>
    <w:p w14:paraId="0F166F07">
      <w:pPr>
        <w:pStyle w:val="24"/>
        <w:spacing w:line="360" w:lineRule="auto"/>
        <w:ind w:left="1" w:firstLine="420"/>
        <w:rPr>
          <w:rFonts w:hAnsi="宋体"/>
          <w:b/>
          <w:color w:val="auto"/>
          <w:sz w:val="21"/>
          <w:highlight w:val="none"/>
        </w:rPr>
      </w:pPr>
      <w:r>
        <w:rPr>
          <w:rFonts w:hint="eastAsia" w:hAnsi="宋体"/>
          <w:b/>
          <w:color w:val="auto"/>
          <w:sz w:val="21"/>
          <w:highlight w:val="none"/>
        </w:rPr>
        <w:t>评标委员会应当对符合资格的投标人的投标文件进行投标报价、商务、技术等实质性内容符合性审查，以确定其是否满足招标文件的实质性要求。</w:t>
      </w:r>
    </w:p>
    <w:p w14:paraId="6AAE0A53">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31CF077E">
      <w:pPr>
        <w:spacing w:line="360" w:lineRule="auto"/>
        <w:ind w:firstLine="422"/>
        <w:rPr>
          <w:rFonts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6E5F317B">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54FA2B2D">
      <w:pPr>
        <w:pStyle w:val="7"/>
        <w:numPr>
          <w:ilvl w:val="0"/>
          <w:numId w:val="7"/>
        </w:numPr>
        <w:spacing w:line="360" w:lineRule="auto"/>
        <w:ind w:firstLine="398"/>
        <w:rPr>
          <w:rFonts w:ascii="宋体" w:hAnsi="宋体"/>
          <w:b/>
          <w:color w:val="auto"/>
          <w:spacing w:val="-6"/>
          <w:szCs w:val="21"/>
          <w:highlight w:val="none"/>
        </w:rPr>
      </w:pPr>
      <w:r>
        <w:rPr>
          <w:rFonts w:hint="eastAsia" w:ascii="宋体" w:hAnsi="宋体"/>
          <w:b/>
          <w:color w:val="auto"/>
          <w:spacing w:val="-6"/>
          <w:szCs w:val="21"/>
          <w:highlight w:val="none"/>
        </w:rPr>
        <w:t>报价文件未提供“投标人须知前附表”第13条</w:t>
      </w:r>
      <w:r>
        <w:rPr>
          <w:rFonts w:hint="eastAsia" w:ascii="宋体" w:hAnsi="宋体"/>
          <w:b/>
          <w:color w:val="auto"/>
          <w:szCs w:val="21"/>
          <w:highlight w:val="none"/>
        </w:rPr>
        <w:t>“报价文件”</w:t>
      </w:r>
      <w:r>
        <w:rPr>
          <w:rFonts w:hint="eastAsia" w:ascii="宋体" w:hAnsi="宋体"/>
          <w:b/>
          <w:color w:val="auto"/>
          <w:spacing w:val="-6"/>
          <w:szCs w:val="21"/>
          <w:highlight w:val="none"/>
        </w:rPr>
        <w:t>规定中“必须提供”的文件资料的；</w:t>
      </w:r>
    </w:p>
    <w:p w14:paraId="1C5741FB">
      <w:pPr>
        <w:pStyle w:val="7"/>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5A8AEB7C">
      <w:pPr>
        <w:pStyle w:val="7"/>
        <w:numPr>
          <w:ilvl w:val="0"/>
          <w:numId w:val="7"/>
        </w:numPr>
        <w:spacing w:line="360" w:lineRule="auto"/>
        <w:ind w:left="-2" w:firstLine="422"/>
        <w:rPr>
          <w:rFonts w:ascii="宋体" w:hAnsi="宋体"/>
          <w:b/>
          <w:color w:val="auto"/>
          <w:spacing w:val="-6"/>
          <w:szCs w:val="21"/>
          <w:highlight w:val="none"/>
        </w:rPr>
      </w:pPr>
      <w:r>
        <w:rPr>
          <w:rFonts w:hint="eastAsia" w:ascii="宋体" w:hAnsi="宋体"/>
          <w:b/>
          <w:color w:val="auto"/>
          <w:spacing w:val="-6"/>
          <w:szCs w:val="21"/>
          <w:highlight w:val="none"/>
        </w:rPr>
        <w:t>各分标报价超出招标文件相应分标规定最高限价，或者超出相应分标采购预算金额的；</w:t>
      </w:r>
    </w:p>
    <w:p w14:paraId="1E78E1D2">
      <w:pPr>
        <w:pStyle w:val="7"/>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1E7BECBD">
      <w:pPr>
        <w:pStyle w:val="7"/>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修正后的报价，投标人不确认的；</w:t>
      </w:r>
    </w:p>
    <w:p w14:paraId="1335D206">
      <w:pPr>
        <w:pStyle w:val="7"/>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12C6EEF9">
      <w:pPr>
        <w:pStyle w:val="7"/>
        <w:numPr>
          <w:ilvl w:val="0"/>
          <w:numId w:val="7"/>
        </w:numPr>
        <w:spacing w:line="360" w:lineRule="auto"/>
        <w:ind w:firstLine="398"/>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74CA822C">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17F0C946">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投标文件未按招标文件要求签署、盖章的；</w:t>
      </w:r>
    </w:p>
    <w:p w14:paraId="0B663C81">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 xml:space="preserve">委托代理人未能出具有效身份证或者出具的身份证与授权委托书中的信息不符的； </w:t>
      </w:r>
    </w:p>
    <w:p w14:paraId="6C2BCB92">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672D8E68">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59BD1B0C">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商务要求评审允许负偏离的条款数超过“投标人须知前附表”规定项数的；</w:t>
      </w:r>
    </w:p>
    <w:p w14:paraId="46C39172">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57AFA671">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089129B3">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43F97A0A">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54CBAC72">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24A370F3">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2D30E475">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虚假投标，或者出现其他情形而导致被评标委员会认定无效的；</w:t>
      </w:r>
    </w:p>
    <w:p w14:paraId="47B92F99">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招标文件未载明允许提供备选（替代）投标方案或明确不允许提供备选（替代）投标方案时，投标人提供了备选（替代）投标方案的；</w:t>
      </w:r>
    </w:p>
    <w:p w14:paraId="2663EB48">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未响应招标文件实质性要求的。</w:t>
      </w:r>
    </w:p>
    <w:p w14:paraId="6245F5CE">
      <w:pPr>
        <w:numPr>
          <w:ilvl w:val="0"/>
          <w:numId w:val="8"/>
        </w:numPr>
        <w:spacing w:line="360" w:lineRule="auto"/>
        <w:ind w:firstLine="422"/>
        <w:rPr>
          <w:rFonts w:ascii="宋体" w:hAnsi="宋体"/>
          <w:b/>
          <w:color w:val="auto"/>
          <w:szCs w:val="21"/>
          <w:highlight w:val="none"/>
        </w:rPr>
      </w:pPr>
      <w:r>
        <w:rPr>
          <w:rFonts w:hint="eastAsia" w:ascii="宋体" w:hAnsi="宋体"/>
          <w:b/>
          <w:color w:val="auto"/>
          <w:szCs w:val="21"/>
          <w:highlight w:val="none"/>
        </w:rPr>
        <w:t>法律、法规和招标文件规定的其他无效情形。</w:t>
      </w:r>
    </w:p>
    <w:p w14:paraId="30F3D912">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15DB5D56">
      <w:pPr>
        <w:spacing w:line="360" w:lineRule="auto"/>
        <w:ind w:firstLine="420"/>
        <w:rPr>
          <w:rFonts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1B985EE5">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F7D48F0">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4463FF8C">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4B4F67F7">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40543ADC">
      <w:pPr>
        <w:pStyle w:val="24"/>
        <w:spacing w:line="360" w:lineRule="auto"/>
        <w:ind w:firstLine="42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7A62D260">
      <w:pPr>
        <w:pStyle w:val="24"/>
        <w:spacing w:line="360" w:lineRule="auto"/>
        <w:ind w:firstLine="420"/>
        <w:rPr>
          <w:rFonts w:hAnsi="宋体"/>
          <w:color w:val="auto"/>
          <w:sz w:val="21"/>
          <w:highlight w:val="none"/>
        </w:rPr>
      </w:pPr>
      <w:r>
        <w:rPr>
          <w:rFonts w:hint="eastAsia" w:hAnsi="宋体"/>
          <w:color w:val="auto"/>
          <w:sz w:val="21"/>
          <w:highlight w:val="none"/>
        </w:rPr>
        <w:t>（2）大写金额和小写金额不一致的，以大写金额为准；</w:t>
      </w:r>
    </w:p>
    <w:p w14:paraId="3C2D9F84">
      <w:pPr>
        <w:pStyle w:val="24"/>
        <w:spacing w:line="360" w:lineRule="auto"/>
        <w:ind w:firstLine="42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3D4D617F">
      <w:pPr>
        <w:pStyle w:val="24"/>
        <w:spacing w:line="360" w:lineRule="auto"/>
        <w:ind w:firstLine="42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5CA2171B">
      <w:pPr>
        <w:pStyle w:val="24"/>
        <w:spacing w:line="360" w:lineRule="auto"/>
        <w:ind w:firstLine="420"/>
        <w:rPr>
          <w:rFonts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sz w:val="21"/>
          <w:highlight w:val="none"/>
        </w:rPr>
        <w:t>其投标无效</w:t>
      </w:r>
      <w:r>
        <w:rPr>
          <w:rFonts w:hint="eastAsia" w:hAnsi="宋体"/>
          <w:color w:val="auto"/>
          <w:sz w:val="21"/>
          <w:highlight w:val="none"/>
        </w:rPr>
        <w:t>。</w:t>
      </w:r>
    </w:p>
    <w:p w14:paraId="515D5C12">
      <w:pPr>
        <w:pStyle w:val="6"/>
        <w:keepNext w:val="0"/>
        <w:keepLines w:val="0"/>
        <w:spacing w:before="0" w:after="0" w:line="360" w:lineRule="auto"/>
        <w:rPr>
          <w:rFonts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05A202A6">
      <w:pPr>
        <w:spacing w:line="360" w:lineRule="auto"/>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334C4132">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0F6DD90F">
      <w:pPr>
        <w:spacing w:line="360" w:lineRule="auto"/>
        <w:ind w:firstLine="420"/>
        <w:rPr>
          <w:rFonts w:ascii="宋体" w:hAnsi="宋体"/>
          <w:color w:val="auto"/>
          <w:szCs w:val="21"/>
          <w:highlight w:val="none"/>
        </w:rPr>
      </w:pPr>
      <w:r>
        <w:rPr>
          <w:rFonts w:hint="eastAsia" w:ascii="宋体" w:hAnsi="宋体"/>
          <w:color w:val="auto"/>
          <w:szCs w:val="21"/>
          <w:highlight w:val="none"/>
        </w:rPr>
        <w:t>5.1采用综合评分法的</w:t>
      </w:r>
    </w:p>
    <w:p w14:paraId="042CC947">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45325E71">
      <w:pPr>
        <w:spacing w:line="360" w:lineRule="auto"/>
        <w:ind w:firstLine="420"/>
        <w:rPr>
          <w:rFonts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385DF0FD">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1）评标委员会在评审中发出现下列情形之一的，应当启动异常低价投标审查程序：</w:t>
      </w:r>
    </w:p>
    <w:p w14:paraId="06F2EEE2">
      <w:pPr>
        <w:spacing w:line="360" w:lineRule="auto"/>
        <w:ind w:firstLine="420"/>
        <w:rPr>
          <w:rFonts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30C306D4">
      <w:pPr>
        <w:spacing w:line="360" w:lineRule="auto"/>
        <w:ind w:firstLine="420"/>
        <w:rPr>
          <w:rFonts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44E9CBBB">
      <w:pPr>
        <w:spacing w:line="360" w:lineRule="auto"/>
        <w:ind w:firstLine="420"/>
        <w:rPr>
          <w:rFonts w:ascii="宋体" w:hAnsi="宋体"/>
          <w:color w:val="auto"/>
          <w:szCs w:val="21"/>
          <w:highlight w:val="none"/>
        </w:rPr>
      </w:pPr>
      <w:r>
        <w:rPr>
          <w:rFonts w:hint="eastAsia" w:ascii="宋体" w:hAnsi="宋体"/>
          <w:color w:val="auto"/>
          <w:szCs w:val="21"/>
          <w:highlight w:val="none"/>
        </w:rPr>
        <w:t>③投标报价低于采购项目最高限价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5839A12B">
      <w:pPr>
        <w:spacing w:line="360" w:lineRule="auto"/>
        <w:ind w:firstLine="420"/>
        <w:rPr>
          <w:rFonts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35E8DF77">
      <w:pPr>
        <w:spacing w:line="360" w:lineRule="auto"/>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1D1A0D6">
      <w:pPr>
        <w:spacing w:line="360" w:lineRule="auto"/>
        <w:ind w:firstLine="420"/>
        <w:rPr>
          <w:rFonts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22140BF5">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61B8427">
      <w:pPr>
        <w:spacing w:line="360" w:lineRule="auto"/>
        <w:ind w:firstLine="420"/>
        <w:rPr>
          <w:rFonts w:ascii="宋体" w:hAnsi="宋体"/>
          <w:b/>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18A9B751">
      <w:pPr>
        <w:spacing w:line="360" w:lineRule="auto"/>
        <w:ind w:firstLine="420"/>
        <w:rPr>
          <w:rFonts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41EA6EAD">
      <w:pPr>
        <w:spacing w:line="360" w:lineRule="auto"/>
        <w:ind w:firstLine="420"/>
        <w:rPr>
          <w:rFonts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59A4AAED">
      <w:pPr>
        <w:spacing w:line="360" w:lineRule="auto"/>
        <w:ind w:firstLine="420"/>
        <w:rPr>
          <w:rFonts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1D3E3C43">
      <w:pPr>
        <w:spacing w:line="360" w:lineRule="auto"/>
        <w:ind w:firstLine="42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79A9AF9">
      <w:pPr>
        <w:spacing w:line="360" w:lineRule="auto"/>
        <w:ind w:firstLine="424"/>
        <w:jc w:val="center"/>
        <w:rPr>
          <w:rFonts w:ascii="宋体" w:hAnsi="宋体"/>
          <w:color w:val="auto"/>
          <w:szCs w:val="21"/>
          <w:highlight w:val="none"/>
        </w:rPr>
      </w:pPr>
    </w:p>
    <w:p w14:paraId="01382AFC">
      <w:pPr>
        <w:spacing w:line="360" w:lineRule="auto"/>
        <w:ind w:firstLine="424"/>
        <w:jc w:val="center"/>
        <w:rPr>
          <w:color w:val="auto"/>
          <w:highlight w:val="none"/>
        </w:rPr>
      </w:pPr>
      <w:bookmarkStart w:id="138" w:name="_Hlk71707917"/>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62D5C802">
      <w:pPr>
        <w:pStyle w:val="4"/>
        <w:keepNext w:val="0"/>
        <w:keepLines w:val="0"/>
        <w:jc w:val="center"/>
        <w:rPr>
          <w:color w:val="auto"/>
          <w:highlight w:val="none"/>
        </w:rPr>
      </w:pPr>
      <w:r>
        <w:rPr>
          <w:rFonts w:hint="eastAsia"/>
          <w:color w:val="auto"/>
          <w:highlight w:val="none"/>
        </w:rPr>
        <w:t>综合评分法</w:t>
      </w:r>
      <w:bookmarkEnd w:id="138"/>
    </w:p>
    <w:tbl>
      <w:tblPr>
        <w:tblStyle w:val="48"/>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701"/>
        <w:gridCol w:w="5660"/>
      </w:tblGrid>
      <w:tr w14:paraId="20B8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7" w:type="dxa"/>
            <w:gridSpan w:val="2"/>
            <w:vAlign w:val="center"/>
          </w:tcPr>
          <w:p w14:paraId="3E66D2FD">
            <w:pPr>
              <w:spacing w:line="360" w:lineRule="auto"/>
              <w:jc w:val="center"/>
              <w:rPr>
                <w:rFonts w:ascii="宋体" w:hAnsi="宋体"/>
                <w:b/>
                <w:color w:val="auto"/>
                <w:szCs w:val="21"/>
                <w:highlight w:val="none"/>
              </w:rPr>
            </w:pPr>
            <w:r>
              <w:rPr>
                <w:rFonts w:hint="eastAsia" w:ascii="宋体" w:hAnsi="宋体"/>
                <w:b/>
                <w:color w:val="auto"/>
                <w:szCs w:val="21"/>
                <w:highlight w:val="none"/>
              </w:rPr>
              <w:t>序号</w:t>
            </w:r>
          </w:p>
        </w:tc>
        <w:tc>
          <w:tcPr>
            <w:tcW w:w="1701" w:type="dxa"/>
            <w:vAlign w:val="center"/>
          </w:tcPr>
          <w:p w14:paraId="09B9062F">
            <w:pPr>
              <w:spacing w:line="360" w:lineRule="auto"/>
              <w:jc w:val="center"/>
              <w:rPr>
                <w:rFonts w:ascii="宋体" w:hAnsi="宋体"/>
                <w:b/>
                <w:color w:val="auto"/>
                <w:szCs w:val="21"/>
                <w:highlight w:val="none"/>
              </w:rPr>
            </w:pPr>
            <w:r>
              <w:rPr>
                <w:rFonts w:hint="eastAsia" w:ascii="宋体" w:hAnsi="宋体"/>
                <w:b/>
                <w:color w:val="auto"/>
                <w:szCs w:val="21"/>
                <w:highlight w:val="none"/>
              </w:rPr>
              <w:t>评审因素</w:t>
            </w:r>
          </w:p>
        </w:tc>
        <w:tc>
          <w:tcPr>
            <w:tcW w:w="5660" w:type="dxa"/>
            <w:vAlign w:val="center"/>
          </w:tcPr>
          <w:p w14:paraId="1A2EFD7D">
            <w:pPr>
              <w:spacing w:line="360" w:lineRule="auto"/>
              <w:jc w:val="center"/>
              <w:rPr>
                <w:rFonts w:ascii="宋体" w:hAnsi="宋体"/>
                <w:b/>
                <w:color w:val="auto"/>
                <w:szCs w:val="21"/>
                <w:highlight w:val="none"/>
              </w:rPr>
            </w:pPr>
            <w:r>
              <w:rPr>
                <w:rFonts w:hint="eastAsia" w:ascii="宋体" w:hAnsi="宋体"/>
                <w:b/>
                <w:color w:val="auto"/>
                <w:szCs w:val="21"/>
                <w:highlight w:val="none"/>
              </w:rPr>
              <w:t>评标标准</w:t>
            </w:r>
          </w:p>
        </w:tc>
      </w:tr>
      <w:tr w14:paraId="2C5D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1ACDBDF">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585" w:type="dxa"/>
            <w:vAlign w:val="center"/>
          </w:tcPr>
          <w:p w14:paraId="7F7BD02D">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价格分</w:t>
            </w:r>
          </w:p>
          <w:p w14:paraId="4BEE4A34">
            <w:pPr>
              <w:spacing w:line="360" w:lineRule="auto"/>
              <w:jc w:val="center"/>
              <w:rPr>
                <w:rFonts w:ascii="宋体" w:hAnsi="宋体"/>
                <w:b/>
                <w:bCs/>
                <w:color w:val="auto"/>
                <w:szCs w:val="21"/>
                <w:highlight w:val="none"/>
              </w:rPr>
            </w:pPr>
            <w:r>
              <w:rPr>
                <w:rFonts w:hint="eastAsia" w:ascii="宋体" w:hAnsi="宋体"/>
                <w:b/>
                <w:bCs/>
                <w:color w:val="auto"/>
                <w:szCs w:val="21"/>
                <w:highlight w:val="none"/>
              </w:rPr>
              <w:t>（满分</w:t>
            </w:r>
            <w:r>
              <w:rPr>
                <w:rFonts w:hint="eastAsia" w:ascii="宋体" w:hAnsi="宋体"/>
                <w:b/>
                <w:bCs/>
                <w:color w:val="auto"/>
                <w:szCs w:val="21"/>
                <w:highlight w:val="none"/>
                <w:u w:val="single"/>
              </w:rPr>
              <w:t>10</w:t>
            </w:r>
            <w:r>
              <w:rPr>
                <w:rFonts w:hint="eastAsia" w:ascii="宋体" w:hAnsi="宋体"/>
                <w:b/>
                <w:bCs/>
                <w:color w:val="auto"/>
                <w:szCs w:val="21"/>
                <w:highlight w:val="none"/>
              </w:rPr>
              <w:t>分）</w:t>
            </w:r>
          </w:p>
        </w:tc>
        <w:tc>
          <w:tcPr>
            <w:tcW w:w="1701" w:type="dxa"/>
            <w:vAlign w:val="center"/>
          </w:tcPr>
          <w:p w14:paraId="0FA19079">
            <w:pPr>
              <w:spacing w:line="360" w:lineRule="auto"/>
              <w:jc w:val="center"/>
              <w:rPr>
                <w:rFonts w:ascii="宋体" w:hAnsi="宋体"/>
                <w:b/>
                <w:bCs/>
                <w:color w:val="auto"/>
                <w:szCs w:val="21"/>
                <w:highlight w:val="none"/>
              </w:rPr>
            </w:pPr>
            <w:r>
              <w:rPr>
                <w:rFonts w:hint="eastAsia" w:ascii="宋体" w:hAnsi="宋体"/>
                <w:b/>
                <w:bCs/>
                <w:color w:val="auto"/>
                <w:szCs w:val="21"/>
                <w:highlight w:val="none"/>
              </w:rPr>
              <w:t>投标报价</w:t>
            </w:r>
          </w:p>
        </w:tc>
        <w:tc>
          <w:tcPr>
            <w:tcW w:w="5660" w:type="dxa"/>
            <w:vAlign w:val="center"/>
          </w:tcPr>
          <w:p w14:paraId="443034CB">
            <w:pPr>
              <w:spacing w:line="360" w:lineRule="auto"/>
              <w:rPr>
                <w:rFonts w:ascii="宋体" w:hAnsi="宋体" w:cs="Courier New"/>
                <w:bCs/>
                <w:color w:val="auto"/>
                <w:szCs w:val="21"/>
                <w:highlight w:val="none"/>
              </w:rPr>
            </w:pPr>
            <w:r>
              <w:rPr>
                <w:rFonts w:hint="eastAsia" w:ascii="宋体" w:hAnsi="宋体" w:cs="Courier New"/>
                <w:bCs/>
                <w:color w:val="auto"/>
                <w:szCs w:val="21"/>
                <w:highlight w:val="none"/>
              </w:rPr>
              <w:t>（1）满足招标文件要求且评标报价最低的评标报价为评标基准价，其价格分为满分。</w:t>
            </w:r>
          </w:p>
          <w:p w14:paraId="08662A7D">
            <w:pPr>
              <w:spacing w:line="360" w:lineRule="auto"/>
              <w:rPr>
                <w:rFonts w:ascii="宋体" w:hAnsi="宋体" w:cs="Courier New"/>
                <w:bCs/>
                <w:color w:val="auto"/>
                <w:szCs w:val="21"/>
                <w:highlight w:val="none"/>
              </w:rPr>
            </w:pPr>
            <w:r>
              <w:rPr>
                <w:rFonts w:hint="eastAsia" w:ascii="宋体" w:hAnsi="宋体" w:cs="Courier New"/>
                <w:bCs/>
                <w:color w:val="auto"/>
                <w:szCs w:val="21"/>
                <w:highlight w:val="none"/>
              </w:rPr>
              <w:t xml:space="preserve">（2）价格分计算公式：        </w:t>
            </w:r>
          </w:p>
          <w:p w14:paraId="5278AF9C">
            <w:pPr>
              <w:spacing w:line="360" w:lineRule="auto"/>
              <w:rPr>
                <w:rFonts w:ascii="宋体" w:hAnsi="宋体" w:cs="Courier New"/>
                <w:bCs/>
                <w:color w:val="auto"/>
                <w:szCs w:val="21"/>
                <w:highlight w:val="none"/>
              </w:rPr>
            </w:pPr>
            <w:r>
              <w:rPr>
                <w:rFonts w:hint="eastAsia" w:ascii="宋体" w:hAnsi="宋体" w:cs="Courier New"/>
                <w:bCs/>
                <w:color w:val="auto"/>
                <w:szCs w:val="21"/>
                <w:highlight w:val="none"/>
              </w:rPr>
              <w:t>价格分=（评标基准价／评标报价）×10分</w:t>
            </w:r>
          </w:p>
        </w:tc>
      </w:tr>
      <w:tr w14:paraId="7A0F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46DEFDF7">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1585" w:type="dxa"/>
            <w:vMerge w:val="restart"/>
            <w:vAlign w:val="center"/>
          </w:tcPr>
          <w:p w14:paraId="73C1B495">
            <w:pPr>
              <w:spacing w:line="360" w:lineRule="auto"/>
              <w:ind w:left="-105" w:right="-105"/>
              <w:jc w:val="center"/>
              <w:rPr>
                <w:rFonts w:ascii="宋体" w:hAnsi="宋体"/>
                <w:b/>
                <w:color w:val="auto"/>
                <w:szCs w:val="21"/>
                <w:highlight w:val="none"/>
              </w:rPr>
            </w:pPr>
            <w:r>
              <w:rPr>
                <w:rFonts w:hint="eastAsia" w:ascii="宋体" w:hAnsi="宋体"/>
                <w:b/>
                <w:color w:val="auto"/>
                <w:szCs w:val="21"/>
                <w:highlight w:val="none"/>
              </w:rPr>
              <w:t>技术分</w:t>
            </w:r>
          </w:p>
          <w:p w14:paraId="677DF9E5">
            <w:pPr>
              <w:spacing w:line="360" w:lineRule="auto"/>
              <w:ind w:left="-105" w:right="-105"/>
              <w:jc w:val="center"/>
              <w:rPr>
                <w:rFonts w:ascii="宋体" w:hAnsi="宋体"/>
                <w:color w:val="auto"/>
                <w:spacing w:val="-18"/>
                <w:szCs w:val="21"/>
                <w:highlight w:val="none"/>
              </w:rPr>
            </w:pPr>
            <w:r>
              <w:rPr>
                <w:rFonts w:hint="eastAsia" w:ascii="宋体" w:hAnsi="宋体"/>
                <w:b/>
                <w:color w:val="auto"/>
                <w:szCs w:val="21"/>
                <w:highlight w:val="none"/>
              </w:rPr>
              <w:t>（满分</w:t>
            </w:r>
            <w:r>
              <w:rPr>
                <w:rFonts w:hint="eastAsia" w:ascii="宋体" w:hAnsi="宋体"/>
                <w:b/>
                <w:color w:val="auto"/>
                <w:szCs w:val="21"/>
                <w:highlight w:val="none"/>
                <w:u w:val="single"/>
              </w:rPr>
              <w:t>50</w:t>
            </w:r>
            <w:r>
              <w:rPr>
                <w:rFonts w:hint="eastAsia" w:ascii="宋体" w:hAnsi="宋体"/>
                <w:b/>
                <w:color w:val="auto"/>
                <w:szCs w:val="21"/>
                <w:highlight w:val="none"/>
              </w:rPr>
              <w:t>分）</w:t>
            </w:r>
          </w:p>
        </w:tc>
        <w:tc>
          <w:tcPr>
            <w:tcW w:w="1701" w:type="dxa"/>
            <w:vAlign w:val="center"/>
          </w:tcPr>
          <w:p w14:paraId="0F46CF1D">
            <w:pPr>
              <w:jc w:val="center"/>
              <w:rPr>
                <w:rFonts w:ascii="宋体" w:hAnsi="宋体" w:cs="宋体"/>
                <w:b/>
                <w:color w:val="auto"/>
                <w:szCs w:val="21"/>
                <w:highlight w:val="none"/>
              </w:rPr>
            </w:pPr>
            <w:r>
              <w:rPr>
                <w:rFonts w:hint="eastAsia" w:ascii="宋体" w:hAnsi="宋体" w:cs="宋体"/>
                <w:b/>
                <w:color w:val="auto"/>
                <w:highlight w:val="none"/>
              </w:rPr>
              <w:t>2.1</w:t>
            </w:r>
            <w:r>
              <w:rPr>
                <w:rFonts w:hint="eastAsia" w:ascii="宋体" w:hAnsi="宋体" w:cs="宋体"/>
                <w:b/>
                <w:color w:val="auto"/>
                <w:szCs w:val="21"/>
                <w:highlight w:val="none"/>
              </w:rPr>
              <w:t>食材安全措施</w:t>
            </w:r>
          </w:p>
          <w:p w14:paraId="66E8BB87">
            <w:pPr>
              <w:spacing w:line="360" w:lineRule="auto"/>
              <w:jc w:val="center"/>
              <w:rPr>
                <w:rFonts w:ascii="宋体" w:hAnsi="宋体"/>
                <w:color w:val="auto"/>
                <w:szCs w:val="21"/>
                <w:highlight w:val="none"/>
              </w:rPr>
            </w:pPr>
            <w:r>
              <w:rPr>
                <w:rFonts w:hint="eastAsia" w:ascii="宋体" w:hAnsi="宋体" w:cs="宋体"/>
                <w:b/>
                <w:color w:val="auto"/>
                <w:highlight w:val="none"/>
              </w:rPr>
              <w:t>（满分20分）</w:t>
            </w:r>
          </w:p>
        </w:tc>
        <w:tc>
          <w:tcPr>
            <w:tcW w:w="5660" w:type="dxa"/>
            <w:vAlign w:val="center"/>
          </w:tcPr>
          <w:p w14:paraId="0E9C403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根据投标人提供的食材安全措施方案进行综合打分。</w:t>
            </w:r>
          </w:p>
          <w:p w14:paraId="3A5F6107">
            <w:pPr>
              <w:spacing w:line="360" w:lineRule="auto"/>
              <w:ind w:firstLine="420"/>
              <w:rPr>
                <w:rFonts w:ascii="宋体" w:hAnsi="宋体"/>
                <w:bCs/>
                <w:color w:val="auto"/>
                <w:szCs w:val="21"/>
                <w:highlight w:val="none"/>
              </w:rPr>
            </w:pPr>
            <w:r>
              <w:rPr>
                <w:rFonts w:hint="eastAsia" w:ascii="宋体" w:hAnsi="宋体"/>
                <w:bCs/>
                <w:color w:val="auto"/>
                <w:szCs w:val="21"/>
                <w:highlight w:val="none"/>
              </w:rPr>
              <w:t>一档（4分）：对食材进货采购渠道、食材控制管理措施、食材质量标准、追溯方式这几个方面描述不够全面，基本无检验检疫措施；</w:t>
            </w:r>
          </w:p>
          <w:p w14:paraId="3A8CA6FF">
            <w:pPr>
              <w:spacing w:line="360" w:lineRule="auto"/>
              <w:ind w:firstLine="420"/>
              <w:rPr>
                <w:rFonts w:ascii="宋体" w:hAnsi="宋体"/>
                <w:bCs/>
                <w:color w:val="auto"/>
                <w:szCs w:val="21"/>
                <w:highlight w:val="none"/>
              </w:rPr>
            </w:pPr>
            <w:r>
              <w:rPr>
                <w:rFonts w:hint="eastAsia" w:ascii="宋体" w:hAnsi="宋体"/>
                <w:bCs/>
                <w:color w:val="auto"/>
                <w:szCs w:val="21"/>
                <w:highlight w:val="none"/>
              </w:rPr>
              <w:t>二档（8分）：对食材进货采购渠道、食材控制管理措施、食材质量标准、追溯方式这几个方面描述详细，检验检疫措施具有可行性；</w:t>
            </w:r>
          </w:p>
          <w:p w14:paraId="5FDFCA4C">
            <w:pPr>
              <w:spacing w:line="360" w:lineRule="auto"/>
              <w:ind w:firstLine="420"/>
              <w:rPr>
                <w:rFonts w:ascii="宋体" w:hAnsi="宋体"/>
                <w:bCs/>
                <w:color w:val="auto"/>
                <w:szCs w:val="21"/>
                <w:highlight w:val="none"/>
              </w:rPr>
            </w:pPr>
            <w:r>
              <w:rPr>
                <w:rFonts w:hint="eastAsia" w:ascii="宋体" w:hAnsi="宋体"/>
                <w:bCs/>
                <w:color w:val="auto"/>
                <w:szCs w:val="21"/>
                <w:highlight w:val="none"/>
              </w:rPr>
              <w:t>三档（12分）：对食材进货采购渠道、食材控制管理措施、食材质量标准、追溯方式这几个方面描述详细，检验检疫措施全面，主动开展检验工作，承诺有</w:t>
            </w:r>
            <w:r>
              <w:rPr>
                <w:color w:val="auto"/>
                <w:highlight w:val="none"/>
              </w:rPr>
              <w:t>食品安全监管部门</w:t>
            </w:r>
            <w:r>
              <w:rPr>
                <w:rFonts w:hint="eastAsia" w:ascii="宋体" w:hAnsi="宋体"/>
                <w:bCs/>
                <w:color w:val="auto"/>
                <w:szCs w:val="21"/>
                <w:highlight w:val="none"/>
              </w:rPr>
              <w:t>或国家承认的检测机构出具的检测报告；</w:t>
            </w:r>
          </w:p>
          <w:p w14:paraId="38B03EA6">
            <w:pPr>
              <w:spacing w:line="360" w:lineRule="auto"/>
              <w:ind w:firstLine="420"/>
              <w:rPr>
                <w:rFonts w:ascii="宋体" w:hAnsi="宋体"/>
                <w:bCs/>
                <w:color w:val="auto"/>
                <w:szCs w:val="21"/>
                <w:highlight w:val="none"/>
              </w:rPr>
            </w:pPr>
            <w:r>
              <w:rPr>
                <w:rFonts w:hint="eastAsia" w:ascii="宋体" w:hAnsi="宋体"/>
                <w:bCs/>
                <w:color w:val="auto"/>
                <w:szCs w:val="21"/>
                <w:highlight w:val="none"/>
              </w:rPr>
              <w:t>四档（16分）：对食材进货采购渠道、食材控制管理措施、食材质量标准、追溯方式这几个方面描述清晰，详细，检验检疫措施详细、全面，能严格进行食材质量把关，主动开展检验工作，承诺每季度有</w:t>
            </w:r>
            <w:r>
              <w:rPr>
                <w:color w:val="auto"/>
                <w:highlight w:val="none"/>
              </w:rPr>
              <w:t>食品安全监管部门</w:t>
            </w:r>
            <w:r>
              <w:rPr>
                <w:rFonts w:hint="eastAsia" w:ascii="宋体" w:hAnsi="宋体"/>
                <w:bCs/>
                <w:color w:val="auto"/>
                <w:szCs w:val="21"/>
                <w:highlight w:val="none"/>
              </w:rPr>
              <w:t>或国家承认的检测机构出具的检测报告；</w:t>
            </w:r>
          </w:p>
          <w:p w14:paraId="5A1E89BD">
            <w:pPr>
              <w:spacing w:line="360" w:lineRule="auto"/>
              <w:ind w:firstLine="420"/>
              <w:rPr>
                <w:rFonts w:ascii="宋体" w:hAnsi="宋体"/>
                <w:bCs/>
                <w:color w:val="auto"/>
                <w:szCs w:val="21"/>
                <w:highlight w:val="none"/>
              </w:rPr>
            </w:pPr>
            <w:r>
              <w:rPr>
                <w:rFonts w:hint="eastAsia" w:ascii="宋体" w:hAnsi="宋体"/>
                <w:bCs/>
                <w:color w:val="auto"/>
                <w:szCs w:val="21"/>
                <w:highlight w:val="none"/>
              </w:rPr>
              <w:t>五档（20分）：对食材进货采购渠道、食材控制管理措施、食材质量标准、追溯方式这几个方面全部描述清晰，详细，检验检疫措施详细、全面，各项措施安排合理，具有可操作，能严格进行食材质量把关，主动开展检验工作，承诺每月有</w:t>
            </w:r>
            <w:r>
              <w:rPr>
                <w:color w:val="auto"/>
                <w:highlight w:val="none"/>
              </w:rPr>
              <w:t>食品安全监管部门</w:t>
            </w:r>
            <w:r>
              <w:rPr>
                <w:rFonts w:hint="eastAsia" w:ascii="宋体" w:hAnsi="宋体"/>
                <w:bCs/>
                <w:color w:val="auto"/>
                <w:szCs w:val="21"/>
                <w:highlight w:val="none"/>
              </w:rPr>
              <w:t>或国家承认的检测机构出具的检测报告。</w:t>
            </w:r>
          </w:p>
          <w:p w14:paraId="3CA729FF">
            <w:pPr>
              <w:widowControl/>
              <w:spacing w:line="300" w:lineRule="auto"/>
              <w:ind w:firstLine="420"/>
              <w:rPr>
                <w:rFonts w:ascii="宋体" w:hAnsi="宋体" w:cs="宋体"/>
                <w:bCs/>
                <w:color w:val="auto"/>
                <w:szCs w:val="21"/>
                <w:highlight w:val="none"/>
              </w:rPr>
            </w:pPr>
            <w:r>
              <w:rPr>
                <w:rFonts w:hint="eastAsia" w:ascii="宋体" w:hAnsi="宋体" w:cs="宋体"/>
                <w:b/>
                <w:color w:val="auto"/>
                <w:szCs w:val="21"/>
                <w:highlight w:val="none"/>
              </w:rPr>
              <w:t>注：</w:t>
            </w:r>
            <w:r>
              <w:rPr>
                <w:rFonts w:hint="eastAsia" w:ascii="宋体" w:hAnsi="宋体"/>
                <w:b/>
                <w:color w:val="auto"/>
                <w:szCs w:val="21"/>
                <w:highlight w:val="none"/>
              </w:rPr>
              <w:t>达不到一档要求的不得分，未提供方案不得分。</w:t>
            </w:r>
            <w:r>
              <w:rPr>
                <w:rFonts w:hint="eastAsia" w:ascii="宋体" w:hAnsi="宋体"/>
                <w:bCs/>
                <w:color w:val="auto"/>
                <w:szCs w:val="21"/>
                <w:highlight w:val="none"/>
              </w:rPr>
              <w:t xml:space="preserve"> </w:t>
            </w:r>
          </w:p>
        </w:tc>
      </w:tr>
      <w:tr w14:paraId="74E9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619C5791">
            <w:pPr>
              <w:spacing w:line="360" w:lineRule="auto"/>
              <w:jc w:val="center"/>
              <w:rPr>
                <w:rFonts w:ascii="宋体" w:hAnsi="宋体"/>
                <w:color w:val="auto"/>
                <w:szCs w:val="21"/>
                <w:highlight w:val="none"/>
              </w:rPr>
            </w:pPr>
          </w:p>
        </w:tc>
        <w:tc>
          <w:tcPr>
            <w:tcW w:w="1585" w:type="dxa"/>
            <w:vMerge w:val="continue"/>
            <w:vAlign w:val="center"/>
          </w:tcPr>
          <w:p w14:paraId="45D82D91">
            <w:pPr>
              <w:spacing w:line="360" w:lineRule="auto"/>
              <w:ind w:left="-105" w:right="-105"/>
              <w:jc w:val="center"/>
              <w:rPr>
                <w:rFonts w:ascii="宋体" w:hAnsi="宋体"/>
                <w:bCs/>
                <w:color w:val="auto"/>
                <w:szCs w:val="21"/>
                <w:highlight w:val="none"/>
              </w:rPr>
            </w:pPr>
          </w:p>
        </w:tc>
        <w:tc>
          <w:tcPr>
            <w:tcW w:w="1701" w:type="dxa"/>
            <w:vAlign w:val="center"/>
          </w:tcPr>
          <w:p w14:paraId="1158EFFE">
            <w:pPr>
              <w:jc w:val="center"/>
              <w:rPr>
                <w:rFonts w:ascii="宋体" w:hAnsi="宋体" w:cs="宋体"/>
                <w:b/>
                <w:color w:val="auto"/>
                <w:highlight w:val="none"/>
              </w:rPr>
            </w:pPr>
            <w:r>
              <w:rPr>
                <w:rFonts w:hint="eastAsia" w:ascii="宋体" w:hAnsi="宋体" w:cs="宋体"/>
                <w:b/>
                <w:color w:val="auto"/>
                <w:highlight w:val="none"/>
              </w:rPr>
              <w:t>2.2</w:t>
            </w:r>
            <w:r>
              <w:rPr>
                <w:rFonts w:hint="eastAsia" w:ascii="宋体" w:hAnsi="宋体" w:cs="宋体"/>
                <w:b/>
                <w:color w:val="auto"/>
                <w:szCs w:val="21"/>
                <w:highlight w:val="none"/>
              </w:rPr>
              <w:t>内部管理措施</w:t>
            </w:r>
            <w:r>
              <w:rPr>
                <w:rFonts w:hint="eastAsia" w:ascii="宋体" w:hAnsi="宋体" w:cs="宋体"/>
                <w:b/>
                <w:color w:val="auto"/>
                <w:highlight w:val="none"/>
              </w:rPr>
              <w:t>（满分10分）</w:t>
            </w:r>
          </w:p>
          <w:p w14:paraId="1BFB8E5C">
            <w:pPr>
              <w:spacing w:line="360" w:lineRule="auto"/>
              <w:jc w:val="center"/>
              <w:rPr>
                <w:rFonts w:ascii="宋体" w:hAnsi="宋体" w:cs="宋体"/>
                <w:b/>
                <w:bCs/>
                <w:color w:val="auto"/>
                <w:szCs w:val="21"/>
                <w:highlight w:val="none"/>
                <w:lang w:bidi="ar"/>
              </w:rPr>
            </w:pPr>
          </w:p>
        </w:tc>
        <w:tc>
          <w:tcPr>
            <w:tcW w:w="5660" w:type="dxa"/>
            <w:vAlign w:val="center"/>
          </w:tcPr>
          <w:p w14:paraId="440E6FF8">
            <w:pPr>
              <w:pStyle w:val="24"/>
              <w:spacing w:line="300" w:lineRule="auto"/>
              <w:ind w:firstLine="420"/>
              <w:rPr>
                <w:rFonts w:hAnsi="宋体" w:cs="宋体"/>
                <w:color w:val="auto"/>
                <w:sz w:val="21"/>
                <w:highlight w:val="none"/>
              </w:rPr>
            </w:pPr>
            <w:r>
              <w:rPr>
                <w:rFonts w:hint="eastAsia" w:hAnsi="宋体" w:cs="宋体"/>
                <w:color w:val="auto"/>
                <w:sz w:val="21"/>
                <w:highlight w:val="none"/>
              </w:rPr>
              <w:t>根据投标人提供的内部管理制度进行综合打分。</w:t>
            </w:r>
          </w:p>
          <w:p w14:paraId="03711355">
            <w:pPr>
              <w:spacing w:line="360" w:lineRule="auto"/>
              <w:ind w:firstLine="420"/>
              <w:rPr>
                <w:rFonts w:ascii="宋体" w:hAnsi="宋体"/>
                <w:bCs/>
                <w:color w:val="auto"/>
                <w:szCs w:val="21"/>
                <w:highlight w:val="none"/>
              </w:rPr>
            </w:pPr>
            <w:r>
              <w:rPr>
                <w:rFonts w:hint="eastAsia" w:hAnsi="宋体" w:cs="宋体"/>
                <w:color w:val="auto"/>
                <w:highlight w:val="none"/>
              </w:rPr>
              <w:t>一档（2分）：提供内部各项管理制度方案，</w:t>
            </w:r>
            <w:r>
              <w:rPr>
                <w:rFonts w:hint="eastAsia" w:ascii="宋体" w:hAnsi="宋体"/>
                <w:bCs/>
                <w:color w:val="auto"/>
                <w:szCs w:val="21"/>
                <w:highlight w:val="none"/>
              </w:rPr>
              <w:t>包括但不限于食品质量检验制度、食品准入台账登记制度、卫生知识培训制度等内容简短。</w:t>
            </w:r>
          </w:p>
          <w:p w14:paraId="0BECBCE7">
            <w:pPr>
              <w:pStyle w:val="24"/>
              <w:spacing w:line="300" w:lineRule="auto"/>
              <w:ind w:firstLine="420"/>
              <w:rPr>
                <w:rFonts w:hAnsi="宋体" w:cs="宋体"/>
                <w:color w:val="auto"/>
                <w:sz w:val="21"/>
                <w:highlight w:val="none"/>
              </w:rPr>
            </w:pPr>
            <w:r>
              <w:rPr>
                <w:rFonts w:hint="eastAsia" w:hAnsi="宋体" w:cs="宋体"/>
                <w:color w:val="auto"/>
                <w:sz w:val="21"/>
                <w:highlight w:val="none"/>
              </w:rPr>
              <w:t>二档（4分）：提供内部各项管理制度方案，包括但不限于食品质量检验制度、食品准入台账登记制度、卫生知识培训制度、食品留样管理制度、从业人员健康制度、采购管理、仓储管理健康制度等内容基本齐全。</w:t>
            </w:r>
          </w:p>
          <w:p w14:paraId="7FDF2ECF">
            <w:pPr>
              <w:pStyle w:val="24"/>
              <w:spacing w:line="300" w:lineRule="auto"/>
              <w:ind w:firstLine="420"/>
              <w:rPr>
                <w:rFonts w:hAnsi="宋体" w:cs="宋体"/>
                <w:color w:val="auto"/>
                <w:sz w:val="21"/>
                <w:highlight w:val="none"/>
              </w:rPr>
            </w:pPr>
            <w:r>
              <w:rPr>
                <w:rFonts w:hint="eastAsia" w:hAnsi="宋体" w:cs="宋体"/>
                <w:color w:val="auto"/>
                <w:sz w:val="21"/>
                <w:highlight w:val="none"/>
              </w:rPr>
              <w:t>三档（6分）：提供内部各项管理制度方案，包括但不限于食品质量检验制度、食品准入台账登记制度、卫生知识培训制度、食品留样管理制度、从业人员健康制度、采购管理、仓储管理、配送管理等制度</w:t>
            </w:r>
            <w:r>
              <w:rPr>
                <w:rFonts w:hint="eastAsia"/>
                <w:color w:val="auto"/>
                <w:highlight w:val="none"/>
              </w:rPr>
              <w:t>；</w:t>
            </w:r>
            <w:r>
              <w:rPr>
                <w:rFonts w:hint="eastAsia" w:hAnsi="宋体" w:cs="宋体"/>
                <w:color w:val="auto"/>
                <w:sz w:val="21"/>
                <w:highlight w:val="none"/>
              </w:rPr>
              <w:t>建立《食品安全管理制度》。</w:t>
            </w:r>
          </w:p>
          <w:p w14:paraId="014A9B70">
            <w:pPr>
              <w:pStyle w:val="24"/>
              <w:spacing w:line="300" w:lineRule="auto"/>
              <w:ind w:firstLine="420"/>
              <w:rPr>
                <w:rFonts w:hAnsi="宋体" w:cs="宋体"/>
                <w:color w:val="auto"/>
                <w:highlight w:val="none"/>
              </w:rPr>
            </w:pPr>
            <w:r>
              <w:rPr>
                <w:rFonts w:hint="eastAsia" w:hAnsi="宋体" w:cs="宋体"/>
                <w:color w:val="auto"/>
                <w:highlight w:val="none"/>
              </w:rPr>
              <w:t>四档（8分）：</w:t>
            </w:r>
            <w:r>
              <w:rPr>
                <w:rFonts w:hint="eastAsia" w:hAnsi="宋体" w:cs="宋体"/>
                <w:color w:val="auto"/>
                <w:sz w:val="21"/>
                <w:highlight w:val="none"/>
              </w:rPr>
              <w:t>提供内部各项管理制度方案，包括但不限于食品质量检验制度、食品准入台账登记制度、卫生知识培训制度、食品留样管理制度、从业人员健康制度、采购管理、仓储管理、配送管理、应急管理、消费投诉处理等制度</w:t>
            </w:r>
            <w:r>
              <w:rPr>
                <w:rFonts w:hint="eastAsia"/>
                <w:color w:val="auto"/>
                <w:highlight w:val="none"/>
              </w:rPr>
              <w:t>；</w:t>
            </w:r>
            <w:r>
              <w:rPr>
                <w:rFonts w:hint="eastAsia" w:hAnsi="宋体" w:cs="宋体"/>
                <w:color w:val="auto"/>
                <w:sz w:val="21"/>
                <w:highlight w:val="none"/>
              </w:rPr>
              <w:t>建立《食品安全管理制度》《食品安全总监职责》《食品安全员守则》。</w:t>
            </w:r>
          </w:p>
          <w:p w14:paraId="6A1C0D50">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五档（10分）：</w:t>
            </w:r>
            <w:r>
              <w:rPr>
                <w:rFonts w:hint="eastAsia" w:hAnsi="宋体" w:cs="宋体"/>
                <w:color w:val="auto"/>
                <w:highlight w:val="none"/>
              </w:rPr>
              <w:t>提供内部各项管理制度方案，包括但不限于食品质量检验制度、食品准入台账登记制度、卫生知识培训制度、食品留样管理制度、从业人员健康制度、采购管理、仓储管理、配送管理、应急管理、消费投诉处理、财务管理、人员岗位配置及考核等制度</w:t>
            </w:r>
            <w:r>
              <w:rPr>
                <w:rFonts w:hint="eastAsia"/>
                <w:color w:val="auto"/>
                <w:highlight w:val="none"/>
              </w:rPr>
              <w:t>；</w:t>
            </w:r>
            <w:r>
              <w:rPr>
                <w:rFonts w:hint="eastAsia" w:hAnsi="宋体" w:cs="宋体"/>
                <w:color w:val="auto"/>
                <w:highlight w:val="none"/>
              </w:rPr>
              <w:t>建立《食品安全管理制度》《食品安全总监职责》《食品安全员守则》《食品安全风险管控清单》</w:t>
            </w:r>
            <w:r>
              <w:rPr>
                <w:rFonts w:hint="eastAsia" w:ascii="宋体" w:hAnsi="宋体" w:cs="宋体"/>
                <w:color w:val="auto"/>
                <w:szCs w:val="21"/>
                <w:highlight w:val="none"/>
              </w:rPr>
              <w:t>且均贴合项目实际。</w:t>
            </w:r>
          </w:p>
          <w:p w14:paraId="65C0421E">
            <w:pPr>
              <w:spacing w:line="360" w:lineRule="auto"/>
              <w:ind w:firstLine="480"/>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b/>
                <w:color w:val="auto"/>
                <w:szCs w:val="21"/>
                <w:highlight w:val="none"/>
              </w:rPr>
              <w:t>达不到一档要求的不得分，未提供方案不得分。</w:t>
            </w:r>
          </w:p>
        </w:tc>
      </w:tr>
      <w:tr w14:paraId="50E9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E9209D1">
            <w:pPr>
              <w:spacing w:line="360" w:lineRule="auto"/>
              <w:jc w:val="center"/>
              <w:rPr>
                <w:rFonts w:ascii="宋体" w:hAnsi="宋体"/>
                <w:color w:val="auto"/>
                <w:szCs w:val="21"/>
                <w:highlight w:val="none"/>
              </w:rPr>
            </w:pPr>
          </w:p>
        </w:tc>
        <w:tc>
          <w:tcPr>
            <w:tcW w:w="1585" w:type="dxa"/>
            <w:vMerge w:val="continue"/>
            <w:vAlign w:val="center"/>
          </w:tcPr>
          <w:p w14:paraId="538F7B2E">
            <w:pPr>
              <w:spacing w:line="360" w:lineRule="auto"/>
              <w:ind w:left="-105" w:right="-105"/>
              <w:jc w:val="center"/>
              <w:rPr>
                <w:rFonts w:ascii="宋体" w:hAnsi="宋体"/>
                <w:bCs/>
                <w:color w:val="auto"/>
                <w:szCs w:val="21"/>
                <w:highlight w:val="none"/>
              </w:rPr>
            </w:pPr>
          </w:p>
        </w:tc>
        <w:tc>
          <w:tcPr>
            <w:tcW w:w="1701" w:type="dxa"/>
            <w:vAlign w:val="center"/>
          </w:tcPr>
          <w:p w14:paraId="42756EE6">
            <w:pPr>
              <w:spacing w:line="360" w:lineRule="auto"/>
              <w:jc w:val="center"/>
              <w:rPr>
                <w:rFonts w:ascii="宋体" w:hAnsi="宋体" w:cs="宋体"/>
                <w:b/>
                <w:bCs/>
                <w:color w:val="auto"/>
                <w:szCs w:val="21"/>
                <w:highlight w:val="none"/>
                <w:lang w:bidi="ar"/>
              </w:rPr>
            </w:pPr>
            <w:r>
              <w:rPr>
                <w:rFonts w:hint="eastAsia" w:ascii="宋体" w:hAnsi="宋体" w:cs="宋体"/>
                <w:b/>
                <w:color w:val="auto"/>
                <w:highlight w:val="none"/>
              </w:rPr>
              <w:t>2.3</w:t>
            </w:r>
            <w:r>
              <w:rPr>
                <w:rFonts w:hint="eastAsia" w:hAnsi="宋体" w:cs="宋体"/>
                <w:b/>
                <w:color w:val="auto"/>
                <w:highlight w:val="none"/>
              </w:rPr>
              <w:t>应急预案</w:t>
            </w:r>
            <w:r>
              <w:rPr>
                <w:rFonts w:hint="eastAsia" w:ascii="宋体" w:hAnsi="宋体" w:cs="宋体"/>
                <w:b/>
                <w:color w:val="auto"/>
                <w:highlight w:val="none"/>
              </w:rPr>
              <w:t>（满分10分）</w:t>
            </w:r>
          </w:p>
        </w:tc>
        <w:tc>
          <w:tcPr>
            <w:tcW w:w="5660" w:type="dxa"/>
            <w:vAlign w:val="center"/>
          </w:tcPr>
          <w:p w14:paraId="7FB7FCDE">
            <w:pPr>
              <w:spacing w:line="360" w:lineRule="auto"/>
              <w:ind w:firstLine="420"/>
              <w:rPr>
                <w:rFonts w:ascii="宋体" w:hAnsi="宋体"/>
                <w:bCs/>
                <w:color w:val="auto"/>
                <w:szCs w:val="21"/>
                <w:highlight w:val="none"/>
              </w:rPr>
            </w:pPr>
            <w:r>
              <w:rPr>
                <w:rFonts w:hint="eastAsia" w:ascii="宋体" w:hAnsi="宋体" w:cs="宋体"/>
                <w:bCs/>
                <w:color w:val="auto"/>
                <w:szCs w:val="21"/>
                <w:highlight w:val="none"/>
              </w:rPr>
              <w:t>应急预案方案</w:t>
            </w:r>
            <w:r>
              <w:rPr>
                <w:rFonts w:hint="eastAsia" w:ascii="宋体" w:hAnsi="宋体"/>
                <w:bCs/>
                <w:color w:val="auto"/>
                <w:szCs w:val="21"/>
                <w:highlight w:val="none"/>
              </w:rPr>
              <w:t>包括组织机构、人员配备、基本措施、处置流程等情况进行综合评分。</w:t>
            </w:r>
          </w:p>
          <w:p w14:paraId="0EDCA337">
            <w:pPr>
              <w:spacing w:line="360" w:lineRule="auto"/>
              <w:ind w:firstLine="420"/>
              <w:rPr>
                <w:rFonts w:ascii="宋体" w:hAnsi="宋体"/>
                <w:bCs/>
                <w:color w:val="auto"/>
                <w:szCs w:val="21"/>
                <w:highlight w:val="none"/>
              </w:rPr>
            </w:pPr>
            <w:r>
              <w:rPr>
                <w:rFonts w:hint="eastAsia" w:ascii="宋体" w:hAnsi="宋体"/>
                <w:bCs/>
                <w:color w:val="auto"/>
                <w:szCs w:val="21"/>
                <w:highlight w:val="none"/>
              </w:rPr>
              <w:t>一档（2分）：应急预案有基本措施，能保证配送服务，对问题食材发生紧急事件处理预案内容不全面、不具体；</w:t>
            </w:r>
          </w:p>
          <w:p w14:paraId="34C3BA58">
            <w:pPr>
              <w:spacing w:line="360" w:lineRule="auto"/>
              <w:ind w:firstLine="420"/>
              <w:rPr>
                <w:rFonts w:ascii="宋体" w:hAnsi="宋体"/>
                <w:bCs/>
                <w:color w:val="auto"/>
                <w:szCs w:val="21"/>
                <w:highlight w:val="none"/>
              </w:rPr>
            </w:pPr>
            <w:r>
              <w:rPr>
                <w:rFonts w:hint="eastAsia" w:ascii="宋体" w:hAnsi="宋体"/>
                <w:bCs/>
                <w:color w:val="auto"/>
                <w:szCs w:val="21"/>
                <w:highlight w:val="none"/>
              </w:rPr>
              <w:t>二档（4分）：应急预案有组织机构、人员配备、基本措施，能保证配送服务，对问题食材发生紧急事件处理预案内容不够全面；</w:t>
            </w:r>
          </w:p>
          <w:p w14:paraId="4861A8D0">
            <w:pPr>
              <w:spacing w:line="360" w:lineRule="auto"/>
              <w:ind w:firstLine="420"/>
              <w:rPr>
                <w:rFonts w:ascii="宋体" w:hAnsi="宋体"/>
                <w:bCs/>
                <w:color w:val="auto"/>
                <w:szCs w:val="21"/>
                <w:highlight w:val="none"/>
              </w:rPr>
            </w:pPr>
            <w:r>
              <w:rPr>
                <w:rFonts w:hint="eastAsia" w:ascii="宋体" w:hAnsi="宋体"/>
                <w:bCs/>
                <w:color w:val="auto"/>
                <w:szCs w:val="21"/>
                <w:highlight w:val="none"/>
              </w:rPr>
              <w:t>三档（6分）：应急预案有组织机构、人员配备、基本措施、处置流程等，能保证配送服务，在保证配送服务业务外有机动人员用于对紧急事件处理，对配送及应急处理响应快，对问题食材发生紧急事件处理预案响应时间1小时以内，4小时内到达现场，内容具体，有针对性；</w:t>
            </w:r>
          </w:p>
          <w:p w14:paraId="3A4A7AE4">
            <w:pPr>
              <w:spacing w:line="360" w:lineRule="auto"/>
              <w:ind w:firstLine="420"/>
              <w:rPr>
                <w:rFonts w:ascii="宋体" w:hAnsi="宋体"/>
                <w:bCs/>
                <w:color w:val="auto"/>
                <w:szCs w:val="21"/>
                <w:highlight w:val="none"/>
              </w:rPr>
            </w:pPr>
            <w:r>
              <w:rPr>
                <w:rFonts w:hint="eastAsia" w:ascii="宋体" w:hAnsi="宋体"/>
                <w:bCs/>
                <w:color w:val="auto"/>
                <w:szCs w:val="21"/>
                <w:highlight w:val="none"/>
              </w:rPr>
              <w:t>四档（8分）应急预案有组织机构、人员配备、基本措施、处置流程等，能保证配送服务，具体实施步骤和要求描述详细，在保证配送服务业务外有机动人员用于对紧急事件处理，对配送及应急处理响应快，对问题食材发生紧急事件处理预案响应时间30分钟以内，2小时内到达现场；</w:t>
            </w:r>
          </w:p>
          <w:p w14:paraId="7DA4E468">
            <w:pPr>
              <w:spacing w:line="360" w:lineRule="auto"/>
              <w:ind w:firstLine="420"/>
              <w:rPr>
                <w:rFonts w:ascii="宋体" w:hAnsi="宋体"/>
                <w:bCs/>
                <w:color w:val="auto"/>
                <w:szCs w:val="21"/>
                <w:highlight w:val="none"/>
              </w:rPr>
            </w:pPr>
            <w:r>
              <w:rPr>
                <w:rFonts w:hint="eastAsia" w:ascii="宋体" w:hAnsi="宋体"/>
                <w:bCs/>
                <w:color w:val="auto"/>
                <w:szCs w:val="21"/>
                <w:highlight w:val="none"/>
              </w:rPr>
              <w:t>五档（10分）：应急预案措施完整且具有可行性，在保证配送服务业务外有机动人员、应急备用车辆等保障措施用于对紧急事件处理，对配送及应急处理响应快，对问题食材发生紧急事件处理预案内容的具体，人员配备齐全，对问题食材发生紧急事件处理预案内容的全面，在保证配送服务业务外有机动人员用于对紧急事件处理，对配送及应急处理响应时间30分钟以内，1小时内到达现场，方案具有针对性，有重点，预案清晰且能根据具体情况作出全面方案且能保证采购食材卫生安全等因素的。</w:t>
            </w:r>
          </w:p>
          <w:p w14:paraId="06185BDC">
            <w:pPr>
              <w:spacing w:line="360" w:lineRule="auto"/>
              <w:ind w:firstLine="480"/>
              <w:rPr>
                <w:rFonts w:ascii="宋体" w:hAnsi="宋体" w:cs="宋体"/>
                <w:bCs/>
                <w:color w:val="auto"/>
                <w:highlight w:val="none"/>
              </w:rPr>
            </w:pPr>
            <w:r>
              <w:rPr>
                <w:rFonts w:hint="eastAsia" w:ascii="宋体" w:hAnsi="宋体" w:cs="宋体"/>
                <w:b/>
                <w:color w:val="auto"/>
                <w:szCs w:val="21"/>
                <w:highlight w:val="none"/>
              </w:rPr>
              <w:t>注：</w:t>
            </w:r>
            <w:r>
              <w:rPr>
                <w:rFonts w:hint="eastAsia" w:ascii="宋体" w:hAnsi="宋体"/>
                <w:b/>
                <w:color w:val="auto"/>
                <w:szCs w:val="21"/>
                <w:highlight w:val="none"/>
              </w:rPr>
              <w:t>达不到一档要求的不得分，未提供方案不得分。</w:t>
            </w:r>
          </w:p>
        </w:tc>
      </w:tr>
      <w:tr w14:paraId="6012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705EE4B">
            <w:pPr>
              <w:spacing w:line="360" w:lineRule="auto"/>
              <w:jc w:val="center"/>
              <w:rPr>
                <w:rFonts w:ascii="宋体" w:hAnsi="宋体"/>
                <w:color w:val="auto"/>
                <w:szCs w:val="21"/>
                <w:highlight w:val="none"/>
              </w:rPr>
            </w:pPr>
          </w:p>
        </w:tc>
        <w:tc>
          <w:tcPr>
            <w:tcW w:w="1585" w:type="dxa"/>
            <w:vMerge w:val="continue"/>
            <w:vAlign w:val="center"/>
          </w:tcPr>
          <w:p w14:paraId="799375A1">
            <w:pPr>
              <w:spacing w:line="360" w:lineRule="auto"/>
              <w:ind w:left="-105" w:right="-105"/>
              <w:jc w:val="center"/>
              <w:rPr>
                <w:rFonts w:ascii="宋体" w:hAnsi="宋体"/>
                <w:bCs/>
                <w:color w:val="auto"/>
                <w:szCs w:val="21"/>
                <w:highlight w:val="none"/>
              </w:rPr>
            </w:pPr>
          </w:p>
        </w:tc>
        <w:tc>
          <w:tcPr>
            <w:tcW w:w="1701" w:type="dxa"/>
            <w:vAlign w:val="center"/>
          </w:tcPr>
          <w:p w14:paraId="29149F25">
            <w:pPr>
              <w:spacing w:line="360" w:lineRule="auto"/>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2.4</w:t>
            </w:r>
            <w:r>
              <w:rPr>
                <w:rFonts w:hint="eastAsia" w:ascii="宋体" w:hAnsi="宋体" w:cs="宋体"/>
                <w:b/>
                <w:bCs/>
                <w:color w:val="auto"/>
                <w:szCs w:val="21"/>
                <w:highlight w:val="none"/>
              </w:rPr>
              <w:t>配送服务方案</w:t>
            </w:r>
            <w:r>
              <w:rPr>
                <w:rFonts w:hint="eastAsia" w:ascii="宋体" w:hAnsi="宋体" w:cs="宋体"/>
                <w:b/>
                <w:bCs/>
                <w:color w:val="auto"/>
                <w:szCs w:val="21"/>
                <w:highlight w:val="none"/>
                <w:lang w:bidi="ar"/>
              </w:rPr>
              <w:t>（满分10分）</w:t>
            </w:r>
          </w:p>
        </w:tc>
        <w:tc>
          <w:tcPr>
            <w:tcW w:w="5660" w:type="dxa"/>
            <w:vAlign w:val="center"/>
          </w:tcPr>
          <w:p w14:paraId="39DC1CB0">
            <w:pPr>
              <w:spacing w:line="360" w:lineRule="auto"/>
              <w:ind w:firstLine="420"/>
              <w:rPr>
                <w:rFonts w:ascii="宋体" w:hAnsi="宋体"/>
                <w:bCs/>
                <w:color w:val="auto"/>
                <w:szCs w:val="21"/>
                <w:highlight w:val="none"/>
              </w:rPr>
            </w:pPr>
            <w:r>
              <w:rPr>
                <w:rFonts w:hint="eastAsia" w:ascii="宋体" w:hAnsi="宋体"/>
                <w:bCs/>
                <w:color w:val="auto"/>
                <w:szCs w:val="21"/>
                <w:highlight w:val="none"/>
              </w:rPr>
              <w:t>对配送服务要求的响应程度及提供的配送服务方案、售后服务措施（包括：承诺如何确保按期、按质、按量供货；出现问题时如何采取相应的措施；如何保障后期服务）等情况。</w:t>
            </w:r>
          </w:p>
          <w:p w14:paraId="2138EF86">
            <w:pPr>
              <w:spacing w:line="360" w:lineRule="auto"/>
              <w:ind w:firstLine="420"/>
              <w:rPr>
                <w:rFonts w:ascii="宋体" w:hAnsi="宋体"/>
                <w:bCs/>
                <w:color w:val="auto"/>
                <w:szCs w:val="21"/>
                <w:highlight w:val="none"/>
              </w:rPr>
            </w:pPr>
            <w:r>
              <w:rPr>
                <w:rFonts w:hint="eastAsia" w:ascii="宋体" w:hAnsi="宋体"/>
                <w:bCs/>
                <w:color w:val="auto"/>
                <w:szCs w:val="21"/>
                <w:highlight w:val="none"/>
              </w:rPr>
              <w:t>一档（2分）：配送服务方案基本能满足采购需求中的服务要求；承诺退换时间超4小时，服务承诺、措施、后期服务承诺不够全面，对不兑现承诺有具体的责任条款，责任条款不够全面。</w:t>
            </w:r>
          </w:p>
          <w:p w14:paraId="1CA1D605">
            <w:pPr>
              <w:spacing w:line="360" w:lineRule="auto"/>
              <w:ind w:firstLine="420"/>
              <w:rPr>
                <w:rFonts w:ascii="宋体" w:hAnsi="宋体"/>
                <w:bCs/>
                <w:color w:val="auto"/>
                <w:szCs w:val="21"/>
                <w:highlight w:val="none"/>
              </w:rPr>
            </w:pPr>
            <w:r>
              <w:rPr>
                <w:rFonts w:hint="eastAsia" w:ascii="宋体" w:hAnsi="宋体"/>
                <w:bCs/>
                <w:color w:val="auto"/>
                <w:szCs w:val="21"/>
                <w:highlight w:val="none"/>
              </w:rPr>
              <w:t>二档（4分）：配送服务方案基本能满足采购需求中的服务要求；承诺退换时间超3小时，服务承诺、措施、后期服务承诺相对明确，对不兑现承诺有具体的责任条款，责任条款相对明确。</w:t>
            </w:r>
          </w:p>
          <w:p w14:paraId="0734C8B4">
            <w:pPr>
              <w:spacing w:line="360" w:lineRule="auto"/>
              <w:ind w:firstLine="420"/>
              <w:rPr>
                <w:rFonts w:ascii="宋体" w:hAnsi="宋体"/>
                <w:bCs/>
                <w:color w:val="auto"/>
                <w:szCs w:val="21"/>
                <w:highlight w:val="none"/>
              </w:rPr>
            </w:pPr>
            <w:r>
              <w:rPr>
                <w:rFonts w:hint="eastAsia" w:ascii="宋体" w:hAnsi="宋体"/>
                <w:bCs/>
                <w:color w:val="auto"/>
                <w:szCs w:val="21"/>
                <w:highlight w:val="none"/>
              </w:rPr>
              <w:t>三档（6分）：配送服务方案满足采购需求中的服务要求且能满足采购人配送地点分散、临时紧急下达的采购需求；承诺退换时间超2小时，服务承诺、措施可行，后期服务承诺应满足项目需求，对不兑现承诺有具体的责任条款，责任条款稍好。</w:t>
            </w:r>
          </w:p>
          <w:p w14:paraId="0BD9938A">
            <w:pPr>
              <w:spacing w:line="360" w:lineRule="auto"/>
              <w:ind w:firstLine="420"/>
              <w:rPr>
                <w:rFonts w:ascii="宋体" w:hAnsi="宋体"/>
                <w:bCs/>
                <w:color w:val="auto"/>
                <w:szCs w:val="21"/>
                <w:highlight w:val="none"/>
              </w:rPr>
            </w:pPr>
            <w:r>
              <w:rPr>
                <w:rFonts w:hint="eastAsia" w:ascii="宋体" w:hAnsi="宋体"/>
                <w:bCs/>
                <w:color w:val="auto"/>
                <w:szCs w:val="21"/>
                <w:highlight w:val="none"/>
              </w:rPr>
              <w:t>四档（8分）：配送服务方案满足采购需求中的服务要求且能满足采购人配送地点分散、临时紧急下达的采购需求；对发生紧急事件问题处理预案内容具体、全面，并承诺退换时间1小时内，有健全、详细的服务承诺、后期售后服务方式有效，措施得力，能满足项目需求，对不兑现承诺有具体的责任条款。</w:t>
            </w:r>
          </w:p>
          <w:p w14:paraId="047FA619">
            <w:pPr>
              <w:spacing w:line="360" w:lineRule="auto"/>
              <w:ind w:firstLine="420"/>
              <w:rPr>
                <w:rFonts w:ascii="宋体" w:hAnsi="宋体"/>
                <w:bCs/>
                <w:color w:val="auto"/>
                <w:szCs w:val="21"/>
                <w:highlight w:val="none"/>
              </w:rPr>
            </w:pPr>
            <w:r>
              <w:rPr>
                <w:rFonts w:hint="eastAsia" w:ascii="宋体" w:hAnsi="宋体"/>
                <w:bCs/>
                <w:color w:val="auto"/>
                <w:szCs w:val="21"/>
                <w:highlight w:val="none"/>
              </w:rPr>
              <w:t>五档（10分）：配送服务方案满足采购需求中的服务要求且能满足采购人配送地点分散、具有临时紧急下达的采购需求，配送时效短等要求；并能针对采购人个性化、差异化进行不同分析，方案切实有效。对发生紧急事件问题处理预案内容具体、全面，并承诺退换时间30分钟内，有健全、详细服务承诺、后期售后服务方式有效，措施得力，充分满足项目需求，对不兑现承诺有具体的责任条款，责任条款完整详细。</w:t>
            </w:r>
          </w:p>
          <w:p w14:paraId="2FA05C21">
            <w:pPr>
              <w:spacing w:line="360" w:lineRule="auto"/>
              <w:ind w:firstLine="480"/>
              <w:rPr>
                <w:rFonts w:ascii="宋体" w:hAnsi="宋体" w:cs="宋体"/>
                <w:bCs/>
                <w:color w:val="auto"/>
                <w:highlight w:val="none"/>
              </w:rPr>
            </w:pPr>
            <w:r>
              <w:rPr>
                <w:rFonts w:hint="eastAsia" w:ascii="宋体" w:hAnsi="宋体" w:cs="宋体"/>
                <w:b/>
                <w:color w:val="auto"/>
                <w:szCs w:val="21"/>
                <w:highlight w:val="none"/>
              </w:rPr>
              <w:t>注：</w:t>
            </w:r>
            <w:r>
              <w:rPr>
                <w:rFonts w:hint="eastAsia" w:ascii="宋体" w:hAnsi="宋体"/>
                <w:b/>
                <w:color w:val="auto"/>
                <w:szCs w:val="21"/>
                <w:highlight w:val="none"/>
              </w:rPr>
              <w:t>达不到一档要求的不得分，未提供方案不得分。</w:t>
            </w:r>
          </w:p>
        </w:tc>
      </w:tr>
      <w:tr w14:paraId="132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jc w:val="center"/>
        </w:trPr>
        <w:tc>
          <w:tcPr>
            <w:tcW w:w="562" w:type="dxa"/>
            <w:vMerge w:val="restart"/>
            <w:vAlign w:val="center"/>
          </w:tcPr>
          <w:p w14:paraId="2F9875A5">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1585" w:type="dxa"/>
            <w:vMerge w:val="restart"/>
            <w:vAlign w:val="center"/>
          </w:tcPr>
          <w:p w14:paraId="06E5FF95">
            <w:pPr>
              <w:spacing w:line="360" w:lineRule="auto"/>
              <w:jc w:val="center"/>
              <w:rPr>
                <w:rFonts w:ascii="宋体" w:hAnsi="宋体"/>
                <w:b/>
                <w:bCs/>
                <w:color w:val="auto"/>
                <w:szCs w:val="21"/>
                <w:highlight w:val="none"/>
              </w:rPr>
            </w:pPr>
            <w:r>
              <w:rPr>
                <w:rFonts w:hint="eastAsia" w:ascii="宋体" w:hAnsi="宋体"/>
                <w:b/>
                <w:bCs/>
                <w:color w:val="auto"/>
                <w:szCs w:val="21"/>
                <w:highlight w:val="none"/>
              </w:rPr>
              <w:t>商务分</w:t>
            </w:r>
          </w:p>
          <w:p w14:paraId="408AA9EE">
            <w:pPr>
              <w:spacing w:line="360" w:lineRule="auto"/>
              <w:jc w:val="center"/>
              <w:rPr>
                <w:rFonts w:ascii="宋体" w:hAnsi="宋体"/>
                <w:color w:val="auto"/>
                <w:szCs w:val="21"/>
                <w:highlight w:val="none"/>
              </w:rPr>
            </w:pPr>
            <w:r>
              <w:rPr>
                <w:rFonts w:hint="eastAsia" w:ascii="宋体" w:hAnsi="宋体"/>
                <w:b/>
                <w:bCs/>
                <w:color w:val="auto"/>
                <w:szCs w:val="21"/>
                <w:highlight w:val="none"/>
              </w:rPr>
              <w:t>（满分</w:t>
            </w:r>
            <w:r>
              <w:rPr>
                <w:rFonts w:hint="eastAsia" w:ascii="宋体" w:hAnsi="宋体"/>
                <w:b/>
                <w:bCs/>
                <w:color w:val="auto"/>
                <w:szCs w:val="21"/>
                <w:highlight w:val="none"/>
                <w:u w:val="single"/>
              </w:rPr>
              <w:t>40</w:t>
            </w:r>
            <w:r>
              <w:rPr>
                <w:rFonts w:hint="eastAsia" w:ascii="宋体" w:hAnsi="宋体"/>
                <w:b/>
                <w:bCs/>
                <w:color w:val="auto"/>
                <w:szCs w:val="21"/>
                <w:highlight w:val="none"/>
              </w:rPr>
              <w:t>分）</w:t>
            </w:r>
          </w:p>
        </w:tc>
        <w:tc>
          <w:tcPr>
            <w:tcW w:w="1701" w:type="dxa"/>
            <w:shd w:val="clear" w:color="auto" w:fill="auto"/>
            <w:vAlign w:val="center"/>
          </w:tcPr>
          <w:p w14:paraId="3064CFCD">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3.1业绩分</w:t>
            </w:r>
          </w:p>
          <w:p w14:paraId="2D43AD03">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（满分4分）</w:t>
            </w:r>
          </w:p>
        </w:tc>
        <w:tc>
          <w:tcPr>
            <w:tcW w:w="5660" w:type="dxa"/>
            <w:shd w:val="clear" w:color="auto" w:fill="auto"/>
            <w:vAlign w:val="center"/>
          </w:tcPr>
          <w:p w14:paraId="0977747E">
            <w:pPr>
              <w:spacing w:line="360" w:lineRule="auto"/>
              <w:ind w:firstLine="420"/>
              <w:jc w:val="left"/>
              <w:rPr>
                <w:color w:val="auto"/>
                <w:highlight w:val="none"/>
              </w:rPr>
            </w:pPr>
            <w:r>
              <w:rPr>
                <w:rFonts w:hint="eastAsia"/>
                <w:color w:val="auto"/>
                <w:highlight w:val="none"/>
              </w:rPr>
              <w:t>投标人2023年1月1日以来完成过同类项目的，每提供一个业绩得1分，满分4分。</w:t>
            </w:r>
          </w:p>
          <w:p w14:paraId="21C2C14A">
            <w:pPr>
              <w:spacing w:line="360" w:lineRule="auto"/>
              <w:ind w:firstLine="422"/>
              <w:jc w:val="left"/>
              <w:rPr>
                <w:color w:val="auto"/>
                <w:highlight w:val="none"/>
              </w:rPr>
            </w:pPr>
            <w:r>
              <w:rPr>
                <w:rFonts w:hint="eastAsia"/>
                <w:b/>
                <w:bCs/>
                <w:color w:val="auto"/>
                <w:highlight w:val="none"/>
              </w:rPr>
              <w:t>注：投标文件须提供中标（成交）通知书复印件或合同协议书复印件，未提供或不满足要求的不得分。</w:t>
            </w:r>
          </w:p>
        </w:tc>
      </w:tr>
      <w:tr w14:paraId="2D8C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5" w:hRule="atLeast"/>
          <w:jc w:val="center"/>
        </w:trPr>
        <w:tc>
          <w:tcPr>
            <w:tcW w:w="562" w:type="dxa"/>
            <w:vMerge w:val="continue"/>
            <w:vAlign w:val="center"/>
          </w:tcPr>
          <w:p w14:paraId="2733026C">
            <w:pPr>
              <w:spacing w:line="360" w:lineRule="auto"/>
              <w:jc w:val="center"/>
              <w:rPr>
                <w:rFonts w:ascii="宋体" w:hAnsi="宋体"/>
                <w:color w:val="auto"/>
                <w:szCs w:val="21"/>
                <w:highlight w:val="none"/>
              </w:rPr>
            </w:pPr>
          </w:p>
        </w:tc>
        <w:tc>
          <w:tcPr>
            <w:tcW w:w="1585" w:type="dxa"/>
            <w:vMerge w:val="continue"/>
            <w:vAlign w:val="center"/>
          </w:tcPr>
          <w:p w14:paraId="6F552BCA">
            <w:pPr>
              <w:spacing w:line="360" w:lineRule="auto"/>
              <w:jc w:val="center"/>
              <w:rPr>
                <w:rFonts w:ascii="宋体" w:hAnsi="宋体"/>
                <w:b/>
                <w:bCs/>
                <w:color w:val="auto"/>
                <w:szCs w:val="21"/>
                <w:highlight w:val="none"/>
              </w:rPr>
            </w:pPr>
          </w:p>
        </w:tc>
        <w:tc>
          <w:tcPr>
            <w:tcW w:w="1701" w:type="dxa"/>
            <w:shd w:val="clear" w:color="auto" w:fill="auto"/>
            <w:vAlign w:val="center"/>
          </w:tcPr>
          <w:p w14:paraId="52202DFF">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3.2企业实力分</w:t>
            </w:r>
          </w:p>
          <w:p w14:paraId="7815BBC0">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（满分2分）</w:t>
            </w:r>
          </w:p>
        </w:tc>
        <w:tc>
          <w:tcPr>
            <w:tcW w:w="5660" w:type="dxa"/>
            <w:shd w:val="clear" w:color="auto" w:fill="auto"/>
            <w:vAlign w:val="center"/>
          </w:tcPr>
          <w:p w14:paraId="460A864C">
            <w:pPr>
              <w:spacing w:line="360" w:lineRule="auto"/>
              <w:ind w:firstLine="422"/>
              <w:jc w:val="left"/>
              <w:rPr>
                <w:rFonts w:ascii="宋体" w:hAnsi="宋体" w:cs="宋体"/>
                <w:color w:val="auto"/>
                <w:szCs w:val="21"/>
                <w:highlight w:val="none"/>
                <w:lang w:bidi="ar"/>
              </w:rPr>
            </w:pPr>
            <w:r>
              <w:rPr>
                <w:color w:val="auto"/>
                <w:highlight w:val="none"/>
              </w:rPr>
              <w:t>鉴于本项目为</w:t>
            </w:r>
            <w:r>
              <w:rPr>
                <w:rFonts w:hint="eastAsia"/>
                <w:color w:val="auto"/>
                <w:highlight w:val="none"/>
              </w:rPr>
              <w:t>农村义务教育学生营养改善计划食品配送</w:t>
            </w:r>
            <w:r>
              <w:rPr>
                <w:color w:val="auto"/>
                <w:highlight w:val="none"/>
              </w:rPr>
              <w:t>服务</w:t>
            </w:r>
            <w:r>
              <w:rPr>
                <w:rFonts w:hint="eastAsia"/>
                <w:color w:val="auto"/>
                <w:highlight w:val="none"/>
              </w:rPr>
              <w:t>，</w:t>
            </w:r>
            <w:r>
              <w:rPr>
                <w:color w:val="auto"/>
                <w:highlight w:val="none"/>
              </w:rPr>
              <w:t>投标人提供具有有效的质量管理体系认证（ISO9001或GB/T</w:t>
            </w:r>
            <w:r>
              <w:rPr>
                <w:rFonts w:hint="eastAsia"/>
                <w:color w:val="auto"/>
                <w:highlight w:val="none"/>
              </w:rPr>
              <w:t>19</w:t>
            </w:r>
            <w:r>
              <w:rPr>
                <w:color w:val="auto"/>
                <w:highlight w:val="none"/>
              </w:rPr>
              <w:t>001）</w:t>
            </w:r>
            <w:r>
              <w:rPr>
                <w:rFonts w:hint="eastAsia"/>
                <w:color w:val="auto"/>
                <w:highlight w:val="none"/>
              </w:rPr>
              <w:t>、</w:t>
            </w:r>
            <w:r>
              <w:rPr>
                <w:color w:val="auto"/>
                <w:highlight w:val="none"/>
              </w:rPr>
              <w:t>食品安全管理体系认证（ISO22000或HACCP）</w:t>
            </w:r>
            <w:r>
              <w:rPr>
                <w:rFonts w:hint="eastAsia" w:ascii="宋体" w:hAnsi="宋体" w:cs="宋体"/>
                <w:color w:val="auto"/>
                <w:szCs w:val="21"/>
                <w:highlight w:val="none"/>
                <w:lang w:bidi="ar"/>
              </w:rPr>
              <w:t>、</w:t>
            </w:r>
            <w:r>
              <w:rPr>
                <w:color w:val="auto"/>
                <w:highlight w:val="none"/>
              </w:rPr>
              <w:t>环境管理体系认证</w:t>
            </w:r>
            <w:r>
              <w:rPr>
                <w:rFonts w:hint="eastAsia"/>
                <w:color w:val="auto"/>
                <w:highlight w:val="none"/>
              </w:rPr>
              <w:t>（</w:t>
            </w:r>
            <w:r>
              <w:rPr>
                <w:color w:val="auto"/>
                <w:highlight w:val="none"/>
              </w:rPr>
              <w:t>ISO14001或GB/T 24001</w:t>
            </w:r>
            <w:r>
              <w:rPr>
                <w:rFonts w:hint="eastAsia" w:ascii="宋体" w:hAnsi="宋体" w:cs="宋体"/>
                <w:color w:val="auto"/>
                <w:szCs w:val="21"/>
                <w:highlight w:val="none"/>
                <w:lang w:bidi="ar"/>
              </w:rPr>
              <w:t>）和职业健康安全管理体系认证（</w:t>
            </w:r>
            <w:r>
              <w:rPr>
                <w:color w:val="auto"/>
                <w:highlight w:val="none"/>
              </w:rPr>
              <w:t>ISO</w:t>
            </w:r>
            <w:r>
              <w:rPr>
                <w:rFonts w:hint="eastAsia"/>
                <w:color w:val="auto"/>
                <w:highlight w:val="none"/>
              </w:rPr>
              <w:t>45001</w:t>
            </w:r>
            <w:r>
              <w:rPr>
                <w:color w:val="auto"/>
                <w:highlight w:val="none"/>
              </w:rPr>
              <w:t xml:space="preserve">或GB/T </w:t>
            </w:r>
            <w:r>
              <w:rPr>
                <w:rFonts w:hint="eastAsia"/>
                <w:color w:val="auto"/>
                <w:highlight w:val="none"/>
              </w:rPr>
              <w:t>45</w:t>
            </w:r>
            <w:r>
              <w:rPr>
                <w:color w:val="auto"/>
                <w:highlight w:val="none"/>
              </w:rPr>
              <w:t>001</w:t>
            </w:r>
            <w:r>
              <w:rPr>
                <w:rFonts w:hint="eastAsia" w:ascii="宋体" w:hAnsi="宋体" w:cs="宋体"/>
                <w:color w:val="auto"/>
                <w:szCs w:val="21"/>
                <w:highlight w:val="none"/>
                <w:lang w:bidi="ar"/>
              </w:rPr>
              <w:t>）证书，以上证书</w:t>
            </w:r>
            <w:r>
              <w:rPr>
                <w:color w:val="auto"/>
                <w:highlight w:val="none"/>
              </w:rPr>
              <w:t>且认证范围涵盖本项目所涉及的</w:t>
            </w:r>
            <w:r>
              <w:rPr>
                <w:rFonts w:hint="eastAsia"/>
                <w:b/>
                <w:bCs/>
                <w:color w:val="auto"/>
                <w:highlight w:val="none"/>
              </w:rPr>
              <w:t>食用农产品、预包装食品销售</w:t>
            </w:r>
            <w:r>
              <w:rPr>
                <w:color w:val="auto"/>
                <w:highlight w:val="none"/>
              </w:rPr>
              <w:t>的</w:t>
            </w:r>
            <w:r>
              <w:rPr>
                <w:rFonts w:hint="eastAsia" w:ascii="宋体" w:hAnsi="宋体" w:cs="宋体"/>
                <w:color w:val="auto"/>
                <w:szCs w:val="21"/>
                <w:highlight w:val="none"/>
                <w:lang w:bidi="ar"/>
              </w:rPr>
              <w:t>，每个认证得0.5分，满分2分。</w:t>
            </w:r>
          </w:p>
          <w:p w14:paraId="4685DFD5">
            <w:pPr>
              <w:spacing w:line="360" w:lineRule="auto"/>
              <w:ind w:firstLine="422"/>
              <w:jc w:val="left"/>
              <w:rPr>
                <w:b/>
                <w:bCs/>
                <w:color w:val="auto"/>
                <w:highlight w:val="none"/>
              </w:rPr>
            </w:pPr>
            <w:r>
              <w:rPr>
                <w:rFonts w:hint="eastAsia"/>
                <w:b/>
                <w:bCs/>
                <w:color w:val="auto"/>
                <w:highlight w:val="none"/>
              </w:rPr>
              <w:t>注：投标文件须提供有效证书复印件和附国家认证认可监督管理委员会官方网站(www.cnca.gov.cn)查询截图，未提供或不满足要求的不得分。</w:t>
            </w:r>
          </w:p>
        </w:tc>
      </w:tr>
      <w:tr w14:paraId="75A9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659D2A8A">
            <w:pPr>
              <w:spacing w:line="360" w:lineRule="auto"/>
              <w:jc w:val="center"/>
              <w:rPr>
                <w:rFonts w:ascii="宋体" w:hAnsi="宋体"/>
                <w:color w:val="auto"/>
                <w:szCs w:val="21"/>
                <w:highlight w:val="none"/>
              </w:rPr>
            </w:pPr>
          </w:p>
        </w:tc>
        <w:tc>
          <w:tcPr>
            <w:tcW w:w="1585" w:type="dxa"/>
            <w:vMerge w:val="continue"/>
            <w:vAlign w:val="center"/>
          </w:tcPr>
          <w:p w14:paraId="13B46654">
            <w:pPr>
              <w:spacing w:line="360" w:lineRule="auto"/>
              <w:jc w:val="center"/>
              <w:rPr>
                <w:rFonts w:ascii="宋体" w:hAnsi="宋体"/>
                <w:color w:val="auto"/>
                <w:szCs w:val="21"/>
                <w:highlight w:val="none"/>
              </w:rPr>
            </w:pPr>
          </w:p>
        </w:tc>
        <w:tc>
          <w:tcPr>
            <w:tcW w:w="1701" w:type="dxa"/>
            <w:shd w:val="clear" w:color="auto" w:fill="auto"/>
            <w:vAlign w:val="center"/>
          </w:tcPr>
          <w:p w14:paraId="0C9187B2">
            <w:pPr>
              <w:widowControl/>
              <w:jc w:val="center"/>
              <w:rPr>
                <w:color w:val="auto"/>
                <w:highlight w:val="none"/>
              </w:rPr>
            </w:pPr>
            <w:r>
              <w:rPr>
                <w:rFonts w:hint="eastAsia" w:ascii="宋体" w:hAnsi="宋体" w:cs="宋体"/>
                <w:b/>
                <w:bCs/>
                <w:color w:val="auto"/>
                <w:szCs w:val="21"/>
                <w:highlight w:val="none"/>
                <w:lang w:bidi="ar"/>
              </w:rPr>
              <w:t xml:space="preserve"> 3.3运输车辆分（满分10分）</w:t>
            </w:r>
          </w:p>
          <w:p w14:paraId="11F10C3C">
            <w:pPr>
              <w:spacing w:line="360" w:lineRule="auto"/>
              <w:jc w:val="center"/>
              <w:rPr>
                <w:rFonts w:ascii="宋体" w:hAnsi="宋体" w:cs="宋体"/>
                <w:color w:val="auto"/>
                <w:szCs w:val="21"/>
                <w:highlight w:val="none"/>
              </w:rPr>
            </w:pPr>
          </w:p>
        </w:tc>
        <w:tc>
          <w:tcPr>
            <w:tcW w:w="5660" w:type="dxa"/>
            <w:shd w:val="clear" w:color="auto" w:fill="auto"/>
            <w:vAlign w:val="center"/>
          </w:tcPr>
          <w:p w14:paraId="3A79BF76">
            <w:pPr>
              <w:spacing w:line="360" w:lineRule="auto"/>
              <w:ind w:firstLine="420"/>
              <w:jc w:val="left"/>
              <w:rPr>
                <w:rFonts w:ascii="宋体" w:hAnsi="宋体" w:cs="宋体"/>
                <w:color w:val="auto"/>
                <w:highlight w:val="none"/>
              </w:rPr>
            </w:pPr>
            <w:r>
              <w:rPr>
                <w:rFonts w:hint="eastAsia" w:ascii="宋体" w:hAnsi="宋体" w:cs="宋体"/>
                <w:color w:val="auto"/>
                <w:highlight w:val="none"/>
              </w:rPr>
              <w:t>拟投入本项目自有或租赁的配送冷藏专用运输车，每提供一辆得2分，最高得8分；拟投入本项目自有或租赁的普通运输车辆（四轮）每提供一辆得2分，最高得2分。</w:t>
            </w:r>
          </w:p>
          <w:p w14:paraId="02530BAA">
            <w:pPr>
              <w:spacing w:line="360" w:lineRule="auto"/>
              <w:ind w:firstLine="422"/>
              <w:jc w:val="left"/>
              <w:rPr>
                <w:color w:val="auto"/>
                <w:highlight w:val="none"/>
              </w:rPr>
            </w:pPr>
            <w:r>
              <w:rPr>
                <w:rFonts w:hint="eastAsia"/>
                <w:b/>
                <w:bCs/>
                <w:color w:val="auto"/>
                <w:highlight w:val="none"/>
              </w:rPr>
              <w:t>注：投标文件须提供车辆行驶证正、反面扫描件及车辆彩色照片，如为租赁的还须提供租赁合同扫描件，不按要求提供不得分。</w:t>
            </w:r>
          </w:p>
        </w:tc>
      </w:tr>
      <w:tr w14:paraId="666E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77EC1249">
            <w:pPr>
              <w:spacing w:line="360" w:lineRule="auto"/>
              <w:jc w:val="center"/>
              <w:rPr>
                <w:rFonts w:ascii="宋体" w:hAnsi="宋体"/>
                <w:color w:val="auto"/>
                <w:szCs w:val="21"/>
                <w:highlight w:val="none"/>
              </w:rPr>
            </w:pPr>
          </w:p>
        </w:tc>
        <w:tc>
          <w:tcPr>
            <w:tcW w:w="1585" w:type="dxa"/>
            <w:vMerge w:val="continue"/>
            <w:vAlign w:val="center"/>
          </w:tcPr>
          <w:p w14:paraId="4ED0A9D8">
            <w:pPr>
              <w:spacing w:line="360" w:lineRule="auto"/>
              <w:jc w:val="center"/>
              <w:rPr>
                <w:rFonts w:ascii="宋体" w:hAnsi="宋体"/>
                <w:color w:val="auto"/>
                <w:szCs w:val="21"/>
                <w:highlight w:val="none"/>
              </w:rPr>
            </w:pPr>
          </w:p>
        </w:tc>
        <w:tc>
          <w:tcPr>
            <w:tcW w:w="1701" w:type="dxa"/>
            <w:shd w:val="clear" w:color="auto" w:fill="auto"/>
            <w:vAlign w:val="center"/>
          </w:tcPr>
          <w:p w14:paraId="66D35309">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3.4仓储分</w:t>
            </w:r>
          </w:p>
          <w:p w14:paraId="0174E0DD">
            <w:pPr>
              <w:spacing w:line="360" w:lineRule="auto"/>
              <w:jc w:val="center"/>
              <w:rPr>
                <w:rFonts w:ascii="宋体" w:hAnsi="宋体"/>
                <w:b/>
                <w:bCs/>
                <w:color w:val="auto"/>
                <w:szCs w:val="21"/>
                <w:highlight w:val="none"/>
              </w:rPr>
            </w:pPr>
            <w:r>
              <w:rPr>
                <w:rFonts w:hint="eastAsia" w:ascii="宋体" w:hAnsi="宋体" w:cs="宋体"/>
                <w:b/>
                <w:bCs/>
                <w:color w:val="auto"/>
                <w:szCs w:val="21"/>
                <w:highlight w:val="none"/>
              </w:rPr>
              <w:t>（满分7分）</w:t>
            </w:r>
          </w:p>
        </w:tc>
        <w:tc>
          <w:tcPr>
            <w:tcW w:w="5660" w:type="dxa"/>
            <w:shd w:val="clear" w:color="auto" w:fill="auto"/>
            <w:vAlign w:val="center"/>
          </w:tcPr>
          <w:p w14:paraId="3F3ABE2A">
            <w:pPr>
              <w:spacing w:line="360" w:lineRule="auto"/>
              <w:ind w:firstLine="420"/>
              <w:jc w:val="left"/>
              <w:rPr>
                <w:rFonts w:ascii="宋体" w:hAnsi="宋体" w:cs="宋体"/>
                <w:color w:val="auto"/>
                <w:highlight w:val="none"/>
              </w:rPr>
            </w:pPr>
            <w:r>
              <w:rPr>
                <w:rFonts w:hint="eastAsia" w:ascii="宋体" w:hAnsi="宋体" w:cs="宋体"/>
                <w:color w:val="auto"/>
                <w:highlight w:val="none"/>
              </w:rPr>
              <w:t>1.投标人</w:t>
            </w:r>
            <w:r>
              <w:rPr>
                <w:rFonts w:hint="eastAsia" w:ascii="宋体" w:hAnsi="宋体" w:cs="宋体"/>
                <w:bCs/>
                <w:color w:val="auto"/>
                <w:highlight w:val="none"/>
              </w:rPr>
              <w:t>已有或承诺项目实施前</w:t>
            </w:r>
            <w:r>
              <w:rPr>
                <w:rFonts w:hint="eastAsia"/>
                <w:color w:val="auto"/>
                <w:highlight w:val="none"/>
              </w:rPr>
              <w:t>拟投入本项目梧州市城区内固定的</w:t>
            </w:r>
            <w:r>
              <w:rPr>
                <w:rFonts w:hint="eastAsia" w:ascii="宋体" w:hAnsi="宋体" w:cs="宋体"/>
                <w:color w:val="auto"/>
                <w:highlight w:val="none"/>
              </w:rPr>
              <w:t>仓储货物仓库，仓储面积在500㎡以下（不含500㎡）的得1分，500㎡～1000㎡(含1000㎡)的得2分，1000㎡以上的得4分。</w:t>
            </w:r>
          </w:p>
          <w:p w14:paraId="5F194573">
            <w:pPr>
              <w:spacing w:line="360" w:lineRule="auto"/>
              <w:ind w:firstLine="420"/>
              <w:jc w:val="left"/>
              <w:rPr>
                <w:color w:val="auto"/>
                <w:highlight w:val="none"/>
              </w:rPr>
            </w:pPr>
            <w:r>
              <w:rPr>
                <w:rFonts w:hint="eastAsia"/>
                <w:color w:val="auto"/>
                <w:highlight w:val="none"/>
              </w:rPr>
              <w:t>2.</w:t>
            </w:r>
            <w:r>
              <w:rPr>
                <w:rFonts w:hint="eastAsia" w:ascii="宋体" w:hAnsi="宋体" w:cs="宋体"/>
                <w:color w:val="auto"/>
                <w:highlight w:val="none"/>
              </w:rPr>
              <w:t>投标人</w:t>
            </w:r>
            <w:r>
              <w:rPr>
                <w:rFonts w:hint="eastAsia" w:ascii="宋体" w:hAnsi="宋体" w:cs="宋体"/>
                <w:bCs/>
                <w:color w:val="auto"/>
                <w:highlight w:val="none"/>
              </w:rPr>
              <w:t>已有或承诺项目实施前</w:t>
            </w:r>
            <w:r>
              <w:rPr>
                <w:rFonts w:hint="eastAsia"/>
                <w:color w:val="auto"/>
                <w:highlight w:val="none"/>
              </w:rPr>
              <w:t>拟投入本项目梧州市城区内固定的</w:t>
            </w:r>
            <w:r>
              <w:rPr>
                <w:rFonts w:hint="eastAsia" w:ascii="宋体" w:hAnsi="宋体" w:cs="宋体"/>
                <w:color w:val="auto"/>
                <w:highlight w:val="none"/>
              </w:rPr>
              <w:t>冷库，冷库容积在500m³以上的，得3分</w:t>
            </w:r>
            <w:r>
              <w:rPr>
                <w:rFonts w:hint="eastAsia"/>
                <w:color w:val="auto"/>
                <w:highlight w:val="none"/>
              </w:rPr>
              <w:t>。</w:t>
            </w:r>
          </w:p>
          <w:p w14:paraId="57FBFF17">
            <w:pPr>
              <w:spacing w:line="360" w:lineRule="auto"/>
              <w:ind w:firstLine="422"/>
              <w:jc w:val="left"/>
              <w:rPr>
                <w:rStyle w:val="57"/>
                <w:color w:val="auto"/>
                <w:highlight w:val="none"/>
              </w:rPr>
            </w:pPr>
            <w:r>
              <w:rPr>
                <w:rFonts w:hint="eastAsia"/>
                <w:b/>
                <w:bCs/>
                <w:color w:val="auto"/>
                <w:highlight w:val="none"/>
              </w:rPr>
              <w:t>注：1.若投标人已有的提供相关产权证明（或自建冷库提供该冷库建造的相关合同、冷库主要建造材料的发票扫描件及冷库现场彩色图片）或场地租赁合同（须提供2026年以来任意一个月的租金发票扫描件、现场彩色照片），否则不予认可。</w:t>
            </w:r>
          </w:p>
          <w:p w14:paraId="00D74F4A">
            <w:pPr>
              <w:spacing w:line="360" w:lineRule="auto"/>
              <w:ind w:firstLine="422"/>
              <w:jc w:val="left"/>
              <w:rPr>
                <w:color w:val="auto"/>
                <w:szCs w:val="21"/>
                <w:highlight w:val="none"/>
              </w:rPr>
            </w:pPr>
            <w:r>
              <w:rPr>
                <w:rFonts w:hint="eastAsia"/>
                <w:b/>
                <w:bCs/>
                <w:color w:val="auto"/>
                <w:highlight w:val="none"/>
              </w:rPr>
              <w:t>2.若投标人承诺的，须提供相关承诺函，否则不予认可。</w:t>
            </w:r>
          </w:p>
        </w:tc>
      </w:tr>
      <w:tr w14:paraId="19F9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7140462">
            <w:pPr>
              <w:spacing w:line="360" w:lineRule="auto"/>
              <w:jc w:val="center"/>
              <w:rPr>
                <w:rFonts w:ascii="宋体" w:hAnsi="宋体"/>
                <w:color w:val="auto"/>
                <w:szCs w:val="21"/>
                <w:highlight w:val="none"/>
              </w:rPr>
            </w:pPr>
          </w:p>
        </w:tc>
        <w:tc>
          <w:tcPr>
            <w:tcW w:w="1585" w:type="dxa"/>
            <w:vMerge w:val="continue"/>
            <w:vAlign w:val="center"/>
          </w:tcPr>
          <w:p w14:paraId="368B07AE">
            <w:pPr>
              <w:spacing w:line="360" w:lineRule="auto"/>
              <w:jc w:val="center"/>
              <w:rPr>
                <w:rFonts w:ascii="宋体" w:hAnsi="宋体"/>
                <w:color w:val="auto"/>
                <w:szCs w:val="21"/>
                <w:highlight w:val="none"/>
              </w:rPr>
            </w:pPr>
          </w:p>
        </w:tc>
        <w:tc>
          <w:tcPr>
            <w:tcW w:w="1701" w:type="dxa"/>
            <w:shd w:val="clear" w:color="auto" w:fill="auto"/>
            <w:vAlign w:val="center"/>
          </w:tcPr>
          <w:p w14:paraId="4F0213CA">
            <w:pPr>
              <w:widowControl/>
              <w:jc w:val="center"/>
              <w:rPr>
                <w:rFonts w:ascii="宋体" w:hAnsi="宋体" w:cs="宋体"/>
                <w:b/>
                <w:bCs/>
                <w:color w:val="auto"/>
                <w:szCs w:val="21"/>
                <w:highlight w:val="none"/>
              </w:rPr>
            </w:pPr>
            <w:r>
              <w:rPr>
                <w:rFonts w:hint="eastAsia" w:ascii="宋体" w:hAnsi="宋体" w:cs="宋体"/>
                <w:b/>
                <w:bCs/>
                <w:color w:val="auto"/>
                <w:szCs w:val="21"/>
                <w:highlight w:val="none"/>
              </w:rPr>
              <w:t>3.5食品安全责任保险分</w:t>
            </w:r>
          </w:p>
          <w:p w14:paraId="33723DF5">
            <w:pPr>
              <w:widowControl/>
              <w:jc w:val="center"/>
              <w:rPr>
                <w:color w:val="auto"/>
                <w:highlight w:val="none"/>
              </w:rPr>
            </w:pPr>
            <w:r>
              <w:rPr>
                <w:rFonts w:hint="eastAsia" w:ascii="宋体" w:hAnsi="宋体" w:cs="宋体"/>
                <w:b/>
                <w:bCs/>
                <w:color w:val="auto"/>
                <w:szCs w:val="21"/>
                <w:highlight w:val="none"/>
                <w:lang w:bidi="ar"/>
              </w:rPr>
              <w:t>（满分7分）</w:t>
            </w:r>
          </w:p>
          <w:p w14:paraId="0E12CC20">
            <w:pPr>
              <w:spacing w:line="360" w:lineRule="auto"/>
              <w:jc w:val="center"/>
              <w:rPr>
                <w:rFonts w:ascii="宋体" w:hAnsi="宋体"/>
                <w:b/>
                <w:bCs/>
                <w:color w:val="auto"/>
                <w:szCs w:val="21"/>
                <w:highlight w:val="none"/>
              </w:rPr>
            </w:pPr>
          </w:p>
        </w:tc>
        <w:tc>
          <w:tcPr>
            <w:tcW w:w="5660" w:type="dxa"/>
            <w:shd w:val="clear" w:color="auto" w:fill="auto"/>
            <w:vAlign w:val="center"/>
          </w:tcPr>
          <w:p w14:paraId="177B6AE0">
            <w:pPr>
              <w:numPr>
                <w:ilvl w:val="0"/>
                <w:numId w:val="0"/>
              </w:num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rPr>
              <w:t>投标人与保险公司签订《食品安全责任保险》合同为本企业投保，保额800万元（含）以上的得1分，保额1000万元（含）以上的得3分。</w:t>
            </w:r>
          </w:p>
          <w:p w14:paraId="57B1A9D9">
            <w:pPr>
              <w:spacing w:line="360" w:lineRule="auto"/>
              <w:ind w:firstLine="422"/>
              <w:jc w:val="left"/>
              <w:rPr>
                <w:rFonts w:ascii="宋体" w:hAnsi="宋体" w:cs="宋体"/>
                <w:color w:val="auto"/>
                <w:highlight w:val="none"/>
              </w:rPr>
            </w:pPr>
            <w:r>
              <w:rPr>
                <w:rFonts w:hint="eastAsia"/>
                <w:b/>
                <w:bCs/>
                <w:color w:val="auto"/>
                <w:highlight w:val="none"/>
              </w:rPr>
              <w:t>注：投标文件须提供购买食品安全险的有效证明（食品安全责任险保单和购买发票扫描件或复印件），保单金额可累计，否则不得分</w:t>
            </w:r>
          </w:p>
          <w:p w14:paraId="5D30AA05">
            <w:pPr>
              <w:spacing w:line="360" w:lineRule="auto"/>
              <w:ind w:firstLine="420"/>
              <w:jc w:val="left"/>
              <w:rPr>
                <w:color w:val="auto"/>
                <w:highlight w:val="none"/>
              </w:rPr>
            </w:pPr>
            <w:r>
              <w:rPr>
                <w:rFonts w:hint="eastAsia"/>
                <w:color w:val="auto"/>
                <w:highlight w:val="none"/>
              </w:rPr>
              <w:t>2.投标人承诺中标后，在满足本项目商务要求“为学校师生购买800 万元（含）以上的产品责任保险”的</w:t>
            </w:r>
            <w:r>
              <w:rPr>
                <w:rFonts w:hint="eastAsia"/>
                <w:color w:val="auto"/>
                <w:highlight w:val="none"/>
                <w:lang w:val="en-US" w:eastAsia="zh-CN"/>
              </w:rPr>
              <w:t>要求</w:t>
            </w:r>
            <w:r>
              <w:rPr>
                <w:rFonts w:hint="eastAsia"/>
                <w:color w:val="auto"/>
                <w:highlight w:val="none"/>
              </w:rPr>
              <w:t>，保险金额承诺在800万元（含）至1000万元（不含）的，得2分；保险金额承诺在1000万元（含）以上得4分。</w:t>
            </w:r>
          </w:p>
          <w:p w14:paraId="56D9B402">
            <w:pPr>
              <w:spacing w:line="360" w:lineRule="auto"/>
              <w:ind w:firstLine="422"/>
              <w:jc w:val="left"/>
              <w:rPr>
                <w:color w:val="auto"/>
                <w:szCs w:val="21"/>
                <w:highlight w:val="none"/>
              </w:rPr>
            </w:pPr>
            <w:r>
              <w:rPr>
                <w:rFonts w:hint="eastAsia"/>
                <w:b/>
                <w:bCs/>
                <w:color w:val="auto"/>
                <w:highlight w:val="none"/>
              </w:rPr>
              <w:t>注：投标文件须提供承诺函（格式自拟）并加盖投标人公章，否则不得分。</w:t>
            </w:r>
          </w:p>
        </w:tc>
      </w:tr>
      <w:tr w14:paraId="0692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5879303">
            <w:pPr>
              <w:spacing w:line="360" w:lineRule="auto"/>
              <w:jc w:val="center"/>
              <w:rPr>
                <w:rFonts w:ascii="宋体" w:hAnsi="宋体"/>
                <w:color w:val="auto"/>
                <w:szCs w:val="21"/>
                <w:highlight w:val="none"/>
              </w:rPr>
            </w:pPr>
          </w:p>
        </w:tc>
        <w:tc>
          <w:tcPr>
            <w:tcW w:w="1585" w:type="dxa"/>
            <w:vMerge w:val="continue"/>
            <w:vAlign w:val="center"/>
          </w:tcPr>
          <w:p w14:paraId="6561F42F">
            <w:pPr>
              <w:spacing w:line="360" w:lineRule="auto"/>
              <w:jc w:val="center"/>
              <w:rPr>
                <w:rFonts w:ascii="宋体" w:hAnsi="宋体"/>
                <w:color w:val="auto"/>
                <w:szCs w:val="21"/>
                <w:highlight w:val="none"/>
              </w:rPr>
            </w:pPr>
          </w:p>
        </w:tc>
        <w:tc>
          <w:tcPr>
            <w:tcW w:w="1701" w:type="dxa"/>
            <w:shd w:val="clear" w:color="auto" w:fill="auto"/>
            <w:vAlign w:val="center"/>
          </w:tcPr>
          <w:p w14:paraId="0C8EAF02">
            <w:pPr>
              <w:widowControl/>
              <w:jc w:val="center"/>
              <w:rPr>
                <w:rFonts w:ascii="宋体" w:hAnsi="宋体" w:cs="宋体"/>
                <w:color w:val="auto"/>
                <w:szCs w:val="21"/>
                <w:highlight w:val="none"/>
              </w:rPr>
            </w:pPr>
            <w:r>
              <w:rPr>
                <w:rFonts w:hint="eastAsia" w:ascii="宋体" w:hAnsi="宋体" w:cs="宋体"/>
                <w:b/>
                <w:bCs/>
                <w:color w:val="auto"/>
                <w:szCs w:val="21"/>
                <w:highlight w:val="none"/>
                <w:lang w:bidi="ar"/>
              </w:rPr>
              <w:t>3.6设备检测（满分2分）</w:t>
            </w:r>
          </w:p>
        </w:tc>
        <w:tc>
          <w:tcPr>
            <w:tcW w:w="5660" w:type="dxa"/>
            <w:shd w:val="clear" w:color="auto" w:fill="auto"/>
            <w:vAlign w:val="center"/>
          </w:tcPr>
          <w:p w14:paraId="2164FF7C">
            <w:pPr>
              <w:spacing w:line="360" w:lineRule="auto"/>
              <w:ind w:firstLine="422"/>
              <w:jc w:val="left"/>
              <w:rPr>
                <w:color w:val="auto"/>
                <w:highlight w:val="none"/>
              </w:rPr>
            </w:pPr>
            <w:r>
              <w:rPr>
                <w:rFonts w:hint="eastAsia"/>
                <w:color w:val="auto"/>
                <w:highlight w:val="none"/>
              </w:rPr>
              <w:t>投标人配备独立检测室及相应设备设施或承诺委托具有相关资质的第三方检测机构检测，得2分。</w:t>
            </w:r>
          </w:p>
          <w:p w14:paraId="37251244">
            <w:pPr>
              <w:spacing w:line="360" w:lineRule="auto"/>
              <w:ind w:firstLine="422"/>
              <w:jc w:val="left"/>
              <w:rPr>
                <w:rStyle w:val="57"/>
                <w:color w:val="auto"/>
                <w:highlight w:val="none"/>
              </w:rPr>
            </w:pPr>
            <w:r>
              <w:rPr>
                <w:rFonts w:hint="eastAsia"/>
                <w:b/>
                <w:bCs/>
                <w:color w:val="auto"/>
                <w:highlight w:val="none"/>
              </w:rPr>
              <w:t>注：1.若投标人已有的提供相关检测室图片、食品食材留样室图片和检测设备购买发票复印件等证明材料，否则不予计分。</w:t>
            </w:r>
          </w:p>
          <w:p w14:paraId="486D5D99">
            <w:pPr>
              <w:spacing w:line="360" w:lineRule="auto"/>
              <w:ind w:firstLine="422"/>
              <w:jc w:val="left"/>
              <w:rPr>
                <w:color w:val="auto"/>
                <w:highlight w:val="none"/>
              </w:rPr>
            </w:pPr>
            <w:r>
              <w:rPr>
                <w:rFonts w:hint="eastAsia"/>
                <w:b/>
                <w:bCs/>
                <w:color w:val="auto"/>
                <w:highlight w:val="none"/>
              </w:rPr>
              <w:t>2.若投标人承诺的，须提供相关承诺函，否则不予认可。</w:t>
            </w:r>
          </w:p>
        </w:tc>
      </w:tr>
      <w:tr w14:paraId="775D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DBE4ABB">
            <w:pPr>
              <w:spacing w:line="360" w:lineRule="auto"/>
              <w:jc w:val="center"/>
              <w:rPr>
                <w:rFonts w:ascii="宋体" w:hAnsi="宋体"/>
                <w:color w:val="auto"/>
                <w:szCs w:val="21"/>
                <w:highlight w:val="none"/>
              </w:rPr>
            </w:pPr>
          </w:p>
        </w:tc>
        <w:tc>
          <w:tcPr>
            <w:tcW w:w="1585" w:type="dxa"/>
            <w:vMerge w:val="continue"/>
            <w:vAlign w:val="center"/>
          </w:tcPr>
          <w:p w14:paraId="099E2987">
            <w:pPr>
              <w:spacing w:line="360" w:lineRule="auto"/>
              <w:jc w:val="center"/>
              <w:rPr>
                <w:rFonts w:ascii="宋体" w:hAnsi="宋体"/>
                <w:color w:val="auto"/>
                <w:szCs w:val="21"/>
                <w:highlight w:val="none"/>
              </w:rPr>
            </w:pPr>
          </w:p>
        </w:tc>
        <w:tc>
          <w:tcPr>
            <w:tcW w:w="1701" w:type="dxa"/>
            <w:shd w:val="clear" w:color="auto" w:fill="auto"/>
            <w:vAlign w:val="center"/>
          </w:tcPr>
          <w:p w14:paraId="0BCCC525">
            <w:pPr>
              <w:widowControl/>
              <w:jc w:val="center"/>
              <w:rPr>
                <w:rFonts w:ascii="宋体" w:hAnsi="宋体" w:cs="宋体"/>
                <w:b/>
                <w:bCs/>
                <w:color w:val="auto"/>
                <w:szCs w:val="21"/>
                <w:highlight w:val="none"/>
                <w:lang w:bidi="ar"/>
              </w:rPr>
            </w:pPr>
            <w:r>
              <w:rPr>
                <w:rFonts w:hint="eastAsia" w:ascii="宋体" w:hAnsi="宋体" w:cs="宋体"/>
                <w:b/>
                <w:bCs/>
                <w:color w:val="auto"/>
                <w:szCs w:val="21"/>
                <w:highlight w:val="none"/>
                <w:lang w:bidi="ar"/>
              </w:rPr>
              <w:t>3.7人员分</w:t>
            </w:r>
          </w:p>
          <w:p w14:paraId="0C14F844">
            <w:pPr>
              <w:widowControl/>
              <w:jc w:val="center"/>
              <w:rPr>
                <w:color w:val="auto"/>
                <w:highlight w:val="none"/>
              </w:rPr>
            </w:pPr>
            <w:r>
              <w:rPr>
                <w:rFonts w:hint="eastAsia" w:ascii="宋体" w:hAnsi="宋体" w:cs="宋体"/>
                <w:b/>
                <w:bCs/>
                <w:color w:val="auto"/>
                <w:szCs w:val="21"/>
                <w:highlight w:val="none"/>
                <w:lang w:bidi="ar"/>
              </w:rPr>
              <w:t>（满分8分）</w:t>
            </w:r>
          </w:p>
          <w:p w14:paraId="4CD81A47">
            <w:pPr>
              <w:spacing w:line="360" w:lineRule="auto"/>
              <w:jc w:val="center"/>
              <w:rPr>
                <w:rFonts w:ascii="宋体" w:hAnsi="宋体" w:cs="宋体"/>
                <w:color w:val="auto"/>
                <w:szCs w:val="21"/>
                <w:highlight w:val="none"/>
              </w:rPr>
            </w:pPr>
          </w:p>
        </w:tc>
        <w:tc>
          <w:tcPr>
            <w:tcW w:w="5660" w:type="dxa"/>
            <w:shd w:val="clear" w:color="auto" w:fill="auto"/>
            <w:vAlign w:val="center"/>
          </w:tcPr>
          <w:p w14:paraId="332FE9B6">
            <w:pPr>
              <w:spacing w:line="360" w:lineRule="auto"/>
              <w:ind w:firstLine="420"/>
              <w:jc w:val="left"/>
              <w:rPr>
                <w:color w:val="auto"/>
                <w:highlight w:val="none"/>
              </w:rPr>
            </w:pPr>
            <w:r>
              <w:rPr>
                <w:rFonts w:hint="eastAsia"/>
                <w:color w:val="auto"/>
                <w:highlight w:val="none"/>
              </w:rPr>
              <w:t>拟投入本项目服务人员（含配送人员）每提供1人得0.5分，满分8分。</w:t>
            </w:r>
          </w:p>
          <w:p w14:paraId="5FF148C0">
            <w:pPr>
              <w:spacing w:line="360" w:lineRule="auto"/>
              <w:ind w:firstLine="422"/>
              <w:jc w:val="left"/>
              <w:rPr>
                <w:color w:val="auto"/>
                <w:highlight w:val="none"/>
              </w:rPr>
            </w:pPr>
            <w:r>
              <w:rPr>
                <w:rFonts w:hint="eastAsia"/>
                <w:b/>
                <w:bCs/>
                <w:color w:val="auto"/>
                <w:highlight w:val="none"/>
              </w:rPr>
              <w:t>注：投标文件提供投标人与投入人员签订的劳动合同（或社保证明材料）及人员有效健康证扫描件，不提供不得分。</w:t>
            </w:r>
          </w:p>
        </w:tc>
      </w:tr>
      <w:tr w14:paraId="2DD3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8" w:type="dxa"/>
            <w:gridSpan w:val="4"/>
            <w:vAlign w:val="center"/>
          </w:tcPr>
          <w:p w14:paraId="5964E237">
            <w:pPr>
              <w:pStyle w:val="24"/>
              <w:spacing w:line="360" w:lineRule="auto"/>
              <w:rPr>
                <w:rFonts w:hAnsi="宋体"/>
                <w:b/>
                <w:bCs/>
                <w:color w:val="auto"/>
                <w:sz w:val="21"/>
                <w:highlight w:val="none"/>
              </w:rPr>
            </w:pPr>
            <w:r>
              <w:rPr>
                <w:rFonts w:hint="eastAsia" w:hAnsi="宋体"/>
                <w:b/>
                <w:bCs/>
                <w:color w:val="auto"/>
                <w:sz w:val="21"/>
                <w:highlight w:val="none"/>
              </w:rPr>
              <w:t>总得分为以上各项评审因素得分合计</w:t>
            </w:r>
          </w:p>
        </w:tc>
      </w:tr>
    </w:tbl>
    <w:p w14:paraId="53BF9E8D">
      <w:pPr>
        <w:pStyle w:val="24"/>
        <w:spacing w:line="360" w:lineRule="auto"/>
        <w:ind w:firstLine="420"/>
        <w:rPr>
          <w:color w:val="auto"/>
          <w:sz w:val="30"/>
          <w:szCs w:val="30"/>
          <w:highlight w:val="none"/>
        </w:rPr>
      </w:pPr>
      <w:r>
        <w:rPr>
          <w:rFonts w:hint="eastAsia" w:hAnsi="宋体"/>
          <w:bCs/>
          <w:color w:val="auto"/>
          <w:sz w:val="21"/>
          <w:highlight w:val="none"/>
        </w:rPr>
        <w:t>注：计分方法按四舍五入取至百分位</w:t>
      </w:r>
      <w:r>
        <w:rPr>
          <w:rFonts w:hint="eastAsia" w:hAnsi="宋体"/>
          <w:bCs/>
          <w:color w:val="auto"/>
          <w:sz w:val="21"/>
          <w:highlight w:val="none"/>
          <w:lang w:eastAsia="zh-CN"/>
        </w:rPr>
        <w:t>。</w:t>
      </w:r>
    </w:p>
    <w:p w14:paraId="23E98C79">
      <w:pPr>
        <w:pStyle w:val="4"/>
        <w:keepNext w:val="0"/>
        <w:keepLines w:val="0"/>
        <w:jc w:val="center"/>
        <w:rPr>
          <w:color w:val="auto"/>
          <w:sz w:val="30"/>
          <w:szCs w:val="30"/>
          <w:highlight w:val="none"/>
        </w:rPr>
      </w:pPr>
    </w:p>
    <w:p w14:paraId="61FCC8BD">
      <w:pPr>
        <w:pStyle w:val="4"/>
        <w:keepNext w:val="0"/>
        <w:keepLines w:val="0"/>
        <w:jc w:val="center"/>
        <w:rPr>
          <w:color w:val="auto"/>
          <w:sz w:val="30"/>
          <w:szCs w:val="30"/>
          <w:highlight w:val="none"/>
        </w:rPr>
      </w:pPr>
      <w:r>
        <w:rPr>
          <w:rFonts w:hint="eastAsia"/>
          <w:color w:val="auto"/>
          <w:sz w:val="30"/>
          <w:szCs w:val="30"/>
          <w:highlight w:val="none"/>
        </w:rPr>
        <w:t>四、中标候选人推荐原则</w:t>
      </w:r>
    </w:p>
    <w:p w14:paraId="39ADD673">
      <w:pPr>
        <w:pStyle w:val="24"/>
        <w:spacing w:line="360" w:lineRule="auto"/>
        <w:contextualSpacing/>
        <w:jc w:val="center"/>
        <w:rPr>
          <w:rFonts w:hAnsi="宋体"/>
          <w:b/>
          <w:bCs/>
          <w:color w:val="auto"/>
          <w:sz w:val="24"/>
          <w:szCs w:val="24"/>
          <w:highlight w:val="none"/>
        </w:rPr>
      </w:pPr>
      <w:r>
        <w:rPr>
          <w:rFonts w:hint="eastAsia" w:hAnsi="宋体"/>
          <w:b/>
          <w:bCs/>
          <w:color w:val="auto"/>
          <w:sz w:val="24"/>
          <w:szCs w:val="24"/>
          <w:highlight w:val="none"/>
        </w:rPr>
        <w:t>综合评分法</w:t>
      </w:r>
    </w:p>
    <w:p w14:paraId="5D08C0CF">
      <w:pPr>
        <w:pStyle w:val="24"/>
        <w:spacing w:line="360" w:lineRule="auto"/>
        <w:ind w:firstLine="42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0DF37111">
      <w:pPr>
        <w:pStyle w:val="24"/>
        <w:spacing w:line="360" w:lineRule="auto"/>
        <w:ind w:firstLine="420"/>
        <w:contextualSpacing/>
        <w:rPr>
          <w:rFonts w:hAnsi="宋体"/>
          <w:b/>
          <w:color w:val="auto"/>
          <w:sz w:val="24"/>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195DABE9">
      <w:pPr>
        <w:spacing w:before="120" w:after="120" w:line="400" w:lineRule="exact"/>
        <w:rPr>
          <w:rFonts w:ascii="宋体" w:hAnsi="宋体"/>
          <w:b/>
          <w:color w:val="auto"/>
          <w:sz w:val="24"/>
          <w:highlight w:val="none"/>
        </w:rPr>
      </w:pPr>
    </w:p>
    <w:p w14:paraId="296CB5D6">
      <w:pPr>
        <w:rPr>
          <w:rFonts w:ascii="宋体" w:hAnsi="宋体"/>
          <w:b/>
          <w:color w:val="auto"/>
          <w:sz w:val="24"/>
          <w:highlight w:val="none"/>
        </w:rPr>
      </w:pPr>
    </w:p>
    <w:p w14:paraId="1A510C91">
      <w:pPr>
        <w:rPr>
          <w:rFonts w:ascii="宋体" w:hAnsi="宋体"/>
          <w:b/>
          <w:color w:val="auto"/>
          <w:sz w:val="24"/>
          <w:highlight w:val="none"/>
        </w:rPr>
      </w:pPr>
    </w:p>
    <w:p w14:paraId="0B113D2A">
      <w:pPr>
        <w:rPr>
          <w:rFonts w:ascii="宋体" w:hAnsi="宋体"/>
          <w:b/>
          <w:color w:val="auto"/>
          <w:sz w:val="24"/>
          <w:highlight w:val="none"/>
        </w:rPr>
      </w:pPr>
    </w:p>
    <w:p w14:paraId="51DDBEBC">
      <w:pPr>
        <w:rPr>
          <w:rFonts w:ascii="宋体" w:hAnsi="宋体"/>
          <w:b/>
          <w:color w:val="auto"/>
          <w:sz w:val="24"/>
          <w:highlight w:val="none"/>
        </w:rPr>
      </w:pPr>
    </w:p>
    <w:p w14:paraId="420D9E7B">
      <w:pPr>
        <w:rPr>
          <w:rFonts w:ascii="宋体" w:hAnsi="宋体"/>
          <w:b/>
          <w:color w:val="auto"/>
          <w:sz w:val="24"/>
          <w:highlight w:val="none"/>
        </w:rPr>
      </w:pPr>
    </w:p>
    <w:p w14:paraId="27A4676D">
      <w:pPr>
        <w:rPr>
          <w:rFonts w:ascii="宋体" w:hAnsi="宋体"/>
          <w:b/>
          <w:color w:val="auto"/>
          <w:sz w:val="24"/>
          <w:highlight w:val="none"/>
        </w:rPr>
      </w:pPr>
    </w:p>
    <w:p w14:paraId="23F13149">
      <w:pPr>
        <w:rPr>
          <w:rFonts w:ascii="宋体" w:hAnsi="宋体"/>
          <w:b/>
          <w:color w:val="auto"/>
          <w:sz w:val="24"/>
          <w:highlight w:val="none"/>
        </w:rPr>
      </w:pPr>
    </w:p>
    <w:p w14:paraId="474B5FF2">
      <w:pPr>
        <w:rPr>
          <w:rFonts w:ascii="宋体" w:hAnsi="宋体"/>
          <w:b/>
          <w:color w:val="auto"/>
          <w:sz w:val="24"/>
          <w:highlight w:val="none"/>
        </w:rPr>
      </w:pPr>
    </w:p>
    <w:p w14:paraId="0D80A0F4">
      <w:pPr>
        <w:rPr>
          <w:color w:val="auto"/>
          <w:highlight w:val="none"/>
        </w:rPr>
      </w:pPr>
      <w:bookmarkStart w:id="139" w:name="_Toc25250"/>
      <w:r>
        <w:rPr>
          <w:rFonts w:hint="eastAsia"/>
          <w:color w:val="auto"/>
          <w:highlight w:val="none"/>
        </w:rPr>
        <w:br w:type="page" w:clear="all"/>
      </w:r>
    </w:p>
    <w:p w14:paraId="37EC987A">
      <w:pPr>
        <w:pStyle w:val="2"/>
        <w:jc w:val="center"/>
        <w:rPr>
          <w:color w:val="auto"/>
          <w:highlight w:val="none"/>
        </w:rPr>
      </w:pPr>
    </w:p>
    <w:p w14:paraId="5973C9D0">
      <w:pPr>
        <w:pStyle w:val="2"/>
        <w:jc w:val="center"/>
        <w:rPr>
          <w:color w:val="auto"/>
          <w:highlight w:val="none"/>
        </w:rPr>
      </w:pPr>
    </w:p>
    <w:p w14:paraId="12B58F6D">
      <w:pPr>
        <w:pStyle w:val="2"/>
        <w:jc w:val="center"/>
        <w:rPr>
          <w:color w:val="auto"/>
          <w:highlight w:val="none"/>
        </w:rPr>
      </w:pPr>
    </w:p>
    <w:p w14:paraId="754F8273">
      <w:pPr>
        <w:pStyle w:val="2"/>
        <w:jc w:val="center"/>
        <w:rPr>
          <w:color w:val="auto"/>
          <w:highlight w:val="none"/>
        </w:rPr>
      </w:pPr>
    </w:p>
    <w:p w14:paraId="4A889341">
      <w:pPr>
        <w:pStyle w:val="2"/>
        <w:jc w:val="center"/>
        <w:rPr>
          <w:color w:val="auto"/>
          <w:highlight w:val="none"/>
        </w:rPr>
      </w:pPr>
      <w:r>
        <w:rPr>
          <w:rFonts w:hint="eastAsia"/>
          <w:color w:val="auto"/>
          <w:highlight w:val="none"/>
        </w:rPr>
        <w:t>第五章  拟签订的合同文本</w:t>
      </w:r>
      <w:bookmarkEnd w:id="139"/>
    </w:p>
    <w:p w14:paraId="74860D83">
      <w:pPr>
        <w:jc w:val="center"/>
        <w:rPr>
          <w:rFonts w:ascii="宋体" w:hAnsi="宋体"/>
          <w:bCs/>
          <w:color w:val="auto"/>
          <w:sz w:val="32"/>
          <w:szCs w:val="32"/>
          <w:highlight w:val="none"/>
        </w:rPr>
      </w:pPr>
    </w:p>
    <w:p w14:paraId="55C13FD1">
      <w:pPr>
        <w:jc w:val="center"/>
        <w:rPr>
          <w:rFonts w:ascii="宋体" w:hAnsi="宋体"/>
          <w:bCs/>
          <w:color w:val="auto"/>
          <w:sz w:val="32"/>
          <w:szCs w:val="32"/>
          <w:highlight w:val="none"/>
        </w:rPr>
      </w:pPr>
    </w:p>
    <w:p w14:paraId="71BA1E0C">
      <w:pPr>
        <w:jc w:val="center"/>
        <w:rPr>
          <w:rFonts w:ascii="宋体" w:hAnsi="宋体"/>
          <w:bCs/>
          <w:color w:val="auto"/>
          <w:sz w:val="32"/>
          <w:szCs w:val="32"/>
          <w:highlight w:val="none"/>
        </w:rPr>
      </w:pPr>
    </w:p>
    <w:p w14:paraId="0C1FAC7F">
      <w:pPr>
        <w:jc w:val="center"/>
        <w:rPr>
          <w:rFonts w:ascii="宋体" w:hAnsi="宋体"/>
          <w:bCs/>
          <w:color w:val="auto"/>
          <w:sz w:val="32"/>
          <w:szCs w:val="32"/>
          <w:highlight w:val="none"/>
        </w:rPr>
      </w:pPr>
    </w:p>
    <w:p w14:paraId="36293A9C">
      <w:pPr>
        <w:jc w:val="center"/>
        <w:rPr>
          <w:rFonts w:ascii="宋体" w:hAnsi="宋体"/>
          <w:bCs/>
          <w:color w:val="auto"/>
          <w:sz w:val="32"/>
          <w:szCs w:val="32"/>
          <w:highlight w:val="none"/>
        </w:rPr>
      </w:pPr>
    </w:p>
    <w:p w14:paraId="66BA4E88">
      <w:pPr>
        <w:jc w:val="center"/>
        <w:rPr>
          <w:rFonts w:ascii="宋体" w:hAnsi="宋体"/>
          <w:bCs/>
          <w:color w:val="auto"/>
          <w:sz w:val="32"/>
          <w:szCs w:val="32"/>
          <w:highlight w:val="none"/>
        </w:rPr>
      </w:pPr>
    </w:p>
    <w:p w14:paraId="1463ABC6">
      <w:pPr>
        <w:jc w:val="center"/>
        <w:rPr>
          <w:rFonts w:ascii="宋体" w:hAnsi="宋体"/>
          <w:bCs/>
          <w:color w:val="auto"/>
          <w:sz w:val="32"/>
          <w:szCs w:val="32"/>
          <w:highlight w:val="none"/>
        </w:rPr>
      </w:pPr>
    </w:p>
    <w:p w14:paraId="4EC181C7">
      <w:pPr>
        <w:jc w:val="center"/>
        <w:rPr>
          <w:rFonts w:ascii="宋体" w:hAnsi="宋体"/>
          <w:bCs/>
          <w:color w:val="auto"/>
          <w:sz w:val="32"/>
          <w:szCs w:val="32"/>
          <w:highlight w:val="none"/>
        </w:rPr>
      </w:pPr>
    </w:p>
    <w:p w14:paraId="709C87A1">
      <w:pPr>
        <w:jc w:val="center"/>
        <w:rPr>
          <w:rFonts w:ascii="宋体" w:hAnsi="宋体"/>
          <w:bCs/>
          <w:color w:val="auto"/>
          <w:sz w:val="32"/>
          <w:szCs w:val="32"/>
          <w:highlight w:val="none"/>
        </w:rPr>
      </w:pPr>
    </w:p>
    <w:p w14:paraId="400C319C">
      <w:pPr>
        <w:jc w:val="center"/>
        <w:rPr>
          <w:rFonts w:ascii="宋体" w:hAnsi="宋体"/>
          <w:bCs/>
          <w:color w:val="auto"/>
          <w:sz w:val="32"/>
          <w:szCs w:val="32"/>
          <w:highlight w:val="none"/>
        </w:rPr>
      </w:pPr>
    </w:p>
    <w:p w14:paraId="2ED80CE8">
      <w:pPr>
        <w:jc w:val="center"/>
        <w:rPr>
          <w:rFonts w:ascii="宋体" w:hAnsi="宋体"/>
          <w:bCs/>
          <w:color w:val="auto"/>
          <w:sz w:val="32"/>
          <w:szCs w:val="32"/>
          <w:highlight w:val="none"/>
        </w:rPr>
      </w:pPr>
    </w:p>
    <w:p w14:paraId="3173F4F4">
      <w:pPr>
        <w:spacing w:line="360" w:lineRule="auto"/>
        <w:rPr>
          <w:rFonts w:ascii="宋体" w:hAnsi="宋体"/>
          <w:color w:val="auto"/>
          <w:szCs w:val="21"/>
          <w:highlight w:val="none"/>
        </w:rPr>
      </w:pPr>
    </w:p>
    <w:p w14:paraId="4888F1D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br w:type="page" w:clear="all"/>
      </w:r>
      <w:r>
        <w:rPr>
          <w:rFonts w:hint="eastAsia" w:ascii="宋体" w:hAnsi="宋体"/>
          <w:b/>
          <w:bCs/>
          <w:color w:val="auto"/>
          <w:sz w:val="32"/>
          <w:szCs w:val="32"/>
          <w:highlight w:val="none"/>
        </w:rPr>
        <w:t>政府采购合同</w:t>
      </w:r>
    </w:p>
    <w:p w14:paraId="48B347C2">
      <w:pPr>
        <w:spacing w:line="360" w:lineRule="auto"/>
        <w:ind w:right="480" w:firstLine="5250"/>
        <w:rPr>
          <w:rFonts w:ascii="宋体" w:hAnsi="宋体"/>
          <w:bCs/>
          <w:color w:val="auto"/>
          <w:szCs w:val="21"/>
          <w:highlight w:val="none"/>
          <w:u w:val="single"/>
        </w:rPr>
      </w:pPr>
      <w:r>
        <w:rPr>
          <w:rFonts w:hint="eastAsia" w:ascii="宋体" w:hAnsi="宋体"/>
          <w:bCs/>
          <w:color w:val="auto"/>
          <w:szCs w:val="21"/>
          <w:highlight w:val="none"/>
        </w:rPr>
        <w:t>合同编号：</w:t>
      </w:r>
    </w:p>
    <w:p w14:paraId="20D4B838">
      <w:pPr>
        <w:spacing w:line="360" w:lineRule="auto"/>
        <w:rPr>
          <w:rFonts w:ascii="宋体" w:hAnsi="宋体"/>
          <w:color w:val="auto"/>
          <w:szCs w:val="21"/>
          <w:highlight w:val="none"/>
        </w:rPr>
      </w:pPr>
    </w:p>
    <w:p w14:paraId="1BABEE8C">
      <w:pPr>
        <w:spacing w:line="440" w:lineRule="exact"/>
        <w:rPr>
          <w:rFonts w:ascii="宋体" w:hAnsi="宋体"/>
          <w:color w:val="auto"/>
          <w:szCs w:val="21"/>
          <w:highlight w:val="none"/>
        </w:rPr>
      </w:pPr>
      <w:r>
        <w:rPr>
          <w:rFonts w:hint="eastAsia" w:ascii="宋体" w:hAnsi="宋体"/>
          <w:color w:val="auto"/>
          <w:szCs w:val="21"/>
          <w:highlight w:val="none"/>
        </w:rPr>
        <w:t>采购人（甲方）：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DEB3F29">
      <w:pPr>
        <w:spacing w:line="440" w:lineRule="exact"/>
        <w:rPr>
          <w:rFonts w:ascii="宋体" w:hAnsi="宋体"/>
          <w:color w:val="auto"/>
          <w:szCs w:val="21"/>
          <w:highlight w:val="none"/>
        </w:rPr>
      </w:pPr>
      <w:r>
        <w:rPr>
          <w:rFonts w:hint="eastAsia" w:ascii="宋体" w:hAnsi="宋体"/>
          <w:color w:val="auto"/>
          <w:szCs w:val="21"/>
          <w:highlight w:val="none"/>
        </w:rPr>
        <w:t>乙方1（全称）：（供应商）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4E2DA9E">
      <w:pPr>
        <w:spacing w:line="440" w:lineRule="exact"/>
        <w:rPr>
          <w:rFonts w:ascii="宋体" w:hAnsi="宋体"/>
          <w:color w:val="auto"/>
          <w:szCs w:val="21"/>
          <w:highlight w:val="none"/>
        </w:rPr>
      </w:pPr>
      <w:r>
        <w:rPr>
          <w:rFonts w:hint="eastAsia" w:ascii="宋体" w:hAnsi="宋体"/>
          <w:color w:val="auto"/>
          <w:szCs w:val="21"/>
          <w:highlight w:val="none"/>
        </w:rPr>
        <w:t>乙方2（全称）：（联合体成员供应商或其他合同主体）（如有）</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DE9A740">
      <w:pPr>
        <w:spacing w:line="440" w:lineRule="exact"/>
        <w:rPr>
          <w:rFonts w:ascii="宋体" w:hAnsi="宋体"/>
          <w:color w:val="auto"/>
          <w:szCs w:val="21"/>
          <w:highlight w:val="none"/>
          <w:u w:val="single"/>
        </w:rPr>
      </w:pPr>
      <w:r>
        <w:rPr>
          <w:rFonts w:hint="eastAsia" w:ascii="宋体" w:hAnsi="宋体"/>
          <w:color w:val="auto"/>
          <w:szCs w:val="21"/>
          <w:highlight w:val="none"/>
        </w:rPr>
        <w:t>采购计划号：</w:t>
      </w:r>
      <w:r>
        <w:rPr>
          <w:rFonts w:hint="eastAsia" w:ascii="宋体" w:hAnsi="宋体"/>
          <w:color w:val="auto"/>
          <w:szCs w:val="21"/>
          <w:highlight w:val="none"/>
          <w:u w:val="single"/>
        </w:rPr>
        <w:t xml:space="preserve">                         </w:t>
      </w:r>
    </w:p>
    <w:p w14:paraId="07C249E0">
      <w:pPr>
        <w:spacing w:line="440" w:lineRule="exac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项目编号：</w:t>
      </w:r>
      <w:r>
        <w:rPr>
          <w:rFonts w:hint="eastAsia" w:ascii="宋体" w:hAnsi="宋体"/>
          <w:color w:val="auto"/>
          <w:szCs w:val="21"/>
          <w:highlight w:val="none"/>
          <w:u w:val="single"/>
        </w:rPr>
        <w:t xml:space="preserve">                       </w:t>
      </w:r>
    </w:p>
    <w:p w14:paraId="4398C129">
      <w:pPr>
        <w:spacing w:line="440" w:lineRule="exact"/>
        <w:ind w:firstLine="420"/>
        <w:rPr>
          <w:rFonts w:ascii="宋体" w:hAnsi="宋体"/>
          <w:color w:val="auto"/>
          <w:szCs w:val="21"/>
          <w:highlight w:val="none"/>
          <w:u w:val="single"/>
        </w:rPr>
      </w:pPr>
      <w:r>
        <w:rPr>
          <w:rFonts w:hint="eastAsia" w:ascii="宋体" w:hAnsi="宋体"/>
          <w:color w:val="auto"/>
          <w:szCs w:val="21"/>
          <w:highlight w:val="none"/>
        </w:rPr>
        <w:t>本合同是否为中小企业预留合同：</w:t>
      </w:r>
      <w:r>
        <w:rPr>
          <w:rFonts w:hint="eastAsia" w:ascii="宋体" w:hAnsi="宋体"/>
          <w:color w:val="auto"/>
          <w:szCs w:val="21"/>
          <w:highlight w:val="none"/>
          <w:u w:val="single"/>
        </w:rPr>
        <w:t xml:space="preserve">          </w:t>
      </w:r>
    </w:p>
    <w:p w14:paraId="563710DE">
      <w:pPr>
        <w:spacing w:line="440" w:lineRule="exact"/>
        <w:ind w:firstLine="420"/>
        <w:rPr>
          <w:rFonts w:ascii="宋体" w:hAnsi="宋体"/>
          <w:color w:val="auto"/>
          <w:szCs w:val="21"/>
          <w:highlight w:val="none"/>
        </w:rPr>
      </w:pPr>
      <w:r>
        <w:rPr>
          <w:rFonts w:hint="eastAsia" w:ascii="宋体" w:hAnsi="宋体"/>
          <w:color w:val="auto"/>
          <w:szCs w:val="21"/>
          <w:highlight w:val="none"/>
        </w:rPr>
        <w:t>根据《中华人民共和国政府采购法》《中华人民共和国民法典》等法律法规规定，按照采购文件规定条款和乙方投标承诺，甲乙双方签订本合同。</w:t>
      </w:r>
    </w:p>
    <w:p w14:paraId="198EFFB9">
      <w:pPr>
        <w:spacing w:line="440" w:lineRule="exact"/>
        <w:ind w:firstLine="422"/>
        <w:rPr>
          <w:rFonts w:ascii="宋体" w:hAnsi="宋体"/>
          <w:b/>
          <w:bCs/>
          <w:color w:val="auto"/>
          <w:szCs w:val="21"/>
          <w:highlight w:val="none"/>
        </w:rPr>
      </w:pPr>
      <w:r>
        <w:rPr>
          <w:rFonts w:hint="eastAsia" w:ascii="宋体" w:hAnsi="宋体" w:cs="宋体"/>
          <w:b/>
          <w:color w:val="auto"/>
          <w:szCs w:val="21"/>
          <w:highlight w:val="none"/>
        </w:rPr>
        <w:t>第一条　合同标的</w:t>
      </w:r>
    </w:p>
    <w:tbl>
      <w:tblPr>
        <w:tblStyle w:val="49"/>
        <w:tblW w:w="9209"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2988"/>
        <w:gridCol w:w="1547"/>
        <w:gridCol w:w="1820"/>
        <w:gridCol w:w="1820"/>
      </w:tblGrid>
      <w:tr w14:paraId="3E23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34" w:type="dxa"/>
            <w:vAlign w:val="center"/>
          </w:tcPr>
          <w:p w14:paraId="1DF52557">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序号</w:t>
            </w:r>
          </w:p>
        </w:tc>
        <w:tc>
          <w:tcPr>
            <w:tcW w:w="2988" w:type="dxa"/>
            <w:vAlign w:val="center"/>
          </w:tcPr>
          <w:p w14:paraId="60A638DF">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标的</w:t>
            </w:r>
            <w:r>
              <w:rPr>
                <w:rFonts w:hint="eastAsia" w:ascii="宋体" w:hAnsi="宋体" w:cs="宋体"/>
                <w:b/>
                <w:bCs/>
                <w:color w:val="auto"/>
                <w:szCs w:val="21"/>
                <w:highlight w:val="none"/>
                <w:lang w:val="en-US" w:eastAsia="zh-CN"/>
              </w:rPr>
              <w:t>的</w:t>
            </w:r>
            <w:r>
              <w:rPr>
                <w:rFonts w:hint="eastAsia" w:ascii="宋体" w:hAnsi="宋体" w:cs="宋体"/>
                <w:b/>
                <w:bCs/>
                <w:color w:val="auto"/>
                <w:szCs w:val="21"/>
                <w:highlight w:val="none"/>
              </w:rPr>
              <w:t>名称</w:t>
            </w:r>
          </w:p>
        </w:tc>
        <w:tc>
          <w:tcPr>
            <w:tcW w:w="1547" w:type="dxa"/>
            <w:vAlign w:val="center"/>
          </w:tcPr>
          <w:p w14:paraId="63E09AAD">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数量</w:t>
            </w:r>
          </w:p>
        </w:tc>
        <w:tc>
          <w:tcPr>
            <w:tcW w:w="1820" w:type="dxa"/>
            <w:vAlign w:val="center"/>
          </w:tcPr>
          <w:p w14:paraId="3A9ACC9E">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单位</w:t>
            </w:r>
          </w:p>
        </w:tc>
        <w:tc>
          <w:tcPr>
            <w:tcW w:w="1820" w:type="dxa"/>
            <w:vAlign w:val="center"/>
          </w:tcPr>
          <w:p w14:paraId="5FA8A735">
            <w:pPr>
              <w:spacing w:line="440" w:lineRule="exact"/>
              <w:jc w:val="center"/>
              <w:rPr>
                <w:rFonts w:ascii="宋体" w:hAnsi="宋体"/>
                <w:b/>
                <w:bCs/>
                <w:color w:val="auto"/>
                <w:szCs w:val="21"/>
                <w:highlight w:val="none"/>
              </w:rPr>
            </w:pPr>
            <w:r>
              <w:rPr>
                <w:rFonts w:hint="eastAsia" w:ascii="宋体" w:hAnsi="宋体" w:cs="宋体"/>
                <w:b/>
                <w:bCs/>
                <w:color w:val="auto"/>
                <w:szCs w:val="21"/>
                <w:highlight w:val="none"/>
              </w:rPr>
              <w:t>折扣（%）</w:t>
            </w:r>
          </w:p>
        </w:tc>
      </w:tr>
      <w:tr w14:paraId="2B3A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034" w:type="dxa"/>
            <w:vAlign w:val="center"/>
          </w:tcPr>
          <w:p w14:paraId="41D7ACF9">
            <w:pPr>
              <w:spacing w:line="440" w:lineRule="exact"/>
              <w:jc w:val="center"/>
              <w:rPr>
                <w:rFonts w:ascii="宋体" w:hAnsi="宋体"/>
                <w:color w:val="auto"/>
                <w:szCs w:val="21"/>
                <w:highlight w:val="none"/>
              </w:rPr>
            </w:pPr>
            <w:r>
              <w:rPr>
                <w:rFonts w:hint="eastAsia" w:ascii="宋体" w:hAnsi="宋体"/>
                <w:color w:val="auto"/>
                <w:szCs w:val="21"/>
                <w:highlight w:val="none"/>
              </w:rPr>
              <w:t>1</w:t>
            </w:r>
          </w:p>
        </w:tc>
        <w:tc>
          <w:tcPr>
            <w:tcW w:w="2988" w:type="dxa"/>
            <w:vAlign w:val="center"/>
          </w:tcPr>
          <w:p w14:paraId="0A13AE8B">
            <w:pPr>
              <w:spacing w:line="440" w:lineRule="exact"/>
              <w:jc w:val="center"/>
              <w:rPr>
                <w:rFonts w:ascii="宋体" w:hAnsi="宋体"/>
                <w:color w:val="auto"/>
                <w:szCs w:val="21"/>
                <w:highlight w:val="none"/>
              </w:rPr>
            </w:pPr>
            <w:r>
              <w:rPr>
                <w:rFonts w:hint="eastAsia" w:ascii="宋体" w:hAnsi="宋体"/>
                <w:color w:val="auto"/>
                <w:szCs w:val="21"/>
                <w:highlight w:val="none"/>
              </w:rPr>
              <w:t>2026年-2028年万秀区农村义务教育学生营养改善计划食品进行集中配送项目</w:t>
            </w:r>
          </w:p>
        </w:tc>
        <w:tc>
          <w:tcPr>
            <w:tcW w:w="1547" w:type="dxa"/>
            <w:vAlign w:val="center"/>
          </w:tcPr>
          <w:p w14:paraId="301BB50F">
            <w:pPr>
              <w:spacing w:line="440" w:lineRule="exact"/>
              <w:jc w:val="center"/>
              <w:rPr>
                <w:rFonts w:ascii="宋体" w:hAnsi="宋体"/>
                <w:color w:val="auto"/>
                <w:szCs w:val="21"/>
                <w:highlight w:val="none"/>
              </w:rPr>
            </w:pPr>
            <w:r>
              <w:rPr>
                <w:rFonts w:hint="eastAsia" w:ascii="宋体" w:hAnsi="宋体"/>
                <w:color w:val="auto"/>
                <w:szCs w:val="21"/>
                <w:highlight w:val="none"/>
              </w:rPr>
              <w:t>1</w:t>
            </w:r>
          </w:p>
        </w:tc>
        <w:tc>
          <w:tcPr>
            <w:tcW w:w="1820" w:type="dxa"/>
            <w:vAlign w:val="center"/>
          </w:tcPr>
          <w:p w14:paraId="31FDBA85">
            <w:pPr>
              <w:spacing w:line="440" w:lineRule="exact"/>
              <w:jc w:val="center"/>
              <w:rPr>
                <w:rFonts w:ascii="宋体" w:hAnsi="宋体"/>
                <w:color w:val="auto"/>
                <w:szCs w:val="21"/>
                <w:highlight w:val="none"/>
              </w:rPr>
            </w:pPr>
            <w:r>
              <w:rPr>
                <w:rFonts w:hint="eastAsia" w:ascii="宋体" w:hAnsi="宋体"/>
                <w:color w:val="auto"/>
                <w:szCs w:val="21"/>
                <w:highlight w:val="none"/>
              </w:rPr>
              <w:t>项</w:t>
            </w:r>
          </w:p>
        </w:tc>
        <w:tc>
          <w:tcPr>
            <w:tcW w:w="1820" w:type="dxa"/>
            <w:vAlign w:val="center"/>
          </w:tcPr>
          <w:p w14:paraId="6DE95163">
            <w:pPr>
              <w:spacing w:line="440" w:lineRule="exact"/>
              <w:rPr>
                <w:rFonts w:ascii="宋体" w:hAnsi="宋体"/>
                <w:color w:val="auto"/>
                <w:szCs w:val="21"/>
                <w:highlight w:val="none"/>
              </w:rPr>
            </w:pPr>
          </w:p>
        </w:tc>
      </w:tr>
      <w:tr w14:paraId="2DD3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5" w:hRule="atLeast"/>
        </w:trPr>
        <w:tc>
          <w:tcPr>
            <w:tcW w:w="9209" w:type="dxa"/>
            <w:gridSpan w:val="5"/>
            <w:vAlign w:val="center"/>
          </w:tcPr>
          <w:p w14:paraId="0F45792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注：</w:t>
            </w:r>
          </w:p>
          <w:p w14:paraId="3608113F">
            <w:pPr>
              <w:tabs>
                <w:tab w:val="left" w:pos="714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pacing w:val="6"/>
                <w:szCs w:val="21"/>
                <w:highlight w:val="none"/>
              </w:rPr>
              <w:t>本次报价须为按项目统一折扣报价</w:t>
            </w:r>
            <w:r>
              <w:rPr>
                <w:rFonts w:hint="eastAsia" w:ascii="宋体" w:hAnsi="宋体" w:cs="宋体"/>
                <w:color w:val="auto"/>
                <w:szCs w:val="21"/>
                <w:highlight w:val="none"/>
              </w:rPr>
              <w:t>。</w:t>
            </w:r>
          </w:p>
          <w:p w14:paraId="590F1F74">
            <w:pPr>
              <w:tabs>
                <w:tab w:val="left" w:pos="714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食材基准价随行就市，每月的月中及月末由甲方指定人员与乙方工作人员组成询价小组，在梧州市大东菜市场、新兴菜市场、大塘菜市场、怡景菜市场、两广菜市场、新龙菜市场或相关超市及其他市场随机选取三家（或以上）取得营业执照的固定摊档，进行市场询价，</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根据市场询价及梧州市发展和改革委员会官网公布梧州市新兴市场部分食品价格监测表的平均价为基准价（</w:t>
            </w:r>
            <w:r>
              <w:rPr>
                <w:rFonts w:hint="eastAsia" w:ascii="宋体" w:hAnsi="宋体" w:cs="宋体"/>
                <w:color w:val="auto"/>
                <w:spacing w:val="6"/>
                <w:szCs w:val="21"/>
                <w:highlight w:val="none"/>
                <w:lang w:val="en-US" w:eastAsia="zh-CN"/>
              </w:rPr>
              <w:t>甲方</w:t>
            </w:r>
            <w:r>
              <w:rPr>
                <w:rFonts w:hint="eastAsia" w:ascii="宋体" w:hAnsi="宋体" w:cs="宋体"/>
                <w:color w:val="auto"/>
                <w:spacing w:val="6"/>
                <w:szCs w:val="21"/>
                <w:highlight w:val="none"/>
              </w:rPr>
              <w:t>食品采购监督小组审核</w:t>
            </w:r>
            <w:r>
              <w:rPr>
                <w:rFonts w:hint="eastAsia" w:ascii="宋体" w:hAnsi="宋体" w:cs="宋体"/>
                <w:color w:val="auto"/>
                <w:spacing w:val="6"/>
                <w:szCs w:val="21"/>
                <w:highlight w:val="none"/>
                <w:lang w:val="en-US" w:eastAsia="zh-CN"/>
              </w:rPr>
              <w:t>批准</w:t>
            </w:r>
            <w:r>
              <w:rPr>
                <w:rFonts w:hint="eastAsia" w:ascii="宋体" w:hAnsi="宋体" w:cs="宋体"/>
                <w:color w:val="auto"/>
                <w:spacing w:val="6"/>
                <w:szCs w:val="21"/>
                <w:highlight w:val="none"/>
              </w:rPr>
              <w:t>的基准价格</w:t>
            </w:r>
            <w:r>
              <w:rPr>
                <w:rFonts w:hint="eastAsia" w:ascii="宋体" w:hAnsi="宋体" w:cs="宋体"/>
                <w:color w:val="auto"/>
                <w:szCs w:val="21"/>
                <w:highlight w:val="none"/>
              </w:rPr>
              <w:t>），由双方代表签字或盖章确定。如为特价商品的以实际特价为结算。如价格发生重大变化，乙方可向甲方提交书面申请，就变化价格进行市场询价。</w:t>
            </w:r>
          </w:p>
          <w:p w14:paraId="3A8E0ABF">
            <w:pPr>
              <w:tabs>
                <w:tab w:val="left" w:pos="7140"/>
              </w:tabs>
              <w:spacing w:line="360" w:lineRule="auto"/>
              <w:ind w:firstLine="420"/>
              <w:rPr>
                <w:rFonts w:ascii="宋体" w:hAnsi="宋体"/>
                <w:color w:val="auto"/>
                <w:szCs w:val="21"/>
                <w:highlight w:val="none"/>
              </w:rPr>
            </w:pPr>
            <w:r>
              <w:rPr>
                <w:rFonts w:hint="eastAsia" w:ascii="宋体" w:hAnsi="宋体" w:cs="宋体"/>
                <w:color w:val="auto"/>
                <w:szCs w:val="21"/>
                <w:highlight w:val="none"/>
              </w:rPr>
              <w:t>3.最终结算价格=甲方食品采购监督小组审核批准的基准价格</w:t>
            </w:r>
            <w:r>
              <w:rPr>
                <w:rFonts w:hint="eastAsia" w:ascii="宋体" w:hAnsi="宋体" w:cs="宋体"/>
                <w:color w:val="auto"/>
                <w:spacing w:val="6"/>
                <w:szCs w:val="21"/>
                <w:highlight w:val="none"/>
              </w:rPr>
              <w:t>×</w:t>
            </w:r>
            <w:r>
              <w:rPr>
                <w:rFonts w:hint="eastAsia" w:ascii="宋体" w:hAnsi="宋体" w:cs="宋体"/>
                <w:color w:val="auto"/>
                <w:szCs w:val="21"/>
                <w:highlight w:val="none"/>
              </w:rPr>
              <w:t>中标折扣。</w:t>
            </w:r>
          </w:p>
        </w:tc>
      </w:tr>
    </w:tbl>
    <w:p w14:paraId="74BC330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第二条　质量标准</w:t>
      </w:r>
    </w:p>
    <w:tbl>
      <w:tblPr>
        <w:tblStyle w:val="49"/>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250"/>
        <w:gridCol w:w="7329"/>
      </w:tblGrid>
      <w:tr w14:paraId="2A01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638E1B04">
            <w:pPr>
              <w:widowControl/>
              <w:rPr>
                <w:rFonts w:ascii="宋体" w:hAnsi="宋体" w:cs="宋体"/>
                <w:color w:val="auto"/>
                <w:szCs w:val="21"/>
                <w:highlight w:val="none"/>
                <w:lang w:bidi="ar"/>
              </w:rPr>
            </w:pPr>
            <w:r>
              <w:rPr>
                <w:rFonts w:hint="eastAsia" w:ascii="宋体" w:hAnsi="宋体" w:cs="宋体"/>
                <w:color w:val="auto"/>
                <w:szCs w:val="21"/>
                <w:highlight w:val="none"/>
                <w:lang w:bidi="ar"/>
              </w:rPr>
              <w:t>序号</w:t>
            </w:r>
          </w:p>
        </w:tc>
        <w:tc>
          <w:tcPr>
            <w:tcW w:w="1250" w:type="dxa"/>
            <w:vAlign w:val="center"/>
          </w:tcPr>
          <w:p w14:paraId="6902ADB0">
            <w:pPr>
              <w:widowControl/>
              <w:jc w:val="center"/>
              <w:rPr>
                <w:rFonts w:ascii="宋体" w:hAnsi="宋体" w:cs="宋体"/>
                <w:color w:val="auto"/>
                <w:szCs w:val="21"/>
                <w:highlight w:val="none"/>
                <w:lang w:bidi="ar"/>
              </w:rPr>
            </w:pPr>
            <w:r>
              <w:rPr>
                <w:rFonts w:hint="eastAsia" w:ascii="宋体" w:hAnsi="宋体" w:cs="宋体"/>
                <w:color w:val="auto"/>
                <w:szCs w:val="21"/>
                <w:highlight w:val="none"/>
              </w:rPr>
              <w:t>招标内容</w:t>
            </w:r>
          </w:p>
        </w:tc>
        <w:tc>
          <w:tcPr>
            <w:tcW w:w="7329" w:type="dxa"/>
            <w:vAlign w:val="center"/>
          </w:tcPr>
          <w:p w14:paraId="321EAB2A">
            <w:pPr>
              <w:widowControl/>
              <w:jc w:val="center"/>
              <w:rPr>
                <w:rFonts w:ascii="宋体" w:hAnsi="宋体" w:cs="宋体"/>
                <w:color w:val="auto"/>
                <w:szCs w:val="21"/>
                <w:highlight w:val="none"/>
              </w:rPr>
            </w:pPr>
            <w:r>
              <w:rPr>
                <w:rFonts w:hint="eastAsia"/>
                <w:color w:val="auto"/>
                <w:szCs w:val="21"/>
                <w:highlight w:val="none"/>
              </w:rPr>
              <w:t>配送食品原辅材料要求及技术指标</w:t>
            </w:r>
          </w:p>
        </w:tc>
      </w:tr>
      <w:tr w14:paraId="2E62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dxa"/>
            <w:vAlign w:val="center"/>
          </w:tcPr>
          <w:p w14:paraId="2F0B259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250" w:type="dxa"/>
            <w:vAlign w:val="center"/>
          </w:tcPr>
          <w:p w14:paraId="100FC602">
            <w:pPr>
              <w:spacing w:line="360" w:lineRule="auto"/>
              <w:ind w:right="-26"/>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2026年-2028年万秀区农村义务教育学生营养改善计划食品进行集中配送</w:t>
            </w:r>
            <w:r>
              <w:rPr>
                <w:rFonts w:hint="eastAsia" w:ascii="宋体" w:hAnsi="宋体" w:cs="宋体"/>
                <w:color w:val="auto"/>
                <w:szCs w:val="21"/>
                <w:highlight w:val="none"/>
                <w:lang w:val="en-US" w:eastAsia="zh-CN"/>
              </w:rPr>
              <w:t>项目</w:t>
            </w:r>
          </w:p>
        </w:tc>
        <w:tc>
          <w:tcPr>
            <w:tcW w:w="7329" w:type="dxa"/>
          </w:tcPr>
          <w:p w14:paraId="37D71538">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通用总则：所有供货食材均须符合《中华人民共和国食品安全法》《中华人民共和国农产品质量安全法》及国家现行相关食品安全、质量标准，来源正规、安全无害、新鲜保质，严禁疫区、污染产区、不合格溯源食材入场；所有供货预包装食品或预包装产品均为经生产企业检验合格的正规合格产品，产品各项指标符合国家及行业现行标准，每批次供货均随附完整有效的产品合格证明、批次检验报告；包装密封完好、无毒无害，包装清晰印制生产企业名称、地址、联系电话、生产日期、保质期、执行标准、生产许可证号等完整信息，供货时食品剩余保质期不得少于总保质期的50%。</w:t>
            </w:r>
          </w:p>
          <w:p w14:paraId="326DD140">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一、</w:t>
            </w:r>
            <w:r>
              <w:rPr>
                <w:rFonts w:hint="eastAsia" w:ascii="宋体" w:hAnsi="宋体" w:cs="宋体"/>
                <w:bCs/>
                <w:color w:val="auto"/>
                <w:sz w:val="21"/>
                <w:szCs w:val="21"/>
                <w:highlight w:val="none"/>
              </w:rPr>
              <w:t>米面类</w:t>
            </w:r>
          </w:p>
          <w:p w14:paraId="4DABF673">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1.产品标准：产品标注有效食品生产许可证编号（SC编码），所有米面产品均为非转基因原料制作，</w:t>
            </w:r>
            <w:r>
              <w:rPr>
                <w:rFonts w:hint="eastAsia" w:ascii="宋体" w:hAnsi="宋体" w:cs="宋体"/>
                <w:color w:val="auto"/>
                <w:sz w:val="21"/>
                <w:szCs w:val="21"/>
                <w:highlight w:val="none"/>
              </w:rPr>
              <w:t>生产企业必须具备有效《食品生产许可证》</w:t>
            </w:r>
            <w:r>
              <w:rPr>
                <w:rFonts w:hint="eastAsia" w:ascii="宋体" w:hAnsi="宋体" w:cs="宋体"/>
                <w:bCs/>
                <w:color w:val="auto"/>
                <w:sz w:val="21"/>
                <w:szCs w:val="21"/>
                <w:highlight w:val="none"/>
              </w:rPr>
              <w:t>。</w:t>
            </w:r>
          </w:p>
          <w:p w14:paraId="3CD7406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2.感官质量：产品新鲜无变质、无异味，完全符合国家食品安全相关要求；小麦粉色泽正常、质地均匀，为粉状或微粒状，无结块、无霉变、无杂质。</w:t>
            </w:r>
          </w:p>
          <w:p w14:paraId="17686589">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3.保质期及原料要求：大米成品保质期不少于6个月，稻谷原料储存期不得超过原料保质周期，杜绝陈粮、过期原料加工产品。</w:t>
            </w:r>
          </w:p>
          <w:p w14:paraId="642AE083">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4.品类要求：大米、小麦粉均为市场常规流通合规品类，满足日常餐饮通用使用需求。</w:t>
            </w:r>
          </w:p>
          <w:p w14:paraId="1086428B">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二、</w:t>
            </w:r>
            <w:r>
              <w:rPr>
                <w:rFonts w:hint="eastAsia" w:ascii="宋体" w:hAnsi="宋体" w:cs="宋体"/>
                <w:bCs/>
                <w:color w:val="auto"/>
                <w:sz w:val="21"/>
                <w:szCs w:val="21"/>
                <w:highlight w:val="none"/>
              </w:rPr>
              <w:t>调味品类</w:t>
            </w:r>
          </w:p>
          <w:p w14:paraId="450338F8">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1.资质与计量要求：产品标注有效食品生产许可证编号，产品计量精准，完全符合国家计量规范及相关行业标准。</w:t>
            </w:r>
          </w:p>
          <w:p w14:paraId="6B1F2BF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2.包装及质保：采用符合食品安全国家标准无毒无害密封包装，包装密封性良好、无破损漏液；包装标识信息完整规范，供货剩余保质期不少于总保质期50%，无过期、临期不合格产品。</w:t>
            </w:r>
          </w:p>
          <w:p w14:paraId="4520F54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三、</w:t>
            </w:r>
            <w:r>
              <w:rPr>
                <w:rFonts w:hint="eastAsia" w:ascii="宋体" w:hAnsi="宋体" w:cs="宋体"/>
                <w:bCs/>
                <w:color w:val="auto"/>
                <w:sz w:val="21"/>
                <w:szCs w:val="21"/>
                <w:highlight w:val="none"/>
              </w:rPr>
              <w:t>蔬菜、禽蛋类</w:t>
            </w:r>
          </w:p>
          <w:p w14:paraId="75A86DC7">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1.蔬菜类</w:t>
            </w:r>
          </w:p>
          <w:p w14:paraId="31DB618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所有蔬菜色泽正常，失水率≤5%、无腐烂、无枯萎、无黄叶、无虫蛀；每批次蔬菜均需完成农药残留检测，检测数据完整登记、留存备案，中标供货商每日同步提供对应批次农药残留检测报告，做到证货同行。产品全程符合国家食品安全、农产品质量安全相关国家标准，严禁农残超标、重金属超标、污染蔬菜供货。</w:t>
            </w:r>
          </w:p>
          <w:p w14:paraId="5473C40B">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2.禽蛋类</w:t>
            </w:r>
          </w:p>
          <w:p w14:paraId="67A0A05D">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（1）来源要求：产品来源于非疫区正规养殖基地，来源可溯源，无疫病风险。</w:t>
            </w:r>
          </w:p>
          <w:p w14:paraId="3637A325">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（2）感官标准：蛋壳清洁干净、完整无破损、无裂纹、无污渍；灯光透视观察，蛋体呈微红色，气室偏小，蛋黄不明显外露或仅中心微显阴影。</w:t>
            </w:r>
          </w:p>
          <w:p w14:paraId="34E12E2F">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（3）品质标准：鲜蛋破开后，蛋黄膜完整不破、凸起饱满、富有韧性，蛋清蛋黄分层清晰、色泽鲜亮，无散黄、无异味、无变质。</w:t>
            </w:r>
          </w:p>
          <w:p w14:paraId="17FF14F5">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四、</w:t>
            </w:r>
            <w:r>
              <w:rPr>
                <w:rFonts w:hint="eastAsia" w:ascii="宋体" w:hAnsi="宋体" w:cs="宋体"/>
                <w:bCs/>
                <w:color w:val="auto"/>
                <w:sz w:val="21"/>
                <w:szCs w:val="21"/>
                <w:highlight w:val="none"/>
              </w:rPr>
              <w:t>新鲜肉类</w:t>
            </w:r>
          </w:p>
          <w:p w14:paraId="290BE241">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1.执行标准：鲜冻畜、禽肉类严格执行 GB 2707-2016《食品安全国家标准 鲜（冻）畜、禽产品》；鲜活水产品严格执行 GB 2733-2015《食品安全国家标准 鲜、冻动物性水产品》。</w:t>
            </w:r>
          </w:p>
          <w:p w14:paraId="6C1CFD59">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2.供货要求：生猪等畜禽产品为定点屠宰、当日屠宰新鲜产品，每批次必须随货提供有效的《动物检疫合格证明》《肉品品质检验合格证明》（合称 “两证”），证货相符、批次一致、加盖出具单位公章；产品均来自非疫区，无疫病、无变质、无注水、无异味，肉质新鲜紧实。</w:t>
            </w:r>
          </w:p>
          <w:p w14:paraId="0703E650">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五</w:t>
            </w:r>
            <w:r>
              <w:rPr>
                <w:rFonts w:hint="eastAsia" w:ascii="宋体" w:hAnsi="宋体" w:cs="宋体"/>
                <w:bCs/>
                <w:color w:val="auto"/>
                <w:sz w:val="21"/>
                <w:szCs w:val="21"/>
                <w:highlight w:val="none"/>
                <w:lang w:val="en-US" w:eastAsia="zh-CN"/>
              </w:rPr>
              <w:t>、</w:t>
            </w:r>
            <w:r>
              <w:rPr>
                <w:rFonts w:hint="eastAsia" w:ascii="宋体" w:hAnsi="宋体" w:cs="宋体"/>
                <w:bCs/>
                <w:color w:val="auto"/>
                <w:sz w:val="21"/>
                <w:szCs w:val="21"/>
                <w:highlight w:val="none"/>
              </w:rPr>
              <w:t>水果类</w:t>
            </w:r>
          </w:p>
          <w:p w14:paraId="0A691622">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所有水果品相完好、成熟度适中、色泽正常，失水率≤5%，无腐烂、无霉变、无冻伤、无严重磕碰损伤；果肉紧实、色泽正常，无腐败味、酸涩异味及其他异常气味，符合生鲜水果食用安全标准。</w:t>
            </w:r>
          </w:p>
          <w:p w14:paraId="6A4E5023">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六</w:t>
            </w:r>
            <w:r>
              <w:rPr>
                <w:rFonts w:hint="eastAsia" w:ascii="宋体" w:hAnsi="宋体" w:cs="宋体"/>
                <w:bCs/>
                <w:color w:val="auto"/>
                <w:sz w:val="21"/>
                <w:szCs w:val="21"/>
                <w:highlight w:val="none"/>
                <w:lang w:val="en-US" w:eastAsia="zh-CN"/>
              </w:rPr>
              <w:t>、</w:t>
            </w:r>
            <w:r>
              <w:rPr>
                <w:rFonts w:hint="eastAsia" w:ascii="宋体" w:hAnsi="宋体" w:cs="宋体"/>
                <w:bCs/>
                <w:color w:val="auto"/>
                <w:sz w:val="21"/>
                <w:szCs w:val="21"/>
                <w:highlight w:val="none"/>
              </w:rPr>
              <w:t>鲜活水产类</w:t>
            </w:r>
          </w:p>
          <w:p w14:paraId="7D90507B">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水产品鲜活度高、体态正常、反应灵敏，无伤病、无腐烂、无异味、无病毒、不含有毒有害物质；严禁采购江河、湖泊、近海等污染水域出产的水产品，产品来源于非疫区。如需预处理剖杀，需做到鱼鳞刮除干净、鱼鳃、内脏、腹内黑膜清理完整，处理干净、无残留杂质，保证食用卫生。</w:t>
            </w:r>
          </w:p>
          <w:p w14:paraId="14EB078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七</w:t>
            </w:r>
            <w:r>
              <w:rPr>
                <w:rFonts w:hint="eastAsia" w:ascii="宋体" w:hAnsi="宋体" w:cs="宋体"/>
                <w:bCs/>
                <w:color w:val="auto"/>
                <w:sz w:val="21"/>
                <w:szCs w:val="21"/>
                <w:highlight w:val="none"/>
                <w:lang w:val="en-US" w:eastAsia="zh-CN"/>
              </w:rPr>
              <w:t>、</w:t>
            </w:r>
            <w:r>
              <w:rPr>
                <w:rFonts w:hint="eastAsia" w:ascii="宋体" w:hAnsi="宋体" w:cs="宋体"/>
                <w:bCs/>
                <w:color w:val="auto"/>
                <w:sz w:val="21"/>
                <w:szCs w:val="21"/>
                <w:highlight w:val="none"/>
              </w:rPr>
              <w:t>冰鲜类</w:t>
            </w:r>
          </w:p>
          <w:p w14:paraId="0660566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产品规格大小均匀、品相规整，体表色泽正常、肉质鲜亮有光泽；无异味、无杂质碎渣、无明显淤血斑块、无破皮破损；解冻后肉质状态、感官品质与新鲜产品基本一致，无变质、无腐坏。产品按标准部位规范分割，外包装箱体完好、无破损、无受潮。采用符合食品安全国家标准无毒无害密封包装，标识信息完整，供货剩余保质期不少于总保质期50%。</w:t>
            </w:r>
          </w:p>
          <w:p w14:paraId="3EF715CB">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八</w:t>
            </w:r>
            <w:r>
              <w:rPr>
                <w:rFonts w:hint="eastAsia" w:ascii="宋体" w:hAnsi="宋体" w:cs="宋体"/>
                <w:bCs/>
                <w:color w:val="auto"/>
                <w:sz w:val="21"/>
                <w:szCs w:val="21"/>
                <w:highlight w:val="none"/>
                <w:lang w:val="en-US" w:eastAsia="zh-CN"/>
              </w:rPr>
              <w:t>、</w:t>
            </w:r>
            <w:r>
              <w:rPr>
                <w:rFonts w:hint="eastAsia" w:ascii="宋体" w:hAnsi="宋体" w:cs="宋体"/>
                <w:bCs/>
                <w:color w:val="auto"/>
                <w:sz w:val="21"/>
                <w:szCs w:val="21"/>
                <w:highlight w:val="none"/>
              </w:rPr>
              <w:t>河粉、米粉、豆制品、奶制品、糕点、饼干、面包、干货类</w:t>
            </w:r>
          </w:p>
          <w:p w14:paraId="1D7E776D">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1.河粉、米粉</w:t>
            </w:r>
          </w:p>
          <w:p w14:paraId="1BE7910C">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（1）感官品质：产品呈自然白色或微黄色，具有新鲜大米特有清香，无酸味、馊味、异味；口感柔软劲道、有弹性、不粘牙、无砂石等杂质。</w:t>
            </w:r>
          </w:p>
          <w:p w14:paraId="3DF47297">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（2）资质及标准：生产企业具备有效《食品生产许可证》，资质合规；产品严格执行国家相关食品安全标准。</w:t>
            </w:r>
          </w:p>
          <w:p w14:paraId="0E3FF03F">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（3）供货要求：中标供应商需提供2家及以上合规生产厂家供采购人择优选择，每批次供货附带完整出厂检验报告，做到证货同步。</w:t>
            </w:r>
          </w:p>
          <w:p w14:paraId="565F3FFF">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2.豆制品</w:t>
            </w:r>
          </w:p>
          <w:p w14:paraId="6F6D007A">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产品严格执行 GB 2712-2014《食品安全国家标准 豆制品》；豆腐色泽洁白、形态完整、质地细腻、弹性良好，无酸味、无卤味、无异味；豆腐丝、豆腐干、豆腐泡等制品表面干爽无黏液、无霉变、无发酸变质现象，品质新鲜合规。</w:t>
            </w:r>
          </w:p>
          <w:p w14:paraId="2BD04FA8">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3.奶制品</w:t>
            </w:r>
          </w:p>
          <w:p w14:paraId="0D56841F">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严格执行国家奶制品质量、食品安全标准；产品色泽乳白均匀、奶香纯正、无异味；包装完整密封、无破损、无胀袋、无漏液；无霉变、无酸败、无变质，供货剩余保质期不少于总保质期50%。</w:t>
            </w:r>
          </w:p>
          <w:p w14:paraId="007D0FFA">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4.糕点、饼干、面包</w:t>
            </w:r>
          </w:p>
          <w:p w14:paraId="46514867">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（1）通用要求：具备产品固有色泽、香气与口感，无酸败、发霉、哈喇等异味，产品内外无虫蛀、霉变、污渍及其他外来污染物；供货剩余保质期不少于总保质期80%。所有预包装产品营养标签严格执行 GB 28050-2011《食</w:t>
            </w:r>
            <w:r>
              <w:rPr>
                <w:rFonts w:hint="eastAsia" w:ascii="宋体" w:hAnsi="宋体" w:cs="宋体"/>
                <w:color w:val="auto"/>
                <w:sz w:val="21"/>
                <w:szCs w:val="21"/>
                <w:highlight w:val="none"/>
              </w:rPr>
              <w:t>品安全国家标准</w:t>
            </w:r>
            <w:r>
              <w:rPr>
                <w:rFonts w:hint="eastAsia" w:ascii="Helvetica" w:hAnsi="Helvetica" w:cs="Helvetica"/>
                <w:color w:val="auto"/>
                <w:sz w:val="21"/>
                <w:szCs w:val="21"/>
                <w:highlight w:val="none"/>
                <w:shd w:val="clear" w:color="auto" w:fill="FFFFFF"/>
              </w:rPr>
              <w:t xml:space="preserve"> </w:t>
            </w:r>
            <w:r>
              <w:rPr>
                <w:rFonts w:hint="eastAsia" w:ascii="宋体" w:hAnsi="宋体" w:cs="宋体"/>
                <w:bCs/>
                <w:color w:val="auto"/>
                <w:sz w:val="21"/>
                <w:szCs w:val="21"/>
                <w:highlight w:val="none"/>
              </w:rPr>
              <w:t>预包装食品营养标签通则》，含人造奶油的产品必须清晰标注反式脂肪酸含量。</w:t>
            </w:r>
          </w:p>
          <w:p w14:paraId="5353C74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（2）面包类：生产环境符合 GB 14881-2013《食品安全国家标准 食品生产通用卫生规范》，生产规范符合 GB 8957-2016《食品安全国家标准 糕点、面包卫生规范》，产品质量符合GB/T 20977-2024《糕点质量通则》及国家、行业相关标准。外观表面光滑规整、无裂纹、无塌陷、无异常膨胀，吐司直角边≥85°，色泽均匀呈金黄色至棕红色；内部气孔细密均匀、无大气泡、无硬芯，弹性适中、不易掉渣；按压回弹率≥70%（50g砝码加压10秒）；风味纯正，具备小麦焦香与发酵香气，无任何异味。</w:t>
            </w:r>
          </w:p>
          <w:p w14:paraId="02EC4D34">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（3）蛋糕类：切面细腻无颗粒、组织均匀，顶部无塌陷、无开裂；奶油裱花立体定型、不融化、不流淌，甜度适中、口感松软，无异味、无变质。</w:t>
            </w:r>
          </w:p>
          <w:p w14:paraId="79976095">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（4）饼干类：外形完整、无缺角、无碎裂，酥性饼干断面层次清晰；口感酥脆或松软，符合对应品类品质特征，无哈喇味、无受潮变软、无变质。</w:t>
            </w:r>
          </w:p>
          <w:p w14:paraId="17CA61E2">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5.干货类</w:t>
            </w:r>
          </w:p>
          <w:p w14:paraId="16604B46">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干货原料干净无杂质、无泥沙、无虫蛀、无霉变、无受潮结块；形态均匀规整，保留产品固有本色与自然风味，无异味、无变质，供货剩余保质期不少于总保质期80%。</w:t>
            </w:r>
          </w:p>
          <w:p w14:paraId="1B68FF0C">
            <w:pPr>
              <w:pStyle w:val="18"/>
              <w:spacing w:line="300" w:lineRule="auto"/>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九</w:t>
            </w:r>
            <w:r>
              <w:rPr>
                <w:rFonts w:hint="eastAsia" w:ascii="宋体" w:hAnsi="宋体" w:cs="宋体"/>
                <w:bCs/>
                <w:color w:val="auto"/>
                <w:sz w:val="21"/>
                <w:szCs w:val="21"/>
                <w:highlight w:val="none"/>
                <w:lang w:val="en-US" w:eastAsia="zh-CN"/>
              </w:rPr>
              <w:t>、</w:t>
            </w:r>
            <w:r>
              <w:rPr>
                <w:rFonts w:hint="eastAsia" w:ascii="宋体" w:hAnsi="宋体" w:cs="宋体"/>
                <w:bCs/>
                <w:color w:val="auto"/>
                <w:sz w:val="21"/>
                <w:szCs w:val="21"/>
                <w:highlight w:val="none"/>
              </w:rPr>
              <w:t>食用油类</w:t>
            </w:r>
          </w:p>
          <w:p w14:paraId="120BE815">
            <w:pPr>
              <w:pStyle w:val="18"/>
              <w:spacing w:line="300" w:lineRule="auto"/>
              <w:ind w:firstLine="420"/>
              <w:rPr>
                <w:rFonts w:ascii="宋体" w:hAnsi="宋体" w:cs="宋体"/>
                <w:color w:val="auto"/>
                <w:szCs w:val="21"/>
                <w:highlight w:val="none"/>
              </w:rPr>
            </w:pPr>
            <w:r>
              <w:rPr>
                <w:rFonts w:hint="eastAsia" w:ascii="宋体" w:hAnsi="宋体" w:cs="宋体"/>
                <w:bCs/>
                <w:color w:val="auto"/>
                <w:sz w:val="21"/>
                <w:szCs w:val="21"/>
                <w:highlight w:val="none"/>
              </w:rPr>
              <w:t>包含花生油、大豆油、食用调和油等各类食用油脂，产品严格执行GB 15196-2015《食品安全国家标准 食用油脂制品》及国家相关食用油质量安全标准；油品清澈透亮、无浑浊、无沉淀、无哈喇异味，色泽正常。产品外包装完好无损、无渗漏，包装清晰标注产品品名、生产厂家、净含量、生产日期、保质期、执行标准、生产许可证号等全部信息，货源正规、质量合格。</w:t>
            </w:r>
          </w:p>
        </w:tc>
      </w:tr>
    </w:tbl>
    <w:p w14:paraId="58EEEA28">
      <w:pPr>
        <w:spacing w:line="360" w:lineRule="auto"/>
        <w:ind w:firstLine="422"/>
        <w:rPr>
          <w:rFonts w:ascii="宋体" w:hAnsi="宋体"/>
          <w:color w:val="auto"/>
          <w:szCs w:val="21"/>
          <w:highlight w:val="none"/>
        </w:rPr>
      </w:pPr>
      <w:r>
        <w:rPr>
          <w:rFonts w:hint="eastAsia" w:ascii="宋体" w:hAnsi="宋体" w:cs="宋体"/>
          <w:b/>
          <w:color w:val="auto"/>
          <w:szCs w:val="21"/>
          <w:highlight w:val="none"/>
        </w:rPr>
        <w:t>第三条  履行时间（期限）、地点和方式</w:t>
      </w:r>
    </w:p>
    <w:p w14:paraId="6099E023">
      <w:pPr>
        <w:spacing w:line="360" w:lineRule="auto"/>
        <w:ind w:firstLine="420"/>
        <w:rPr>
          <w:rFonts w:ascii="宋体" w:hAnsi="宋体"/>
          <w:i/>
          <w:color w:val="auto"/>
          <w:szCs w:val="21"/>
          <w:highlight w:val="none"/>
          <w:u w:val="single"/>
        </w:rPr>
      </w:pPr>
      <w:r>
        <w:rPr>
          <w:rFonts w:hint="eastAsia" w:ascii="宋体" w:hAnsi="宋体" w:cs="宋体"/>
          <w:color w:val="auto"/>
          <w:szCs w:val="21"/>
          <w:highlight w:val="none"/>
        </w:rPr>
        <w:t>1.履行时间（期限）：</w:t>
      </w:r>
      <w:r>
        <w:rPr>
          <w:rFonts w:hint="eastAsia" w:ascii="宋体" w:hAnsi="宋体"/>
          <w:i/>
          <w:color w:val="auto"/>
          <w:szCs w:val="21"/>
          <w:highlight w:val="none"/>
          <w:u w:val="single"/>
        </w:rPr>
        <w:t xml:space="preserve"> </w:t>
      </w:r>
      <w:r>
        <w:rPr>
          <w:rFonts w:hint="eastAsia" w:ascii="宋体" w:hAnsi="宋体" w:cs="宋体"/>
          <w:color w:val="auto"/>
          <w:szCs w:val="21"/>
          <w:highlight w:val="none"/>
          <w:u w:val="single"/>
        </w:rPr>
        <w:t xml:space="preserve">                。</w:t>
      </w:r>
    </w:p>
    <w:p w14:paraId="0A38963B">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2.履行地点：</w:t>
      </w:r>
      <w:r>
        <w:rPr>
          <w:rFonts w:hint="eastAsia" w:ascii="宋体" w:hAnsi="宋体" w:cs="宋体"/>
          <w:color w:val="auto"/>
          <w:szCs w:val="21"/>
          <w:highlight w:val="none"/>
          <w:u w:val="single"/>
        </w:rPr>
        <w:t xml:space="preserve">                         。  </w:t>
      </w:r>
    </w:p>
    <w:p w14:paraId="37E7FE0C">
      <w:pPr>
        <w:spacing w:line="360" w:lineRule="auto"/>
        <w:ind w:firstLine="422"/>
        <w:rPr>
          <w:rFonts w:ascii="宋体" w:hAnsi="宋体"/>
          <w:b/>
          <w:color w:val="auto"/>
          <w:szCs w:val="21"/>
          <w:highlight w:val="none"/>
        </w:rPr>
      </w:pPr>
      <w:r>
        <w:rPr>
          <w:rFonts w:hint="eastAsia" w:ascii="宋体" w:hAnsi="宋体"/>
          <w:b/>
          <w:color w:val="auto"/>
          <w:szCs w:val="21"/>
          <w:highlight w:val="none"/>
        </w:rPr>
        <w:t>第四条　合同价款及支付</w:t>
      </w:r>
    </w:p>
    <w:p w14:paraId="5A09D711">
      <w:pPr>
        <w:pStyle w:val="24"/>
        <w:spacing w:line="360" w:lineRule="auto"/>
        <w:ind w:firstLine="420"/>
        <w:rPr>
          <w:rFonts w:hAnsi="宋体"/>
          <w:color w:val="auto"/>
          <w:sz w:val="21"/>
          <w:highlight w:val="none"/>
        </w:rPr>
      </w:pPr>
      <w:r>
        <w:rPr>
          <w:rFonts w:hint="eastAsia" w:hAnsi="宋体"/>
          <w:color w:val="auto"/>
          <w:sz w:val="21"/>
          <w:highlight w:val="none"/>
        </w:rPr>
        <w:t>1.本合同以人民币付款。</w:t>
      </w:r>
    </w:p>
    <w:p w14:paraId="468C96AB">
      <w:pPr>
        <w:pStyle w:val="24"/>
        <w:spacing w:line="360" w:lineRule="auto"/>
        <w:ind w:firstLine="420"/>
        <w:rPr>
          <w:rFonts w:hAnsi="宋体"/>
          <w:color w:val="auto"/>
          <w:highlight w:val="none"/>
        </w:rPr>
      </w:pPr>
      <w:r>
        <w:rPr>
          <w:rFonts w:hint="eastAsia" w:hAnsi="宋体"/>
          <w:color w:val="auto"/>
          <w:sz w:val="21"/>
          <w:highlight w:val="none"/>
        </w:rPr>
        <w:t>2.合同价款（或者报酬）：</w:t>
      </w:r>
      <w:r>
        <w:rPr>
          <w:rFonts w:hint="eastAsia" w:hAnsi="宋体"/>
          <w:color w:val="auto"/>
          <w:highlight w:val="none"/>
          <w:u w:val="single"/>
        </w:rPr>
        <w:t xml:space="preserve">                     </w:t>
      </w:r>
      <w:r>
        <w:rPr>
          <w:rFonts w:hint="eastAsia" w:hAnsi="宋体"/>
          <w:color w:val="auto"/>
          <w:highlight w:val="none"/>
        </w:rPr>
        <w:t>。</w:t>
      </w:r>
    </w:p>
    <w:p w14:paraId="1A7D02C1">
      <w:pPr>
        <w:spacing w:line="360" w:lineRule="auto"/>
        <w:ind w:firstLine="420"/>
        <w:rPr>
          <w:rFonts w:ascii="宋体" w:hAnsi="宋体"/>
          <w:iCs/>
          <w:color w:val="auto"/>
          <w:szCs w:val="21"/>
          <w:highlight w:val="none"/>
        </w:rPr>
      </w:pPr>
      <w:r>
        <w:rPr>
          <w:rFonts w:hint="eastAsia" w:ascii="宋体" w:hAnsi="宋体"/>
          <w:color w:val="auto"/>
          <w:szCs w:val="21"/>
          <w:highlight w:val="none"/>
        </w:rPr>
        <w:t>3. 合同价款包含</w:t>
      </w:r>
      <w:r>
        <w:rPr>
          <w:rFonts w:hint="eastAsia" w:ascii="宋体" w:hAnsi="宋体"/>
          <w:color w:val="auto"/>
          <w:szCs w:val="21"/>
          <w:highlight w:val="none"/>
          <w:u w:val="single"/>
        </w:rPr>
        <w:t>但不限于实施和完成本项目所需的全部食材原料费、工作劳务费、技术服务费、交通费、通讯费、办公场地费、保险费、税费、利润、检测业务费等一切费用，以及政策性文件规定和合同包含的风险、责任和各种应有费用</w:t>
      </w:r>
      <w:r>
        <w:rPr>
          <w:rFonts w:hint="eastAsia" w:ascii="宋体" w:hAnsi="宋体" w:cs="宋体"/>
          <w:color w:val="auto"/>
          <w:spacing w:val="6"/>
          <w:szCs w:val="21"/>
          <w:highlight w:val="none"/>
        </w:rPr>
        <w:t>。</w:t>
      </w:r>
    </w:p>
    <w:p w14:paraId="48DF576A">
      <w:pPr>
        <w:spacing w:line="360" w:lineRule="auto"/>
        <w:ind w:firstLine="420"/>
        <w:rPr>
          <w:rFonts w:hAnsi="宋体"/>
          <w:iCs/>
          <w:color w:val="auto"/>
          <w:highlight w:val="none"/>
        </w:rPr>
      </w:pPr>
      <w:r>
        <w:rPr>
          <w:rFonts w:hint="eastAsia" w:hAnsi="宋体"/>
          <w:bCs/>
          <w:color w:val="auto"/>
          <w:highlight w:val="none"/>
        </w:rPr>
        <w:t>4</w:t>
      </w:r>
      <w:r>
        <w:rPr>
          <w:rFonts w:hAnsi="宋体"/>
          <w:bCs/>
          <w:color w:val="auto"/>
          <w:highlight w:val="none"/>
        </w:rPr>
        <w:t>.</w:t>
      </w:r>
      <w:r>
        <w:rPr>
          <w:rFonts w:hint="eastAsia" w:hAnsi="宋体"/>
          <w:color w:val="auto"/>
          <w:highlight w:val="none"/>
        </w:rPr>
        <w:t>付款进度安排</w:t>
      </w:r>
      <w:r>
        <w:rPr>
          <w:rFonts w:hint="eastAsia" w:hAnsi="宋体"/>
          <w:iCs/>
          <w:color w:val="auto"/>
          <w:highlight w:val="none"/>
        </w:rPr>
        <w:t>：</w:t>
      </w:r>
    </w:p>
    <w:p w14:paraId="47838A4F">
      <w:pPr>
        <w:spacing w:line="360" w:lineRule="auto"/>
        <w:ind w:firstLine="420"/>
        <w:rPr>
          <w:rFonts w:hAnsi="宋体"/>
          <w:iCs/>
          <w:color w:val="auto"/>
          <w:highlight w:val="none"/>
        </w:rPr>
      </w:pPr>
      <w:r>
        <w:rPr>
          <w:rFonts w:hint="eastAsia" w:hAnsi="宋体"/>
          <w:iCs/>
          <w:color w:val="auto"/>
          <w:highlight w:val="none"/>
        </w:rPr>
        <w:t>（1）结算方式：原材料货款每月结算一次，每月初的10个工作日内双方进行对账，确认结算上个月的货款。以甲方实际购买并签字接收的种类及数量据实核算。乙方必须提供详细的物品销售清单与甲方的收货单核对。</w:t>
      </w:r>
    </w:p>
    <w:p w14:paraId="68B5FF65">
      <w:pPr>
        <w:spacing w:line="360" w:lineRule="auto"/>
        <w:ind w:firstLine="420"/>
        <w:rPr>
          <w:rFonts w:hAnsi="宋体"/>
          <w:iCs/>
          <w:color w:val="auto"/>
          <w:highlight w:val="none"/>
        </w:rPr>
      </w:pPr>
      <w:r>
        <w:rPr>
          <w:rFonts w:hint="eastAsia" w:hAnsi="宋体"/>
          <w:iCs/>
          <w:color w:val="auto"/>
          <w:highlight w:val="none"/>
        </w:rPr>
        <w:t>（2）付款方式：对账核算无误后，由乙方按照甲方财务规定出具以甲方为抬头的合法合规的增值税专用发票，甲方于收齐增值税专用发票及核对无误的送货单、明细单等材料之日起10个工作日内付清货款。</w:t>
      </w:r>
    </w:p>
    <w:p w14:paraId="4C57DDAB">
      <w:pPr>
        <w:spacing w:line="360" w:lineRule="auto"/>
        <w:ind w:firstLine="420"/>
        <w:rPr>
          <w:rFonts w:ascii="宋体" w:hAnsi="宋体"/>
          <w:b/>
          <w:color w:val="auto"/>
          <w:szCs w:val="21"/>
          <w:highlight w:val="none"/>
        </w:rPr>
      </w:pPr>
      <w:r>
        <w:rPr>
          <w:rFonts w:hint="eastAsia" w:hAnsi="宋体"/>
          <w:color w:val="auto"/>
          <w:highlight w:val="none"/>
        </w:rPr>
        <w:t>5</w:t>
      </w:r>
      <w:r>
        <w:rPr>
          <w:rFonts w:hAnsi="宋体"/>
          <w:color w:val="auto"/>
          <w:highlight w:val="none"/>
        </w:rPr>
        <w:t>.</w:t>
      </w:r>
      <w:r>
        <w:rPr>
          <w:rFonts w:hint="eastAsia" w:hAnsi="宋体"/>
          <w:color w:val="auto"/>
          <w:highlight w:val="none"/>
        </w:rPr>
        <w:t>资金支付方式：</w:t>
      </w:r>
      <w:r>
        <w:rPr>
          <w:rFonts w:hint="eastAsia" w:hAnsi="宋体"/>
          <w:iCs/>
          <w:color w:val="auto"/>
          <w:highlight w:val="none"/>
          <w:u w:val="single"/>
        </w:rPr>
        <w:t>银行转账</w:t>
      </w:r>
      <w:r>
        <w:rPr>
          <w:rFonts w:hAnsi="宋体"/>
          <w:iCs/>
          <w:color w:val="auto"/>
          <w:highlight w:val="none"/>
          <w:u w:val="single"/>
        </w:rPr>
        <w:t xml:space="preserve"> </w:t>
      </w:r>
      <w:r>
        <w:rPr>
          <w:rFonts w:hint="eastAsia" w:hAnsi="宋体"/>
          <w:color w:val="auto"/>
          <w:highlight w:val="none"/>
        </w:rPr>
        <w:t>。</w:t>
      </w:r>
    </w:p>
    <w:p w14:paraId="61DFCE46">
      <w:pPr>
        <w:spacing w:line="360" w:lineRule="auto"/>
        <w:ind w:firstLine="422"/>
        <w:rPr>
          <w:rFonts w:ascii="宋体" w:hAnsi="宋体"/>
          <w:b/>
          <w:color w:val="auto"/>
          <w:szCs w:val="21"/>
          <w:highlight w:val="none"/>
        </w:rPr>
      </w:pPr>
      <w:r>
        <w:rPr>
          <w:rFonts w:hint="eastAsia" w:ascii="宋体" w:hAnsi="宋体"/>
          <w:b/>
          <w:color w:val="auto"/>
          <w:szCs w:val="21"/>
          <w:highlight w:val="none"/>
        </w:rPr>
        <w:t>第五条　验收、交付标准和方法</w:t>
      </w:r>
    </w:p>
    <w:p w14:paraId="08A77E8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按照国家食品标准及相关要求确认配送食品生产日期、保质期后进行数量（重量）验收并按规定留样备查。验收时：</w:t>
      </w:r>
    </w:p>
    <w:p w14:paraId="378D9AD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1.食品的验收工作由甲方和乙方共同进行。乙方提供的产品须经过甲方验收人员的感官检验、外观检验和试用检验，若产品外观、包装、形式不符合要求、 感官检验不能达到食品卫生要求，当即拒收；乙方不能满足食品的质量及售后服务要求时，甲方有权要求承担违约责任。</w:t>
      </w:r>
    </w:p>
    <w:p w14:paraId="27883AB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2.验收工作的一般程序为：根据食品采购清单的具体要求，对所购物料进行清点、外观检查以及对物料的各项指标和性能进行实测，并逐项记录。检测结束后，验收人员在送货单上签字。</w:t>
      </w:r>
    </w:p>
    <w:p w14:paraId="2737712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食品实行逢进必检。必须经甲方工作人员验收合格后方可进入仓库或加工程序。验收工作可由甲方安排有经验及专业知识人员进行验收，验收时需两人一组，在视频监控下进行验收，公布验收时间地点，接受各单位监督。验收内容主要是食材的品种、品牌、规格、等级、数量、生产日期、保质期限、包装、运输环境、食材温度等。严禁质量不合格的食品原料进入万秀区农村义务教育学校食堂，如发现质量不合格，必须及时退货，在退货单上注明退货理由、退货人和退货日期；如数量不准确，应以验收数量为准。验收合格后，由验收人员在购货发票或购货单上签字确认。来货量大于订货量时按订货量验收，来货量小于订货量85%，则告知乙方必须在1小时内补齐，若无法补齐数量，则按缺货金额的10%在当月货款中进行扣罚。</w:t>
      </w:r>
    </w:p>
    <w:p w14:paraId="7A35919E">
      <w:pPr>
        <w:spacing w:line="360" w:lineRule="auto"/>
        <w:ind w:firstLine="420"/>
        <w:rPr>
          <w:rFonts w:ascii="宋体" w:hAnsi="宋体"/>
          <w:b/>
          <w:color w:val="auto"/>
          <w:szCs w:val="21"/>
          <w:highlight w:val="none"/>
        </w:rPr>
      </w:pPr>
      <w:r>
        <w:rPr>
          <w:rFonts w:hint="eastAsia" w:ascii="宋体" w:hAnsi="宋体"/>
          <w:b/>
          <w:color w:val="auto"/>
          <w:szCs w:val="21"/>
          <w:highlight w:val="none"/>
        </w:rPr>
        <w:t>第六条　履约保证金</w:t>
      </w:r>
    </w:p>
    <w:p w14:paraId="74204997">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1.履约保证金金额：</w:t>
      </w:r>
      <w:r>
        <w:rPr>
          <w:rFonts w:hint="eastAsia" w:ascii="宋体" w:hAnsi="宋体"/>
          <w:color w:val="auto"/>
          <w:szCs w:val="21"/>
          <w:highlight w:val="none"/>
          <w:u w:val="single"/>
        </w:rPr>
        <w:t>贰拾贰万元整</w:t>
      </w:r>
      <w:r>
        <w:rPr>
          <w:rFonts w:hint="eastAsia" w:ascii="宋体" w:hAnsi="宋体" w:cs="宋体"/>
          <w:color w:val="auto"/>
          <w:szCs w:val="21"/>
          <w:highlight w:val="none"/>
          <w:u w:val="single"/>
        </w:rPr>
        <w:t>。</w:t>
      </w:r>
    </w:p>
    <w:p w14:paraId="15B414FA">
      <w:pPr>
        <w:spacing w:line="360" w:lineRule="auto"/>
        <w:ind w:firstLine="424"/>
        <w:rPr>
          <w:rFonts w:ascii="宋体" w:hAnsi="宋体" w:cs="宋体"/>
          <w:color w:val="auto"/>
          <w:szCs w:val="21"/>
          <w:highlight w:val="none"/>
          <w:u w:val="single"/>
        </w:rPr>
      </w:pPr>
      <w:r>
        <w:rPr>
          <w:rFonts w:hint="eastAsia" w:ascii="宋体" w:hAnsi="宋体" w:cs="宋体"/>
          <w:color w:val="auto"/>
          <w:szCs w:val="21"/>
          <w:highlight w:val="none"/>
        </w:rPr>
        <w:t>2.履约保证金递交方式：</w:t>
      </w:r>
      <w:r>
        <w:rPr>
          <w:rFonts w:hint="eastAsia" w:ascii="宋体" w:hAnsi="宋体" w:cs="宋体"/>
          <w:color w:val="auto"/>
          <w:szCs w:val="21"/>
          <w:highlight w:val="none"/>
          <w:u w:val="single"/>
        </w:rPr>
        <w:t>银行转账、支票、汇票、本票或者银行、保险机构出具的保函等非现金方式</w:t>
      </w:r>
      <w:r>
        <w:rPr>
          <w:rFonts w:hint="eastAsia" w:ascii="宋体" w:hAnsi="宋体" w:cs="宋体"/>
          <w:iCs/>
          <w:color w:val="auto"/>
          <w:szCs w:val="21"/>
          <w:highlight w:val="none"/>
          <w:u w:val="single"/>
        </w:rPr>
        <w:t>。</w:t>
      </w:r>
    </w:p>
    <w:p w14:paraId="38957CAF">
      <w:pPr>
        <w:spacing w:line="360" w:lineRule="auto"/>
        <w:ind w:firstLine="424"/>
        <w:rPr>
          <w:rFonts w:ascii="宋体" w:hAnsi="宋体"/>
          <w:iCs/>
          <w:color w:val="auto"/>
          <w:szCs w:val="21"/>
          <w:highlight w:val="none"/>
          <w:u w:val="single"/>
        </w:rPr>
      </w:pPr>
      <w:r>
        <w:rPr>
          <w:rFonts w:hint="eastAsia" w:ascii="宋体" w:hAnsi="宋体"/>
          <w:color w:val="auto"/>
          <w:szCs w:val="21"/>
          <w:highlight w:val="none"/>
        </w:rPr>
        <w:t>3.履约保证金缴纳期限:</w:t>
      </w:r>
      <w:r>
        <w:rPr>
          <w:color w:val="auto"/>
          <w:highlight w:val="none"/>
        </w:rPr>
        <w:t xml:space="preserve"> </w:t>
      </w:r>
      <w:r>
        <w:rPr>
          <w:rFonts w:hint="eastAsia" w:ascii="宋体" w:hAnsi="宋体"/>
          <w:iCs/>
          <w:color w:val="auto"/>
          <w:szCs w:val="21"/>
          <w:highlight w:val="none"/>
          <w:u w:val="single"/>
        </w:rPr>
        <w:t>政府采购合同签订前。</w:t>
      </w:r>
    </w:p>
    <w:p w14:paraId="59DD1273">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4.履约保证金退付的方式、时间及条件：</w:t>
      </w:r>
      <w:r>
        <w:rPr>
          <w:rFonts w:hint="eastAsia" w:ascii="宋体" w:hAnsi="宋体" w:cs="宋体"/>
          <w:iCs/>
          <w:color w:val="auto"/>
          <w:szCs w:val="21"/>
          <w:highlight w:val="none"/>
          <w:u w:val="single"/>
        </w:rPr>
        <w:t>由乙方向履约保证金收取单位提供《广西壮族自治区政府采购项目合同验收书》（详见桂财采〔2015〕22号），保证金收取单位在收到合格材料后5个工作日内办理退还手续（不计利息）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rPr>
        <w:t>。</w:t>
      </w:r>
    </w:p>
    <w:p w14:paraId="501CC9FE">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5.履约保证金指定账户：</w:t>
      </w:r>
    </w:p>
    <w:p w14:paraId="75A67C22">
      <w:pPr>
        <w:spacing w:line="360" w:lineRule="auto"/>
        <w:ind w:firstLine="424"/>
        <w:rPr>
          <w:rFonts w:hint="eastAsia" w:ascii="宋体" w:hAnsi="宋体"/>
          <w:color w:val="auto"/>
          <w:szCs w:val="21"/>
          <w:highlight w:val="none"/>
          <w:u w:val="single"/>
        </w:rPr>
      </w:pPr>
      <w:r>
        <w:rPr>
          <w:rFonts w:hint="eastAsia" w:ascii="宋体" w:hAnsi="宋体"/>
          <w:color w:val="auto"/>
          <w:szCs w:val="21"/>
          <w:highlight w:val="none"/>
          <w:u w:val="single"/>
        </w:rPr>
        <w:t>开户名：梧州市万秀区教育局 ；</w:t>
      </w:r>
    </w:p>
    <w:p w14:paraId="36C80A07">
      <w:pPr>
        <w:spacing w:line="360" w:lineRule="auto"/>
        <w:ind w:firstLine="424"/>
        <w:rPr>
          <w:rFonts w:hint="eastAsia" w:ascii="宋体" w:hAnsi="宋体"/>
          <w:color w:val="auto"/>
          <w:szCs w:val="21"/>
          <w:highlight w:val="none"/>
          <w:u w:val="single"/>
        </w:rPr>
      </w:pPr>
      <w:r>
        <w:rPr>
          <w:rFonts w:hint="eastAsia" w:ascii="宋体" w:hAnsi="宋体"/>
          <w:color w:val="auto"/>
          <w:szCs w:val="21"/>
          <w:highlight w:val="none"/>
          <w:u w:val="single"/>
        </w:rPr>
        <w:t>开户行：工商银行梧州分行营业部；</w:t>
      </w:r>
    </w:p>
    <w:p w14:paraId="3A44F9FC">
      <w:pPr>
        <w:spacing w:line="360" w:lineRule="auto"/>
        <w:ind w:firstLine="424"/>
        <w:rPr>
          <w:rFonts w:ascii="宋体" w:hAnsi="宋体"/>
          <w:color w:val="auto"/>
          <w:szCs w:val="21"/>
          <w:highlight w:val="none"/>
          <w:u w:val="single"/>
        </w:rPr>
      </w:pPr>
      <w:r>
        <w:rPr>
          <w:rFonts w:hint="eastAsia" w:ascii="宋体" w:hAnsi="宋体"/>
          <w:color w:val="auto"/>
          <w:szCs w:val="21"/>
          <w:highlight w:val="none"/>
          <w:u w:val="single"/>
        </w:rPr>
        <w:t>账号：2104310029201128055。</w:t>
      </w:r>
    </w:p>
    <w:p w14:paraId="2123EA05">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6.不予退还的情形：签订合同后，如乙方不按双方签订的合同规定履约，则其全部履约保证金不予退还。</w:t>
      </w:r>
    </w:p>
    <w:p w14:paraId="03222815">
      <w:pPr>
        <w:spacing w:line="360" w:lineRule="auto"/>
        <w:ind w:firstLine="422"/>
        <w:rPr>
          <w:rFonts w:ascii="宋体" w:hAnsi="宋体" w:cs="宋体"/>
          <w:b/>
          <w:color w:val="auto"/>
          <w:szCs w:val="21"/>
          <w:highlight w:val="none"/>
        </w:rPr>
      </w:pPr>
      <w:r>
        <w:rPr>
          <w:rFonts w:hint="eastAsia" w:ascii="宋体" w:hAnsi="宋体"/>
          <w:b/>
          <w:color w:val="auto"/>
          <w:szCs w:val="21"/>
          <w:highlight w:val="none"/>
        </w:rPr>
        <w:t>第七条　</w:t>
      </w:r>
      <w:r>
        <w:rPr>
          <w:rFonts w:hint="eastAsia" w:ascii="宋体" w:hAnsi="宋体" w:cs="宋体"/>
          <w:b/>
          <w:color w:val="auto"/>
          <w:szCs w:val="21"/>
          <w:highlight w:val="none"/>
        </w:rPr>
        <w:t>配送要求</w:t>
      </w:r>
    </w:p>
    <w:p w14:paraId="7AAC501C">
      <w:pPr>
        <w:spacing w:line="360" w:lineRule="auto"/>
        <w:ind w:firstLine="420"/>
        <w:rPr>
          <w:rFonts w:ascii="宋体" w:hAnsi="宋体"/>
          <w:color w:val="auto"/>
          <w:szCs w:val="21"/>
          <w:highlight w:val="none"/>
        </w:rPr>
      </w:pPr>
      <w:r>
        <w:rPr>
          <w:rFonts w:hint="eastAsia" w:ascii="宋体" w:hAnsi="宋体"/>
          <w:color w:val="auto"/>
          <w:szCs w:val="21"/>
          <w:highlight w:val="none"/>
        </w:rPr>
        <w:t>1.一般供货以订货单为准，紧急供货以通知为准。</w:t>
      </w:r>
    </w:p>
    <w:p w14:paraId="3645897B">
      <w:pPr>
        <w:spacing w:line="360" w:lineRule="auto"/>
        <w:ind w:firstLine="420"/>
        <w:rPr>
          <w:rFonts w:ascii="宋体" w:hAnsi="宋体"/>
          <w:color w:val="auto"/>
          <w:szCs w:val="21"/>
          <w:highlight w:val="none"/>
        </w:rPr>
      </w:pPr>
      <w:r>
        <w:rPr>
          <w:rFonts w:hint="eastAsia" w:ascii="宋体" w:hAnsi="宋体"/>
          <w:color w:val="auto"/>
          <w:szCs w:val="21"/>
          <w:highlight w:val="none"/>
        </w:rPr>
        <w:t>2.乙方按照甲方指定的食品名称、规格、数量等要求在规定时间内将货物送甲方指定地点。乙方供货不符合要求的，或与询价时询价货品的质量、等级有明显区别的，甲方有权立即退货。乙方应按甲方的要求及时补货，具体交货时间以约定为准。</w:t>
      </w:r>
    </w:p>
    <w:p w14:paraId="5574523A">
      <w:pPr>
        <w:spacing w:line="360" w:lineRule="auto"/>
        <w:ind w:firstLine="42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.乙方必须由有健康证的固定人员长期送货。如临时非固定人员送货，须取得甲方同意。</w:t>
      </w:r>
    </w:p>
    <w:p w14:paraId="34726ABB">
      <w:pPr>
        <w:spacing w:line="360" w:lineRule="auto"/>
        <w:ind w:firstLine="420"/>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.一般供货要求：</w:t>
      </w:r>
    </w:p>
    <w:p w14:paraId="1CC53090">
      <w:pPr>
        <w:spacing w:line="360" w:lineRule="auto"/>
        <w:ind w:firstLine="420"/>
        <w:rPr>
          <w:rFonts w:ascii="宋体" w:hAnsi="宋体"/>
          <w:color w:val="auto"/>
          <w:szCs w:val="21"/>
          <w:highlight w:val="none"/>
        </w:rPr>
      </w:pPr>
      <w:r>
        <w:rPr>
          <w:rFonts w:hint="eastAsia" w:ascii="宋体" w:hAnsi="宋体"/>
          <w:color w:val="auto"/>
          <w:szCs w:val="21"/>
          <w:highlight w:val="none"/>
        </w:rPr>
        <w:t>工作日进行配送，甲方指定的食堂在每天</w:t>
      </w:r>
      <w:r>
        <w:rPr>
          <w:rFonts w:hint="eastAsia" w:ascii="宋体" w:hAnsi="宋体"/>
          <w:color w:val="auto"/>
          <w:szCs w:val="21"/>
          <w:highlight w:val="none"/>
          <w:u w:val="single"/>
        </w:rPr>
        <w:t>7:00</w:t>
      </w:r>
      <w:r>
        <w:rPr>
          <w:rFonts w:hint="eastAsia" w:ascii="宋体" w:hAnsi="宋体"/>
          <w:color w:val="auto"/>
          <w:szCs w:val="21"/>
          <w:highlight w:val="none"/>
        </w:rPr>
        <w:t>前，将食堂次日所需的各类食品原材料的数量向乙方以微信或电子文件等形式提交订货计划，说明购货品种、规格、数量、供货日期时间及其它需要说明的事项。</w:t>
      </w:r>
    </w:p>
    <w:p w14:paraId="7A576929">
      <w:pPr>
        <w:spacing w:line="360" w:lineRule="auto"/>
        <w:ind w:firstLine="420"/>
        <w:rPr>
          <w:rFonts w:ascii="宋体" w:hAnsi="宋体"/>
          <w:color w:val="auto"/>
          <w:szCs w:val="21"/>
          <w:highlight w:val="none"/>
        </w:rPr>
      </w:pPr>
      <w:r>
        <w:rPr>
          <w:rFonts w:hint="eastAsia" w:ascii="宋体" w:hAnsi="宋体"/>
          <w:color w:val="auto"/>
          <w:szCs w:val="21"/>
          <w:highlight w:val="none"/>
        </w:rPr>
        <w:t>乙方要认真核对订货计划并按订货计划准备好各类食品原材料，早餐类食材应于次日早上 7 ：00前到达指定地点。其他食材于次日9：00前配送完毕。肉、禽等鲜活食品必须当日配送，其余食品原料可视实际需求酌情配送，但必须确保食品新鲜、优质、安全可靠。</w:t>
      </w:r>
    </w:p>
    <w:p w14:paraId="5E957019">
      <w:pPr>
        <w:spacing w:line="360" w:lineRule="auto"/>
        <w:ind w:firstLine="420"/>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.紧急供货要求：在收到甲方发出紧急供货通知后，乙方最迟2小时内完成当次现场供货。</w:t>
      </w:r>
    </w:p>
    <w:p w14:paraId="74659556">
      <w:pPr>
        <w:spacing w:line="360" w:lineRule="auto"/>
        <w:ind w:firstLine="420"/>
        <w:rPr>
          <w:rFonts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 xml:space="preserve">.乙方必须按照甲方人员通知的时间、数量、品种、品质要求及协定的价格准时送货，经验收合格后签字确认，不能以任何理由推托，一旦影响到甲方的正常运转，乙方应承担相应的经济赔偿。  </w:t>
      </w:r>
    </w:p>
    <w:p w14:paraId="08AF8535">
      <w:pPr>
        <w:spacing w:line="360" w:lineRule="auto"/>
        <w:ind w:firstLine="420"/>
        <w:rPr>
          <w:rFonts w:ascii="宋体" w:hAnsi="宋体"/>
          <w:b/>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.乙方必须在双方约定的时间内将货物送到甲方指定的地点，运输费用由乙方承担，如出现不合格、损坏的情况，由乙方负责及时退换，退换时间不超过5小时。</w:t>
      </w:r>
    </w:p>
    <w:p w14:paraId="79D57597">
      <w:pPr>
        <w:spacing w:line="360" w:lineRule="auto"/>
        <w:ind w:firstLine="422"/>
        <w:rPr>
          <w:rFonts w:ascii="宋体" w:hAnsi="宋体"/>
          <w:b/>
          <w:color w:val="auto"/>
          <w:szCs w:val="21"/>
          <w:highlight w:val="none"/>
        </w:rPr>
      </w:pPr>
      <w:r>
        <w:rPr>
          <w:rFonts w:hint="eastAsia" w:ascii="宋体" w:hAnsi="宋体"/>
          <w:b/>
          <w:color w:val="auto"/>
          <w:szCs w:val="21"/>
          <w:highlight w:val="none"/>
        </w:rPr>
        <w:t>第八条　违约责任</w:t>
      </w:r>
    </w:p>
    <w:p w14:paraId="1A24EAB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1.如发现食品价格高于核定价格上限的，第一次责令其整改，第二次则扣除50%履约保证金，第三次</w:t>
      </w:r>
      <w:r>
        <w:rPr>
          <w:color w:val="auto"/>
          <w:highlight w:val="none"/>
        </w:rPr>
        <w:t>不予退还</w:t>
      </w:r>
      <w:r>
        <w:rPr>
          <w:rFonts w:hint="eastAsia" w:ascii="宋体" w:hAnsi="宋体" w:cs="宋体"/>
          <w:color w:val="auto"/>
          <w:szCs w:val="21"/>
          <w:highlight w:val="none"/>
        </w:rPr>
        <w:t>全部履约保证金并取消配送资格。</w:t>
      </w:r>
    </w:p>
    <w:p w14:paraId="26FB43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2.乙方应严格保证所供应的食品质量，在合同执行过程中如出现因食用其提供的食品致食物中毒等事故发生，乙方应对此承担赔偿及一切法律责任；乙方签订合同前需购买食品安全责任险。</w:t>
      </w:r>
    </w:p>
    <w:p w14:paraId="35F9E06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3.履约过程发生违约行为的，将按以下原则处理:</w:t>
      </w:r>
    </w:p>
    <w:p w14:paraId="5614A2D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（1）乙方不按甲方约定的时间、地点送货，不履行售后服务承诺等有关条款，受到</w:t>
      </w:r>
      <w:r>
        <w:rPr>
          <w:rFonts w:hint="eastAsia"/>
          <w:color w:val="auto"/>
          <w:highlight w:val="none"/>
        </w:rPr>
        <w:t>万秀区农村义务教育学生</w:t>
      </w:r>
      <w:r>
        <w:rPr>
          <w:color w:val="auto"/>
          <w:highlight w:val="none"/>
        </w:rPr>
        <w:t>食堂</w:t>
      </w:r>
      <w:r>
        <w:rPr>
          <w:rFonts w:hint="eastAsia" w:ascii="宋体" w:hAnsi="宋体" w:cs="宋体"/>
          <w:color w:val="auto"/>
          <w:szCs w:val="21"/>
          <w:highlight w:val="none"/>
        </w:rPr>
        <w:t>有效投诉的，经查实，将视情节轻重不予退还其10%—30%的履约保证金。</w:t>
      </w:r>
    </w:p>
    <w:p w14:paraId="77A76EE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（2）乙方无正当理由拒绝配送的，第一次甲方有权予以警告，第二次甲方有权扣除乙方50%的履约保证金，第三次甲方有权全部扣除乙方履约保证金，并取消配送资格。</w:t>
      </w:r>
    </w:p>
    <w:p w14:paraId="08B578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（3）乙方必须讲诚信，所供货物不得以次充好，乙方所提供的食品被</w:t>
      </w:r>
      <w:r>
        <w:rPr>
          <w:rFonts w:hint="eastAsia" w:ascii="宋体" w:hAnsi="宋体" w:cs="宋体"/>
          <w:bCs/>
          <w:color w:val="auto"/>
          <w:szCs w:val="21"/>
          <w:highlight w:val="none"/>
        </w:rPr>
        <w:t>万秀区农村义务教育学生食堂</w:t>
      </w:r>
      <w:r>
        <w:rPr>
          <w:rFonts w:hint="eastAsia" w:ascii="宋体" w:hAnsi="宋体" w:cs="宋体"/>
          <w:color w:val="auto"/>
          <w:szCs w:val="21"/>
          <w:highlight w:val="none"/>
        </w:rPr>
        <w:t>投诉或举报为假冒伪劣商品，且不能提供合法证明材料的，经查实立即整改，召回商品，立即更换合格食品。甲方有权全部扣除乙方履约保证金，并取消配送资格。</w:t>
      </w:r>
    </w:p>
    <w:p w14:paraId="4AEB74E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（4）以上扣除的各项保证金数额，乙方必须在接到处理通知书后五个工作日内补足。</w:t>
      </w:r>
    </w:p>
    <w:p w14:paraId="6CCFB8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（5）对违反国家法律、法规，情节特别严重的乙方，除按以上原则处理外，甲方有权提请有关部门追究其法律责任。</w:t>
      </w:r>
    </w:p>
    <w:p w14:paraId="47982F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（6）乙方违反招标文件约定或相关法律法规的行为，监管部门发现或收到</w:t>
      </w:r>
      <w:r>
        <w:rPr>
          <w:rFonts w:hint="eastAsia" w:ascii="宋体" w:hAnsi="宋体" w:cs="宋体"/>
          <w:color w:val="auto"/>
          <w:spacing w:val="-3"/>
          <w:szCs w:val="21"/>
          <w:highlight w:val="none"/>
        </w:rPr>
        <w:t>万秀区农村义务教育学生食堂</w:t>
      </w:r>
      <w:r>
        <w:rPr>
          <w:rFonts w:hint="eastAsia" w:ascii="宋体" w:hAnsi="宋体" w:cs="宋体"/>
          <w:color w:val="auto"/>
          <w:szCs w:val="21"/>
          <w:highlight w:val="none"/>
        </w:rPr>
        <w:t>投诉并查实，第一次责令整改，第二次则扣除50%履约保证金，第三次</w:t>
      </w:r>
      <w:r>
        <w:rPr>
          <w:color w:val="auto"/>
          <w:highlight w:val="none"/>
        </w:rPr>
        <w:t>不予退还</w:t>
      </w:r>
      <w:r>
        <w:rPr>
          <w:rFonts w:hint="eastAsia" w:ascii="宋体" w:hAnsi="宋体" w:cs="宋体"/>
          <w:color w:val="auto"/>
          <w:szCs w:val="21"/>
          <w:highlight w:val="none"/>
        </w:rPr>
        <w:t>全部履约保证金并取消配送资格。</w:t>
      </w:r>
    </w:p>
    <w:p w14:paraId="5D21B92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（7）乙方安排未备案人员进行配送和使用不按投标承诺、相关法律法规、相关标准要求的车辆进行配送，监管部门发现或收到</w:t>
      </w:r>
      <w:r>
        <w:rPr>
          <w:rFonts w:hint="eastAsia" w:ascii="宋体" w:hAnsi="宋体" w:cs="宋体"/>
          <w:color w:val="auto"/>
          <w:spacing w:val="-3"/>
          <w:szCs w:val="21"/>
          <w:highlight w:val="none"/>
        </w:rPr>
        <w:t>万秀区农村义务教育学生食堂</w:t>
      </w:r>
      <w:r>
        <w:rPr>
          <w:rFonts w:hint="eastAsia" w:ascii="宋体" w:hAnsi="宋体" w:cs="宋体"/>
          <w:color w:val="auto"/>
          <w:szCs w:val="21"/>
          <w:highlight w:val="none"/>
        </w:rPr>
        <w:t>投诉并查实，第一次责令整改，第二次扣除50%履约保证金，第三次</w:t>
      </w:r>
      <w:r>
        <w:rPr>
          <w:color w:val="auto"/>
          <w:highlight w:val="none"/>
        </w:rPr>
        <w:t>不予退还</w:t>
      </w:r>
      <w:r>
        <w:rPr>
          <w:rFonts w:hint="eastAsia" w:ascii="宋体" w:hAnsi="宋体" w:cs="宋体"/>
          <w:color w:val="auto"/>
          <w:szCs w:val="21"/>
          <w:highlight w:val="none"/>
        </w:rPr>
        <w:t>全部履约保证金并取消配送资格。</w:t>
      </w:r>
    </w:p>
    <w:p w14:paraId="5BF0E817">
      <w:pPr>
        <w:pStyle w:val="24"/>
        <w:spacing w:line="360" w:lineRule="auto"/>
        <w:ind w:firstLine="413"/>
        <w:rPr>
          <w:rFonts w:hAnsi="宋体"/>
          <w:b/>
          <w:color w:val="auto"/>
          <w:sz w:val="21"/>
          <w:highlight w:val="none"/>
        </w:rPr>
      </w:pPr>
      <w:r>
        <w:rPr>
          <w:rFonts w:hint="eastAsia" w:hAnsi="宋体"/>
          <w:b/>
          <w:color w:val="auto"/>
          <w:sz w:val="21"/>
          <w:highlight w:val="none"/>
        </w:rPr>
        <w:t>第九条  不可抗力事件处理</w:t>
      </w:r>
    </w:p>
    <w:p w14:paraId="4404AE0B">
      <w:pPr>
        <w:pStyle w:val="24"/>
        <w:spacing w:line="360" w:lineRule="auto"/>
        <w:ind w:firstLine="420"/>
        <w:rPr>
          <w:rFonts w:hAnsi="宋体"/>
          <w:color w:val="auto"/>
          <w:sz w:val="21"/>
          <w:highlight w:val="none"/>
        </w:rPr>
      </w:pPr>
      <w:r>
        <w:rPr>
          <w:rFonts w:hint="eastAsia" w:hAnsi="宋体"/>
          <w:color w:val="auto"/>
          <w:sz w:val="21"/>
          <w:highlight w:val="none"/>
        </w:rPr>
        <w:t>1.在合同有效期内，任何一方因不可抗力事件导致不能履行合同，则合同履行期可延长，其延长期与不可抗力影响期相同。</w:t>
      </w:r>
    </w:p>
    <w:p w14:paraId="0295C739">
      <w:pPr>
        <w:pStyle w:val="24"/>
        <w:spacing w:line="360" w:lineRule="auto"/>
        <w:ind w:firstLine="420"/>
        <w:rPr>
          <w:rFonts w:hAnsi="宋体"/>
          <w:color w:val="auto"/>
          <w:sz w:val="21"/>
          <w:highlight w:val="none"/>
        </w:rPr>
      </w:pPr>
      <w:r>
        <w:rPr>
          <w:rFonts w:hint="eastAsia" w:hAnsi="宋体"/>
          <w:color w:val="auto"/>
          <w:sz w:val="21"/>
          <w:highlight w:val="none"/>
        </w:rPr>
        <w:t>2.不可抗力事件发生后，应立即通知对方，并寄送有关权威机构出具的证明。</w:t>
      </w:r>
    </w:p>
    <w:p w14:paraId="47088669">
      <w:pPr>
        <w:spacing w:line="360" w:lineRule="auto"/>
        <w:ind w:firstLine="420"/>
        <w:rPr>
          <w:rFonts w:ascii="宋体" w:hAnsi="宋体"/>
          <w:color w:val="auto"/>
          <w:szCs w:val="21"/>
          <w:highlight w:val="none"/>
        </w:rPr>
      </w:pPr>
      <w:r>
        <w:rPr>
          <w:rFonts w:hint="eastAsia" w:ascii="宋体" w:hAnsi="宋体"/>
          <w:color w:val="auto"/>
          <w:szCs w:val="21"/>
          <w:highlight w:val="none"/>
        </w:rPr>
        <w:t>3.不可抗力事件延续一百二十天以上，双方应通过友好协商，确定是否继续履行合同。</w:t>
      </w:r>
    </w:p>
    <w:p w14:paraId="2D194689">
      <w:pPr>
        <w:spacing w:line="360" w:lineRule="auto"/>
        <w:ind w:firstLine="422"/>
        <w:rPr>
          <w:rFonts w:ascii="宋体" w:hAnsi="宋体"/>
          <w:color w:val="auto"/>
          <w:szCs w:val="21"/>
          <w:highlight w:val="none"/>
        </w:rPr>
      </w:pPr>
      <w:r>
        <w:rPr>
          <w:rFonts w:hint="eastAsia" w:ascii="宋体" w:hAnsi="宋体"/>
          <w:b/>
          <w:color w:val="auto"/>
          <w:szCs w:val="21"/>
          <w:highlight w:val="none"/>
        </w:rPr>
        <w:t>第十条  合同争议解决</w:t>
      </w:r>
    </w:p>
    <w:p w14:paraId="3DB3BED3">
      <w:pPr>
        <w:spacing w:line="360" w:lineRule="auto"/>
        <w:ind w:firstLine="420"/>
        <w:rPr>
          <w:rFonts w:ascii="宋体" w:hAnsi="宋体"/>
          <w:color w:val="auto"/>
          <w:szCs w:val="21"/>
          <w:highlight w:val="none"/>
        </w:rPr>
      </w:pPr>
      <w:r>
        <w:rPr>
          <w:rFonts w:hint="eastAsia" w:ascii="宋体" w:hAnsi="宋体"/>
          <w:color w:val="auto"/>
          <w:szCs w:val="21"/>
          <w:highlight w:val="none"/>
        </w:rPr>
        <w:t>1.因服务质量问题发生争议的，应邀请国家认可的质量检测机构或专家组进行鉴定。服务符合标准的，鉴定费由甲方承担；服务不符合标准的，鉴定费由乙方承担。</w:t>
      </w:r>
    </w:p>
    <w:p w14:paraId="33AC8250">
      <w:pPr>
        <w:spacing w:line="360" w:lineRule="auto"/>
        <w:ind w:left="100" w:right="42" w:firstLine="420"/>
        <w:rPr>
          <w:rFonts w:ascii="宋体" w:hAnsi="宋体"/>
          <w:color w:val="auto"/>
          <w:szCs w:val="21"/>
          <w:highlight w:val="none"/>
        </w:rPr>
      </w:pPr>
      <w:r>
        <w:rPr>
          <w:rFonts w:hint="eastAsia" w:ascii="宋体" w:hAnsi="宋体"/>
          <w:color w:val="auto"/>
          <w:szCs w:val="21"/>
          <w:highlight w:val="none"/>
        </w:rPr>
        <w:t>2.因履行本合同引起的或者与本合同有关的争议，甲乙双方应首先通过友好协商解决，如果协商不能解决，按下列</w:t>
      </w:r>
      <w:r>
        <w:rPr>
          <w:rFonts w:hint="eastAsia" w:ascii="宋体" w:hAnsi="宋体"/>
          <w:color w:val="auto"/>
          <w:szCs w:val="21"/>
          <w:highlight w:val="none"/>
          <w:u w:val="single"/>
        </w:rPr>
        <w:t xml:space="preserve"> （2）</w:t>
      </w:r>
      <w:r>
        <w:rPr>
          <w:rFonts w:hint="eastAsia" w:ascii="宋体" w:hAnsi="宋体"/>
          <w:color w:val="auto"/>
          <w:szCs w:val="21"/>
          <w:highlight w:val="none"/>
        </w:rPr>
        <w:t>方式解决：</w:t>
      </w:r>
    </w:p>
    <w:p w14:paraId="7C1012D9">
      <w:pPr>
        <w:spacing w:line="360" w:lineRule="auto"/>
        <w:ind w:right="40" w:firstLine="420"/>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0FAFFC3B">
      <w:pPr>
        <w:spacing w:line="360" w:lineRule="auto"/>
        <w:ind w:right="40" w:firstLine="420"/>
        <w:rPr>
          <w:rFonts w:ascii="宋体" w:hAnsi="宋体"/>
          <w:color w:val="auto"/>
          <w:szCs w:val="21"/>
          <w:highlight w:val="none"/>
        </w:rPr>
      </w:pPr>
      <w:r>
        <w:rPr>
          <w:rFonts w:hint="eastAsia" w:ascii="宋体" w:hAnsi="宋体"/>
          <w:color w:val="auto"/>
          <w:szCs w:val="21"/>
          <w:highlight w:val="none"/>
        </w:rPr>
        <w:t>（2）向甲方所在地的人民法院提起诉讼。</w:t>
      </w:r>
    </w:p>
    <w:p w14:paraId="6D6C1E66">
      <w:pPr>
        <w:spacing w:line="360" w:lineRule="auto"/>
        <w:ind w:firstLine="422"/>
        <w:rPr>
          <w:rFonts w:ascii="宋体" w:hAnsi="宋体"/>
          <w:b/>
          <w:color w:val="auto"/>
          <w:szCs w:val="21"/>
          <w:highlight w:val="none"/>
        </w:rPr>
      </w:pPr>
      <w:r>
        <w:rPr>
          <w:rFonts w:hint="eastAsia" w:ascii="宋体" w:hAnsi="宋体"/>
          <w:b/>
          <w:color w:val="auto"/>
          <w:szCs w:val="21"/>
          <w:highlight w:val="none"/>
        </w:rPr>
        <w:t>第十一条　合同的变更、中止或者终止</w:t>
      </w:r>
    </w:p>
    <w:p w14:paraId="67D72D62">
      <w:pPr>
        <w:spacing w:line="360" w:lineRule="auto"/>
        <w:ind w:firstLine="420"/>
        <w:rPr>
          <w:rFonts w:ascii="宋体" w:hAnsi="宋体"/>
          <w:color w:val="auto"/>
          <w:szCs w:val="21"/>
          <w:highlight w:val="none"/>
        </w:rPr>
      </w:pPr>
      <w:r>
        <w:rPr>
          <w:rFonts w:hint="eastAsia" w:ascii="宋体" w:hAnsi="宋体"/>
          <w:color w:val="auto"/>
          <w:szCs w:val="21"/>
          <w:highlight w:val="none"/>
        </w:rPr>
        <w:t>1. 除《中华人民共和国政府采购法》第五十条规定的情形外，本合同一经签订，甲乙双方不得擅自变更、中止或者终止合同。</w:t>
      </w:r>
    </w:p>
    <w:p w14:paraId="44F4EC08">
      <w:pPr>
        <w:spacing w:line="360" w:lineRule="auto"/>
        <w:ind w:firstLine="420"/>
        <w:rPr>
          <w:rFonts w:ascii="宋体" w:hAnsi="宋体"/>
          <w:color w:val="auto"/>
          <w:szCs w:val="21"/>
          <w:highlight w:val="none"/>
        </w:rPr>
      </w:pPr>
      <w:r>
        <w:rPr>
          <w:rFonts w:hint="eastAsia" w:ascii="宋体" w:hAnsi="宋体"/>
          <w:color w:val="auto"/>
          <w:szCs w:val="21"/>
          <w:highlight w:val="none"/>
        </w:rPr>
        <w:t>2.采购合同继续履行将损害国家利益和社会公共利益的，双方当事人应当变更、中止或者终止合同。有过错的一方应当承担赔偿责任，双方都有过错的，各自承担相应的责任。</w:t>
      </w:r>
    </w:p>
    <w:p w14:paraId="030FCA2C">
      <w:pPr>
        <w:spacing w:line="360" w:lineRule="auto"/>
        <w:ind w:firstLine="422"/>
        <w:rPr>
          <w:rFonts w:ascii="宋体" w:hAnsi="宋体"/>
          <w:bCs/>
          <w:color w:val="auto"/>
          <w:szCs w:val="21"/>
          <w:highlight w:val="none"/>
        </w:rPr>
      </w:pPr>
      <w:r>
        <w:rPr>
          <w:rFonts w:hint="eastAsia" w:ascii="宋体" w:hAnsi="宋体"/>
          <w:bCs/>
          <w:color w:val="auto"/>
          <w:szCs w:val="21"/>
          <w:highlight w:val="none"/>
        </w:rPr>
        <w:t>3.乙方不得擅自转让其应履行的合同义务。</w:t>
      </w:r>
    </w:p>
    <w:p w14:paraId="0FCBB69B">
      <w:pPr>
        <w:spacing w:line="360" w:lineRule="auto"/>
        <w:ind w:firstLine="422"/>
        <w:rPr>
          <w:rFonts w:ascii="宋体" w:hAnsi="宋体"/>
          <w:b/>
          <w:color w:val="auto"/>
          <w:szCs w:val="21"/>
          <w:highlight w:val="none"/>
        </w:rPr>
      </w:pPr>
      <w:r>
        <w:rPr>
          <w:rFonts w:hint="eastAsia" w:ascii="宋体" w:hAnsi="宋体"/>
          <w:b/>
          <w:color w:val="auto"/>
          <w:szCs w:val="21"/>
          <w:highlight w:val="none"/>
        </w:rPr>
        <w:t>第十二条　</w:t>
      </w:r>
      <w:r>
        <w:rPr>
          <w:rFonts w:hint="eastAsia" w:ascii="宋体" w:hAnsi="宋体" w:cs="微软雅黑"/>
          <w:b/>
          <w:color w:val="auto"/>
          <w:szCs w:val="21"/>
          <w:highlight w:val="none"/>
        </w:rPr>
        <w:t>合</w:t>
      </w:r>
      <w:r>
        <w:rPr>
          <w:rFonts w:hint="eastAsia" w:ascii="宋体" w:hAnsi="宋体" w:cs="微软雅黑"/>
          <w:b/>
          <w:color w:val="auto"/>
          <w:spacing w:val="-2"/>
          <w:szCs w:val="21"/>
          <w:highlight w:val="none"/>
        </w:rPr>
        <w:t>同</w:t>
      </w:r>
      <w:r>
        <w:rPr>
          <w:rFonts w:hint="eastAsia" w:ascii="宋体" w:hAnsi="宋体" w:cs="微软雅黑"/>
          <w:b/>
          <w:color w:val="auto"/>
          <w:szCs w:val="21"/>
          <w:highlight w:val="none"/>
        </w:rPr>
        <w:t>文</w:t>
      </w:r>
      <w:r>
        <w:rPr>
          <w:rFonts w:hint="eastAsia" w:ascii="宋体" w:hAnsi="宋体" w:cs="微软雅黑"/>
          <w:b/>
          <w:color w:val="auto"/>
          <w:spacing w:val="-2"/>
          <w:szCs w:val="21"/>
          <w:highlight w:val="none"/>
        </w:rPr>
        <w:t>件构成</w:t>
      </w:r>
    </w:p>
    <w:p w14:paraId="152909C4">
      <w:pPr>
        <w:pStyle w:val="24"/>
        <w:spacing w:line="360" w:lineRule="auto"/>
        <w:ind w:left="420"/>
        <w:rPr>
          <w:rFonts w:hAnsi="宋体"/>
          <w:color w:val="auto"/>
          <w:sz w:val="21"/>
          <w:highlight w:val="none"/>
        </w:rPr>
      </w:pPr>
      <w:r>
        <w:rPr>
          <w:rFonts w:hint="eastAsia" w:hAnsi="宋体"/>
          <w:color w:val="auto"/>
          <w:sz w:val="21"/>
          <w:highlight w:val="none"/>
        </w:rPr>
        <w:t>1.政府采购合同</w:t>
      </w:r>
    </w:p>
    <w:p w14:paraId="62686A2F">
      <w:pPr>
        <w:pStyle w:val="24"/>
        <w:spacing w:line="360" w:lineRule="auto"/>
        <w:ind w:left="420"/>
        <w:rPr>
          <w:rFonts w:hAnsi="宋体"/>
          <w:color w:val="auto"/>
          <w:sz w:val="21"/>
          <w:highlight w:val="none"/>
        </w:rPr>
      </w:pPr>
      <w:r>
        <w:rPr>
          <w:rFonts w:hint="eastAsia" w:hAnsi="宋体"/>
          <w:color w:val="auto"/>
          <w:sz w:val="21"/>
          <w:highlight w:val="none"/>
        </w:rPr>
        <w:t>2.中标通知书；</w:t>
      </w:r>
    </w:p>
    <w:p w14:paraId="5ABE7FF0">
      <w:pPr>
        <w:pStyle w:val="24"/>
        <w:spacing w:line="360" w:lineRule="auto"/>
        <w:ind w:left="420"/>
        <w:rPr>
          <w:rFonts w:hAnsi="宋体"/>
          <w:color w:val="auto"/>
          <w:sz w:val="21"/>
          <w:highlight w:val="none"/>
        </w:rPr>
      </w:pPr>
      <w:r>
        <w:rPr>
          <w:rFonts w:hint="eastAsia" w:hAnsi="宋体"/>
          <w:color w:val="auto"/>
          <w:sz w:val="21"/>
          <w:highlight w:val="none"/>
        </w:rPr>
        <w:t>3.投标文件；</w:t>
      </w:r>
    </w:p>
    <w:p w14:paraId="593F057C">
      <w:pPr>
        <w:pStyle w:val="24"/>
        <w:spacing w:line="360" w:lineRule="auto"/>
        <w:ind w:left="420"/>
        <w:rPr>
          <w:rFonts w:hAnsi="宋体"/>
          <w:color w:val="auto"/>
          <w:sz w:val="21"/>
          <w:highlight w:val="none"/>
        </w:rPr>
      </w:pPr>
      <w:r>
        <w:rPr>
          <w:rFonts w:hint="eastAsia" w:hAnsi="宋体"/>
          <w:color w:val="auto"/>
          <w:sz w:val="21"/>
          <w:highlight w:val="none"/>
        </w:rPr>
        <w:t>4.采购文件及更正公告（澄清或补充通知）；</w:t>
      </w:r>
    </w:p>
    <w:p w14:paraId="61C24415">
      <w:pPr>
        <w:pStyle w:val="24"/>
        <w:spacing w:line="360" w:lineRule="auto"/>
        <w:ind w:left="420"/>
        <w:rPr>
          <w:rFonts w:hAnsi="宋体"/>
          <w:color w:val="auto"/>
          <w:sz w:val="21"/>
          <w:highlight w:val="none"/>
        </w:rPr>
      </w:pPr>
      <w:r>
        <w:rPr>
          <w:rFonts w:hint="eastAsia" w:hAnsi="宋体"/>
          <w:color w:val="auto"/>
          <w:sz w:val="21"/>
          <w:highlight w:val="none"/>
        </w:rPr>
        <w:t>5.标准、规范及有关技术文件；</w:t>
      </w:r>
    </w:p>
    <w:p w14:paraId="74BAB1E4">
      <w:pPr>
        <w:pStyle w:val="24"/>
        <w:spacing w:line="360" w:lineRule="auto"/>
        <w:ind w:left="420"/>
        <w:rPr>
          <w:rFonts w:hAnsi="宋体"/>
          <w:color w:val="auto"/>
          <w:sz w:val="21"/>
          <w:highlight w:val="none"/>
        </w:rPr>
      </w:pPr>
      <w:r>
        <w:rPr>
          <w:rFonts w:hint="eastAsia" w:hAnsi="宋体"/>
          <w:color w:val="auto"/>
          <w:sz w:val="21"/>
          <w:highlight w:val="none"/>
        </w:rPr>
        <w:t>6.双方约定的其他合同文件。</w:t>
      </w:r>
    </w:p>
    <w:p w14:paraId="394776FB">
      <w:pPr>
        <w:pStyle w:val="24"/>
        <w:spacing w:line="360" w:lineRule="auto"/>
        <w:ind w:firstLine="420"/>
        <w:rPr>
          <w:rFonts w:hAnsi="宋体"/>
          <w:color w:val="auto"/>
          <w:sz w:val="21"/>
          <w:highlight w:val="none"/>
        </w:rPr>
      </w:pPr>
      <w:r>
        <w:rPr>
          <w:rFonts w:hint="eastAsia" w:hAnsi="宋体"/>
          <w:color w:val="auto"/>
          <w:sz w:val="21"/>
          <w:highlight w:val="none"/>
        </w:rPr>
        <w:t>上述合同文件互相补充和解释。如果合同文件之间存在矛盾或者不一致之处，以上述文件的排列顺序在先者为准。</w:t>
      </w:r>
    </w:p>
    <w:p w14:paraId="05AC5E78">
      <w:pPr>
        <w:pStyle w:val="24"/>
        <w:spacing w:line="360" w:lineRule="auto"/>
        <w:ind w:firstLine="413"/>
        <w:rPr>
          <w:rFonts w:hAnsi="宋体"/>
          <w:b/>
          <w:color w:val="auto"/>
          <w:sz w:val="21"/>
          <w:highlight w:val="none"/>
        </w:rPr>
      </w:pPr>
      <w:r>
        <w:rPr>
          <w:rFonts w:hint="eastAsia" w:hAnsi="宋体"/>
          <w:b/>
          <w:color w:val="auto"/>
          <w:sz w:val="21"/>
          <w:highlight w:val="none"/>
        </w:rPr>
        <w:t>第十三条  合同生效及其它</w:t>
      </w:r>
    </w:p>
    <w:p w14:paraId="40B0C88F">
      <w:pPr>
        <w:pStyle w:val="24"/>
        <w:spacing w:line="360" w:lineRule="auto"/>
        <w:ind w:firstLine="420"/>
        <w:rPr>
          <w:rFonts w:hAnsi="宋体"/>
          <w:color w:val="auto"/>
          <w:sz w:val="21"/>
          <w:highlight w:val="none"/>
        </w:rPr>
      </w:pPr>
      <w:r>
        <w:rPr>
          <w:rFonts w:hint="eastAsia" w:hAnsi="宋体"/>
          <w:color w:val="auto"/>
          <w:sz w:val="21"/>
          <w:highlight w:val="none"/>
        </w:rPr>
        <w:t>1.合同经双方法定代表人或者委托代理人签字并加盖单位公章后生效（委托代理人签字的需后附授权委托书，格式自拟）。</w:t>
      </w:r>
    </w:p>
    <w:p w14:paraId="590ADACF">
      <w:pPr>
        <w:pStyle w:val="24"/>
        <w:spacing w:line="360" w:lineRule="auto"/>
        <w:ind w:firstLine="420"/>
        <w:rPr>
          <w:rFonts w:hAnsi="宋体"/>
          <w:color w:val="auto"/>
          <w:sz w:val="21"/>
          <w:highlight w:val="none"/>
        </w:rPr>
      </w:pPr>
      <w:r>
        <w:rPr>
          <w:rFonts w:hint="eastAsia" w:hAnsi="宋体"/>
          <w:color w:val="auto"/>
          <w:sz w:val="21"/>
          <w:highlight w:val="none"/>
        </w:rPr>
        <w:t>2.合同执行中涉及采购资金和采购内容修改或者补充的，并签订书面补充协议报财政部门备案，方可作为主合同不可分割的一部分。</w:t>
      </w:r>
    </w:p>
    <w:p w14:paraId="10790E45">
      <w:pPr>
        <w:pStyle w:val="24"/>
        <w:spacing w:line="360" w:lineRule="auto"/>
        <w:ind w:firstLine="420"/>
        <w:rPr>
          <w:rFonts w:hAnsi="宋体"/>
          <w:color w:val="auto"/>
          <w:sz w:val="21"/>
          <w:highlight w:val="none"/>
        </w:rPr>
      </w:pPr>
      <w:r>
        <w:rPr>
          <w:rFonts w:hint="eastAsia" w:hAnsi="宋体"/>
          <w:color w:val="auto"/>
          <w:sz w:val="21"/>
          <w:highlight w:val="none"/>
        </w:rPr>
        <w:t>3.合同生效后，甲乙双方不得因姓名、名称的变更或者法定代表人、负责人、承办人的变动而不履行合同义务。</w:t>
      </w:r>
    </w:p>
    <w:p w14:paraId="0F252318">
      <w:pPr>
        <w:pStyle w:val="24"/>
        <w:spacing w:line="360" w:lineRule="auto"/>
        <w:ind w:left="420"/>
        <w:rPr>
          <w:rFonts w:hAnsi="宋体"/>
          <w:color w:val="auto"/>
          <w:sz w:val="21"/>
          <w:highlight w:val="none"/>
        </w:rPr>
      </w:pPr>
      <w:r>
        <w:rPr>
          <w:rFonts w:hint="eastAsia" w:hAnsi="宋体"/>
          <w:color w:val="auto"/>
          <w:sz w:val="21"/>
          <w:highlight w:val="none"/>
        </w:rPr>
        <w:t>4.本合同未尽事宜，遵照《中华人民共和国民法典》有关条文执行。</w:t>
      </w:r>
    </w:p>
    <w:p w14:paraId="1EC001C6">
      <w:pPr>
        <w:spacing w:line="360" w:lineRule="auto"/>
        <w:ind w:firstLine="420"/>
        <w:rPr>
          <w:rFonts w:ascii="宋体" w:hAnsi="宋体"/>
          <w:iCs/>
          <w:color w:val="auto"/>
          <w:szCs w:val="21"/>
          <w:highlight w:val="none"/>
        </w:rPr>
      </w:pPr>
      <w:r>
        <w:rPr>
          <w:rFonts w:hint="eastAsia" w:ascii="宋体" w:hAnsi="宋体"/>
          <w:color w:val="auto"/>
          <w:szCs w:val="21"/>
          <w:highlight w:val="none"/>
        </w:rPr>
        <w:t>5.本合同自签订之日起2个工作日内，甲方应当将采购合同在广西壮族自治区财政厅指定的媒体上公告。</w:t>
      </w:r>
    </w:p>
    <w:p w14:paraId="4710C94B">
      <w:pPr>
        <w:spacing w:line="440" w:lineRule="exact"/>
        <w:ind w:firstLine="422"/>
        <w:rPr>
          <w:rFonts w:ascii="宋体" w:hAnsi="宋体" w:cs="宋体"/>
          <w:b/>
          <w:color w:val="auto"/>
          <w:szCs w:val="21"/>
          <w:highlight w:val="none"/>
        </w:rPr>
      </w:pPr>
    </w:p>
    <w:p w14:paraId="6A071D35">
      <w:pPr>
        <w:tabs>
          <w:tab w:val="left" w:pos="4395"/>
        </w:tabs>
        <w:spacing w:line="440" w:lineRule="exact"/>
        <w:rPr>
          <w:rFonts w:ascii="宋体" w:hAnsi="宋体"/>
          <w:b/>
          <w:color w:val="auto"/>
          <w:szCs w:val="21"/>
          <w:highlight w:val="none"/>
        </w:rPr>
      </w:pPr>
      <w:r>
        <w:rPr>
          <w:rFonts w:hint="eastAsia" w:ascii="宋体" w:hAnsi="宋体"/>
          <w:b/>
          <w:color w:val="auto"/>
          <w:szCs w:val="21"/>
          <w:highlight w:val="none"/>
        </w:rPr>
        <w:t>甲方（盖章）：</w:t>
      </w:r>
      <w:r>
        <w:rPr>
          <w:rFonts w:hint="eastAsia" w:ascii="宋体" w:hAnsi="宋体"/>
          <w:b/>
          <w:color w:val="auto"/>
          <w:szCs w:val="21"/>
          <w:highlight w:val="none"/>
        </w:rPr>
        <w:tab/>
      </w:r>
      <w:r>
        <w:rPr>
          <w:rFonts w:hint="eastAsia" w:ascii="宋体" w:hAnsi="宋体"/>
          <w:b/>
          <w:color w:val="auto"/>
          <w:szCs w:val="21"/>
          <w:highlight w:val="none"/>
        </w:rPr>
        <w:t>乙方1（盖章）：</w:t>
      </w:r>
    </w:p>
    <w:p w14:paraId="2DF867BA">
      <w:pPr>
        <w:tabs>
          <w:tab w:val="left" w:pos="4395"/>
        </w:tabs>
        <w:spacing w:line="440" w:lineRule="exact"/>
        <w:rPr>
          <w:rFonts w:ascii="宋体" w:hAnsi="宋体"/>
          <w:b/>
          <w:color w:val="auto"/>
          <w:szCs w:val="21"/>
          <w:highlight w:val="none"/>
        </w:rPr>
      </w:pP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w:t>
      </w:r>
      <w:r>
        <w:rPr>
          <w:rFonts w:hint="eastAsia" w:ascii="宋体" w:hAnsi="宋体"/>
          <w:b/>
          <w:color w:val="auto"/>
          <w:szCs w:val="21"/>
          <w:highlight w:val="none"/>
        </w:rPr>
        <w:tab/>
      </w: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 xml:space="preserve">： </w:t>
      </w:r>
    </w:p>
    <w:p w14:paraId="2DB00C82">
      <w:pPr>
        <w:tabs>
          <w:tab w:val="left" w:pos="4395"/>
        </w:tabs>
        <w:spacing w:line="440" w:lineRule="exact"/>
        <w:rPr>
          <w:rFonts w:ascii="宋体" w:hAnsi="宋体"/>
          <w:color w:val="auto"/>
          <w:szCs w:val="21"/>
          <w:highlight w:val="none"/>
        </w:rPr>
      </w:pPr>
    </w:p>
    <w:p w14:paraId="55DCAB12">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签</w:t>
      </w:r>
      <w:r>
        <w:rPr>
          <w:rFonts w:hint="eastAsia"/>
          <w:color w:val="auto"/>
          <w:highlight w:val="none"/>
        </w:rPr>
        <w:t>订</w:t>
      </w:r>
      <w:r>
        <w:rPr>
          <w:rFonts w:hint="eastAsia" w:ascii="宋体" w:hAnsi="宋体"/>
          <w:color w:val="auto"/>
          <w:szCs w:val="21"/>
          <w:highlight w:val="none"/>
        </w:rPr>
        <w:t>日期：　　　年　　月　　日</w:t>
      </w:r>
      <w:r>
        <w:rPr>
          <w:rFonts w:hint="eastAsia" w:ascii="宋体" w:hAnsi="宋体"/>
          <w:color w:val="auto"/>
          <w:szCs w:val="21"/>
          <w:highlight w:val="none"/>
        </w:rPr>
        <w:tab/>
      </w:r>
      <w:r>
        <w:rPr>
          <w:rFonts w:hint="eastAsia" w:ascii="宋体" w:hAnsi="宋体"/>
          <w:color w:val="auto"/>
          <w:szCs w:val="21"/>
          <w:highlight w:val="none"/>
        </w:rPr>
        <w:t>签</w:t>
      </w:r>
      <w:r>
        <w:rPr>
          <w:rFonts w:hint="eastAsia"/>
          <w:color w:val="auto"/>
          <w:highlight w:val="none"/>
        </w:rPr>
        <w:t>订</w:t>
      </w:r>
      <w:r>
        <w:rPr>
          <w:rFonts w:hint="eastAsia" w:ascii="宋体" w:hAnsi="宋体"/>
          <w:color w:val="auto"/>
          <w:szCs w:val="21"/>
          <w:highlight w:val="none"/>
        </w:rPr>
        <w:t>日期：　　　年　　月　　日</w:t>
      </w:r>
    </w:p>
    <w:p w14:paraId="0D9BB532">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开户名称：</w:t>
      </w:r>
    </w:p>
    <w:p w14:paraId="298308F8">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银行账号：</w:t>
      </w:r>
    </w:p>
    <w:p w14:paraId="22FBE8B7">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 户 行：</w:t>
      </w:r>
    </w:p>
    <w:p w14:paraId="351B670F">
      <w:pPr>
        <w:tabs>
          <w:tab w:val="left" w:pos="4395"/>
        </w:tabs>
        <w:spacing w:line="440" w:lineRule="exact"/>
        <w:rPr>
          <w:rFonts w:ascii="宋体" w:hAnsi="宋体"/>
          <w:b/>
          <w:color w:val="auto"/>
          <w:szCs w:val="21"/>
          <w:highlight w:val="none"/>
        </w:rPr>
      </w:pPr>
      <w:r>
        <w:rPr>
          <w:rFonts w:hint="eastAsia" w:ascii="宋体" w:hAnsi="宋体"/>
          <w:b/>
          <w:color w:val="auto"/>
          <w:szCs w:val="21"/>
          <w:highlight w:val="none"/>
        </w:rPr>
        <w:tab/>
      </w:r>
      <w:r>
        <w:rPr>
          <w:rFonts w:hint="eastAsia" w:ascii="宋体" w:hAnsi="宋体"/>
          <w:b/>
          <w:color w:val="auto"/>
          <w:szCs w:val="21"/>
          <w:highlight w:val="none"/>
        </w:rPr>
        <w:t>乙方2（如有）（盖章）：</w:t>
      </w:r>
    </w:p>
    <w:p w14:paraId="774D7539">
      <w:pPr>
        <w:tabs>
          <w:tab w:val="left" w:pos="4395"/>
        </w:tabs>
        <w:spacing w:line="440" w:lineRule="exact"/>
        <w:rPr>
          <w:rFonts w:ascii="宋体" w:hAnsi="宋体"/>
          <w:b/>
          <w:color w:val="auto"/>
          <w:szCs w:val="21"/>
          <w:highlight w:val="none"/>
        </w:rPr>
      </w:pPr>
      <w:r>
        <w:rPr>
          <w:rFonts w:hint="eastAsia" w:ascii="宋体" w:hAnsi="宋体"/>
          <w:b/>
          <w:color w:val="auto"/>
          <w:szCs w:val="21"/>
          <w:highlight w:val="none"/>
        </w:rPr>
        <w:tab/>
      </w:r>
      <w:r>
        <w:rPr>
          <w:rFonts w:hint="eastAsia" w:ascii="宋体" w:hAnsi="宋体"/>
          <w:bCs/>
          <w:color w:val="auto"/>
          <w:szCs w:val="21"/>
          <w:highlight w:val="none"/>
        </w:rPr>
        <w:t>法定代表人或者委托代理人（签字）</w:t>
      </w:r>
      <w:r>
        <w:rPr>
          <w:rFonts w:hint="eastAsia" w:ascii="宋体" w:hAnsi="宋体"/>
          <w:b/>
          <w:color w:val="auto"/>
          <w:szCs w:val="21"/>
          <w:highlight w:val="none"/>
        </w:rPr>
        <w:t xml:space="preserve">： </w:t>
      </w:r>
    </w:p>
    <w:p w14:paraId="7197168C">
      <w:pPr>
        <w:tabs>
          <w:tab w:val="left" w:pos="4395"/>
        </w:tabs>
        <w:spacing w:line="440" w:lineRule="exact"/>
        <w:rPr>
          <w:rFonts w:ascii="宋体" w:hAnsi="宋体"/>
          <w:color w:val="auto"/>
          <w:szCs w:val="21"/>
          <w:highlight w:val="none"/>
        </w:rPr>
      </w:pPr>
    </w:p>
    <w:p w14:paraId="4C48E907">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签订日期：　　　年　　月　　日</w:t>
      </w:r>
    </w:p>
    <w:p w14:paraId="2420883D">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开户名称：</w:t>
      </w:r>
    </w:p>
    <w:p w14:paraId="0F1745B5">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银行账号：</w:t>
      </w:r>
    </w:p>
    <w:p w14:paraId="0AD9F76A">
      <w:pPr>
        <w:tabs>
          <w:tab w:val="left" w:pos="4395"/>
        </w:tabs>
        <w:spacing w:line="440" w:lineRule="exact"/>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开 户 行：</w:t>
      </w:r>
    </w:p>
    <w:p w14:paraId="66F55BFF">
      <w:pPr>
        <w:spacing w:line="480" w:lineRule="auto"/>
        <w:rPr>
          <w:rFonts w:ascii="宋体" w:hAnsi="宋体"/>
          <w:bCs/>
          <w:color w:val="auto"/>
          <w:sz w:val="32"/>
          <w:szCs w:val="32"/>
          <w:highlight w:val="none"/>
        </w:rPr>
      </w:pPr>
    </w:p>
    <w:p w14:paraId="6DD73235">
      <w:pPr>
        <w:jc w:val="center"/>
        <w:rPr>
          <w:rFonts w:ascii="宋体" w:hAnsi="宋体"/>
          <w:bCs/>
          <w:color w:val="auto"/>
          <w:sz w:val="32"/>
          <w:szCs w:val="32"/>
          <w:highlight w:val="none"/>
        </w:rPr>
      </w:pPr>
    </w:p>
    <w:p w14:paraId="73ADFCA8">
      <w:pPr>
        <w:rPr>
          <w:color w:val="auto"/>
          <w:highlight w:val="none"/>
        </w:rPr>
      </w:pPr>
      <w:bookmarkStart w:id="140" w:name="_Toc25289"/>
    </w:p>
    <w:p w14:paraId="7BF35564">
      <w:pPr>
        <w:rPr>
          <w:color w:val="auto"/>
          <w:highlight w:val="none"/>
        </w:rPr>
      </w:pPr>
      <w:r>
        <w:rPr>
          <w:rFonts w:hint="eastAsia"/>
          <w:color w:val="auto"/>
          <w:highlight w:val="none"/>
        </w:rPr>
        <w:br w:type="page" w:clear="all"/>
      </w:r>
    </w:p>
    <w:p w14:paraId="3BA8DF63">
      <w:pPr>
        <w:pStyle w:val="2"/>
        <w:jc w:val="center"/>
        <w:rPr>
          <w:color w:val="auto"/>
          <w:highlight w:val="none"/>
        </w:rPr>
      </w:pPr>
    </w:p>
    <w:p w14:paraId="526573CB">
      <w:pPr>
        <w:pStyle w:val="2"/>
        <w:jc w:val="center"/>
        <w:rPr>
          <w:color w:val="auto"/>
          <w:highlight w:val="none"/>
        </w:rPr>
      </w:pPr>
    </w:p>
    <w:p w14:paraId="28F53580">
      <w:pPr>
        <w:pStyle w:val="2"/>
        <w:jc w:val="center"/>
        <w:rPr>
          <w:color w:val="auto"/>
          <w:highlight w:val="none"/>
        </w:rPr>
      </w:pPr>
    </w:p>
    <w:p w14:paraId="39AF5081">
      <w:pPr>
        <w:pStyle w:val="2"/>
        <w:jc w:val="center"/>
        <w:rPr>
          <w:color w:val="auto"/>
          <w:highlight w:val="none"/>
        </w:rPr>
      </w:pPr>
    </w:p>
    <w:p w14:paraId="74C2BE53">
      <w:pPr>
        <w:pStyle w:val="2"/>
        <w:jc w:val="center"/>
        <w:rPr>
          <w:color w:val="auto"/>
          <w:highlight w:val="none"/>
        </w:rPr>
      </w:pPr>
      <w:r>
        <w:rPr>
          <w:rFonts w:hint="eastAsia"/>
          <w:color w:val="auto"/>
          <w:highlight w:val="none"/>
        </w:rPr>
        <w:t>第六章　投标文件格式</w:t>
      </w:r>
      <w:bookmarkEnd w:id="140"/>
    </w:p>
    <w:p w14:paraId="6E0C7BBF">
      <w:pPr>
        <w:spacing w:before="50" w:after="50"/>
        <w:outlineLvl w:val="1"/>
        <w:rPr>
          <w:rFonts w:ascii="宋体" w:hAnsi="宋体"/>
          <w:color w:val="auto"/>
          <w:sz w:val="32"/>
          <w:szCs w:val="20"/>
          <w:highlight w:val="none"/>
        </w:rPr>
      </w:pPr>
    </w:p>
    <w:p w14:paraId="6FF4497E">
      <w:pPr>
        <w:spacing w:before="50" w:after="50"/>
        <w:outlineLvl w:val="1"/>
        <w:rPr>
          <w:rFonts w:ascii="宋体" w:hAnsi="宋体"/>
          <w:color w:val="auto"/>
          <w:sz w:val="32"/>
          <w:szCs w:val="20"/>
          <w:highlight w:val="none"/>
        </w:rPr>
      </w:pPr>
    </w:p>
    <w:p w14:paraId="09B45166">
      <w:pPr>
        <w:spacing w:before="50" w:after="50"/>
        <w:outlineLvl w:val="1"/>
        <w:rPr>
          <w:rFonts w:ascii="宋体" w:hAnsi="宋体"/>
          <w:color w:val="auto"/>
          <w:sz w:val="32"/>
          <w:szCs w:val="20"/>
          <w:highlight w:val="none"/>
        </w:rPr>
      </w:pPr>
    </w:p>
    <w:p w14:paraId="65A37BD0">
      <w:pPr>
        <w:spacing w:before="50" w:after="50"/>
        <w:outlineLvl w:val="1"/>
        <w:rPr>
          <w:rFonts w:ascii="宋体" w:hAnsi="宋体"/>
          <w:color w:val="auto"/>
          <w:sz w:val="32"/>
          <w:szCs w:val="20"/>
          <w:highlight w:val="none"/>
        </w:rPr>
      </w:pPr>
    </w:p>
    <w:p w14:paraId="4BD1B886">
      <w:pPr>
        <w:spacing w:before="50" w:after="50"/>
        <w:outlineLvl w:val="1"/>
        <w:rPr>
          <w:rFonts w:ascii="宋体" w:hAnsi="宋体"/>
          <w:color w:val="auto"/>
          <w:sz w:val="32"/>
          <w:szCs w:val="20"/>
          <w:highlight w:val="none"/>
        </w:rPr>
      </w:pPr>
    </w:p>
    <w:p w14:paraId="47A0BDFA">
      <w:pPr>
        <w:spacing w:before="50" w:after="50"/>
        <w:outlineLvl w:val="1"/>
        <w:rPr>
          <w:rFonts w:ascii="宋体" w:hAnsi="宋体"/>
          <w:color w:val="auto"/>
          <w:sz w:val="32"/>
          <w:szCs w:val="20"/>
          <w:highlight w:val="none"/>
        </w:rPr>
      </w:pPr>
    </w:p>
    <w:p w14:paraId="7CA4FCBA">
      <w:pPr>
        <w:spacing w:before="50" w:after="50"/>
        <w:outlineLvl w:val="1"/>
        <w:rPr>
          <w:rFonts w:ascii="宋体" w:hAnsi="宋体"/>
          <w:color w:val="auto"/>
          <w:sz w:val="32"/>
          <w:szCs w:val="20"/>
          <w:highlight w:val="none"/>
        </w:rPr>
      </w:pPr>
    </w:p>
    <w:p w14:paraId="608074C3">
      <w:pPr>
        <w:spacing w:before="50" w:after="50"/>
        <w:outlineLvl w:val="1"/>
        <w:rPr>
          <w:rFonts w:ascii="宋体" w:hAnsi="宋体"/>
          <w:color w:val="auto"/>
          <w:sz w:val="32"/>
          <w:szCs w:val="20"/>
          <w:highlight w:val="none"/>
        </w:rPr>
      </w:pPr>
    </w:p>
    <w:p w14:paraId="3B0C4D28">
      <w:pPr>
        <w:spacing w:before="50" w:after="50"/>
        <w:outlineLvl w:val="1"/>
        <w:rPr>
          <w:rFonts w:ascii="宋体" w:hAnsi="宋体"/>
          <w:color w:val="auto"/>
          <w:sz w:val="32"/>
          <w:szCs w:val="20"/>
          <w:highlight w:val="none"/>
        </w:rPr>
      </w:pPr>
    </w:p>
    <w:p w14:paraId="61F8DC15">
      <w:pPr>
        <w:rPr>
          <w:b/>
          <w:color w:val="auto"/>
          <w:sz w:val="28"/>
          <w:szCs w:val="28"/>
          <w:highlight w:val="none"/>
        </w:rPr>
      </w:pPr>
      <w:r>
        <w:rPr>
          <w:color w:val="auto"/>
          <w:sz w:val="32"/>
          <w:szCs w:val="20"/>
          <w:highlight w:val="none"/>
        </w:rPr>
        <w:br w:type="page" w:clear="all"/>
      </w:r>
      <w:bookmarkStart w:id="141" w:name="_Toc19686836"/>
      <w:bookmarkStart w:id="142" w:name="_Toc254970557"/>
      <w:bookmarkStart w:id="143" w:name="_Toc254970698"/>
      <w:r>
        <w:rPr>
          <w:rFonts w:hint="eastAsia"/>
          <w:b/>
          <w:color w:val="auto"/>
          <w:sz w:val="28"/>
          <w:szCs w:val="28"/>
          <w:highlight w:val="none"/>
        </w:rPr>
        <w:t>一、报价文件格式</w:t>
      </w:r>
      <w:bookmarkEnd w:id="141"/>
    </w:p>
    <w:p w14:paraId="232008B1">
      <w:pPr>
        <w:spacing w:before="120" w:after="50" w:line="360" w:lineRule="auto"/>
        <w:ind w:left="142"/>
        <w:jc w:val="left"/>
        <w:rPr>
          <w:rFonts w:ascii="宋体" w:hAnsi="宋体"/>
          <w:color w:val="auto"/>
          <w:sz w:val="24"/>
          <w:szCs w:val="20"/>
          <w:highlight w:val="none"/>
        </w:rPr>
      </w:pPr>
      <w:r>
        <w:rPr>
          <w:rFonts w:hint="eastAsia" w:ascii="宋体" w:hAnsi="宋体"/>
          <w:b/>
          <w:color w:val="auto"/>
          <w:sz w:val="24"/>
          <w:highlight w:val="none"/>
        </w:rPr>
        <w:t xml:space="preserve">1. 报价文件封面格式： </w:t>
      </w:r>
    </w:p>
    <w:p w14:paraId="1EFA39D5">
      <w:pPr>
        <w:spacing w:before="120" w:after="50" w:line="360" w:lineRule="auto"/>
        <w:ind w:left="142"/>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00895775">
      <w:pPr>
        <w:spacing w:before="120" w:after="50" w:line="400" w:lineRule="exact"/>
        <w:rPr>
          <w:rFonts w:ascii="宋体" w:hAnsi="宋体"/>
          <w:bCs/>
          <w:color w:val="auto"/>
          <w:sz w:val="32"/>
          <w:szCs w:val="20"/>
          <w:highlight w:val="none"/>
        </w:rPr>
      </w:pPr>
      <w:r>
        <w:rPr>
          <w:rFonts w:hint="eastAsia" w:ascii="宋体" w:hAnsi="宋体"/>
          <w:color w:val="auto"/>
          <w:sz w:val="24"/>
          <w:highlight w:val="none"/>
        </w:rPr>
        <w:t xml:space="preserve">                 </w:t>
      </w:r>
    </w:p>
    <w:p w14:paraId="2FECC406">
      <w:pPr>
        <w:spacing w:before="120" w:after="50" w:line="400" w:lineRule="exact"/>
        <w:jc w:val="center"/>
        <w:rPr>
          <w:rFonts w:ascii="宋体" w:hAnsi="宋体"/>
          <w:bCs/>
          <w:color w:val="auto"/>
          <w:sz w:val="24"/>
          <w:szCs w:val="20"/>
          <w:highlight w:val="none"/>
        </w:rPr>
      </w:pPr>
    </w:p>
    <w:p w14:paraId="2928ED94">
      <w:pPr>
        <w:spacing w:before="12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w:t>
      </w:r>
    </w:p>
    <w:p w14:paraId="222F0C1D">
      <w:pPr>
        <w:spacing w:before="120" w:after="50" w:line="400" w:lineRule="exact"/>
        <w:rPr>
          <w:rFonts w:ascii="宋体" w:hAnsi="宋体"/>
          <w:bCs/>
          <w:color w:val="auto"/>
          <w:sz w:val="24"/>
          <w:szCs w:val="20"/>
          <w:highlight w:val="none"/>
        </w:rPr>
      </w:pPr>
    </w:p>
    <w:p w14:paraId="01F07F5B">
      <w:pPr>
        <w:spacing w:before="120" w:after="50" w:line="400" w:lineRule="exact"/>
        <w:rPr>
          <w:rFonts w:ascii="宋体" w:hAnsi="宋体"/>
          <w:bCs/>
          <w:color w:val="auto"/>
          <w:sz w:val="24"/>
          <w:szCs w:val="20"/>
          <w:highlight w:val="none"/>
        </w:rPr>
      </w:pPr>
    </w:p>
    <w:p w14:paraId="0252747B">
      <w:pPr>
        <w:spacing w:before="120" w:after="50" w:line="400" w:lineRule="exact"/>
        <w:rPr>
          <w:rFonts w:ascii="宋体" w:hAnsi="宋体"/>
          <w:bCs/>
          <w:color w:val="auto"/>
          <w:sz w:val="24"/>
          <w:szCs w:val="20"/>
          <w:highlight w:val="none"/>
        </w:rPr>
      </w:pPr>
    </w:p>
    <w:p w14:paraId="304B472D">
      <w:pPr>
        <w:spacing w:before="120" w:after="50" w:line="400" w:lineRule="exact"/>
        <w:rPr>
          <w:rFonts w:ascii="宋体" w:hAnsi="宋体"/>
          <w:bCs/>
          <w:color w:val="auto"/>
          <w:sz w:val="24"/>
          <w:szCs w:val="20"/>
          <w:highlight w:val="none"/>
        </w:rPr>
      </w:pPr>
    </w:p>
    <w:p w14:paraId="52F649D1">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项目名称： </w:t>
      </w:r>
    </w:p>
    <w:p w14:paraId="4D7AC7E1">
      <w:pPr>
        <w:spacing w:before="120" w:after="50" w:line="400" w:lineRule="exact"/>
        <w:ind w:firstLine="360"/>
        <w:rPr>
          <w:rFonts w:ascii="宋体" w:hAnsi="宋体"/>
          <w:bCs/>
          <w:color w:val="auto"/>
          <w:sz w:val="24"/>
          <w:highlight w:val="none"/>
        </w:rPr>
      </w:pPr>
    </w:p>
    <w:p w14:paraId="7A52E8F0">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项目编号： </w:t>
      </w:r>
    </w:p>
    <w:p w14:paraId="59BF3619">
      <w:pPr>
        <w:spacing w:before="120" w:after="50" w:line="400" w:lineRule="exact"/>
        <w:ind w:firstLine="360"/>
        <w:rPr>
          <w:rFonts w:ascii="宋体" w:hAnsi="宋体"/>
          <w:bCs/>
          <w:color w:val="auto"/>
          <w:sz w:val="24"/>
          <w:highlight w:val="none"/>
        </w:rPr>
      </w:pPr>
    </w:p>
    <w:p w14:paraId="178B411D">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所投分标：</w:t>
      </w:r>
    </w:p>
    <w:p w14:paraId="544DBBD1">
      <w:pPr>
        <w:spacing w:before="120" w:after="50" w:line="400" w:lineRule="exact"/>
        <w:ind w:firstLine="360"/>
        <w:rPr>
          <w:rFonts w:ascii="宋体" w:hAnsi="宋体"/>
          <w:bCs/>
          <w:color w:val="auto"/>
          <w:sz w:val="24"/>
          <w:highlight w:val="none"/>
        </w:rPr>
      </w:pPr>
    </w:p>
    <w:p w14:paraId="452B294D">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投标人名称：</w:t>
      </w:r>
    </w:p>
    <w:p w14:paraId="23DC49CA">
      <w:pPr>
        <w:spacing w:before="120" w:after="50" w:line="400" w:lineRule="exact"/>
        <w:ind w:firstLine="360"/>
        <w:rPr>
          <w:rFonts w:ascii="宋体" w:hAnsi="宋体"/>
          <w:bCs/>
          <w:color w:val="auto"/>
          <w:sz w:val="24"/>
          <w:highlight w:val="none"/>
        </w:rPr>
      </w:pPr>
    </w:p>
    <w:p w14:paraId="5507838D">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投标人地址：</w:t>
      </w:r>
    </w:p>
    <w:p w14:paraId="1C4EA8C4">
      <w:pPr>
        <w:pStyle w:val="7"/>
        <w:spacing w:before="50" w:after="50" w:line="400" w:lineRule="exact"/>
        <w:ind w:firstLine="960"/>
        <w:rPr>
          <w:rFonts w:ascii="宋体" w:hAnsi="宋体"/>
          <w:bCs/>
          <w:color w:val="auto"/>
          <w:sz w:val="24"/>
          <w:szCs w:val="24"/>
          <w:highlight w:val="none"/>
        </w:rPr>
      </w:pPr>
    </w:p>
    <w:p w14:paraId="10AD3A4D">
      <w:pPr>
        <w:spacing w:before="120" w:after="50" w:line="400" w:lineRule="exact"/>
        <w:rPr>
          <w:rFonts w:ascii="宋体" w:hAnsi="宋体"/>
          <w:color w:val="auto"/>
          <w:sz w:val="30"/>
          <w:szCs w:val="20"/>
          <w:highlight w:val="none"/>
        </w:rPr>
      </w:pPr>
      <w:r>
        <w:rPr>
          <w:rFonts w:hint="eastAsia" w:ascii="宋体" w:hAnsi="宋体"/>
          <w:color w:val="auto"/>
          <w:sz w:val="24"/>
          <w:highlight w:val="none"/>
        </w:rPr>
        <w:t xml:space="preserve">                                   年  月  日</w:t>
      </w:r>
    </w:p>
    <w:p w14:paraId="60A2604E">
      <w:pPr>
        <w:spacing w:before="120" w:after="50" w:line="360" w:lineRule="auto"/>
        <w:jc w:val="left"/>
        <w:rPr>
          <w:rFonts w:ascii="宋体" w:hAnsi="宋体"/>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5055835A">
      <w:pPr>
        <w:spacing w:before="50" w:after="12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7B9CE690">
      <w:pPr>
        <w:spacing w:before="120" w:after="50"/>
        <w:rPr>
          <w:rFonts w:ascii="宋体" w:hAnsi="宋体"/>
          <w:b/>
          <w:color w:val="auto"/>
          <w:sz w:val="24"/>
          <w:highlight w:val="none"/>
        </w:rPr>
      </w:pPr>
    </w:p>
    <w:p w14:paraId="4D461E78">
      <w:pPr>
        <w:spacing w:before="120" w:after="50"/>
        <w:rPr>
          <w:rFonts w:ascii="宋体" w:hAnsi="宋体"/>
          <w:b/>
          <w:color w:val="auto"/>
          <w:sz w:val="24"/>
          <w:highlight w:val="none"/>
        </w:rPr>
      </w:pPr>
    </w:p>
    <w:p w14:paraId="160BBAB0">
      <w:pPr>
        <w:spacing w:before="120" w:after="50"/>
        <w:rPr>
          <w:rFonts w:ascii="宋体" w:hAnsi="宋体"/>
          <w:b/>
          <w:color w:val="auto"/>
          <w:sz w:val="24"/>
          <w:highlight w:val="none"/>
        </w:rPr>
      </w:pPr>
    </w:p>
    <w:p w14:paraId="5B05A44A">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 投标函格式：</w:t>
      </w:r>
    </w:p>
    <w:p w14:paraId="027C8720">
      <w:pPr>
        <w:spacing w:before="120" w:after="50" w:line="320" w:lineRule="exact"/>
        <w:jc w:val="center"/>
        <w:rPr>
          <w:rFonts w:ascii="宋体" w:hAnsi="宋体"/>
          <w:b/>
          <w:color w:val="auto"/>
          <w:sz w:val="32"/>
          <w:szCs w:val="32"/>
          <w:highlight w:val="none"/>
        </w:rPr>
      </w:pPr>
      <w:r>
        <w:rPr>
          <w:rFonts w:hint="eastAsia" w:ascii="宋体" w:hAnsi="宋体"/>
          <w:b/>
          <w:color w:val="auto"/>
          <w:sz w:val="32"/>
          <w:szCs w:val="32"/>
          <w:highlight w:val="none"/>
        </w:rPr>
        <w:t>投 标 函</w:t>
      </w:r>
    </w:p>
    <w:p w14:paraId="7E587ABD">
      <w:pPr>
        <w:spacing w:before="120" w:after="50" w:line="320" w:lineRule="exact"/>
        <w:jc w:val="center"/>
        <w:rPr>
          <w:rFonts w:ascii="宋体" w:hAnsi="宋体"/>
          <w:b/>
          <w:color w:val="auto"/>
          <w:sz w:val="24"/>
          <w:szCs w:val="20"/>
          <w:highlight w:val="none"/>
        </w:rPr>
      </w:pPr>
    </w:p>
    <w:p w14:paraId="236993A2">
      <w:pPr>
        <w:spacing w:before="120" w:after="50" w:line="320" w:lineRule="exact"/>
        <w:jc w:val="center"/>
        <w:rPr>
          <w:rFonts w:ascii="宋体" w:hAnsi="宋体"/>
          <w:b/>
          <w:color w:val="auto"/>
          <w:sz w:val="24"/>
          <w:szCs w:val="20"/>
          <w:highlight w:val="none"/>
        </w:rPr>
      </w:pPr>
    </w:p>
    <w:p w14:paraId="245178B5">
      <w:pPr>
        <w:spacing w:before="120" w:after="50" w:line="320" w:lineRule="exact"/>
        <w:jc w:val="center"/>
        <w:rPr>
          <w:rFonts w:ascii="宋体" w:hAnsi="宋体"/>
          <w:b/>
          <w:color w:val="auto"/>
          <w:sz w:val="24"/>
          <w:szCs w:val="20"/>
          <w:highlight w:val="none"/>
        </w:rPr>
      </w:pPr>
    </w:p>
    <w:p w14:paraId="64907CD6">
      <w:pPr>
        <w:spacing w:line="360" w:lineRule="auto"/>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61209B7">
      <w:pPr>
        <w:spacing w:line="360" w:lineRule="auto"/>
        <w:ind w:firstLine="480"/>
        <w:rPr>
          <w:rFonts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）的招标文件，签字代表______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4D0B8181">
      <w:pPr>
        <w:spacing w:line="360" w:lineRule="auto"/>
        <w:ind w:firstLine="480"/>
        <w:rPr>
          <w:rFonts w:ascii="宋体" w:hAnsi="宋体"/>
          <w:color w:val="auto"/>
          <w:sz w:val="24"/>
          <w:highlight w:val="none"/>
        </w:rPr>
      </w:pPr>
      <w:r>
        <w:rPr>
          <w:rFonts w:hint="eastAsia" w:ascii="宋体" w:hAnsi="宋体"/>
          <w:color w:val="auto"/>
          <w:sz w:val="24"/>
          <w:highlight w:val="none"/>
        </w:rPr>
        <w:t>据此函，我方宣布同意如下：</w:t>
      </w:r>
    </w:p>
    <w:p w14:paraId="4D740B67">
      <w:pPr>
        <w:spacing w:line="360" w:lineRule="auto"/>
        <w:ind w:firstLine="480"/>
        <w:rPr>
          <w:rFonts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77E64A94">
      <w:pPr>
        <w:spacing w:line="360" w:lineRule="auto"/>
        <w:ind w:firstLine="480"/>
        <w:rPr>
          <w:rFonts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58C7F9A3">
      <w:pPr>
        <w:spacing w:line="360" w:lineRule="auto"/>
        <w:ind w:firstLine="480"/>
        <w:rPr>
          <w:rFonts w:ascii="宋体" w:hAnsi="宋体"/>
          <w:color w:val="auto"/>
          <w:sz w:val="24"/>
          <w:highlight w:val="none"/>
        </w:rPr>
      </w:pPr>
      <w:r>
        <w:rPr>
          <w:rFonts w:hint="eastAsia" w:ascii="宋体" w:hAnsi="宋体"/>
          <w:color w:val="auto"/>
          <w:sz w:val="24"/>
          <w:highlight w:val="none"/>
        </w:rPr>
        <w:t>3.本投标有效期自投标截止之日起</w:t>
      </w:r>
      <w:r>
        <w:rPr>
          <w:rFonts w:hint="eastAsia" w:ascii="宋体" w:hAnsi="宋体"/>
          <w:color w:val="auto"/>
          <w:sz w:val="24"/>
          <w:highlight w:val="none"/>
          <w:u w:val="single"/>
        </w:rPr>
        <w:t>120</w:t>
      </w:r>
      <w:r>
        <w:rPr>
          <w:rFonts w:hint="eastAsia" w:ascii="宋体" w:hAnsi="宋体"/>
          <w:color w:val="auto"/>
          <w:sz w:val="24"/>
          <w:highlight w:val="none"/>
        </w:rPr>
        <w:t>日。</w:t>
      </w:r>
    </w:p>
    <w:p w14:paraId="0AC0D562">
      <w:pPr>
        <w:spacing w:line="360" w:lineRule="auto"/>
        <w:ind w:firstLine="480"/>
        <w:rPr>
          <w:rFonts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22C6CB0C">
      <w:pPr>
        <w:spacing w:line="360" w:lineRule="auto"/>
        <w:ind w:firstLine="480"/>
        <w:rPr>
          <w:rFonts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3F6858E9">
      <w:pPr>
        <w:spacing w:line="360" w:lineRule="auto"/>
        <w:ind w:firstLine="480"/>
        <w:rPr>
          <w:rFonts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2127BC69">
      <w:pPr>
        <w:spacing w:line="360" w:lineRule="auto"/>
        <w:ind w:firstLine="480"/>
        <w:rPr>
          <w:rFonts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0C73D2DA">
      <w:pPr>
        <w:spacing w:line="360" w:lineRule="auto"/>
        <w:ind w:firstLine="480"/>
        <w:rPr>
          <w:rFonts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我方对本次投标文件进行注明如下：（两项内容中必须选择一项）</w:t>
      </w:r>
    </w:p>
    <w:p w14:paraId="526CAC57">
      <w:pPr>
        <w:spacing w:line="360" w:lineRule="auto"/>
        <w:ind w:firstLine="48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内容中</w:t>
      </w:r>
      <w:r>
        <w:rPr>
          <w:rFonts w:hint="eastAsia" w:ascii="宋体" w:hAnsi="宋体"/>
          <w:color w:val="auto"/>
          <w:sz w:val="24"/>
          <w:highlight w:val="none"/>
        </w:rPr>
        <w:t>未</w:t>
      </w:r>
      <w:r>
        <w:rPr>
          <w:rFonts w:ascii="宋体" w:hAnsi="宋体" w:cs="宋体"/>
          <w:color w:val="auto"/>
          <w:sz w:val="24"/>
          <w:highlight w:val="none"/>
        </w:rPr>
        <w:t>涉及商业秘密</w:t>
      </w:r>
      <w:r>
        <w:rPr>
          <w:rFonts w:hint="eastAsia" w:ascii="宋体" w:hAnsi="宋体" w:cs="宋体"/>
          <w:color w:val="auto"/>
          <w:sz w:val="24"/>
          <w:highlight w:val="none"/>
        </w:rPr>
        <w:t>；</w:t>
      </w:r>
    </w:p>
    <w:p w14:paraId="2E1C79D2">
      <w:pPr>
        <w:spacing w:line="360" w:lineRule="auto"/>
        <w:ind w:firstLine="48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涉及商业秘密</w:t>
      </w:r>
      <w:r>
        <w:rPr>
          <w:rFonts w:hint="eastAsia" w:ascii="宋体" w:hAnsi="宋体" w:cs="宋体"/>
          <w:color w:val="auto"/>
          <w:sz w:val="24"/>
          <w:highlight w:val="none"/>
        </w:rPr>
        <w:t>的</w:t>
      </w:r>
      <w:r>
        <w:rPr>
          <w:rFonts w:ascii="宋体" w:hAnsi="宋体" w:cs="宋体"/>
          <w:color w:val="auto"/>
          <w:sz w:val="24"/>
          <w:highlight w:val="none"/>
        </w:rPr>
        <w:t>内容</w:t>
      </w:r>
      <w:r>
        <w:rPr>
          <w:rFonts w:hint="eastAsia" w:ascii="宋体" w:hAnsi="宋体" w:cs="宋体"/>
          <w:color w:val="auto"/>
          <w:sz w:val="24"/>
          <w:highlight w:val="none"/>
        </w:rPr>
        <w:t>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7A3C91">
      <w:pPr>
        <w:spacing w:line="360" w:lineRule="auto"/>
        <w:ind w:firstLine="480"/>
        <w:rPr>
          <w:rFonts w:ascii="宋体" w:hAnsi="宋体"/>
          <w:color w:val="auto"/>
          <w:sz w:val="24"/>
          <w:highlight w:val="none"/>
        </w:rPr>
      </w:pPr>
      <w:r>
        <w:rPr>
          <w:rFonts w:hint="eastAsia" w:ascii="宋体" w:hAnsi="宋体"/>
          <w:color w:val="auto"/>
          <w:sz w:val="24"/>
          <w:highlight w:val="none"/>
        </w:rPr>
        <w:t>9.与本项目有关的一切正式往来信函请寄：</w:t>
      </w:r>
    </w:p>
    <w:p w14:paraId="0D7240E6">
      <w:pPr>
        <w:spacing w:line="360" w:lineRule="auto"/>
        <w:ind w:firstLine="480"/>
        <w:rPr>
          <w:rFonts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73307033">
      <w:pPr>
        <w:spacing w:line="360" w:lineRule="auto"/>
        <w:ind w:firstLine="480"/>
        <w:rPr>
          <w:rFonts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44D3AA8">
      <w:pPr>
        <w:spacing w:line="360" w:lineRule="auto"/>
        <w:ind w:firstLine="480"/>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41D008B0">
      <w:pPr>
        <w:spacing w:line="360" w:lineRule="auto"/>
        <w:ind w:firstLine="480"/>
        <w:jc w:val="left"/>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4EA109E">
      <w:pPr>
        <w:spacing w:line="360" w:lineRule="auto"/>
        <w:ind w:firstLine="480"/>
        <w:jc w:val="left"/>
        <w:rPr>
          <w:rFonts w:ascii="宋体" w:hAnsi="宋体"/>
          <w:color w:val="auto"/>
          <w:sz w:val="24"/>
          <w:highlight w:val="none"/>
        </w:rPr>
      </w:pPr>
    </w:p>
    <w:p w14:paraId="028C5E96">
      <w:pPr>
        <w:spacing w:line="360" w:lineRule="auto"/>
        <w:ind w:firstLine="480"/>
        <w:jc w:val="left"/>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5E154428">
      <w:pPr>
        <w:pStyle w:val="24"/>
        <w:spacing w:before="295" w:after="295" w:line="360" w:lineRule="auto"/>
        <w:jc w:val="center"/>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70E49E0E">
      <w:pPr>
        <w:pStyle w:val="24"/>
        <w:spacing w:before="295" w:after="295" w:line="360" w:lineRule="auto"/>
        <w:rPr>
          <w:rFonts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0D9062AB">
      <w:pPr>
        <w:spacing w:line="360" w:lineRule="auto"/>
        <w:ind w:firstLine="480"/>
        <w:jc w:val="left"/>
        <w:rPr>
          <w:rFonts w:ascii="宋体" w:hAnsi="宋体"/>
          <w:color w:val="auto"/>
          <w:sz w:val="24"/>
          <w:highlight w:val="none"/>
        </w:rPr>
      </w:pPr>
      <w:r>
        <w:rPr>
          <w:rFonts w:hint="eastAsia" w:ascii="宋体" w:hAnsi="宋体"/>
          <w:color w:val="auto"/>
          <w:sz w:val="24"/>
          <w:highlight w:val="none"/>
        </w:rPr>
        <w:t>注：</w:t>
      </w:r>
    </w:p>
    <w:p w14:paraId="7725FD07">
      <w:pPr>
        <w:spacing w:line="360" w:lineRule="auto"/>
        <w:ind w:firstLine="480"/>
        <w:jc w:val="left"/>
        <w:rPr>
          <w:rFonts w:ascii="宋体" w:hAnsi="宋体"/>
          <w:color w:val="auto"/>
          <w:sz w:val="24"/>
          <w:highlight w:val="none"/>
        </w:rPr>
      </w:pPr>
      <w:r>
        <w:rPr>
          <w:rFonts w:hint="eastAsia" w:ascii="宋体" w:hAnsi="宋体"/>
          <w:color w:val="auto"/>
          <w:sz w:val="24"/>
          <w:highlight w:val="none"/>
        </w:rPr>
        <w:t>1.如为联合体投标，“投标人名称”处必须列明联合体各方名称，并标注联合体牵头人名称，</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0768FD9E">
      <w:pPr>
        <w:spacing w:line="360" w:lineRule="auto"/>
        <w:ind w:firstLine="480"/>
        <w:jc w:val="left"/>
        <w:rPr>
          <w:rFonts w:ascii="宋体" w:hAnsi="宋体"/>
          <w:color w:val="auto"/>
          <w:sz w:val="24"/>
          <w:highlight w:val="none"/>
        </w:rPr>
      </w:pPr>
      <w:r>
        <w:rPr>
          <w:rFonts w:hint="eastAsia" w:ascii="宋体" w:hAnsi="宋体"/>
          <w:color w:val="auto"/>
          <w:sz w:val="24"/>
          <w:highlight w:val="none"/>
        </w:rPr>
        <w:t>2.如为联合体投标，盖章处须加盖联合体牵头人电子签章，</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61D6447A">
      <w:pPr>
        <w:rPr>
          <w:rFonts w:ascii="宋体" w:hAnsi="宋体"/>
          <w:b/>
          <w:color w:val="auto"/>
          <w:sz w:val="24"/>
          <w:highlight w:val="none"/>
        </w:rPr>
      </w:pPr>
      <w:r>
        <w:rPr>
          <w:rFonts w:hint="eastAsia" w:ascii="宋体" w:hAnsi="宋体"/>
          <w:b/>
          <w:color w:val="auto"/>
          <w:sz w:val="24"/>
          <w:highlight w:val="none"/>
        </w:rPr>
        <w:br w:type="page" w:clear="all"/>
      </w:r>
    </w:p>
    <w:p w14:paraId="740DF15B">
      <w:pPr>
        <w:spacing w:before="120" w:after="50" w:line="360" w:lineRule="auto"/>
        <w:ind w:firstLine="482"/>
        <w:jc w:val="left"/>
        <w:rPr>
          <w:rFonts w:ascii="宋体" w:hAnsi="宋体"/>
          <w:b/>
          <w:color w:val="auto"/>
          <w:sz w:val="24"/>
          <w:szCs w:val="20"/>
          <w:highlight w:val="none"/>
        </w:rPr>
      </w:pPr>
      <w:r>
        <w:rPr>
          <w:rFonts w:hint="eastAsia" w:ascii="宋体" w:hAnsi="宋体"/>
          <w:b/>
          <w:color w:val="auto"/>
          <w:sz w:val="24"/>
          <w:highlight w:val="none"/>
        </w:rPr>
        <w:t>4. 开标一览表</w:t>
      </w:r>
    </w:p>
    <w:p w14:paraId="55F1259F">
      <w:pPr>
        <w:spacing w:before="50" w:after="50"/>
        <w:jc w:val="center"/>
        <w:rPr>
          <w:rFonts w:ascii="宋体" w:hAnsi="宋体"/>
          <w:b/>
          <w:color w:val="auto"/>
          <w:sz w:val="30"/>
          <w:highlight w:val="none"/>
        </w:rPr>
      </w:pPr>
      <w:r>
        <w:rPr>
          <w:rFonts w:hint="eastAsia" w:ascii="宋体" w:hAnsi="宋体"/>
          <w:b/>
          <w:color w:val="auto"/>
          <w:sz w:val="30"/>
          <w:highlight w:val="none"/>
        </w:rPr>
        <w:t>开标一览表</w:t>
      </w:r>
    </w:p>
    <w:p w14:paraId="1F3D1E74">
      <w:pPr>
        <w:spacing w:before="50" w:after="50"/>
        <w:jc w:val="center"/>
        <w:rPr>
          <w:rFonts w:ascii="宋体" w:hAnsi="宋体"/>
          <w:b/>
          <w:color w:val="auto"/>
          <w:sz w:val="30"/>
          <w:szCs w:val="20"/>
          <w:highlight w:val="none"/>
        </w:rPr>
      </w:pPr>
    </w:p>
    <w:p w14:paraId="06C60BE1">
      <w:pPr>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76C27201">
      <w:pPr>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1C9C8434">
      <w:pPr>
        <w:spacing w:before="50" w:after="50" w:line="360" w:lineRule="auto"/>
        <w:rPr>
          <w:rFonts w:ascii="宋体" w:hAnsi="宋体"/>
          <w:color w:val="auto"/>
          <w:sz w:val="24"/>
          <w:highlight w:val="none"/>
        </w:rPr>
      </w:pPr>
    </w:p>
    <w:tbl>
      <w:tblPr>
        <w:tblStyle w:val="48"/>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4489"/>
        <w:gridCol w:w="1125"/>
        <w:gridCol w:w="1110"/>
        <w:gridCol w:w="1784"/>
      </w:tblGrid>
      <w:tr w14:paraId="39F5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B8891D6">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序号</w:t>
            </w:r>
          </w:p>
        </w:tc>
        <w:tc>
          <w:tcPr>
            <w:tcW w:w="4489" w:type="dxa"/>
            <w:tcBorders>
              <w:top w:val="single" w:color="auto" w:sz="4" w:space="0"/>
              <w:left w:val="single" w:color="auto" w:sz="4" w:space="0"/>
              <w:bottom w:val="single" w:color="auto" w:sz="4" w:space="0"/>
              <w:right w:val="single" w:color="auto" w:sz="4" w:space="0"/>
            </w:tcBorders>
            <w:vAlign w:val="center"/>
          </w:tcPr>
          <w:p w14:paraId="014F9B8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标的</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名称</w:t>
            </w:r>
          </w:p>
        </w:tc>
        <w:tc>
          <w:tcPr>
            <w:tcW w:w="1125" w:type="dxa"/>
            <w:tcBorders>
              <w:top w:val="single" w:color="auto" w:sz="4" w:space="0"/>
              <w:left w:val="single" w:color="auto" w:sz="4" w:space="0"/>
              <w:bottom w:val="single" w:color="auto" w:sz="4" w:space="0"/>
              <w:right w:val="single" w:color="auto" w:sz="4" w:space="0"/>
            </w:tcBorders>
            <w:vAlign w:val="center"/>
          </w:tcPr>
          <w:p w14:paraId="660D78C1">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数量</w:t>
            </w:r>
          </w:p>
        </w:tc>
        <w:tc>
          <w:tcPr>
            <w:tcW w:w="1110" w:type="dxa"/>
            <w:tcBorders>
              <w:top w:val="single" w:color="auto" w:sz="4" w:space="0"/>
              <w:left w:val="single" w:color="auto" w:sz="4" w:space="0"/>
              <w:bottom w:val="single" w:color="auto" w:sz="4" w:space="0"/>
              <w:right w:val="single" w:color="auto" w:sz="4" w:space="0"/>
            </w:tcBorders>
            <w:vAlign w:val="center"/>
          </w:tcPr>
          <w:p w14:paraId="2DDE7C9A">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单位</w:t>
            </w:r>
          </w:p>
        </w:tc>
        <w:tc>
          <w:tcPr>
            <w:tcW w:w="1784" w:type="dxa"/>
            <w:tcBorders>
              <w:top w:val="single" w:color="auto" w:sz="4" w:space="0"/>
              <w:left w:val="single" w:color="auto" w:sz="4" w:space="0"/>
              <w:bottom w:val="single" w:color="auto" w:sz="4" w:space="0"/>
              <w:right w:val="single" w:color="auto" w:sz="4" w:space="0"/>
            </w:tcBorders>
            <w:vAlign w:val="center"/>
          </w:tcPr>
          <w:p w14:paraId="4B5EE1E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折扣</w:t>
            </w:r>
          </w:p>
        </w:tc>
      </w:tr>
      <w:tr w14:paraId="2034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2091D9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4489" w:type="dxa"/>
            <w:tcBorders>
              <w:top w:val="single" w:color="auto" w:sz="4" w:space="0"/>
              <w:left w:val="single" w:color="auto" w:sz="4" w:space="0"/>
              <w:bottom w:val="single" w:color="auto" w:sz="4" w:space="0"/>
              <w:right w:val="single" w:color="auto" w:sz="4" w:space="0"/>
            </w:tcBorders>
            <w:vAlign w:val="center"/>
          </w:tcPr>
          <w:p w14:paraId="32C033D8">
            <w:pPr>
              <w:spacing w:line="440" w:lineRule="exact"/>
              <w:jc w:val="center"/>
              <w:rPr>
                <w:rFonts w:ascii="宋体" w:hAnsi="宋体" w:cs="宋体"/>
                <w:color w:val="auto"/>
                <w:sz w:val="24"/>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14:paraId="1291BC17">
            <w:pPr>
              <w:spacing w:line="440" w:lineRule="exact"/>
              <w:jc w:val="center"/>
              <w:rPr>
                <w:rFonts w:ascii="宋体" w:hAnsi="宋体" w:cs="宋体"/>
                <w:color w:val="auto"/>
                <w:sz w:val="24"/>
                <w:highlight w:val="none"/>
              </w:rPr>
            </w:pPr>
            <w:r>
              <w:rPr>
                <w:rFonts w:ascii="宋体" w:hAnsi="宋体" w:cs="宋体"/>
                <w:color w:val="auto"/>
                <w:sz w:val="24"/>
                <w:highlight w:val="none"/>
              </w:rPr>
              <w:t>1</w:t>
            </w:r>
          </w:p>
        </w:tc>
        <w:tc>
          <w:tcPr>
            <w:tcW w:w="1110" w:type="dxa"/>
            <w:tcBorders>
              <w:top w:val="single" w:color="auto" w:sz="4" w:space="0"/>
              <w:left w:val="single" w:color="auto" w:sz="4" w:space="0"/>
              <w:bottom w:val="single" w:color="auto" w:sz="4" w:space="0"/>
              <w:right w:val="single" w:color="auto" w:sz="4" w:space="0"/>
            </w:tcBorders>
            <w:vAlign w:val="center"/>
          </w:tcPr>
          <w:p w14:paraId="7BE987E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项</w:t>
            </w:r>
          </w:p>
        </w:tc>
        <w:tc>
          <w:tcPr>
            <w:tcW w:w="1784" w:type="dxa"/>
            <w:tcBorders>
              <w:top w:val="single" w:color="auto" w:sz="4" w:space="0"/>
              <w:left w:val="single" w:color="auto" w:sz="4" w:space="0"/>
              <w:bottom w:val="single" w:color="auto" w:sz="4" w:space="0"/>
              <w:right w:val="single" w:color="auto" w:sz="4" w:space="0"/>
            </w:tcBorders>
            <w:vAlign w:val="center"/>
          </w:tcPr>
          <w:p w14:paraId="4910C3E6">
            <w:pPr>
              <w:spacing w:line="440" w:lineRule="exact"/>
              <w:jc w:val="center"/>
              <w:rPr>
                <w:rFonts w:ascii="宋体" w:hAnsi="宋体" w:cs="宋体"/>
                <w:color w:val="auto"/>
                <w:sz w:val="24"/>
                <w:highlight w:val="none"/>
              </w:rPr>
            </w:pPr>
            <w:r>
              <w:rPr>
                <w:rFonts w:hint="eastAsia"/>
                <w:color w:val="auto"/>
                <w:highlight w:val="none"/>
                <w:u w:val="single"/>
              </w:rPr>
              <w:t xml:space="preserve">      </w:t>
            </w:r>
            <w:r>
              <w:rPr>
                <w:rFonts w:hint="eastAsia"/>
                <w:color w:val="auto"/>
                <w:highlight w:val="none"/>
              </w:rPr>
              <w:t>%</w:t>
            </w:r>
          </w:p>
        </w:tc>
      </w:tr>
    </w:tbl>
    <w:p w14:paraId="3E2D2873">
      <w:pPr>
        <w:spacing w:line="360" w:lineRule="auto"/>
        <w:jc w:val="left"/>
        <w:rPr>
          <w:rFonts w:ascii="宋体" w:hAnsi="宋体"/>
          <w:color w:val="auto"/>
          <w:sz w:val="24"/>
          <w:highlight w:val="none"/>
        </w:rPr>
      </w:pPr>
      <w:r>
        <w:rPr>
          <w:rFonts w:hint="eastAsia" w:ascii="宋体" w:hAnsi="宋体"/>
          <w:color w:val="auto"/>
          <w:sz w:val="24"/>
          <w:highlight w:val="none"/>
        </w:rPr>
        <w:t xml:space="preserve">注: </w:t>
      </w:r>
    </w:p>
    <w:p w14:paraId="65758856">
      <w:pPr>
        <w:spacing w:line="360" w:lineRule="auto"/>
        <w:ind w:firstLine="480"/>
        <w:jc w:val="left"/>
        <w:rPr>
          <w:rFonts w:ascii="宋体" w:hAnsi="宋体"/>
          <w:color w:val="auto"/>
          <w:sz w:val="24"/>
          <w:highlight w:val="none"/>
        </w:rPr>
      </w:pPr>
      <w:r>
        <w:rPr>
          <w:rFonts w:hint="eastAsia" w:ascii="宋体" w:hAnsi="宋体"/>
          <w:color w:val="auto"/>
          <w:sz w:val="24"/>
          <w:highlight w:val="none"/>
        </w:rPr>
        <w:t>1.投标人的开标一览表必须加盖投标人电子签章并由</w:t>
      </w:r>
      <w:r>
        <w:rPr>
          <w:rFonts w:ascii="宋体" w:hAnsi="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68FC2CCC">
      <w:pPr>
        <w:spacing w:line="360" w:lineRule="auto"/>
        <w:ind w:firstLine="480"/>
        <w:jc w:val="left"/>
        <w:rPr>
          <w:rFonts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2D4F7AFB">
      <w:pPr>
        <w:spacing w:line="360" w:lineRule="auto"/>
        <w:ind w:firstLine="480"/>
        <w:jc w:val="left"/>
        <w:rPr>
          <w:rFonts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5D2DC619">
      <w:pPr>
        <w:spacing w:line="360" w:lineRule="auto"/>
        <w:ind w:firstLine="480"/>
        <w:jc w:val="left"/>
        <w:rPr>
          <w:rFonts w:ascii="宋体" w:hAnsi="宋体"/>
          <w:color w:val="auto"/>
          <w:sz w:val="24"/>
          <w:highlight w:val="none"/>
        </w:rPr>
      </w:pPr>
      <w:r>
        <w:rPr>
          <w:rFonts w:hint="eastAsia" w:ascii="宋体" w:hAnsi="宋体"/>
          <w:color w:val="auto"/>
          <w:sz w:val="24"/>
          <w:highlight w:val="none"/>
        </w:rPr>
        <w:t>4.如为联合体投标，盖章处须加盖联合体牵头人电子签章，</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6A5B0C57">
      <w:pPr>
        <w:spacing w:line="360" w:lineRule="auto"/>
        <w:ind w:firstLine="480"/>
        <w:jc w:val="left"/>
        <w:rPr>
          <w:rFonts w:ascii="宋体" w:hAnsi="宋体"/>
          <w:b/>
          <w:bCs/>
          <w:color w:val="auto"/>
          <w:sz w:val="24"/>
          <w:highlight w:val="none"/>
        </w:rPr>
      </w:pPr>
      <w:r>
        <w:rPr>
          <w:rFonts w:hint="eastAsia" w:ascii="宋体" w:hAnsi="宋体"/>
          <w:b/>
          <w:bCs/>
          <w:color w:val="auto"/>
          <w:sz w:val="24"/>
          <w:highlight w:val="none"/>
        </w:rPr>
        <w:t>5.说明：本次报价须为折扣报价。报价折扣≤98%为有效报价。</w:t>
      </w:r>
    </w:p>
    <w:p w14:paraId="4015A1E5">
      <w:pPr>
        <w:spacing w:line="360" w:lineRule="auto"/>
        <w:rPr>
          <w:rFonts w:ascii="宋体" w:hAnsi="宋体"/>
          <w:bCs/>
          <w:color w:val="auto"/>
          <w:sz w:val="24"/>
          <w:highlight w:val="none"/>
        </w:rPr>
      </w:pPr>
    </w:p>
    <w:p w14:paraId="18F0AEDA">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6470A0CF">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4FD60734">
      <w:pPr>
        <w:spacing w:line="360" w:lineRule="auto"/>
        <w:ind w:left="-3" w:right="-817" w:hanging="28"/>
        <w:rPr>
          <w:rFonts w:ascii="宋体" w:hAnsi="宋体"/>
          <w:color w:val="auto"/>
          <w:szCs w:val="21"/>
          <w:highlight w:val="none"/>
        </w:rPr>
      </w:pPr>
      <w:r>
        <w:rPr>
          <w:rFonts w:hint="eastAsia" w:ascii="宋体" w:hAnsi="宋体"/>
          <w:color w:val="auto"/>
          <w:sz w:val="24"/>
          <w:highlight w:val="none"/>
        </w:rPr>
        <w:t xml:space="preserve">                           日期：    年   月   日</w:t>
      </w:r>
    </w:p>
    <w:p w14:paraId="60DF4635">
      <w:pPr>
        <w:spacing w:line="360" w:lineRule="auto"/>
        <w:ind w:left="-3" w:right="-817" w:hanging="28"/>
        <w:rPr>
          <w:rFonts w:ascii="宋体" w:hAnsi="宋体"/>
          <w:color w:val="auto"/>
          <w:sz w:val="24"/>
          <w:highlight w:val="none"/>
        </w:rPr>
      </w:pPr>
    </w:p>
    <w:p w14:paraId="709543CE">
      <w:pPr>
        <w:rPr>
          <w:b/>
          <w:color w:val="auto"/>
          <w:sz w:val="28"/>
          <w:szCs w:val="28"/>
          <w:highlight w:val="none"/>
        </w:rPr>
      </w:pPr>
      <w:r>
        <w:rPr>
          <w:rFonts w:hint="eastAsia" w:ascii="宋体" w:hAnsi="宋体"/>
          <w:color w:val="auto"/>
          <w:sz w:val="24"/>
          <w:highlight w:val="none"/>
        </w:rPr>
        <w:br w:type="page" w:clear="all"/>
      </w:r>
      <w:bookmarkStart w:id="144" w:name="_Toc19686837"/>
      <w:r>
        <w:rPr>
          <w:rFonts w:hint="eastAsia"/>
          <w:b/>
          <w:color w:val="auto"/>
          <w:sz w:val="28"/>
          <w:szCs w:val="28"/>
          <w:highlight w:val="none"/>
        </w:rPr>
        <w:t>二、资格证明文件格式</w:t>
      </w:r>
      <w:bookmarkEnd w:id="142"/>
      <w:bookmarkEnd w:id="143"/>
      <w:bookmarkEnd w:id="144"/>
    </w:p>
    <w:p w14:paraId="29572CE6">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1.资格证明文件封面格式： </w:t>
      </w:r>
    </w:p>
    <w:p w14:paraId="10623F29">
      <w:pPr>
        <w:spacing w:before="120" w:after="50"/>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241DC5F0">
      <w:pPr>
        <w:spacing w:before="120" w:after="50"/>
        <w:rPr>
          <w:rFonts w:ascii="宋体" w:hAnsi="宋体"/>
          <w:color w:val="auto"/>
          <w:sz w:val="24"/>
          <w:szCs w:val="20"/>
          <w:highlight w:val="none"/>
        </w:rPr>
      </w:pPr>
      <w:r>
        <w:rPr>
          <w:rFonts w:hint="eastAsia" w:ascii="宋体" w:hAnsi="宋体"/>
          <w:color w:val="auto"/>
          <w:sz w:val="24"/>
          <w:highlight w:val="none"/>
        </w:rPr>
        <w:t xml:space="preserve">                 </w:t>
      </w:r>
    </w:p>
    <w:p w14:paraId="253F4AF3">
      <w:pPr>
        <w:spacing w:before="12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w:t>
      </w:r>
    </w:p>
    <w:p w14:paraId="082B200D">
      <w:pPr>
        <w:spacing w:before="120" w:after="50"/>
        <w:rPr>
          <w:rFonts w:ascii="宋体" w:hAnsi="宋体"/>
          <w:bCs/>
          <w:color w:val="auto"/>
          <w:sz w:val="24"/>
          <w:szCs w:val="20"/>
          <w:highlight w:val="none"/>
        </w:rPr>
      </w:pPr>
    </w:p>
    <w:p w14:paraId="7979490B">
      <w:pPr>
        <w:spacing w:before="120" w:after="50"/>
        <w:rPr>
          <w:rFonts w:ascii="宋体" w:hAnsi="宋体"/>
          <w:bCs/>
          <w:color w:val="auto"/>
          <w:sz w:val="24"/>
          <w:szCs w:val="20"/>
          <w:highlight w:val="none"/>
        </w:rPr>
      </w:pPr>
    </w:p>
    <w:p w14:paraId="3CF41F49">
      <w:pPr>
        <w:spacing w:before="120" w:after="50"/>
        <w:rPr>
          <w:rFonts w:ascii="宋体" w:hAnsi="宋体"/>
          <w:bCs/>
          <w:color w:val="auto"/>
          <w:sz w:val="24"/>
          <w:szCs w:val="20"/>
          <w:highlight w:val="none"/>
        </w:rPr>
      </w:pPr>
    </w:p>
    <w:p w14:paraId="7C6109C2">
      <w:pPr>
        <w:spacing w:before="120" w:after="50"/>
        <w:rPr>
          <w:rFonts w:ascii="宋体" w:hAnsi="宋体"/>
          <w:bCs/>
          <w:color w:val="auto"/>
          <w:sz w:val="24"/>
          <w:szCs w:val="20"/>
          <w:highlight w:val="none"/>
        </w:rPr>
      </w:pPr>
    </w:p>
    <w:p w14:paraId="31C05A4D">
      <w:pPr>
        <w:spacing w:before="120" w:after="50"/>
        <w:rPr>
          <w:rFonts w:ascii="宋体" w:hAnsi="宋体"/>
          <w:bCs/>
          <w:color w:val="auto"/>
          <w:sz w:val="24"/>
          <w:szCs w:val="20"/>
          <w:highlight w:val="none"/>
        </w:rPr>
      </w:pPr>
    </w:p>
    <w:p w14:paraId="3B551B82">
      <w:pPr>
        <w:spacing w:before="120" w:after="50"/>
        <w:rPr>
          <w:rFonts w:ascii="宋体" w:hAnsi="宋体"/>
          <w:bCs/>
          <w:color w:val="auto"/>
          <w:sz w:val="24"/>
          <w:szCs w:val="20"/>
          <w:highlight w:val="none"/>
        </w:rPr>
      </w:pPr>
    </w:p>
    <w:p w14:paraId="4B0D1468">
      <w:pPr>
        <w:spacing w:before="120" w:after="50"/>
        <w:rPr>
          <w:rFonts w:ascii="宋体" w:hAnsi="宋体"/>
          <w:bCs/>
          <w:color w:val="auto"/>
          <w:sz w:val="24"/>
          <w:szCs w:val="20"/>
          <w:highlight w:val="none"/>
        </w:rPr>
      </w:pPr>
    </w:p>
    <w:p w14:paraId="4FD4ACE0">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2CF8F813">
      <w:pPr>
        <w:spacing w:before="120" w:after="50"/>
        <w:ind w:firstLine="540"/>
        <w:rPr>
          <w:rFonts w:ascii="宋体" w:hAnsi="宋体"/>
          <w:bCs/>
          <w:color w:val="auto"/>
          <w:sz w:val="24"/>
          <w:szCs w:val="20"/>
          <w:highlight w:val="none"/>
        </w:rPr>
      </w:pPr>
    </w:p>
    <w:p w14:paraId="6651BD8D">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68E1C374">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3814354C">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7A4D7D9F">
      <w:pPr>
        <w:pStyle w:val="7"/>
        <w:spacing w:before="50" w:after="50"/>
        <w:ind w:firstLine="540"/>
        <w:rPr>
          <w:rFonts w:ascii="宋体" w:hAnsi="宋体"/>
          <w:bCs/>
          <w:color w:val="auto"/>
          <w:sz w:val="24"/>
          <w:szCs w:val="24"/>
          <w:highlight w:val="none"/>
        </w:rPr>
      </w:pPr>
    </w:p>
    <w:p w14:paraId="09D934E0">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6CCE2F71">
      <w:pPr>
        <w:pStyle w:val="7"/>
        <w:spacing w:before="50" w:after="50"/>
        <w:ind w:firstLine="540"/>
        <w:rPr>
          <w:rFonts w:ascii="宋体" w:hAnsi="宋体"/>
          <w:bCs/>
          <w:color w:val="auto"/>
          <w:sz w:val="24"/>
          <w:szCs w:val="24"/>
          <w:highlight w:val="none"/>
        </w:rPr>
      </w:pPr>
    </w:p>
    <w:p w14:paraId="3CFEF97D">
      <w:pPr>
        <w:pStyle w:val="7"/>
        <w:spacing w:before="50" w:after="50"/>
        <w:ind w:firstLine="960"/>
        <w:rPr>
          <w:rFonts w:ascii="宋体" w:hAnsi="宋体"/>
          <w:bCs/>
          <w:color w:val="auto"/>
          <w:sz w:val="24"/>
          <w:szCs w:val="24"/>
          <w:highlight w:val="none"/>
        </w:rPr>
      </w:pPr>
    </w:p>
    <w:p w14:paraId="1CB5F892">
      <w:pPr>
        <w:spacing w:before="12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0C0DA972">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032A3AEE">
      <w:pPr>
        <w:spacing w:before="120" w:after="50"/>
        <w:rPr>
          <w:rFonts w:ascii="宋体" w:hAnsi="宋体"/>
          <w:color w:val="auto"/>
          <w:sz w:val="24"/>
          <w:szCs w:val="20"/>
          <w:highlight w:val="none"/>
        </w:rPr>
      </w:pPr>
    </w:p>
    <w:p w14:paraId="06237F00">
      <w:pPr>
        <w:spacing w:before="120" w:after="50" w:line="360" w:lineRule="auto"/>
        <w:jc w:val="left"/>
        <w:rPr>
          <w:rFonts w:ascii="宋体" w:hAnsi="宋体"/>
          <w:color w:val="auto"/>
          <w:sz w:val="24"/>
          <w:szCs w:val="20"/>
          <w:highlight w:val="none"/>
        </w:rPr>
      </w:pPr>
      <w:r>
        <w:rPr>
          <w:rFonts w:ascii="宋体" w:hAnsi="宋体"/>
          <w:b/>
          <w:bCs/>
          <w:color w:val="auto"/>
          <w:sz w:val="24"/>
          <w:highlight w:val="none"/>
        </w:rPr>
        <w:br w:type="page" w:clear="all"/>
      </w:r>
      <w:r>
        <w:rPr>
          <w:rFonts w:hint="eastAsia" w:ascii="宋体" w:hAnsi="宋体"/>
          <w:b/>
          <w:bCs/>
          <w:color w:val="auto"/>
          <w:sz w:val="24"/>
          <w:highlight w:val="none"/>
        </w:rPr>
        <w:t>2.资格证明文件目录</w:t>
      </w:r>
    </w:p>
    <w:p w14:paraId="1ACBE1D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1AA4DB55">
      <w:pPr>
        <w:spacing w:before="50" w:after="120"/>
        <w:jc w:val="left"/>
        <w:rPr>
          <w:rFonts w:ascii="宋体" w:hAnsi="宋体"/>
          <w:color w:val="auto"/>
          <w:sz w:val="24"/>
          <w:highlight w:val="none"/>
        </w:rPr>
      </w:pPr>
    </w:p>
    <w:p w14:paraId="417F005E">
      <w:pPr>
        <w:spacing w:before="50" w:after="120"/>
        <w:jc w:val="left"/>
        <w:rPr>
          <w:rFonts w:ascii="宋体" w:hAnsi="宋体"/>
          <w:color w:val="auto"/>
          <w:sz w:val="24"/>
          <w:highlight w:val="none"/>
        </w:rPr>
      </w:pPr>
    </w:p>
    <w:p w14:paraId="403DE5FC">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w:t>
      </w:r>
      <w:r>
        <w:rPr>
          <w:rFonts w:hint="eastAsia" w:ascii="宋体" w:hAnsi="宋体"/>
          <w:b/>
          <w:color w:val="auto"/>
          <w:sz w:val="28"/>
          <w:szCs w:val="28"/>
          <w:highlight w:val="none"/>
        </w:rPr>
        <w:t>投标人直接控股股东信息表</w:t>
      </w:r>
    </w:p>
    <w:p w14:paraId="21ACCFD0">
      <w:pPr>
        <w:spacing w:before="50" w:after="120"/>
        <w:jc w:val="center"/>
        <w:rPr>
          <w:rFonts w:ascii="宋体" w:hAnsi="宋体"/>
          <w:b/>
          <w:color w:val="auto"/>
          <w:sz w:val="28"/>
          <w:szCs w:val="28"/>
          <w:highlight w:val="none"/>
        </w:rPr>
      </w:pPr>
    </w:p>
    <w:p w14:paraId="7DAD1B2D">
      <w:pPr>
        <w:spacing w:before="50" w:after="120" w:line="360" w:lineRule="auto"/>
        <w:jc w:val="center"/>
        <w:rPr>
          <w:rFonts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48"/>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5C7D1DD">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F88B86">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0D8F6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429E9B">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CB91D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A62C9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2369E02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194E6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E22A53">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E941F">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052E0D">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C45274">
            <w:pPr>
              <w:spacing w:line="360" w:lineRule="auto"/>
              <w:jc w:val="center"/>
              <w:rPr>
                <w:rFonts w:ascii="宋体" w:hAnsi="宋体" w:cs="宋体"/>
                <w:color w:val="auto"/>
                <w:sz w:val="24"/>
                <w:highlight w:val="none"/>
              </w:rPr>
            </w:pPr>
          </w:p>
        </w:tc>
      </w:tr>
      <w:tr w14:paraId="2D6E4A5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5DE93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C87E67">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A621B0">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6748D6">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6202CD">
            <w:pPr>
              <w:spacing w:line="360" w:lineRule="auto"/>
              <w:jc w:val="center"/>
              <w:rPr>
                <w:rFonts w:ascii="宋体" w:hAnsi="宋体" w:cs="宋体"/>
                <w:color w:val="auto"/>
                <w:sz w:val="24"/>
                <w:highlight w:val="none"/>
              </w:rPr>
            </w:pPr>
          </w:p>
        </w:tc>
      </w:tr>
      <w:tr w14:paraId="2DEE85B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D9465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6CD817">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AACBAF">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54F6E8">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90DF33">
            <w:pPr>
              <w:spacing w:line="360" w:lineRule="auto"/>
              <w:jc w:val="center"/>
              <w:rPr>
                <w:rFonts w:ascii="宋体" w:hAnsi="宋体" w:cs="宋体"/>
                <w:color w:val="auto"/>
                <w:sz w:val="24"/>
                <w:highlight w:val="none"/>
              </w:rPr>
            </w:pPr>
          </w:p>
        </w:tc>
      </w:tr>
      <w:tr w14:paraId="7BC1561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C2BA6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7671F0">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FDE094">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D3FD2">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A61BA7">
            <w:pPr>
              <w:spacing w:line="360" w:lineRule="auto"/>
              <w:jc w:val="center"/>
              <w:rPr>
                <w:rFonts w:ascii="宋体" w:hAnsi="宋体" w:cs="宋体"/>
                <w:color w:val="auto"/>
                <w:sz w:val="24"/>
                <w:highlight w:val="none"/>
              </w:rPr>
            </w:pPr>
          </w:p>
        </w:tc>
      </w:tr>
    </w:tbl>
    <w:p w14:paraId="63613A25">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24007688">
      <w:pPr>
        <w:spacing w:line="360" w:lineRule="auto"/>
        <w:ind w:firstLine="480"/>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0D0181F">
      <w:pPr>
        <w:spacing w:line="360" w:lineRule="auto"/>
        <w:ind w:firstLine="480"/>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0A3A3981">
      <w:pPr>
        <w:spacing w:line="360" w:lineRule="auto"/>
        <w:ind w:firstLine="480"/>
        <w:jc w:val="left"/>
        <w:rPr>
          <w:rFonts w:ascii="宋体" w:hAnsi="宋体"/>
          <w:color w:val="auto"/>
          <w:sz w:val="24"/>
          <w:highlight w:val="none"/>
        </w:rPr>
      </w:pPr>
      <w:r>
        <w:rPr>
          <w:rFonts w:hint="eastAsia" w:ascii="宋体" w:hAnsi="宋体"/>
          <w:color w:val="auto"/>
          <w:sz w:val="24"/>
          <w:highlight w:val="none"/>
        </w:rPr>
        <w:t>3.投标人不存在直接控股股东的，则在“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76BCADFA">
      <w:pPr>
        <w:spacing w:line="360" w:lineRule="auto"/>
        <w:ind w:firstLine="482"/>
        <w:jc w:val="left"/>
        <w:rPr>
          <w:rFonts w:ascii="宋体" w:hAnsi="宋体"/>
          <w:color w:val="auto"/>
          <w:sz w:val="24"/>
          <w:highlight w:val="none"/>
        </w:rPr>
      </w:pPr>
      <w:r>
        <w:rPr>
          <w:rFonts w:hint="eastAsia" w:ascii="宋体" w:hAnsi="宋体"/>
          <w:b/>
          <w:bCs/>
          <w:color w:val="auto"/>
          <w:sz w:val="24"/>
          <w:highlight w:val="none"/>
        </w:rPr>
        <w:t>4.联合体投标时，联合体各方均必须分别提供，并由联合体牵头人加盖电子签章，规定签字处签字（或者电子签名），否则按无效投标处理。</w:t>
      </w:r>
    </w:p>
    <w:p w14:paraId="3F6B3ECA">
      <w:pPr>
        <w:spacing w:line="360" w:lineRule="auto"/>
        <w:jc w:val="left"/>
        <w:rPr>
          <w:rFonts w:ascii="宋体" w:hAnsi="宋体"/>
          <w:color w:val="auto"/>
          <w:sz w:val="24"/>
          <w:highlight w:val="none"/>
        </w:rPr>
      </w:pPr>
    </w:p>
    <w:p w14:paraId="1054A5AD">
      <w:pPr>
        <w:spacing w:line="360" w:lineRule="auto"/>
        <w:jc w:val="left"/>
        <w:rPr>
          <w:rFonts w:ascii="宋体" w:hAnsi="宋体"/>
          <w:color w:val="auto"/>
          <w:sz w:val="24"/>
          <w:highlight w:val="none"/>
        </w:rPr>
      </w:pPr>
    </w:p>
    <w:p w14:paraId="1A648C9B">
      <w:pPr>
        <w:spacing w:line="360" w:lineRule="auto"/>
        <w:jc w:val="left"/>
        <w:rPr>
          <w:rFonts w:ascii="宋体" w:hAnsi="宋体"/>
          <w:color w:val="auto"/>
          <w:sz w:val="24"/>
          <w:highlight w:val="none"/>
        </w:rPr>
      </w:pPr>
    </w:p>
    <w:p w14:paraId="1E72D6F9">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6ADDEEE">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474E2D72">
      <w:pPr>
        <w:spacing w:line="360" w:lineRule="auto"/>
        <w:jc w:val="left"/>
        <w:rPr>
          <w:rFonts w:ascii="宋体" w:hAnsi="宋体"/>
          <w:color w:val="auto"/>
          <w:sz w:val="24"/>
          <w:highlight w:val="none"/>
        </w:rPr>
      </w:pPr>
      <w:r>
        <w:rPr>
          <w:rFonts w:hint="eastAsia" w:ascii="宋体" w:hAnsi="宋体"/>
          <w:color w:val="auto"/>
          <w:sz w:val="24"/>
          <w:highlight w:val="none"/>
        </w:rPr>
        <w:t xml:space="preserve">                                    日期：    年   月   日</w:t>
      </w:r>
    </w:p>
    <w:p w14:paraId="1D325837">
      <w:pPr>
        <w:jc w:val="center"/>
        <w:rPr>
          <w:rFonts w:ascii="宋体" w:hAnsi="宋体"/>
          <w:b/>
          <w:color w:val="auto"/>
          <w:sz w:val="28"/>
          <w:szCs w:val="28"/>
          <w:highlight w:val="none"/>
        </w:rPr>
      </w:pPr>
    </w:p>
    <w:p w14:paraId="2F6EFBBD">
      <w:pPr>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clear="all"/>
      </w:r>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投标人直接管理关系信息表</w:t>
      </w:r>
    </w:p>
    <w:p w14:paraId="4FBC5F9F">
      <w:pPr>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48"/>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56FA7FD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AD2810">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E6A45B">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3C404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79C79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5039A76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CBAA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4AA5E1">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CA862D">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8A333A">
            <w:pPr>
              <w:spacing w:line="360" w:lineRule="auto"/>
              <w:jc w:val="center"/>
              <w:rPr>
                <w:rFonts w:ascii="宋体" w:hAnsi="宋体" w:cs="宋体"/>
                <w:color w:val="auto"/>
                <w:sz w:val="24"/>
                <w:highlight w:val="none"/>
              </w:rPr>
            </w:pPr>
          </w:p>
        </w:tc>
      </w:tr>
      <w:tr w14:paraId="4E2A058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7072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DDB71C">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C67D6B">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C66050">
            <w:pPr>
              <w:spacing w:line="360" w:lineRule="auto"/>
              <w:jc w:val="center"/>
              <w:rPr>
                <w:rFonts w:ascii="宋体" w:hAnsi="宋体" w:cs="宋体"/>
                <w:color w:val="auto"/>
                <w:sz w:val="24"/>
                <w:highlight w:val="none"/>
              </w:rPr>
            </w:pPr>
          </w:p>
        </w:tc>
      </w:tr>
      <w:tr w14:paraId="5237D5B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D91CB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2F0DEA">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35B2C2">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1793C4">
            <w:pPr>
              <w:spacing w:line="360" w:lineRule="auto"/>
              <w:jc w:val="center"/>
              <w:rPr>
                <w:rFonts w:ascii="宋体" w:hAnsi="宋体" w:cs="宋体"/>
                <w:color w:val="auto"/>
                <w:sz w:val="24"/>
                <w:highlight w:val="none"/>
              </w:rPr>
            </w:pPr>
          </w:p>
        </w:tc>
      </w:tr>
      <w:tr w14:paraId="222B317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684F3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B2CC4A">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540348">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0EB72D">
            <w:pPr>
              <w:spacing w:line="360" w:lineRule="auto"/>
              <w:jc w:val="center"/>
              <w:rPr>
                <w:rFonts w:ascii="宋体" w:hAnsi="宋体" w:cs="宋体"/>
                <w:color w:val="auto"/>
                <w:sz w:val="24"/>
                <w:highlight w:val="none"/>
              </w:rPr>
            </w:pPr>
          </w:p>
        </w:tc>
      </w:tr>
    </w:tbl>
    <w:p w14:paraId="43AD89AA">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7387203D">
      <w:pPr>
        <w:spacing w:line="360" w:lineRule="auto"/>
        <w:ind w:firstLine="48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1ECAA11">
      <w:pPr>
        <w:spacing w:line="360" w:lineRule="auto"/>
        <w:ind w:firstLine="48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F4502DB">
      <w:pPr>
        <w:spacing w:line="360" w:lineRule="auto"/>
        <w:ind w:firstLine="480"/>
        <w:jc w:val="left"/>
        <w:rPr>
          <w:rFonts w:ascii="宋体" w:hAnsi="宋体"/>
          <w:color w:val="auto"/>
          <w:sz w:val="24"/>
          <w:highlight w:val="none"/>
        </w:rPr>
      </w:pPr>
      <w:r>
        <w:rPr>
          <w:rFonts w:hint="eastAsia" w:ascii="宋体" w:hAnsi="宋体"/>
          <w:color w:val="auto"/>
          <w:sz w:val="24"/>
          <w:highlight w:val="none"/>
        </w:rPr>
        <w:t>3.投标人不存在直接管理关系的，则在“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658B3345">
      <w:pPr>
        <w:spacing w:line="360" w:lineRule="auto"/>
        <w:ind w:firstLine="482"/>
        <w:jc w:val="left"/>
        <w:rPr>
          <w:rFonts w:ascii="宋体" w:hAnsi="宋体"/>
          <w:color w:val="auto"/>
          <w:sz w:val="24"/>
          <w:highlight w:val="none"/>
        </w:rPr>
      </w:pPr>
      <w:r>
        <w:rPr>
          <w:rFonts w:hint="eastAsia" w:ascii="宋体" w:hAnsi="宋体"/>
          <w:b/>
          <w:bCs/>
          <w:color w:val="auto"/>
          <w:sz w:val="24"/>
          <w:highlight w:val="none"/>
        </w:rPr>
        <w:t>4.联合体投标时，联合体各方均必须分别提供，并由联合体牵头人加盖电子签章，规定签字处签字（或者电子签名），否则按无效投标处理。</w:t>
      </w:r>
    </w:p>
    <w:p w14:paraId="283AC23F">
      <w:pPr>
        <w:spacing w:line="360" w:lineRule="auto"/>
        <w:ind w:firstLine="480"/>
        <w:jc w:val="left"/>
        <w:rPr>
          <w:rFonts w:ascii="宋体" w:hAnsi="宋体"/>
          <w:color w:val="auto"/>
          <w:sz w:val="24"/>
          <w:highlight w:val="none"/>
        </w:rPr>
      </w:pPr>
    </w:p>
    <w:p w14:paraId="713ABF1A">
      <w:pPr>
        <w:spacing w:line="360" w:lineRule="auto"/>
        <w:jc w:val="left"/>
        <w:rPr>
          <w:rFonts w:ascii="宋体" w:hAnsi="宋体"/>
          <w:color w:val="auto"/>
          <w:sz w:val="24"/>
          <w:highlight w:val="none"/>
        </w:rPr>
      </w:pPr>
    </w:p>
    <w:p w14:paraId="75C24EF0">
      <w:pPr>
        <w:spacing w:line="360" w:lineRule="auto"/>
        <w:jc w:val="left"/>
        <w:rPr>
          <w:rFonts w:ascii="宋体" w:hAnsi="宋体"/>
          <w:color w:val="auto"/>
          <w:sz w:val="24"/>
          <w:highlight w:val="none"/>
        </w:rPr>
      </w:pPr>
    </w:p>
    <w:p w14:paraId="3A5B4F30">
      <w:pPr>
        <w:spacing w:line="360" w:lineRule="auto"/>
        <w:jc w:val="left"/>
        <w:rPr>
          <w:rFonts w:ascii="宋体" w:hAnsi="宋体"/>
          <w:color w:val="auto"/>
          <w:sz w:val="24"/>
          <w:highlight w:val="none"/>
        </w:rPr>
      </w:pPr>
    </w:p>
    <w:p w14:paraId="5BF9C3F8">
      <w:pPr>
        <w:spacing w:line="360" w:lineRule="auto"/>
        <w:jc w:val="left"/>
        <w:rPr>
          <w:color w:val="auto"/>
          <w:sz w:val="24"/>
          <w:highlight w:val="none"/>
        </w:rPr>
      </w:pPr>
    </w:p>
    <w:p w14:paraId="17DFF1A4">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0545CD50">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61E23A65">
      <w:pPr>
        <w:spacing w:line="360" w:lineRule="auto"/>
        <w:ind w:right="480" w:firstLine="24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3EE727B5">
      <w:pPr>
        <w:spacing w:before="120" w:after="50"/>
        <w:jc w:val="left"/>
        <w:rPr>
          <w:rFonts w:ascii="宋体" w:hAnsi="宋体"/>
          <w:color w:val="auto"/>
          <w:sz w:val="24"/>
          <w:highlight w:val="none"/>
        </w:rPr>
      </w:pPr>
    </w:p>
    <w:p w14:paraId="44EB1DA0">
      <w:pPr>
        <w:spacing w:before="50" w:after="120"/>
        <w:jc w:val="left"/>
        <w:rPr>
          <w:rFonts w:ascii="宋体" w:hAnsi="宋体"/>
          <w:color w:val="auto"/>
          <w:szCs w:val="21"/>
          <w:highlight w:val="none"/>
        </w:rPr>
      </w:pPr>
    </w:p>
    <w:p w14:paraId="0ADC58EC">
      <w:pPr>
        <w:spacing w:before="120" w:after="50"/>
        <w:jc w:val="left"/>
        <w:rPr>
          <w:rFonts w:ascii="宋体" w:hAnsi="宋体"/>
          <w:b/>
          <w:color w:val="auto"/>
          <w:sz w:val="24"/>
          <w:szCs w:val="20"/>
          <w:highlight w:val="none"/>
        </w:rPr>
      </w:pPr>
    </w:p>
    <w:p w14:paraId="424C0863">
      <w:pPr>
        <w:spacing w:before="120" w:after="50"/>
        <w:ind w:left="142"/>
        <w:jc w:val="left"/>
        <w:rPr>
          <w:rFonts w:ascii="宋体" w:hAnsi="宋体"/>
          <w:b/>
          <w:color w:val="auto"/>
          <w:sz w:val="24"/>
          <w:highlight w:val="none"/>
        </w:rPr>
      </w:pPr>
    </w:p>
    <w:p w14:paraId="79EA8FB5">
      <w:pPr>
        <w:spacing w:before="120" w:after="50"/>
        <w:ind w:left="142"/>
        <w:jc w:val="left"/>
        <w:rPr>
          <w:rFonts w:ascii="宋体" w:hAnsi="宋体"/>
          <w:b/>
          <w:color w:val="auto"/>
          <w:sz w:val="24"/>
          <w:highlight w:val="none"/>
        </w:rPr>
      </w:pPr>
    </w:p>
    <w:p w14:paraId="3698197A">
      <w:pPr>
        <w:spacing w:before="120" w:after="50"/>
        <w:ind w:left="142"/>
        <w:jc w:val="left"/>
        <w:rPr>
          <w:rFonts w:ascii="宋体" w:hAnsi="宋体"/>
          <w:b/>
          <w:color w:val="auto"/>
          <w:sz w:val="24"/>
          <w:szCs w:val="20"/>
          <w:highlight w:val="none"/>
        </w:rPr>
      </w:pPr>
      <w:r>
        <w:rPr>
          <w:rFonts w:hint="eastAsia" w:ascii="宋体" w:hAnsi="宋体"/>
          <w:b/>
          <w:color w:val="auto"/>
          <w:sz w:val="24"/>
          <w:highlight w:val="none"/>
        </w:rPr>
        <w:br w:type="page" w:clear="all"/>
      </w:r>
      <w:r>
        <w:rPr>
          <w:rFonts w:hint="eastAsia" w:ascii="宋体" w:hAnsi="宋体"/>
          <w:b/>
          <w:color w:val="auto"/>
          <w:sz w:val="24"/>
          <w:highlight w:val="none"/>
        </w:rPr>
        <w:t>5.投标声明</w:t>
      </w:r>
    </w:p>
    <w:p w14:paraId="04162794">
      <w:pPr>
        <w:spacing w:before="50" w:after="120"/>
        <w:jc w:val="left"/>
        <w:rPr>
          <w:rFonts w:ascii="宋体" w:hAnsi="宋体"/>
          <w:color w:val="auto"/>
          <w:highlight w:val="none"/>
        </w:rPr>
      </w:pPr>
    </w:p>
    <w:p w14:paraId="60F90C77">
      <w:pPr>
        <w:spacing w:before="50" w:after="120"/>
        <w:jc w:val="center"/>
        <w:rPr>
          <w:rFonts w:ascii="宋体" w:hAnsi="宋体"/>
          <w:b/>
          <w:color w:val="auto"/>
          <w:sz w:val="32"/>
          <w:szCs w:val="32"/>
          <w:highlight w:val="none"/>
        </w:rPr>
      </w:pPr>
      <w:r>
        <w:rPr>
          <w:rFonts w:hint="eastAsia" w:ascii="宋体" w:hAnsi="宋体"/>
          <w:b/>
          <w:color w:val="auto"/>
          <w:sz w:val="32"/>
          <w:szCs w:val="32"/>
          <w:highlight w:val="none"/>
        </w:rPr>
        <w:t>投标声明</w:t>
      </w:r>
    </w:p>
    <w:p w14:paraId="4D6017CF">
      <w:pPr>
        <w:spacing w:line="400" w:lineRule="exact"/>
        <w:contextualSpacing/>
        <w:jc w:val="left"/>
        <w:rPr>
          <w:color w:val="auto"/>
          <w:sz w:val="24"/>
          <w:highlight w:val="none"/>
          <w:u w:val="single"/>
        </w:rPr>
      </w:pPr>
      <w:r>
        <w:rPr>
          <w:rFonts w:hint="eastAsia"/>
          <w:color w:val="auto"/>
          <w:sz w:val="24"/>
          <w:highlight w:val="none"/>
        </w:rPr>
        <w:t>（采购人名称）：</w:t>
      </w:r>
      <w:r>
        <w:rPr>
          <w:rFonts w:hint="eastAsia"/>
          <w:color w:val="auto"/>
          <w:sz w:val="24"/>
          <w:highlight w:val="none"/>
          <w:u w:val="single"/>
        </w:rPr>
        <w:t xml:space="preserve">           </w:t>
      </w:r>
    </w:p>
    <w:p w14:paraId="7A7E2D39">
      <w:pPr>
        <w:spacing w:line="400" w:lineRule="exact"/>
        <w:ind w:firstLine="523"/>
        <w:contextualSpacing/>
        <w:jc w:val="left"/>
        <w:rPr>
          <w:rFonts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5599D96B">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A36C580">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72437AFE">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21D244A8">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1AA0A78B">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2048300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0C68312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143345A5">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0E038A8F">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（六）法律、行政法规规定的其他条件。</w:t>
      </w:r>
    </w:p>
    <w:p w14:paraId="38E74B98">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1C4BD02D">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237E0C8A">
      <w:pPr>
        <w:spacing w:before="50" w:after="50"/>
        <w:ind w:firstLine="1063"/>
        <w:rPr>
          <w:rFonts w:ascii="宋体" w:hAnsi="宋体"/>
          <w:color w:val="auto"/>
          <w:spacing w:val="20"/>
          <w:sz w:val="24"/>
          <w:highlight w:val="none"/>
          <w:u w:val="single"/>
        </w:rPr>
      </w:pPr>
      <w:r>
        <w:rPr>
          <w:rFonts w:hint="eastAsia" w:ascii="宋体" w:hAnsi="宋体"/>
          <w:b/>
          <w:color w:val="auto"/>
          <w:sz w:val="24"/>
          <w:highlight w:val="none"/>
        </w:rPr>
        <w:t xml:space="preserve"> </w:t>
      </w: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5B3DAD5">
      <w:pPr>
        <w:spacing w:line="400" w:lineRule="exact"/>
        <w:contextualSpacing/>
        <w:jc w:val="left"/>
        <w:rPr>
          <w:rFonts w:ascii="宋体" w:hAnsi="宋体"/>
          <w:color w:val="auto"/>
          <w:sz w:val="24"/>
          <w:highlight w:val="none"/>
        </w:rPr>
      </w:pPr>
    </w:p>
    <w:p w14:paraId="4FDEE8E8">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3599E9B8">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年    月    日</w:t>
      </w:r>
    </w:p>
    <w:p w14:paraId="6CA7FEB9">
      <w:pPr>
        <w:spacing w:line="400" w:lineRule="exact"/>
        <w:contextualSpacing/>
        <w:jc w:val="left"/>
        <w:rPr>
          <w:rFonts w:ascii="宋体" w:hAnsi="宋体"/>
          <w:color w:val="auto"/>
          <w:sz w:val="24"/>
          <w:highlight w:val="none"/>
        </w:rPr>
      </w:pPr>
    </w:p>
    <w:p w14:paraId="03E3F8F8">
      <w:pPr>
        <w:spacing w:line="400" w:lineRule="exact"/>
        <w:ind w:firstLine="482"/>
        <w:contextualSpacing/>
        <w:jc w:val="left"/>
        <w:rPr>
          <w:rFonts w:ascii="宋体" w:hAnsi="宋体"/>
          <w:b/>
          <w:bCs/>
          <w:color w:val="auto"/>
          <w:sz w:val="24"/>
          <w:highlight w:val="none"/>
        </w:rPr>
      </w:pPr>
      <w:bookmarkStart w:id="145" w:name="_Toc19686838"/>
      <w:r>
        <w:rPr>
          <w:rFonts w:hint="eastAsia" w:ascii="宋体" w:hAnsi="宋体"/>
          <w:b/>
          <w:bCs/>
          <w:color w:val="auto"/>
          <w:sz w:val="24"/>
          <w:highlight w:val="none"/>
        </w:rPr>
        <w:t>注:如为联合体投标，盖章处须加盖联合体牵头人电子签章，否则其投标作无效标处理。</w:t>
      </w:r>
    </w:p>
    <w:p w14:paraId="5BD2FC03">
      <w:pPr>
        <w:spacing w:line="400" w:lineRule="exact"/>
        <w:contextualSpacing/>
        <w:jc w:val="left"/>
        <w:rPr>
          <w:b/>
          <w:color w:val="auto"/>
          <w:sz w:val="28"/>
          <w:szCs w:val="28"/>
          <w:highlight w:val="none"/>
        </w:rPr>
      </w:pPr>
      <w:r>
        <w:rPr>
          <w:rFonts w:hint="eastAsia"/>
          <w:b/>
          <w:color w:val="auto"/>
          <w:sz w:val="28"/>
          <w:szCs w:val="28"/>
          <w:highlight w:val="none"/>
        </w:rPr>
        <w:br w:type="page" w:clear="all"/>
      </w:r>
      <w:r>
        <w:rPr>
          <w:rFonts w:hint="eastAsia"/>
          <w:b/>
          <w:color w:val="auto"/>
          <w:sz w:val="28"/>
          <w:szCs w:val="28"/>
          <w:highlight w:val="none"/>
        </w:rPr>
        <w:t>三、商务及技术文件格式</w:t>
      </w:r>
      <w:bookmarkEnd w:id="145"/>
    </w:p>
    <w:p w14:paraId="481AE897">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1.商务及技术文件封面格式： </w:t>
      </w:r>
    </w:p>
    <w:p w14:paraId="4B59B91A">
      <w:pPr>
        <w:spacing w:before="120" w:after="50"/>
        <w:jc w:val="center"/>
        <w:rPr>
          <w:rFonts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4C1F08E4">
      <w:pPr>
        <w:spacing w:before="120" w:after="50"/>
        <w:rPr>
          <w:rFonts w:ascii="宋体" w:hAnsi="宋体"/>
          <w:color w:val="auto"/>
          <w:sz w:val="24"/>
          <w:szCs w:val="20"/>
          <w:highlight w:val="none"/>
        </w:rPr>
      </w:pPr>
      <w:r>
        <w:rPr>
          <w:rFonts w:hint="eastAsia" w:ascii="宋体" w:hAnsi="宋体"/>
          <w:color w:val="auto"/>
          <w:sz w:val="24"/>
          <w:highlight w:val="none"/>
        </w:rPr>
        <w:t xml:space="preserve">                </w:t>
      </w:r>
    </w:p>
    <w:p w14:paraId="5DA4E2A0">
      <w:pPr>
        <w:spacing w:before="120" w:after="50"/>
        <w:jc w:val="center"/>
        <w:rPr>
          <w:rFonts w:ascii="宋体" w:hAnsi="宋体"/>
          <w:b/>
          <w:color w:val="auto"/>
          <w:sz w:val="24"/>
          <w:szCs w:val="20"/>
          <w:highlight w:val="none"/>
        </w:rPr>
      </w:pPr>
      <w:r>
        <w:rPr>
          <w:rFonts w:hint="eastAsia" w:ascii="宋体" w:hAnsi="宋体"/>
          <w:b/>
          <w:color w:val="auto"/>
          <w:sz w:val="32"/>
          <w:szCs w:val="32"/>
          <w:highlight w:val="none"/>
        </w:rPr>
        <w:t>商务及技术文件</w:t>
      </w:r>
    </w:p>
    <w:p w14:paraId="1996FF20">
      <w:pPr>
        <w:spacing w:before="120" w:after="50"/>
        <w:rPr>
          <w:rFonts w:ascii="宋体" w:hAnsi="宋体"/>
          <w:bCs/>
          <w:color w:val="auto"/>
          <w:sz w:val="24"/>
          <w:szCs w:val="20"/>
          <w:highlight w:val="none"/>
        </w:rPr>
      </w:pPr>
    </w:p>
    <w:p w14:paraId="50C630C9">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5E4A77C5">
      <w:pPr>
        <w:spacing w:before="120" w:after="50"/>
        <w:ind w:firstLine="540"/>
        <w:rPr>
          <w:rFonts w:ascii="宋体" w:hAnsi="宋体"/>
          <w:bCs/>
          <w:color w:val="auto"/>
          <w:sz w:val="24"/>
          <w:szCs w:val="20"/>
          <w:highlight w:val="none"/>
        </w:rPr>
      </w:pPr>
    </w:p>
    <w:p w14:paraId="69E197DB">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0E8B9DDA">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1D338040">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5BCBD8BC">
      <w:pPr>
        <w:spacing w:before="120" w:after="50"/>
        <w:ind w:firstLine="540"/>
        <w:rPr>
          <w:rFonts w:ascii="宋体" w:hAnsi="宋体"/>
          <w:bCs/>
          <w:color w:val="auto"/>
          <w:sz w:val="24"/>
          <w:szCs w:val="20"/>
          <w:highlight w:val="none"/>
        </w:rPr>
      </w:pPr>
    </w:p>
    <w:p w14:paraId="36469B0F">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4DB76477">
      <w:pPr>
        <w:pStyle w:val="7"/>
        <w:spacing w:before="50" w:after="50"/>
        <w:ind w:firstLine="540"/>
        <w:rPr>
          <w:rFonts w:ascii="宋体" w:hAnsi="宋体"/>
          <w:bCs/>
          <w:color w:val="auto"/>
          <w:sz w:val="24"/>
          <w:szCs w:val="24"/>
          <w:highlight w:val="none"/>
        </w:rPr>
      </w:pPr>
    </w:p>
    <w:p w14:paraId="0F961727">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投标人地址：</w:t>
      </w:r>
    </w:p>
    <w:p w14:paraId="0C02F88E">
      <w:pPr>
        <w:pStyle w:val="7"/>
        <w:spacing w:before="50" w:after="50"/>
        <w:ind w:firstLine="960"/>
        <w:rPr>
          <w:rFonts w:ascii="宋体" w:hAnsi="宋体"/>
          <w:bCs/>
          <w:color w:val="auto"/>
          <w:sz w:val="24"/>
          <w:szCs w:val="24"/>
          <w:highlight w:val="none"/>
        </w:rPr>
      </w:pPr>
    </w:p>
    <w:p w14:paraId="69061AB4">
      <w:pPr>
        <w:spacing w:before="12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2A3B514B">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40AA8549">
      <w:pPr>
        <w:spacing w:line="360" w:lineRule="auto"/>
        <w:jc w:val="left"/>
        <w:rPr>
          <w:rFonts w:ascii="宋体" w:hAnsi="宋体"/>
          <w:b/>
          <w:bCs/>
          <w:color w:val="auto"/>
          <w:sz w:val="28"/>
          <w:szCs w:val="28"/>
          <w:highlight w:val="none"/>
        </w:rPr>
      </w:pPr>
      <w:r>
        <w:rPr>
          <w:rFonts w:ascii="宋体" w:hAnsi="宋体"/>
          <w:color w:val="auto"/>
          <w:sz w:val="24"/>
          <w:szCs w:val="20"/>
          <w:highlight w:val="none"/>
        </w:rPr>
        <w:br w:type="page" w:clear="all"/>
      </w:r>
      <w:r>
        <w:rPr>
          <w:rFonts w:hint="eastAsia" w:ascii="宋体" w:hAnsi="宋体"/>
          <w:b/>
          <w:bCs/>
          <w:color w:val="auto"/>
          <w:sz w:val="28"/>
          <w:szCs w:val="28"/>
          <w:highlight w:val="none"/>
        </w:rPr>
        <w:t>2.商务及技术文件目录</w:t>
      </w:r>
    </w:p>
    <w:p w14:paraId="68C80F98">
      <w:pPr>
        <w:spacing w:before="50" w:after="12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5E0B1E65">
      <w:pPr>
        <w:spacing w:before="50" w:after="120"/>
        <w:jc w:val="left"/>
        <w:rPr>
          <w:rFonts w:ascii="宋体" w:hAnsi="宋体"/>
          <w:color w:val="auto"/>
          <w:highlight w:val="none"/>
        </w:rPr>
      </w:pPr>
    </w:p>
    <w:p w14:paraId="6B9A0346">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3.投标人参加本项目无围标串标行为的承诺</w:t>
      </w:r>
    </w:p>
    <w:p w14:paraId="0E7C7491">
      <w:pPr>
        <w:spacing w:before="120" w:after="50"/>
        <w:jc w:val="left"/>
        <w:rPr>
          <w:rFonts w:ascii="宋体" w:hAnsi="宋体"/>
          <w:b/>
          <w:color w:val="auto"/>
          <w:sz w:val="24"/>
          <w:highlight w:val="none"/>
        </w:rPr>
      </w:pPr>
    </w:p>
    <w:p w14:paraId="579093F3">
      <w:pPr>
        <w:spacing w:before="120" w:after="50"/>
        <w:ind w:left="420"/>
        <w:jc w:val="center"/>
        <w:rPr>
          <w:rFonts w:ascii="宋体" w:hAnsi="宋体"/>
          <w:b/>
          <w:color w:val="auto"/>
          <w:spacing w:val="-17"/>
          <w:sz w:val="32"/>
          <w:szCs w:val="32"/>
          <w:highlight w:val="none"/>
        </w:rPr>
      </w:pPr>
      <w:r>
        <w:rPr>
          <w:rFonts w:hint="eastAsia" w:ascii="宋体" w:hAnsi="宋体" w:cs="宋体"/>
          <w:bCs/>
          <w:color w:val="auto"/>
          <w:spacing w:val="-17"/>
          <w:sz w:val="44"/>
          <w:szCs w:val="44"/>
          <w:highlight w:val="none"/>
        </w:rPr>
        <w:t>投标人参加本项目无围标串标行为的承诺函</w:t>
      </w:r>
    </w:p>
    <w:p w14:paraId="6088B0BC">
      <w:pPr>
        <w:spacing w:before="120" w:after="50" w:line="360" w:lineRule="exact"/>
        <w:rPr>
          <w:rFonts w:ascii="宋体" w:hAnsi="宋体"/>
          <w:b/>
          <w:color w:val="auto"/>
          <w:sz w:val="24"/>
          <w:highlight w:val="none"/>
        </w:rPr>
      </w:pPr>
    </w:p>
    <w:p w14:paraId="76F105DE">
      <w:pPr>
        <w:spacing w:line="360" w:lineRule="exact"/>
        <w:contextualSpacing/>
        <w:jc w:val="left"/>
        <w:rPr>
          <w:rFonts w:ascii="宋体" w:hAnsi="宋体"/>
          <w:b/>
          <w:color w:val="auto"/>
          <w:sz w:val="24"/>
          <w:highlight w:val="none"/>
        </w:rPr>
      </w:pPr>
      <w:r>
        <w:rPr>
          <w:rFonts w:hint="eastAsia" w:ascii="宋体" w:hAnsi="宋体"/>
          <w:b/>
          <w:color w:val="auto"/>
          <w:sz w:val="24"/>
          <w:highlight w:val="none"/>
        </w:rPr>
        <w:t>一、我方承诺无下列相互串通投标的情形：</w:t>
      </w:r>
    </w:p>
    <w:p w14:paraId="177B133B">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 xml:space="preserve">1.不同投标人的投标文件由同一单位或者个人编制或不同投标人报名的IP地址一致的；或不同投标人投标设备信息（包括但不限于：IP地址、MAC地址、硬盘号、主板号）一致的； </w:t>
      </w:r>
    </w:p>
    <w:p w14:paraId="679D8264">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2.不同投标人委托同一单位或者个人办理投标事宜；</w:t>
      </w:r>
    </w:p>
    <w:p w14:paraId="20A02CDE">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3BE601C3">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01DE69C3">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5.不同投标人的投标文件相互混装；</w:t>
      </w:r>
    </w:p>
    <w:p w14:paraId="4C8C2219">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37050522">
      <w:pPr>
        <w:spacing w:line="360" w:lineRule="exact"/>
        <w:contextualSpacing/>
        <w:jc w:val="left"/>
        <w:rPr>
          <w:rFonts w:ascii="宋体" w:hAnsi="宋体"/>
          <w:color w:val="auto"/>
          <w:sz w:val="24"/>
          <w:highlight w:val="none"/>
        </w:rPr>
      </w:pPr>
      <w:r>
        <w:rPr>
          <w:rFonts w:hint="eastAsia" w:ascii="宋体" w:hAnsi="宋体"/>
          <w:b/>
          <w:color w:val="auto"/>
          <w:sz w:val="24"/>
          <w:highlight w:val="none"/>
        </w:rPr>
        <w:t>二、我方承诺无下列恶意串通的情形：</w:t>
      </w:r>
    </w:p>
    <w:p w14:paraId="56A2B0FB">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3A6C7FE6">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6F7377EA">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3BCC3249">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23B1F21D">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7CA202F8">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6E58EC63">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64717B63">
      <w:pPr>
        <w:spacing w:line="360" w:lineRule="exact"/>
        <w:ind w:firstLine="472"/>
        <w:contextualSpacing/>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709774AE">
      <w:pPr>
        <w:spacing w:line="360" w:lineRule="exact"/>
        <w:ind w:firstLine="472"/>
        <w:contextualSpacing/>
        <w:jc w:val="left"/>
        <w:rPr>
          <w:rFonts w:ascii="宋体" w:hAnsi="宋体"/>
          <w:b/>
          <w:color w:val="auto"/>
          <w:sz w:val="24"/>
          <w:highlight w:val="none"/>
        </w:rPr>
      </w:pPr>
    </w:p>
    <w:p w14:paraId="7D6430BE">
      <w:pPr>
        <w:pStyle w:val="24"/>
        <w:spacing w:line="360" w:lineRule="exact"/>
        <w:ind w:firstLine="960"/>
        <w:rPr>
          <w:rFonts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07AEDAD8">
      <w:pPr>
        <w:pStyle w:val="24"/>
        <w:spacing w:line="360" w:lineRule="exact"/>
        <w:contextualSpacing/>
        <w:jc w:val="center"/>
        <w:rPr>
          <w:rFonts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5A0E40A5">
      <w:pPr>
        <w:pStyle w:val="24"/>
        <w:spacing w:line="360" w:lineRule="exact"/>
        <w:contextualSpacing/>
        <w:rPr>
          <w:rFonts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6FD2F246">
      <w:pPr>
        <w:pStyle w:val="24"/>
        <w:spacing w:line="400" w:lineRule="exact"/>
        <w:contextualSpacing/>
        <w:rPr>
          <w:rFonts w:hAnsi="宋体"/>
          <w:color w:val="auto"/>
          <w:sz w:val="24"/>
          <w:highlight w:val="none"/>
        </w:rPr>
      </w:pPr>
    </w:p>
    <w:p w14:paraId="0AA55CB2">
      <w:pPr>
        <w:spacing w:before="120" w:after="50"/>
        <w:ind w:firstLine="472"/>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4.法定代表人身份证明</w:t>
      </w:r>
    </w:p>
    <w:p w14:paraId="04E1D67C">
      <w:pPr>
        <w:spacing w:before="240" w:after="120"/>
        <w:ind w:left="540"/>
        <w:jc w:val="center"/>
        <w:rPr>
          <w:rFonts w:ascii="宋体" w:hAnsi="Courier New"/>
          <w:b/>
          <w:color w:val="auto"/>
          <w:sz w:val="32"/>
          <w:szCs w:val="32"/>
          <w:highlight w:val="none"/>
        </w:rPr>
      </w:pPr>
    </w:p>
    <w:p w14:paraId="66EE00E7">
      <w:pPr>
        <w:spacing w:before="240" w:after="120"/>
        <w:ind w:left="54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53A57E0D">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0EE1944A">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F028D02">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1FE8736D">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33A0CD14">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3AE83FBF">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7AE26729">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5A9C9BDC">
      <w:pPr>
        <w:spacing w:line="500" w:lineRule="exact"/>
        <w:ind w:left="540"/>
        <w:rPr>
          <w:rFonts w:ascii="宋体" w:hAnsi="宋体"/>
          <w:color w:val="auto"/>
          <w:sz w:val="24"/>
          <w:highlight w:val="none"/>
        </w:rPr>
      </w:pPr>
    </w:p>
    <w:p w14:paraId="45142C73">
      <w:pPr>
        <w:spacing w:line="500" w:lineRule="exact"/>
        <w:ind w:left="540"/>
        <w:rPr>
          <w:rFonts w:ascii="宋体" w:hAnsi="宋体"/>
          <w:color w:val="auto"/>
          <w:sz w:val="24"/>
          <w:highlight w:val="none"/>
        </w:rPr>
      </w:pPr>
    </w:p>
    <w:p w14:paraId="31FA1657">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6237C3EC">
      <w:pPr>
        <w:spacing w:line="500" w:lineRule="exact"/>
        <w:ind w:left="540"/>
        <w:rPr>
          <w:rFonts w:ascii="宋体" w:hAnsi="宋体"/>
          <w:color w:val="auto"/>
          <w:sz w:val="24"/>
          <w:highlight w:val="none"/>
        </w:rPr>
      </w:pPr>
    </w:p>
    <w:p w14:paraId="1064170B">
      <w:pPr>
        <w:spacing w:line="500" w:lineRule="exact"/>
        <w:ind w:left="540"/>
        <w:jc w:val="right"/>
        <w:rPr>
          <w:rFonts w:ascii="宋体" w:hAnsi="宋体"/>
          <w:color w:val="auto"/>
          <w:sz w:val="24"/>
          <w:highlight w:val="none"/>
        </w:rPr>
      </w:pPr>
      <w:r>
        <w:rPr>
          <w:rFonts w:hint="eastAsia" w:ascii="宋体" w:hAnsi="宋体"/>
          <w:color w:val="auto"/>
          <w:sz w:val="24"/>
          <w:highlight w:val="none"/>
        </w:rPr>
        <w:t>投标人名称（电子签章）</w:t>
      </w:r>
    </w:p>
    <w:p w14:paraId="6AD4C075">
      <w:pPr>
        <w:spacing w:before="120" w:after="50"/>
        <w:ind w:left="540"/>
        <w:jc w:val="right"/>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7EE842EF">
      <w:pPr>
        <w:spacing w:before="120" w:after="50"/>
        <w:jc w:val="center"/>
        <w:rPr>
          <w:rFonts w:ascii="宋体" w:hAnsi="宋体"/>
          <w:b/>
          <w:color w:val="auto"/>
          <w:sz w:val="24"/>
          <w:highlight w:val="none"/>
        </w:rPr>
      </w:pPr>
    </w:p>
    <w:p w14:paraId="2F5CC389">
      <w:pPr>
        <w:spacing w:before="120" w:after="50" w:line="360" w:lineRule="auto"/>
        <w:jc w:val="left"/>
        <w:rPr>
          <w:rFonts w:ascii="宋体" w:hAnsi="宋体"/>
          <w:b/>
          <w:color w:val="auto"/>
          <w:sz w:val="24"/>
          <w:szCs w:val="20"/>
          <w:highlight w:val="none"/>
        </w:rPr>
      </w:pPr>
      <w:r>
        <w:rPr>
          <w:rFonts w:hint="eastAsia" w:ascii="宋体" w:hAnsi="宋体"/>
          <w:color w:val="auto"/>
          <w:sz w:val="24"/>
          <w:highlight w:val="none"/>
        </w:rPr>
        <w:t>注：1.自然人投标的无需提供</w:t>
      </w:r>
    </w:p>
    <w:p w14:paraId="14C62A3A">
      <w:pPr>
        <w:spacing w:line="360" w:lineRule="auto"/>
        <w:ind w:firstLine="420"/>
        <w:jc w:val="left"/>
        <w:rPr>
          <w:rFonts w:ascii="宋体" w:hAnsi="宋体"/>
          <w:color w:val="auto"/>
          <w:sz w:val="24"/>
          <w:highlight w:val="none"/>
        </w:rPr>
      </w:pPr>
      <w:r>
        <w:rPr>
          <w:rFonts w:hint="eastAsia"/>
          <w:color w:val="auto"/>
          <w:highlight w:val="none"/>
        </w:rPr>
        <w:t xml:space="preserve"> </w:t>
      </w:r>
      <w:r>
        <w:rPr>
          <w:rFonts w:hint="eastAsia" w:ascii="宋体" w:hAnsi="宋体"/>
          <w:color w:val="auto"/>
          <w:sz w:val="24"/>
          <w:highlight w:val="none"/>
        </w:rPr>
        <w:t>2.如为联合体投标，提供联合体牵头人</w:t>
      </w:r>
      <w:r>
        <w:rPr>
          <w:rFonts w:ascii="宋体" w:hAnsi="宋体"/>
          <w:color w:val="auto"/>
          <w:sz w:val="24"/>
          <w:highlight w:val="none"/>
        </w:rPr>
        <w:t>的</w:t>
      </w:r>
      <w:r>
        <w:rPr>
          <w:rFonts w:hint="eastAsia" w:ascii="宋体" w:hAnsi="宋体"/>
          <w:color w:val="auto"/>
          <w:sz w:val="24"/>
          <w:highlight w:val="none"/>
        </w:rPr>
        <w:t>法定代表人身份证明，</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114EA32D">
      <w:pPr>
        <w:spacing w:before="120" w:after="50"/>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5.授权委托书格式</w:t>
      </w:r>
    </w:p>
    <w:p w14:paraId="10D6C05B">
      <w:pPr>
        <w:spacing w:before="120" w:after="50"/>
        <w:jc w:val="center"/>
        <w:rPr>
          <w:rFonts w:ascii="宋体" w:hAnsi="宋体"/>
          <w:b/>
          <w:color w:val="auto"/>
          <w:sz w:val="44"/>
          <w:szCs w:val="44"/>
          <w:highlight w:val="none"/>
        </w:rPr>
      </w:pPr>
    </w:p>
    <w:p w14:paraId="199E0FB8">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5FCDC335">
      <w:pPr>
        <w:spacing w:before="120" w:after="50"/>
        <w:jc w:val="center"/>
        <w:rPr>
          <w:rFonts w:ascii="宋体" w:hAnsi="宋体"/>
          <w:b/>
          <w:color w:val="auto"/>
          <w:sz w:val="32"/>
          <w:szCs w:val="32"/>
          <w:highlight w:val="none"/>
        </w:rPr>
      </w:pPr>
      <w:r>
        <w:rPr>
          <w:rFonts w:hint="eastAsia" w:ascii="宋体" w:hAnsi="宋体"/>
          <w:b/>
          <w:color w:val="auto"/>
          <w:sz w:val="32"/>
          <w:szCs w:val="32"/>
          <w:highlight w:val="none"/>
        </w:rPr>
        <w:t>（非联合体投标格式）</w:t>
      </w:r>
    </w:p>
    <w:p w14:paraId="73C6BF63">
      <w:pPr>
        <w:spacing w:before="120" w:after="50"/>
        <w:jc w:val="center"/>
        <w:rPr>
          <w:rFonts w:ascii="宋体" w:hAnsi="宋体"/>
          <w:b/>
          <w:color w:val="auto"/>
          <w:sz w:val="24"/>
          <w:highlight w:val="none"/>
        </w:rPr>
      </w:pPr>
      <w:r>
        <w:rPr>
          <w:rFonts w:hint="eastAsia" w:ascii="宋体" w:hAnsi="宋体"/>
          <w:b/>
          <w:color w:val="auto"/>
          <w:sz w:val="32"/>
          <w:szCs w:val="32"/>
          <w:highlight w:val="none"/>
        </w:rPr>
        <w:t>（如有委托时）</w:t>
      </w:r>
    </w:p>
    <w:p w14:paraId="2AA931D3">
      <w:pPr>
        <w:spacing w:before="120" w:after="50"/>
        <w:jc w:val="center"/>
        <w:rPr>
          <w:rFonts w:ascii="宋体" w:hAnsi="宋体"/>
          <w:b/>
          <w:color w:val="auto"/>
          <w:sz w:val="24"/>
          <w:highlight w:val="none"/>
        </w:rPr>
      </w:pPr>
    </w:p>
    <w:p w14:paraId="37E9450B">
      <w:pPr>
        <w:spacing w:line="360" w:lineRule="auto"/>
        <w:contextualSpacing/>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0B0A853A">
      <w:pPr>
        <w:spacing w:line="360" w:lineRule="auto"/>
        <w:ind w:firstLine="566"/>
        <w:contextualSpacing/>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2DA5A776">
      <w:pPr>
        <w:spacing w:line="360" w:lineRule="auto"/>
        <w:contextualSpacing/>
        <w:rPr>
          <w:rFonts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471625D8">
      <w:pPr>
        <w:spacing w:line="360" w:lineRule="auto"/>
        <w:ind w:firstLine="480"/>
        <w:contextualSpacing/>
        <w:rPr>
          <w:rFonts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37B6B05A">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76984136">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4A0AB0A0">
      <w:pPr>
        <w:spacing w:line="360" w:lineRule="auto"/>
        <w:contextualSpacing/>
        <w:rPr>
          <w:rFonts w:ascii="宋体" w:hAnsi="宋体"/>
          <w:color w:val="auto"/>
          <w:sz w:val="24"/>
          <w:highlight w:val="none"/>
        </w:rPr>
      </w:pPr>
    </w:p>
    <w:p w14:paraId="1726B548">
      <w:pPr>
        <w:spacing w:line="440" w:lineRule="exact"/>
        <w:contextualSpacing/>
        <w:rPr>
          <w:rFonts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30545C0">
      <w:pPr>
        <w:spacing w:line="440" w:lineRule="exact"/>
        <w:contextualSpacing/>
        <w:rPr>
          <w:rFonts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3C51B23D">
      <w:pPr>
        <w:spacing w:line="440" w:lineRule="exact"/>
        <w:contextualSpacing/>
        <w:rPr>
          <w:rFonts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252F9FAF">
      <w:pPr>
        <w:spacing w:line="440" w:lineRule="exact"/>
        <w:contextualSpacing/>
        <w:rPr>
          <w:rFonts w:ascii="宋体" w:hAnsi="宋体"/>
          <w:color w:val="auto"/>
          <w:sz w:val="24"/>
          <w:highlight w:val="none"/>
        </w:rPr>
      </w:pPr>
      <w:r>
        <w:rPr>
          <w:rFonts w:hint="eastAsia" w:ascii="宋体" w:hAnsi="宋体"/>
          <w:color w:val="auto"/>
          <w:sz w:val="24"/>
          <w:highlight w:val="none"/>
        </w:rPr>
        <w:t xml:space="preserve"> </w:t>
      </w:r>
    </w:p>
    <w:p w14:paraId="2F0DC807">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投标人名称（电子签章）：</w:t>
      </w:r>
    </w:p>
    <w:p w14:paraId="3EBF8B03">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年    月    日</w:t>
      </w:r>
    </w:p>
    <w:p w14:paraId="5544BD18">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w:t>
      </w:r>
      <w:bookmarkStart w:id="146" w:name="_Hlk65851555"/>
      <w:bookmarkStart w:id="147" w:name="_Hlk65851620"/>
      <w:r>
        <w:rPr>
          <w:rFonts w:hint="eastAsia" w:ascii="宋体" w:hAnsi="宋体" w:cs="仿宋_GB2312"/>
          <w:color w:val="auto"/>
          <w:sz w:val="24"/>
          <w:highlight w:val="none"/>
        </w:rPr>
        <w:t>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bookmarkEnd w:id="146"/>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147"/>
    </w:p>
    <w:p w14:paraId="491714BD">
      <w:pPr>
        <w:spacing w:line="440" w:lineRule="exact"/>
        <w:ind w:firstLine="48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15837A65">
      <w:pPr>
        <w:spacing w:before="120" w:after="50"/>
        <w:ind w:firstLine="566"/>
        <w:jc w:val="center"/>
        <w:rPr>
          <w:rFonts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授权委托书</w:t>
      </w:r>
    </w:p>
    <w:p w14:paraId="6FFB1F19">
      <w:pPr>
        <w:spacing w:before="120" w:after="50"/>
        <w:ind w:firstLine="758"/>
        <w:jc w:val="center"/>
        <w:rPr>
          <w:rFonts w:ascii="宋体" w:hAnsi="宋体"/>
          <w:b/>
          <w:bCs/>
          <w:color w:val="auto"/>
          <w:sz w:val="32"/>
          <w:szCs w:val="32"/>
          <w:highlight w:val="none"/>
        </w:rPr>
      </w:pPr>
      <w:r>
        <w:rPr>
          <w:rFonts w:hint="eastAsia" w:ascii="宋体" w:hAnsi="宋体"/>
          <w:b/>
          <w:bCs/>
          <w:color w:val="auto"/>
          <w:sz w:val="32"/>
          <w:szCs w:val="32"/>
          <w:highlight w:val="none"/>
        </w:rPr>
        <w:t>（联合体投标格式）</w:t>
      </w:r>
    </w:p>
    <w:p w14:paraId="0FE4FAF2">
      <w:pPr>
        <w:spacing w:before="120" w:after="50"/>
        <w:ind w:firstLine="758"/>
        <w:jc w:val="center"/>
        <w:rPr>
          <w:rFonts w:ascii="宋体" w:hAnsi="宋体"/>
          <w:color w:val="auto"/>
          <w:sz w:val="24"/>
          <w:highlight w:val="none"/>
        </w:rPr>
      </w:pPr>
      <w:r>
        <w:rPr>
          <w:rFonts w:hint="eastAsia" w:ascii="宋体" w:hAnsi="宋体"/>
          <w:b/>
          <w:bCs/>
          <w:color w:val="auto"/>
          <w:sz w:val="32"/>
          <w:szCs w:val="32"/>
          <w:highlight w:val="none"/>
        </w:rPr>
        <w:t>（如有委托时）</w:t>
      </w:r>
    </w:p>
    <w:p w14:paraId="5E7BC8F0">
      <w:pPr>
        <w:spacing w:line="360" w:lineRule="auto"/>
        <w:contextualSpacing/>
        <w:jc w:val="left"/>
        <w:rPr>
          <w:rFonts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4DD893C7">
      <w:pPr>
        <w:spacing w:line="360" w:lineRule="auto"/>
        <w:ind w:firstLine="566"/>
        <w:contextualSpacing/>
        <w:rPr>
          <w:rFonts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08AA050D">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我方对委托代理人的签字或者电子签名事项负全部责任。</w:t>
      </w:r>
    </w:p>
    <w:p w14:paraId="7D906955">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2825E920">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516D4538">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附：牵头人法定代表人身份证明及委托代理人有效身份证正反面复印件</w:t>
      </w:r>
    </w:p>
    <w:p w14:paraId="680551F4">
      <w:pPr>
        <w:spacing w:line="440" w:lineRule="exact"/>
        <w:ind w:firstLine="566"/>
        <w:contextualSpacing/>
        <w:rPr>
          <w:rFonts w:ascii="宋体" w:hAnsi="宋体"/>
          <w:color w:val="auto"/>
          <w:sz w:val="24"/>
          <w:highlight w:val="none"/>
        </w:rPr>
      </w:pPr>
    </w:p>
    <w:p w14:paraId="2F25EAF6">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牵头人法定代表人（签字或者盖章或者电子签名）：</w:t>
      </w:r>
    </w:p>
    <w:p w14:paraId="5CB3B9BB">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牵头人（电子签章）：</w:t>
      </w:r>
    </w:p>
    <w:p w14:paraId="75E91704">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日期：    年   月   日</w:t>
      </w:r>
    </w:p>
    <w:p w14:paraId="0A24FDBA">
      <w:pPr>
        <w:spacing w:line="440" w:lineRule="exact"/>
        <w:ind w:firstLine="566"/>
        <w:contextualSpacing/>
        <w:rPr>
          <w:rFonts w:ascii="宋体" w:hAnsi="宋体"/>
          <w:color w:val="auto"/>
          <w:sz w:val="24"/>
          <w:highlight w:val="none"/>
        </w:rPr>
      </w:pPr>
    </w:p>
    <w:p w14:paraId="4826730E">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被授权人（签字或者电子签名）：</w:t>
      </w:r>
    </w:p>
    <w:p w14:paraId="0618B98E">
      <w:pPr>
        <w:spacing w:line="440" w:lineRule="exact"/>
        <w:ind w:firstLine="566"/>
        <w:contextualSpacing/>
        <w:rPr>
          <w:rFonts w:ascii="宋体" w:hAnsi="宋体" w:cs="仿宋_GB2312"/>
          <w:color w:val="auto"/>
          <w:sz w:val="32"/>
          <w:szCs w:val="32"/>
          <w:highlight w:val="none"/>
        </w:rPr>
      </w:pPr>
      <w:r>
        <w:rPr>
          <w:rFonts w:hint="eastAsia" w:ascii="宋体" w:hAnsi="宋体"/>
          <w:color w:val="auto"/>
          <w:sz w:val="24"/>
          <w:highlight w:val="none"/>
        </w:rPr>
        <w:t>日期：    年   月   日</w:t>
      </w:r>
    </w:p>
    <w:p w14:paraId="7D932B6A">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11F56F81">
      <w:pPr>
        <w:spacing w:line="440" w:lineRule="exact"/>
        <w:ind w:firstLine="48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0FC37438">
      <w:pPr>
        <w:rPr>
          <w:rFonts w:ascii="宋体" w:hAnsi="宋体"/>
          <w:b/>
          <w:color w:val="auto"/>
          <w:sz w:val="24"/>
          <w:highlight w:val="none"/>
        </w:rPr>
      </w:pPr>
      <w:r>
        <w:rPr>
          <w:rFonts w:hint="eastAsia" w:ascii="宋体" w:hAnsi="宋体"/>
          <w:b/>
          <w:color w:val="auto"/>
          <w:sz w:val="24"/>
          <w:highlight w:val="none"/>
        </w:rPr>
        <w:br w:type="page" w:clear="all"/>
      </w:r>
    </w:p>
    <w:p w14:paraId="584E3F57">
      <w:pPr>
        <w:rPr>
          <w:rFonts w:ascii="宋体" w:hAnsi="宋体"/>
          <w:b/>
          <w:color w:val="auto"/>
          <w:sz w:val="24"/>
          <w:szCs w:val="20"/>
          <w:highlight w:val="none"/>
        </w:rPr>
      </w:pPr>
      <w:r>
        <w:rPr>
          <w:rFonts w:hint="eastAsia" w:ascii="宋体" w:hAnsi="宋体"/>
          <w:b/>
          <w:color w:val="auto"/>
          <w:sz w:val="24"/>
          <w:highlight w:val="none"/>
        </w:rPr>
        <w:t>6.商务要求偏离表格式</w:t>
      </w:r>
    </w:p>
    <w:p w14:paraId="4CE0D2E2">
      <w:pPr>
        <w:spacing w:before="50"/>
        <w:jc w:val="left"/>
        <w:rPr>
          <w:rFonts w:ascii="宋体" w:hAnsi="宋体"/>
          <w:color w:val="auto"/>
          <w:sz w:val="24"/>
          <w:highlight w:val="none"/>
        </w:rPr>
      </w:pPr>
    </w:p>
    <w:p w14:paraId="6806FF9E">
      <w:pPr>
        <w:pStyle w:val="24"/>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6F89303B">
      <w:pPr>
        <w:spacing w:before="50"/>
        <w:jc w:val="left"/>
        <w:rPr>
          <w:rFonts w:ascii="宋体" w:hAnsi="宋体"/>
          <w:color w:val="auto"/>
          <w:sz w:val="24"/>
          <w:highlight w:val="none"/>
          <w:u w:val="single"/>
        </w:rPr>
      </w:pPr>
    </w:p>
    <w:tbl>
      <w:tblPr>
        <w:tblStyle w:val="48"/>
        <w:tblW w:w="8641"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52"/>
        <w:gridCol w:w="2694"/>
        <w:gridCol w:w="1760"/>
        <w:gridCol w:w="2035"/>
      </w:tblGrid>
      <w:tr w14:paraId="4E8A6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52" w:type="dxa"/>
            <w:tcBorders>
              <w:top w:val="single" w:color="auto" w:sz="4" w:space="0"/>
              <w:left w:val="single" w:color="auto" w:sz="4" w:space="0"/>
              <w:bottom w:val="single" w:color="auto" w:sz="4" w:space="0"/>
              <w:right w:val="single" w:color="auto" w:sz="4" w:space="0"/>
            </w:tcBorders>
          </w:tcPr>
          <w:p w14:paraId="7D0C2D7C">
            <w:pPr>
              <w:spacing w:before="120"/>
              <w:jc w:val="center"/>
              <w:rPr>
                <w:rFonts w:ascii="宋体" w:hAnsi="宋体"/>
                <w:color w:val="auto"/>
                <w:sz w:val="24"/>
                <w:highlight w:val="none"/>
              </w:rPr>
            </w:pPr>
            <w:r>
              <w:rPr>
                <w:rFonts w:hint="eastAsia" w:ascii="宋体" w:hAnsi="宋体"/>
                <w:color w:val="auto"/>
                <w:sz w:val="24"/>
                <w:highlight w:val="none"/>
              </w:rPr>
              <w:t>项目</w:t>
            </w:r>
          </w:p>
        </w:tc>
        <w:tc>
          <w:tcPr>
            <w:tcW w:w="2694" w:type="dxa"/>
            <w:tcBorders>
              <w:top w:val="single" w:color="auto" w:sz="4" w:space="0"/>
              <w:left w:val="single" w:color="auto" w:sz="4" w:space="0"/>
              <w:bottom w:val="single" w:color="auto" w:sz="4" w:space="0"/>
              <w:right w:val="single" w:color="auto" w:sz="4" w:space="0"/>
            </w:tcBorders>
          </w:tcPr>
          <w:p w14:paraId="5739D72C">
            <w:pPr>
              <w:spacing w:before="120"/>
              <w:jc w:val="center"/>
              <w:rPr>
                <w:rFonts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610086D4">
            <w:pPr>
              <w:spacing w:before="120"/>
              <w:jc w:val="center"/>
              <w:rPr>
                <w:rFonts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6C4156AB">
            <w:pPr>
              <w:spacing w:before="120"/>
              <w:jc w:val="center"/>
              <w:rPr>
                <w:rFonts w:ascii="宋体" w:hAnsi="宋体"/>
                <w:color w:val="auto"/>
                <w:sz w:val="24"/>
                <w:highlight w:val="none"/>
              </w:rPr>
            </w:pPr>
            <w:r>
              <w:rPr>
                <w:rFonts w:hint="eastAsia" w:ascii="宋体" w:hAnsi="宋体"/>
                <w:color w:val="auto"/>
                <w:sz w:val="24"/>
                <w:highlight w:val="none"/>
              </w:rPr>
              <w:t>偏离说明</w:t>
            </w:r>
          </w:p>
        </w:tc>
      </w:tr>
      <w:tr w14:paraId="3BB5F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52" w:type="dxa"/>
            <w:tcBorders>
              <w:top w:val="single" w:color="auto" w:sz="4" w:space="0"/>
              <w:left w:val="single" w:color="auto" w:sz="4" w:space="0"/>
              <w:bottom w:val="single" w:color="auto" w:sz="4" w:space="0"/>
              <w:right w:val="single" w:color="auto" w:sz="4" w:space="0"/>
            </w:tcBorders>
            <w:vAlign w:val="center"/>
          </w:tcPr>
          <w:p w14:paraId="1744C394">
            <w:pPr>
              <w:jc w:val="center"/>
              <w:rPr>
                <w:rFonts w:ascii="宋体" w:hAnsi="宋体"/>
                <w:color w:val="auto"/>
                <w:sz w:val="24"/>
                <w:highlight w:val="none"/>
              </w:rPr>
            </w:pPr>
            <w:r>
              <w:rPr>
                <w:rFonts w:hint="eastAsia" w:ascii="宋体" w:hAnsi="宋体"/>
                <w:color w:val="auto"/>
                <w:sz w:val="24"/>
                <w:highlight w:val="none"/>
              </w:rPr>
              <w:t>服务期限和地点</w:t>
            </w:r>
          </w:p>
        </w:tc>
        <w:tc>
          <w:tcPr>
            <w:tcW w:w="2694" w:type="dxa"/>
            <w:tcBorders>
              <w:top w:val="single" w:color="auto" w:sz="4" w:space="0"/>
              <w:left w:val="single" w:color="auto" w:sz="4" w:space="0"/>
              <w:bottom w:val="single" w:color="auto" w:sz="4" w:space="0"/>
              <w:right w:val="single" w:color="auto" w:sz="4" w:space="0"/>
            </w:tcBorders>
            <w:vAlign w:val="center"/>
          </w:tcPr>
          <w:p w14:paraId="440FBE50">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2B04C9B9">
            <w:pPr>
              <w:spacing w:before="120"/>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1BB7CB2">
            <w:pPr>
              <w:spacing w:before="120"/>
              <w:jc w:val="center"/>
              <w:rPr>
                <w:rFonts w:ascii="宋体" w:hAnsi="宋体"/>
                <w:color w:val="auto"/>
                <w:sz w:val="24"/>
                <w:highlight w:val="none"/>
              </w:rPr>
            </w:pPr>
          </w:p>
        </w:tc>
      </w:tr>
      <w:tr w14:paraId="7EDD1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13EED048">
            <w:pPr>
              <w:jc w:val="center"/>
              <w:rPr>
                <w:rFonts w:ascii="宋体" w:hAnsi="宋体"/>
                <w:color w:val="auto"/>
                <w:sz w:val="24"/>
                <w:highlight w:val="none"/>
              </w:rPr>
            </w:pPr>
            <w:r>
              <w:rPr>
                <w:rFonts w:hint="eastAsia" w:ascii="宋体" w:hAnsi="宋体"/>
                <w:color w:val="auto"/>
                <w:sz w:val="24"/>
                <w:highlight w:val="none"/>
              </w:rPr>
              <w:t>合同签订时间</w:t>
            </w:r>
          </w:p>
        </w:tc>
        <w:tc>
          <w:tcPr>
            <w:tcW w:w="2694" w:type="dxa"/>
            <w:tcBorders>
              <w:top w:val="single" w:color="auto" w:sz="4" w:space="0"/>
              <w:left w:val="single" w:color="auto" w:sz="4" w:space="0"/>
              <w:bottom w:val="single" w:color="auto" w:sz="4" w:space="0"/>
              <w:right w:val="single" w:color="auto" w:sz="4" w:space="0"/>
            </w:tcBorders>
            <w:vAlign w:val="center"/>
          </w:tcPr>
          <w:p w14:paraId="4BB919B2">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171B9CB4">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19577378">
            <w:pPr>
              <w:spacing w:before="120"/>
              <w:ind w:left="43"/>
              <w:jc w:val="center"/>
              <w:rPr>
                <w:rFonts w:ascii="宋体" w:hAnsi="宋体"/>
                <w:color w:val="auto"/>
                <w:sz w:val="24"/>
                <w:highlight w:val="none"/>
              </w:rPr>
            </w:pPr>
          </w:p>
        </w:tc>
      </w:tr>
      <w:tr w14:paraId="735AB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474C105D">
            <w:pPr>
              <w:jc w:val="center"/>
              <w:rPr>
                <w:rFonts w:ascii="宋体" w:hAnsi="宋体"/>
                <w:color w:val="auto"/>
                <w:sz w:val="24"/>
                <w:highlight w:val="none"/>
              </w:rPr>
            </w:pPr>
            <w:r>
              <w:rPr>
                <w:rFonts w:hint="eastAsia" w:ascii="宋体" w:hAnsi="宋体"/>
                <w:color w:val="auto"/>
                <w:sz w:val="24"/>
                <w:highlight w:val="none"/>
              </w:rPr>
              <w:t>付款条件（进度和方式）</w:t>
            </w:r>
          </w:p>
        </w:tc>
        <w:tc>
          <w:tcPr>
            <w:tcW w:w="2694" w:type="dxa"/>
            <w:tcBorders>
              <w:top w:val="single" w:color="auto" w:sz="4" w:space="0"/>
              <w:left w:val="single" w:color="auto" w:sz="4" w:space="0"/>
              <w:bottom w:val="single" w:color="auto" w:sz="4" w:space="0"/>
              <w:right w:val="single" w:color="auto" w:sz="4" w:space="0"/>
            </w:tcBorders>
            <w:vAlign w:val="center"/>
          </w:tcPr>
          <w:p w14:paraId="4C1C9FEB">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012FD5F0">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232F0A51">
            <w:pPr>
              <w:spacing w:before="120"/>
              <w:ind w:left="43"/>
              <w:jc w:val="center"/>
              <w:rPr>
                <w:rFonts w:ascii="宋体" w:hAnsi="宋体"/>
                <w:color w:val="auto"/>
                <w:sz w:val="24"/>
                <w:highlight w:val="none"/>
              </w:rPr>
            </w:pPr>
          </w:p>
        </w:tc>
      </w:tr>
      <w:tr w14:paraId="797B3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7643D0D1">
            <w:pPr>
              <w:jc w:val="center"/>
              <w:rPr>
                <w:rFonts w:ascii="宋体" w:hAnsi="宋体"/>
                <w:color w:val="auto"/>
                <w:sz w:val="24"/>
                <w:highlight w:val="none"/>
              </w:rPr>
            </w:pPr>
            <w:r>
              <w:rPr>
                <w:rFonts w:hint="eastAsia" w:ascii="宋体" w:hAnsi="宋体"/>
                <w:color w:val="auto"/>
                <w:sz w:val="24"/>
                <w:highlight w:val="none"/>
              </w:rPr>
              <w:t>...</w:t>
            </w:r>
          </w:p>
        </w:tc>
        <w:tc>
          <w:tcPr>
            <w:tcW w:w="2694" w:type="dxa"/>
            <w:tcBorders>
              <w:top w:val="single" w:color="auto" w:sz="4" w:space="0"/>
              <w:left w:val="single" w:color="auto" w:sz="4" w:space="0"/>
              <w:bottom w:val="single" w:color="auto" w:sz="4" w:space="0"/>
              <w:right w:val="single" w:color="auto" w:sz="4" w:space="0"/>
            </w:tcBorders>
            <w:vAlign w:val="center"/>
          </w:tcPr>
          <w:p w14:paraId="22AEDE75">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29990426">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6E40F0E1">
            <w:pPr>
              <w:spacing w:before="120"/>
              <w:ind w:left="43"/>
              <w:jc w:val="center"/>
              <w:rPr>
                <w:rFonts w:ascii="宋体" w:hAnsi="宋体"/>
                <w:color w:val="auto"/>
                <w:sz w:val="24"/>
                <w:highlight w:val="none"/>
              </w:rPr>
            </w:pPr>
          </w:p>
        </w:tc>
      </w:tr>
    </w:tbl>
    <w:p w14:paraId="7C859A09">
      <w:pPr>
        <w:pStyle w:val="17"/>
        <w:rPr>
          <w:rFonts w:ascii="宋体" w:hAnsi="宋体"/>
          <w:color w:val="auto"/>
          <w:highlight w:val="none"/>
        </w:rPr>
      </w:pPr>
      <w:r>
        <w:rPr>
          <w:rFonts w:hint="eastAsia" w:ascii="宋体" w:hAnsi="宋体"/>
          <w:color w:val="auto"/>
          <w:highlight w:val="none"/>
        </w:rPr>
        <w:t>注：</w:t>
      </w:r>
    </w:p>
    <w:p w14:paraId="2C7349C0">
      <w:pPr>
        <w:pStyle w:val="19"/>
        <w:spacing w:line="520" w:lineRule="exact"/>
        <w:ind w:firstLine="0"/>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采购需求”中的商务要求逐条作明确的投标响应，并作出偏离说明。</w:t>
      </w:r>
    </w:p>
    <w:p w14:paraId="5DE1159A">
      <w:pPr>
        <w:pStyle w:val="17"/>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1F06A065">
      <w:pPr>
        <w:spacing w:before="50" w:after="50"/>
        <w:rPr>
          <w:rFonts w:ascii="宋体" w:hAnsi="宋体"/>
          <w:color w:val="auto"/>
          <w:sz w:val="24"/>
          <w:highlight w:val="none"/>
        </w:rPr>
      </w:pPr>
    </w:p>
    <w:p w14:paraId="5C44084C">
      <w:pPr>
        <w:spacing w:before="50" w:after="50"/>
        <w:rPr>
          <w:rFonts w:ascii="宋体" w:hAnsi="宋体"/>
          <w:color w:val="auto"/>
          <w:sz w:val="24"/>
          <w:highlight w:val="none"/>
        </w:rPr>
      </w:pPr>
    </w:p>
    <w:p w14:paraId="38FF41FF">
      <w:pPr>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393AD2D">
      <w:pPr>
        <w:spacing w:before="12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3677382">
      <w:pPr>
        <w:spacing w:before="120"/>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72C72C19">
      <w:pPr>
        <w:spacing w:before="120"/>
        <w:rPr>
          <w:rFonts w:ascii="宋体" w:hAnsi="宋体"/>
          <w:color w:val="auto"/>
          <w:sz w:val="24"/>
          <w:szCs w:val="20"/>
          <w:highlight w:val="none"/>
        </w:rPr>
      </w:pPr>
    </w:p>
    <w:p w14:paraId="5DF3AE2C">
      <w:pPr>
        <w:rPr>
          <w:rFonts w:ascii="宋体" w:hAnsi="宋体"/>
          <w:b/>
          <w:color w:val="auto"/>
          <w:sz w:val="24"/>
          <w:highlight w:val="none"/>
        </w:rPr>
      </w:pPr>
      <w:r>
        <w:rPr>
          <w:rFonts w:hint="eastAsia" w:ascii="宋体" w:hAnsi="宋体"/>
          <w:b/>
          <w:color w:val="auto"/>
          <w:sz w:val="24"/>
          <w:highlight w:val="none"/>
        </w:rPr>
        <w:br w:type="page" w:clear="all"/>
      </w:r>
    </w:p>
    <w:p w14:paraId="686DA7D2">
      <w:pPr>
        <w:spacing w:before="120" w:after="50"/>
        <w:jc w:val="left"/>
        <w:rPr>
          <w:rFonts w:ascii="宋体" w:hAnsi="宋体"/>
          <w:b/>
          <w:color w:val="auto"/>
          <w:sz w:val="24"/>
          <w:highlight w:val="none"/>
        </w:rPr>
      </w:pPr>
      <w:r>
        <w:rPr>
          <w:rFonts w:hint="eastAsia" w:ascii="宋体" w:hAnsi="宋体"/>
          <w:b/>
          <w:color w:val="auto"/>
          <w:sz w:val="24"/>
          <w:highlight w:val="none"/>
        </w:rPr>
        <w:t>7.投标人业绩证明材料</w:t>
      </w:r>
    </w:p>
    <w:p w14:paraId="51CC1B53">
      <w:pPr>
        <w:pStyle w:val="35"/>
        <w:ind w:left="480" w:hanging="480"/>
        <w:rPr>
          <w:rFonts w:ascii="宋体" w:hAnsi="宋体"/>
          <w:color w:val="auto"/>
          <w:sz w:val="24"/>
          <w:highlight w:val="none"/>
        </w:rPr>
      </w:pPr>
    </w:p>
    <w:p w14:paraId="1E41188B">
      <w:pPr>
        <w:pStyle w:val="35"/>
        <w:ind w:left="480" w:hanging="480"/>
        <w:rPr>
          <w:rFonts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8"/>
        <w:tblW w:w="894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7"/>
        <w:gridCol w:w="1857"/>
        <w:gridCol w:w="1857"/>
        <w:gridCol w:w="2996"/>
      </w:tblGrid>
      <w:tr w14:paraId="0CC72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54" w:hRule="atLeast"/>
        </w:trPr>
        <w:tc>
          <w:tcPr>
            <w:tcW w:w="2237" w:type="dxa"/>
            <w:vMerge w:val="restart"/>
            <w:tcBorders>
              <w:top w:val="single" w:color="auto" w:sz="4" w:space="0"/>
              <w:left w:val="single" w:color="auto" w:sz="4" w:space="0"/>
              <w:bottom w:val="single" w:color="auto" w:sz="4" w:space="0"/>
              <w:right w:val="single" w:color="auto" w:sz="4" w:space="0"/>
            </w:tcBorders>
            <w:vAlign w:val="center"/>
          </w:tcPr>
          <w:p w14:paraId="42575AB9">
            <w:pPr>
              <w:spacing w:line="360" w:lineRule="auto"/>
              <w:jc w:val="center"/>
              <w:rPr>
                <w:rFonts w:ascii="宋体" w:hAnsi="宋体"/>
                <w:color w:val="auto"/>
                <w:sz w:val="24"/>
                <w:highlight w:val="none"/>
              </w:rPr>
            </w:pPr>
            <w:r>
              <w:rPr>
                <w:rFonts w:hint="eastAsia" w:ascii="宋体" w:hAnsi="宋体"/>
                <w:color w:val="auto"/>
                <w:sz w:val="24"/>
                <w:highlight w:val="none"/>
              </w:rPr>
              <w:t>采购人名称</w:t>
            </w: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2C4036F6">
            <w:pPr>
              <w:spacing w:line="360" w:lineRule="auto"/>
              <w:jc w:val="center"/>
              <w:rPr>
                <w:rFonts w:ascii="宋体" w:hAnsi="宋体"/>
                <w:color w:val="auto"/>
                <w:sz w:val="24"/>
                <w:highlight w:val="none"/>
              </w:rPr>
            </w:pPr>
            <w:r>
              <w:rPr>
                <w:rFonts w:hint="eastAsia" w:ascii="宋体" w:hAnsi="宋体"/>
                <w:color w:val="auto"/>
                <w:sz w:val="24"/>
                <w:highlight w:val="none"/>
              </w:rPr>
              <w:t>项目名称</w:t>
            </w: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36894758">
            <w:pPr>
              <w:spacing w:line="360" w:lineRule="auto"/>
              <w:jc w:val="center"/>
              <w:rPr>
                <w:rFonts w:ascii="宋体" w:hAnsi="宋体"/>
                <w:color w:val="auto"/>
                <w:sz w:val="24"/>
                <w:highlight w:val="none"/>
              </w:rPr>
            </w:pPr>
            <w:r>
              <w:rPr>
                <w:rFonts w:hint="eastAsia" w:ascii="宋体" w:hAnsi="宋体"/>
                <w:color w:val="auto"/>
                <w:sz w:val="24"/>
                <w:highlight w:val="none"/>
              </w:rPr>
              <w:t>合同金额</w:t>
            </w:r>
          </w:p>
          <w:p w14:paraId="4B82DBDA">
            <w:pPr>
              <w:spacing w:line="360" w:lineRule="auto"/>
              <w:jc w:val="center"/>
              <w:rPr>
                <w:rFonts w:ascii="宋体" w:hAnsi="宋体"/>
                <w:color w:val="auto"/>
                <w:sz w:val="24"/>
                <w:highlight w:val="none"/>
              </w:rPr>
            </w:pPr>
            <w:r>
              <w:rPr>
                <w:rFonts w:hint="eastAsia" w:ascii="宋体" w:hAnsi="宋体"/>
                <w:color w:val="auto"/>
                <w:sz w:val="24"/>
                <w:highlight w:val="none"/>
              </w:rPr>
              <w:t>（万元）</w:t>
            </w:r>
          </w:p>
        </w:tc>
        <w:tc>
          <w:tcPr>
            <w:tcW w:w="2996" w:type="dxa"/>
            <w:vMerge w:val="restart"/>
            <w:tcBorders>
              <w:top w:val="single" w:color="auto" w:sz="4" w:space="0"/>
              <w:left w:val="single" w:color="auto" w:sz="4" w:space="0"/>
              <w:bottom w:val="single" w:color="auto" w:sz="4" w:space="0"/>
              <w:right w:val="single" w:color="auto" w:sz="4" w:space="0"/>
            </w:tcBorders>
            <w:vAlign w:val="center"/>
          </w:tcPr>
          <w:p w14:paraId="76390EB6">
            <w:pPr>
              <w:spacing w:line="360" w:lineRule="auto"/>
              <w:jc w:val="center"/>
              <w:rPr>
                <w:rFonts w:ascii="宋体" w:hAnsi="宋体"/>
                <w:color w:val="auto"/>
                <w:sz w:val="24"/>
                <w:highlight w:val="none"/>
              </w:rPr>
            </w:pPr>
            <w:r>
              <w:rPr>
                <w:rFonts w:hint="eastAsia" w:ascii="宋体" w:hAnsi="宋体"/>
                <w:color w:val="auto"/>
                <w:sz w:val="24"/>
                <w:highlight w:val="none"/>
              </w:rPr>
              <w:t>采购人联系人及</w:t>
            </w:r>
          </w:p>
          <w:p w14:paraId="05F65821">
            <w:pPr>
              <w:spacing w:line="360" w:lineRule="auto"/>
              <w:jc w:val="center"/>
              <w:rPr>
                <w:rFonts w:ascii="宋体" w:hAnsi="宋体"/>
                <w:color w:val="auto"/>
                <w:sz w:val="24"/>
                <w:highlight w:val="none"/>
              </w:rPr>
            </w:pPr>
            <w:r>
              <w:rPr>
                <w:rFonts w:hint="eastAsia" w:ascii="宋体" w:hAnsi="宋体"/>
                <w:color w:val="auto"/>
                <w:sz w:val="24"/>
                <w:highlight w:val="none"/>
              </w:rPr>
              <w:t>联系电话</w:t>
            </w:r>
          </w:p>
        </w:tc>
      </w:tr>
      <w:tr w14:paraId="2D5D7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237" w:type="dxa"/>
            <w:tcBorders>
              <w:top w:val="single" w:color="auto" w:sz="4" w:space="0"/>
              <w:left w:val="single" w:color="auto" w:sz="4" w:space="0"/>
              <w:bottom w:val="single" w:color="auto" w:sz="4" w:space="0"/>
              <w:right w:val="single" w:color="auto" w:sz="4" w:space="0"/>
            </w:tcBorders>
          </w:tcPr>
          <w:p w14:paraId="42354940">
            <w:pPr>
              <w:spacing w:line="24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147F7BE">
            <w:pPr>
              <w:spacing w:line="24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0F7DF2F">
            <w:pPr>
              <w:spacing w:line="24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1039D988">
            <w:pPr>
              <w:spacing w:line="240" w:lineRule="exact"/>
              <w:jc w:val="left"/>
              <w:rPr>
                <w:rFonts w:ascii="宋体" w:hAnsi="宋体"/>
                <w:color w:val="auto"/>
                <w:sz w:val="24"/>
                <w:highlight w:val="none"/>
              </w:rPr>
            </w:pPr>
          </w:p>
        </w:tc>
      </w:tr>
      <w:tr w14:paraId="0D7D3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3849FA98">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91F6C3E">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58843E5">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27A1529A">
            <w:pPr>
              <w:spacing w:before="50" w:after="120" w:line="400" w:lineRule="exact"/>
              <w:jc w:val="left"/>
              <w:rPr>
                <w:rFonts w:ascii="宋体" w:hAnsi="宋体"/>
                <w:color w:val="auto"/>
                <w:sz w:val="24"/>
                <w:highlight w:val="none"/>
              </w:rPr>
            </w:pPr>
          </w:p>
        </w:tc>
      </w:tr>
      <w:tr w14:paraId="0647C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237" w:type="dxa"/>
            <w:tcBorders>
              <w:top w:val="single" w:color="auto" w:sz="4" w:space="0"/>
              <w:left w:val="single" w:color="auto" w:sz="4" w:space="0"/>
              <w:bottom w:val="single" w:color="auto" w:sz="4" w:space="0"/>
              <w:right w:val="single" w:color="auto" w:sz="4" w:space="0"/>
            </w:tcBorders>
          </w:tcPr>
          <w:p w14:paraId="307FB85E">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2ED0B568">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7CC26A8">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0DF3C6A3">
            <w:pPr>
              <w:spacing w:before="50" w:after="120" w:line="400" w:lineRule="exact"/>
              <w:jc w:val="left"/>
              <w:rPr>
                <w:rFonts w:ascii="宋体" w:hAnsi="宋体"/>
                <w:color w:val="auto"/>
                <w:sz w:val="24"/>
                <w:highlight w:val="none"/>
              </w:rPr>
            </w:pPr>
          </w:p>
        </w:tc>
      </w:tr>
      <w:tr w14:paraId="253BB4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238DBBBD">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F68156F">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270AF9A6">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6B18233A">
            <w:pPr>
              <w:spacing w:before="50" w:after="120" w:line="400" w:lineRule="exact"/>
              <w:jc w:val="left"/>
              <w:rPr>
                <w:rFonts w:ascii="宋体" w:hAnsi="宋体"/>
                <w:color w:val="auto"/>
                <w:sz w:val="24"/>
                <w:highlight w:val="none"/>
              </w:rPr>
            </w:pPr>
          </w:p>
        </w:tc>
      </w:tr>
      <w:tr w14:paraId="1B6C5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2E7F1D63">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5D971EF4">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98B5521">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414D8856">
            <w:pPr>
              <w:spacing w:before="50" w:after="120" w:line="400" w:lineRule="exact"/>
              <w:jc w:val="left"/>
              <w:rPr>
                <w:rFonts w:ascii="宋体" w:hAnsi="宋体"/>
                <w:color w:val="auto"/>
                <w:sz w:val="24"/>
                <w:highlight w:val="none"/>
              </w:rPr>
            </w:pPr>
          </w:p>
        </w:tc>
      </w:tr>
    </w:tbl>
    <w:p w14:paraId="42A25293">
      <w:pPr>
        <w:pStyle w:val="15"/>
        <w:spacing w:before="0" w:after="0" w:line="360" w:lineRule="auto"/>
        <w:contextualSpacing/>
        <w:rPr>
          <w:rFonts w:ascii="宋体" w:hAnsi="宋体" w:eastAsia="宋体"/>
          <w:color w:val="auto"/>
          <w:sz w:val="24"/>
          <w:szCs w:val="24"/>
          <w:highlight w:val="none"/>
        </w:rPr>
      </w:pPr>
    </w:p>
    <w:p w14:paraId="6846A8FE">
      <w:pPr>
        <w:pStyle w:val="15"/>
        <w:spacing w:before="0" w:after="0" w:line="360" w:lineRule="auto"/>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79CDFF12">
      <w:pPr>
        <w:pStyle w:val="15"/>
        <w:spacing w:before="0" w:after="0" w:line="360" w:lineRule="auto"/>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6EBF5DD5">
      <w:pPr>
        <w:spacing w:line="360" w:lineRule="auto"/>
        <w:ind w:right="480"/>
        <w:contextualSpacing/>
        <w:jc w:val="left"/>
        <w:rPr>
          <w:rFonts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3E7F9DCE">
      <w:pPr>
        <w:spacing w:before="120" w:after="50"/>
        <w:jc w:val="left"/>
        <w:rPr>
          <w:rFonts w:ascii="方正小标宋简体" w:hAnsi="方正小标宋简体" w:eastAsia="方正小标宋简体" w:cs="方正小标宋简体"/>
          <w:bCs/>
          <w:color w:val="auto"/>
          <w:szCs w:val="21"/>
          <w:highlight w:val="none"/>
        </w:rPr>
      </w:pPr>
      <w:r>
        <w:rPr>
          <w:rFonts w:ascii="宋体" w:hAnsi="宋体"/>
          <w:color w:val="auto"/>
          <w:sz w:val="24"/>
          <w:highlight w:val="none"/>
        </w:rPr>
        <w:br w:type="page" w:clear="all"/>
      </w:r>
      <w:r>
        <w:rPr>
          <w:rFonts w:hint="eastAsia" w:ascii="宋体" w:hAnsi="宋体"/>
          <w:b/>
          <w:color w:val="auto"/>
          <w:sz w:val="24"/>
          <w:highlight w:val="none"/>
        </w:rPr>
        <w:t>8. 采购代理服务费承诺书</w:t>
      </w:r>
    </w:p>
    <w:p w14:paraId="40D5B131">
      <w:pPr>
        <w:spacing w:before="120" w:after="50"/>
        <w:jc w:val="left"/>
        <w:rPr>
          <w:rFonts w:ascii="方正小标宋简体" w:hAnsi="方正小标宋简体" w:eastAsia="方正小标宋简体" w:cs="方正小标宋简体"/>
          <w:bCs/>
          <w:color w:val="auto"/>
          <w:szCs w:val="21"/>
          <w:highlight w:val="none"/>
        </w:rPr>
      </w:pPr>
    </w:p>
    <w:p w14:paraId="60FB77F8">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宋体" w:hAnsi="宋体" w:cs="宋体"/>
          <w:bCs/>
          <w:color w:val="auto"/>
          <w:sz w:val="44"/>
          <w:szCs w:val="44"/>
          <w:highlight w:val="none"/>
        </w:rPr>
        <w:t>采购代理服务费承诺书</w:t>
      </w:r>
    </w:p>
    <w:p w14:paraId="2A3656C3">
      <w:pPr>
        <w:spacing w:before="120" w:after="50"/>
        <w:jc w:val="center"/>
        <w:rPr>
          <w:rFonts w:ascii="宋体" w:hAnsi="宋体"/>
          <w:b/>
          <w:color w:val="auto"/>
          <w:sz w:val="24"/>
          <w:highlight w:val="none"/>
        </w:rPr>
      </w:pPr>
    </w:p>
    <w:p w14:paraId="01AB3F60">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招标代理机构名称</w:t>
      </w:r>
      <w:r>
        <w:rPr>
          <w:rFonts w:hint="eastAsia" w:ascii="宋体" w:hAnsi="宋体"/>
          <w:color w:val="auto"/>
          <w:sz w:val="24"/>
          <w:highlight w:val="none"/>
        </w:rPr>
        <w:t>：</w:t>
      </w:r>
    </w:p>
    <w:p w14:paraId="21AAF2C2">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362FCEC0">
      <w:pPr>
        <w:spacing w:line="440" w:lineRule="exact"/>
        <w:ind w:firstLine="360"/>
        <w:rPr>
          <w:rFonts w:ascii="宋体" w:hAnsi="宋体"/>
          <w:color w:val="auto"/>
          <w:sz w:val="24"/>
          <w:highlight w:val="none"/>
        </w:rPr>
      </w:pPr>
      <w:r>
        <w:rPr>
          <w:rFonts w:hint="eastAsia" w:ascii="宋体" w:hAnsi="宋体"/>
          <w:color w:val="auto"/>
          <w:sz w:val="24"/>
          <w:highlight w:val="none"/>
        </w:rPr>
        <w:t>1.我方承诺，若本单位中标，保证在发出中标通知书之后，按本项目招标文件的规定标准向贵单位一次性足额支付采购代理服务费。</w:t>
      </w:r>
    </w:p>
    <w:p w14:paraId="631B7729">
      <w:pPr>
        <w:spacing w:line="440" w:lineRule="exact"/>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种方式作为采购代理服务费开票类型：</w:t>
      </w:r>
    </w:p>
    <w:p w14:paraId="2FB750D0">
      <w:pPr>
        <w:spacing w:line="440" w:lineRule="exact"/>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26A40B23">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E4C13CE">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47A0BAB9">
      <w:pPr>
        <w:spacing w:line="440" w:lineRule="exact"/>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7C2832D4">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D32F73D">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7439B55">
      <w:pPr>
        <w:spacing w:line="440" w:lineRule="exact"/>
        <w:ind w:firstLine="360"/>
        <w:rPr>
          <w:rFonts w:ascii="宋体" w:hAnsi="宋体"/>
          <w:color w:val="auto"/>
          <w:sz w:val="24"/>
          <w:highlight w:val="none"/>
        </w:rPr>
      </w:pPr>
      <w:r>
        <w:rPr>
          <w:rFonts w:hint="eastAsia" w:ascii="宋体" w:hAnsi="宋体"/>
          <w:color w:val="auto"/>
          <w:sz w:val="24"/>
          <w:highlight w:val="none"/>
        </w:rPr>
        <w:t>（3）在税局登记的地址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7AAB9E3">
      <w:pPr>
        <w:spacing w:line="440" w:lineRule="exact"/>
        <w:ind w:firstLine="360"/>
        <w:rPr>
          <w:rFonts w:ascii="宋体" w:hAnsi="宋体"/>
          <w:color w:val="auto"/>
          <w:sz w:val="24"/>
          <w:highlight w:val="none"/>
        </w:rPr>
      </w:pPr>
      <w:r>
        <w:rPr>
          <w:rFonts w:hint="eastAsia" w:ascii="宋体" w:hAnsi="宋体"/>
          <w:color w:val="auto"/>
          <w:sz w:val="24"/>
          <w:highlight w:val="none"/>
        </w:rPr>
        <w:t>（4）在税局登记的电话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BAA012D">
      <w:pPr>
        <w:spacing w:line="440" w:lineRule="exact"/>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3FBC84F">
      <w:pPr>
        <w:spacing w:line="440" w:lineRule="exact"/>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D403193">
      <w:pPr>
        <w:spacing w:line="440" w:lineRule="exact"/>
        <w:rPr>
          <w:rFonts w:ascii="宋体" w:hAnsi="宋体"/>
          <w:color w:val="auto"/>
          <w:sz w:val="24"/>
          <w:highlight w:val="none"/>
        </w:rPr>
      </w:pPr>
    </w:p>
    <w:p w14:paraId="62BABB0D">
      <w:pPr>
        <w:spacing w:line="440" w:lineRule="exact"/>
        <w:rPr>
          <w:rFonts w:ascii="宋体" w:hAnsi="宋体"/>
          <w:color w:val="auto"/>
          <w:sz w:val="24"/>
          <w:highlight w:val="none"/>
        </w:rPr>
      </w:pPr>
    </w:p>
    <w:p w14:paraId="30A6DC15">
      <w:pPr>
        <w:spacing w:line="440" w:lineRule="exact"/>
        <w:rPr>
          <w:rFonts w:ascii="宋体" w:hAnsi="宋体"/>
          <w:color w:val="auto"/>
          <w:sz w:val="24"/>
          <w:highlight w:val="none"/>
        </w:rPr>
      </w:pPr>
    </w:p>
    <w:p w14:paraId="0C55DCDC">
      <w:pPr>
        <w:spacing w:line="360" w:lineRule="auto"/>
        <w:ind w:left="-2" w:right="-817" w:firstLine="1920"/>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p>
    <w:p w14:paraId="5506A57C">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7B075D69">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4977D67">
      <w:pPr>
        <w:spacing w:line="360" w:lineRule="auto"/>
        <w:ind w:right="480" w:firstLine="240"/>
        <w:jc w:val="left"/>
        <w:rPr>
          <w:rFonts w:ascii="宋体" w:hAnsi="宋体"/>
          <w:color w:val="auto"/>
          <w:sz w:val="24"/>
          <w:highlight w:val="none"/>
        </w:rPr>
      </w:pPr>
    </w:p>
    <w:p w14:paraId="544B208F">
      <w:pPr>
        <w:spacing w:before="120"/>
        <w:rPr>
          <w:rFonts w:ascii="宋体" w:hAnsi="宋体"/>
          <w:color w:val="auto"/>
          <w:sz w:val="24"/>
          <w:szCs w:val="20"/>
          <w:highlight w:val="none"/>
        </w:rPr>
        <w:sectPr>
          <w:footerReference r:id="rId12" w:type="first"/>
          <w:headerReference r:id="rId10" w:type="default"/>
          <w:footerReference r:id="rId11" w:type="default"/>
          <w:pgSz w:w="11911" w:h="16838"/>
          <w:pgMar w:top="1519" w:right="1502" w:bottom="278" w:left="1678" w:header="720" w:footer="720" w:gutter="0"/>
          <w:cols w:space="0" w:num="1"/>
          <w:titlePg/>
        </w:sectPr>
      </w:pPr>
    </w:p>
    <w:p w14:paraId="309CFD02">
      <w:pPr>
        <w:spacing w:before="120" w:after="50"/>
        <w:jc w:val="left"/>
        <w:rPr>
          <w:rFonts w:ascii="宋体" w:hAnsi="宋体"/>
          <w:b/>
          <w:color w:val="auto"/>
          <w:sz w:val="24"/>
          <w:highlight w:val="none"/>
        </w:rPr>
      </w:pPr>
      <w:r>
        <w:rPr>
          <w:rFonts w:hint="eastAsia" w:ascii="宋体" w:hAnsi="宋体"/>
          <w:b/>
          <w:color w:val="auto"/>
          <w:sz w:val="24"/>
          <w:highlight w:val="none"/>
        </w:rPr>
        <w:t>9.服务内容及技术要求偏离表格式</w:t>
      </w:r>
    </w:p>
    <w:p w14:paraId="11A30CCC">
      <w:pPr>
        <w:spacing w:before="120" w:after="50"/>
        <w:ind w:left="142"/>
        <w:jc w:val="left"/>
        <w:rPr>
          <w:rFonts w:ascii="宋体" w:hAnsi="宋体"/>
          <w:b/>
          <w:color w:val="auto"/>
          <w:sz w:val="24"/>
          <w:highlight w:val="none"/>
        </w:rPr>
      </w:pPr>
    </w:p>
    <w:p w14:paraId="372EA422">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服务内容及技术要求偏离表</w:t>
      </w:r>
    </w:p>
    <w:p w14:paraId="135B84C5">
      <w:pPr>
        <w:pStyle w:val="24"/>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48"/>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46F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390139EE">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项号</w:t>
            </w:r>
          </w:p>
        </w:tc>
        <w:tc>
          <w:tcPr>
            <w:tcW w:w="2143" w:type="dxa"/>
            <w:vAlign w:val="center"/>
          </w:tcPr>
          <w:p w14:paraId="7F183A6C">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标的的名称</w:t>
            </w:r>
          </w:p>
        </w:tc>
        <w:tc>
          <w:tcPr>
            <w:tcW w:w="1834" w:type="dxa"/>
            <w:vAlign w:val="center"/>
          </w:tcPr>
          <w:p w14:paraId="5F862EB4">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技术要求</w:t>
            </w:r>
          </w:p>
        </w:tc>
        <w:tc>
          <w:tcPr>
            <w:tcW w:w="2181" w:type="dxa"/>
            <w:vAlign w:val="center"/>
          </w:tcPr>
          <w:p w14:paraId="39BA97C4">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投标响应</w:t>
            </w:r>
          </w:p>
        </w:tc>
        <w:tc>
          <w:tcPr>
            <w:tcW w:w="1934" w:type="dxa"/>
            <w:vAlign w:val="center"/>
          </w:tcPr>
          <w:p w14:paraId="465D1504">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偏离说明</w:t>
            </w:r>
          </w:p>
        </w:tc>
      </w:tr>
      <w:tr w14:paraId="2B8F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17DC918">
            <w:pPr>
              <w:pStyle w:val="24"/>
              <w:spacing w:line="600" w:lineRule="exact"/>
              <w:jc w:val="center"/>
              <w:rPr>
                <w:rFonts w:hAnsi="宋体" w:cs="Courier New"/>
                <w:color w:val="auto"/>
                <w:sz w:val="24"/>
                <w:szCs w:val="24"/>
                <w:highlight w:val="none"/>
              </w:rPr>
            </w:pPr>
          </w:p>
        </w:tc>
        <w:tc>
          <w:tcPr>
            <w:tcW w:w="2143" w:type="dxa"/>
            <w:vAlign w:val="center"/>
          </w:tcPr>
          <w:p w14:paraId="21984A9A">
            <w:pPr>
              <w:pStyle w:val="24"/>
              <w:spacing w:line="600" w:lineRule="exact"/>
              <w:jc w:val="center"/>
              <w:rPr>
                <w:rFonts w:hAnsi="宋体" w:cs="Courier New"/>
                <w:color w:val="auto"/>
                <w:sz w:val="24"/>
                <w:szCs w:val="24"/>
                <w:highlight w:val="none"/>
              </w:rPr>
            </w:pPr>
          </w:p>
        </w:tc>
        <w:tc>
          <w:tcPr>
            <w:tcW w:w="1834" w:type="dxa"/>
            <w:vAlign w:val="center"/>
          </w:tcPr>
          <w:p w14:paraId="6A72C837">
            <w:pPr>
              <w:pStyle w:val="24"/>
              <w:spacing w:line="600" w:lineRule="exact"/>
              <w:jc w:val="center"/>
              <w:rPr>
                <w:rFonts w:hAnsi="宋体" w:cs="Courier New"/>
                <w:color w:val="auto"/>
                <w:sz w:val="24"/>
                <w:szCs w:val="24"/>
                <w:highlight w:val="none"/>
              </w:rPr>
            </w:pPr>
          </w:p>
        </w:tc>
        <w:tc>
          <w:tcPr>
            <w:tcW w:w="2181" w:type="dxa"/>
            <w:vAlign w:val="center"/>
          </w:tcPr>
          <w:p w14:paraId="5077D0C1">
            <w:pPr>
              <w:pStyle w:val="24"/>
              <w:spacing w:line="600" w:lineRule="exact"/>
              <w:jc w:val="center"/>
              <w:rPr>
                <w:rFonts w:hAnsi="宋体" w:cs="Courier New"/>
                <w:color w:val="auto"/>
                <w:sz w:val="24"/>
                <w:szCs w:val="24"/>
                <w:highlight w:val="none"/>
              </w:rPr>
            </w:pPr>
          </w:p>
        </w:tc>
        <w:tc>
          <w:tcPr>
            <w:tcW w:w="1934" w:type="dxa"/>
            <w:vAlign w:val="center"/>
          </w:tcPr>
          <w:p w14:paraId="1F904FBC">
            <w:pPr>
              <w:pStyle w:val="24"/>
              <w:spacing w:line="600" w:lineRule="exact"/>
              <w:jc w:val="center"/>
              <w:rPr>
                <w:rFonts w:hAnsi="宋体" w:cs="Courier New"/>
                <w:color w:val="auto"/>
                <w:sz w:val="24"/>
                <w:szCs w:val="24"/>
                <w:highlight w:val="none"/>
              </w:rPr>
            </w:pPr>
          </w:p>
        </w:tc>
      </w:tr>
      <w:tr w14:paraId="1364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1D4D887">
            <w:pPr>
              <w:pStyle w:val="24"/>
              <w:spacing w:line="600" w:lineRule="exact"/>
              <w:rPr>
                <w:rFonts w:hAnsi="宋体" w:cs="Courier New"/>
                <w:color w:val="auto"/>
                <w:sz w:val="24"/>
                <w:szCs w:val="24"/>
                <w:highlight w:val="none"/>
              </w:rPr>
            </w:pPr>
          </w:p>
        </w:tc>
        <w:tc>
          <w:tcPr>
            <w:tcW w:w="2143" w:type="dxa"/>
          </w:tcPr>
          <w:p w14:paraId="6D8388AF">
            <w:pPr>
              <w:pStyle w:val="24"/>
              <w:spacing w:line="600" w:lineRule="exact"/>
              <w:rPr>
                <w:rFonts w:hAnsi="宋体" w:cs="Courier New"/>
                <w:color w:val="auto"/>
                <w:sz w:val="24"/>
                <w:szCs w:val="24"/>
                <w:highlight w:val="none"/>
              </w:rPr>
            </w:pPr>
          </w:p>
        </w:tc>
        <w:tc>
          <w:tcPr>
            <w:tcW w:w="1834" w:type="dxa"/>
          </w:tcPr>
          <w:p w14:paraId="6A1F9303">
            <w:pPr>
              <w:pStyle w:val="24"/>
              <w:spacing w:line="600" w:lineRule="exact"/>
              <w:rPr>
                <w:rFonts w:hAnsi="宋体" w:cs="Courier New"/>
                <w:color w:val="auto"/>
                <w:sz w:val="24"/>
                <w:szCs w:val="24"/>
                <w:highlight w:val="none"/>
              </w:rPr>
            </w:pPr>
          </w:p>
        </w:tc>
        <w:tc>
          <w:tcPr>
            <w:tcW w:w="2181" w:type="dxa"/>
          </w:tcPr>
          <w:p w14:paraId="5857DA97">
            <w:pPr>
              <w:pStyle w:val="24"/>
              <w:spacing w:line="600" w:lineRule="exact"/>
              <w:rPr>
                <w:rFonts w:hAnsi="宋体" w:cs="Courier New"/>
                <w:color w:val="auto"/>
                <w:sz w:val="24"/>
                <w:szCs w:val="24"/>
                <w:highlight w:val="none"/>
              </w:rPr>
            </w:pPr>
          </w:p>
        </w:tc>
        <w:tc>
          <w:tcPr>
            <w:tcW w:w="1934" w:type="dxa"/>
          </w:tcPr>
          <w:p w14:paraId="3D69C067">
            <w:pPr>
              <w:pStyle w:val="24"/>
              <w:spacing w:line="600" w:lineRule="exact"/>
              <w:rPr>
                <w:rFonts w:hAnsi="宋体" w:cs="Courier New"/>
                <w:color w:val="auto"/>
                <w:sz w:val="24"/>
                <w:szCs w:val="24"/>
                <w:highlight w:val="none"/>
              </w:rPr>
            </w:pPr>
          </w:p>
        </w:tc>
      </w:tr>
      <w:tr w14:paraId="5A90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F7157E1">
            <w:pPr>
              <w:pStyle w:val="24"/>
              <w:spacing w:line="600" w:lineRule="exact"/>
              <w:rPr>
                <w:rFonts w:hAnsi="宋体" w:cs="Courier New"/>
                <w:color w:val="auto"/>
                <w:sz w:val="24"/>
                <w:szCs w:val="24"/>
                <w:highlight w:val="none"/>
              </w:rPr>
            </w:pPr>
          </w:p>
        </w:tc>
        <w:tc>
          <w:tcPr>
            <w:tcW w:w="2143" w:type="dxa"/>
          </w:tcPr>
          <w:p w14:paraId="2A451068">
            <w:pPr>
              <w:pStyle w:val="24"/>
              <w:spacing w:line="600" w:lineRule="exact"/>
              <w:rPr>
                <w:rFonts w:hAnsi="宋体" w:cs="Courier New"/>
                <w:color w:val="auto"/>
                <w:sz w:val="24"/>
                <w:szCs w:val="24"/>
                <w:highlight w:val="none"/>
              </w:rPr>
            </w:pPr>
          </w:p>
        </w:tc>
        <w:tc>
          <w:tcPr>
            <w:tcW w:w="1834" w:type="dxa"/>
          </w:tcPr>
          <w:p w14:paraId="36932C11">
            <w:pPr>
              <w:pStyle w:val="24"/>
              <w:spacing w:line="600" w:lineRule="exact"/>
              <w:rPr>
                <w:rFonts w:hAnsi="宋体" w:cs="Courier New"/>
                <w:color w:val="auto"/>
                <w:sz w:val="24"/>
                <w:szCs w:val="24"/>
                <w:highlight w:val="none"/>
              </w:rPr>
            </w:pPr>
          </w:p>
        </w:tc>
        <w:tc>
          <w:tcPr>
            <w:tcW w:w="2181" w:type="dxa"/>
          </w:tcPr>
          <w:p w14:paraId="470E4A30">
            <w:pPr>
              <w:pStyle w:val="24"/>
              <w:spacing w:line="600" w:lineRule="exact"/>
              <w:rPr>
                <w:rFonts w:hAnsi="宋体" w:cs="Courier New"/>
                <w:color w:val="auto"/>
                <w:sz w:val="24"/>
                <w:szCs w:val="24"/>
                <w:highlight w:val="none"/>
              </w:rPr>
            </w:pPr>
          </w:p>
        </w:tc>
        <w:tc>
          <w:tcPr>
            <w:tcW w:w="1934" w:type="dxa"/>
          </w:tcPr>
          <w:p w14:paraId="0A40EE41">
            <w:pPr>
              <w:pStyle w:val="24"/>
              <w:spacing w:line="600" w:lineRule="exact"/>
              <w:rPr>
                <w:rFonts w:hAnsi="宋体" w:cs="Courier New"/>
                <w:color w:val="auto"/>
                <w:sz w:val="24"/>
                <w:szCs w:val="24"/>
                <w:highlight w:val="none"/>
              </w:rPr>
            </w:pPr>
          </w:p>
        </w:tc>
      </w:tr>
      <w:tr w14:paraId="11C2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688A533">
            <w:pPr>
              <w:pStyle w:val="24"/>
              <w:spacing w:line="600" w:lineRule="exact"/>
              <w:rPr>
                <w:rFonts w:hAnsi="宋体" w:cs="Courier New"/>
                <w:color w:val="auto"/>
                <w:sz w:val="24"/>
                <w:szCs w:val="24"/>
                <w:highlight w:val="none"/>
              </w:rPr>
            </w:pPr>
          </w:p>
        </w:tc>
        <w:tc>
          <w:tcPr>
            <w:tcW w:w="2143" w:type="dxa"/>
          </w:tcPr>
          <w:p w14:paraId="533668C6">
            <w:pPr>
              <w:pStyle w:val="24"/>
              <w:spacing w:line="600" w:lineRule="exact"/>
              <w:rPr>
                <w:rFonts w:hAnsi="宋体" w:cs="Courier New"/>
                <w:color w:val="auto"/>
                <w:sz w:val="24"/>
                <w:szCs w:val="24"/>
                <w:highlight w:val="none"/>
              </w:rPr>
            </w:pPr>
          </w:p>
        </w:tc>
        <w:tc>
          <w:tcPr>
            <w:tcW w:w="1834" w:type="dxa"/>
          </w:tcPr>
          <w:p w14:paraId="695E4633">
            <w:pPr>
              <w:pStyle w:val="24"/>
              <w:spacing w:line="600" w:lineRule="exact"/>
              <w:rPr>
                <w:rFonts w:hAnsi="宋体" w:cs="Courier New"/>
                <w:color w:val="auto"/>
                <w:sz w:val="24"/>
                <w:szCs w:val="24"/>
                <w:highlight w:val="none"/>
              </w:rPr>
            </w:pPr>
          </w:p>
        </w:tc>
        <w:tc>
          <w:tcPr>
            <w:tcW w:w="2181" w:type="dxa"/>
          </w:tcPr>
          <w:p w14:paraId="60B7FD4C">
            <w:pPr>
              <w:pStyle w:val="24"/>
              <w:spacing w:line="600" w:lineRule="exact"/>
              <w:rPr>
                <w:rFonts w:hAnsi="宋体" w:cs="Courier New"/>
                <w:color w:val="auto"/>
                <w:sz w:val="24"/>
                <w:szCs w:val="24"/>
                <w:highlight w:val="none"/>
              </w:rPr>
            </w:pPr>
          </w:p>
        </w:tc>
        <w:tc>
          <w:tcPr>
            <w:tcW w:w="1934" w:type="dxa"/>
          </w:tcPr>
          <w:p w14:paraId="0D7D4699">
            <w:pPr>
              <w:pStyle w:val="24"/>
              <w:spacing w:line="600" w:lineRule="exact"/>
              <w:rPr>
                <w:rFonts w:hAnsi="宋体" w:cs="Courier New"/>
                <w:color w:val="auto"/>
                <w:sz w:val="24"/>
                <w:szCs w:val="24"/>
                <w:highlight w:val="none"/>
              </w:rPr>
            </w:pPr>
          </w:p>
        </w:tc>
      </w:tr>
      <w:tr w14:paraId="75C0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D471744">
            <w:pPr>
              <w:pStyle w:val="24"/>
              <w:spacing w:line="600" w:lineRule="exact"/>
              <w:rPr>
                <w:rFonts w:hAnsi="宋体" w:cs="Courier New"/>
                <w:color w:val="auto"/>
                <w:sz w:val="24"/>
                <w:szCs w:val="24"/>
                <w:highlight w:val="none"/>
              </w:rPr>
            </w:pPr>
          </w:p>
        </w:tc>
        <w:tc>
          <w:tcPr>
            <w:tcW w:w="2143" w:type="dxa"/>
          </w:tcPr>
          <w:p w14:paraId="7B543AD4">
            <w:pPr>
              <w:pStyle w:val="24"/>
              <w:spacing w:line="600" w:lineRule="exact"/>
              <w:rPr>
                <w:rFonts w:hAnsi="宋体" w:cs="Courier New"/>
                <w:color w:val="auto"/>
                <w:sz w:val="24"/>
                <w:szCs w:val="24"/>
                <w:highlight w:val="none"/>
              </w:rPr>
            </w:pPr>
          </w:p>
        </w:tc>
        <w:tc>
          <w:tcPr>
            <w:tcW w:w="1834" w:type="dxa"/>
          </w:tcPr>
          <w:p w14:paraId="6961E0E2">
            <w:pPr>
              <w:pStyle w:val="24"/>
              <w:spacing w:line="600" w:lineRule="exact"/>
              <w:rPr>
                <w:rFonts w:hAnsi="宋体" w:cs="Courier New"/>
                <w:color w:val="auto"/>
                <w:sz w:val="24"/>
                <w:szCs w:val="24"/>
                <w:highlight w:val="none"/>
              </w:rPr>
            </w:pPr>
          </w:p>
        </w:tc>
        <w:tc>
          <w:tcPr>
            <w:tcW w:w="2181" w:type="dxa"/>
          </w:tcPr>
          <w:p w14:paraId="6AFD2055">
            <w:pPr>
              <w:pStyle w:val="24"/>
              <w:spacing w:line="600" w:lineRule="exact"/>
              <w:rPr>
                <w:rFonts w:hAnsi="宋体" w:cs="Courier New"/>
                <w:color w:val="auto"/>
                <w:sz w:val="24"/>
                <w:szCs w:val="24"/>
                <w:highlight w:val="none"/>
              </w:rPr>
            </w:pPr>
          </w:p>
        </w:tc>
        <w:tc>
          <w:tcPr>
            <w:tcW w:w="1934" w:type="dxa"/>
          </w:tcPr>
          <w:p w14:paraId="0BCE3BBE">
            <w:pPr>
              <w:pStyle w:val="24"/>
              <w:spacing w:line="600" w:lineRule="exact"/>
              <w:rPr>
                <w:rFonts w:hAnsi="宋体" w:cs="Courier New"/>
                <w:color w:val="auto"/>
                <w:sz w:val="24"/>
                <w:szCs w:val="24"/>
                <w:highlight w:val="none"/>
              </w:rPr>
            </w:pPr>
          </w:p>
        </w:tc>
      </w:tr>
      <w:tr w14:paraId="413F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0DED1C3">
            <w:pPr>
              <w:pStyle w:val="24"/>
              <w:spacing w:line="600" w:lineRule="exact"/>
              <w:rPr>
                <w:rFonts w:hAnsi="宋体" w:cs="Courier New"/>
                <w:color w:val="auto"/>
                <w:sz w:val="24"/>
                <w:szCs w:val="24"/>
                <w:highlight w:val="none"/>
              </w:rPr>
            </w:pPr>
          </w:p>
        </w:tc>
        <w:tc>
          <w:tcPr>
            <w:tcW w:w="2143" w:type="dxa"/>
          </w:tcPr>
          <w:p w14:paraId="1F21DE91">
            <w:pPr>
              <w:pStyle w:val="24"/>
              <w:spacing w:line="600" w:lineRule="exact"/>
              <w:rPr>
                <w:rFonts w:hAnsi="宋体" w:cs="Courier New"/>
                <w:color w:val="auto"/>
                <w:sz w:val="24"/>
                <w:szCs w:val="24"/>
                <w:highlight w:val="none"/>
              </w:rPr>
            </w:pPr>
          </w:p>
        </w:tc>
        <w:tc>
          <w:tcPr>
            <w:tcW w:w="1834" w:type="dxa"/>
          </w:tcPr>
          <w:p w14:paraId="7164180C">
            <w:pPr>
              <w:pStyle w:val="24"/>
              <w:spacing w:line="600" w:lineRule="exact"/>
              <w:rPr>
                <w:rFonts w:hAnsi="宋体" w:cs="Courier New"/>
                <w:color w:val="auto"/>
                <w:sz w:val="24"/>
                <w:szCs w:val="24"/>
                <w:highlight w:val="none"/>
              </w:rPr>
            </w:pPr>
          </w:p>
        </w:tc>
        <w:tc>
          <w:tcPr>
            <w:tcW w:w="2181" w:type="dxa"/>
          </w:tcPr>
          <w:p w14:paraId="27FB671E">
            <w:pPr>
              <w:pStyle w:val="24"/>
              <w:spacing w:line="600" w:lineRule="exact"/>
              <w:rPr>
                <w:rFonts w:hAnsi="宋体" w:cs="Courier New"/>
                <w:color w:val="auto"/>
                <w:sz w:val="24"/>
                <w:szCs w:val="24"/>
                <w:highlight w:val="none"/>
              </w:rPr>
            </w:pPr>
          </w:p>
        </w:tc>
        <w:tc>
          <w:tcPr>
            <w:tcW w:w="1934" w:type="dxa"/>
          </w:tcPr>
          <w:p w14:paraId="72AFACF5">
            <w:pPr>
              <w:pStyle w:val="24"/>
              <w:spacing w:line="600" w:lineRule="exact"/>
              <w:rPr>
                <w:rFonts w:hAnsi="宋体" w:cs="Courier New"/>
                <w:color w:val="auto"/>
                <w:sz w:val="24"/>
                <w:szCs w:val="24"/>
                <w:highlight w:val="none"/>
              </w:rPr>
            </w:pPr>
          </w:p>
        </w:tc>
      </w:tr>
      <w:tr w14:paraId="73AB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CBD06A7">
            <w:pPr>
              <w:pStyle w:val="24"/>
              <w:spacing w:line="600" w:lineRule="exact"/>
              <w:rPr>
                <w:rFonts w:hAnsi="宋体" w:cs="Courier New"/>
                <w:color w:val="auto"/>
                <w:sz w:val="24"/>
                <w:szCs w:val="24"/>
                <w:highlight w:val="none"/>
              </w:rPr>
            </w:pPr>
          </w:p>
        </w:tc>
        <w:tc>
          <w:tcPr>
            <w:tcW w:w="2143" w:type="dxa"/>
          </w:tcPr>
          <w:p w14:paraId="2AB53865">
            <w:pPr>
              <w:pStyle w:val="24"/>
              <w:spacing w:line="600" w:lineRule="exact"/>
              <w:rPr>
                <w:rFonts w:hAnsi="宋体" w:cs="Courier New"/>
                <w:color w:val="auto"/>
                <w:sz w:val="24"/>
                <w:szCs w:val="24"/>
                <w:highlight w:val="none"/>
              </w:rPr>
            </w:pPr>
          </w:p>
        </w:tc>
        <w:tc>
          <w:tcPr>
            <w:tcW w:w="1834" w:type="dxa"/>
          </w:tcPr>
          <w:p w14:paraId="05413AC2">
            <w:pPr>
              <w:pStyle w:val="24"/>
              <w:spacing w:line="600" w:lineRule="exact"/>
              <w:rPr>
                <w:rFonts w:hAnsi="宋体" w:cs="Courier New"/>
                <w:color w:val="auto"/>
                <w:sz w:val="24"/>
                <w:szCs w:val="24"/>
                <w:highlight w:val="none"/>
              </w:rPr>
            </w:pPr>
          </w:p>
        </w:tc>
        <w:tc>
          <w:tcPr>
            <w:tcW w:w="2181" w:type="dxa"/>
          </w:tcPr>
          <w:p w14:paraId="3277E391">
            <w:pPr>
              <w:pStyle w:val="24"/>
              <w:spacing w:line="600" w:lineRule="exact"/>
              <w:rPr>
                <w:rFonts w:hAnsi="宋体" w:cs="Courier New"/>
                <w:color w:val="auto"/>
                <w:sz w:val="24"/>
                <w:szCs w:val="24"/>
                <w:highlight w:val="none"/>
              </w:rPr>
            </w:pPr>
          </w:p>
        </w:tc>
        <w:tc>
          <w:tcPr>
            <w:tcW w:w="1934" w:type="dxa"/>
          </w:tcPr>
          <w:p w14:paraId="3C620944">
            <w:pPr>
              <w:pStyle w:val="24"/>
              <w:spacing w:line="600" w:lineRule="exact"/>
              <w:rPr>
                <w:rFonts w:hAnsi="宋体" w:cs="Courier New"/>
                <w:color w:val="auto"/>
                <w:sz w:val="24"/>
                <w:szCs w:val="24"/>
                <w:highlight w:val="none"/>
              </w:rPr>
            </w:pPr>
          </w:p>
        </w:tc>
      </w:tr>
    </w:tbl>
    <w:p w14:paraId="608BA2CB">
      <w:pPr>
        <w:pStyle w:val="17"/>
        <w:spacing w:line="360" w:lineRule="auto"/>
        <w:contextualSpacing/>
        <w:rPr>
          <w:rFonts w:ascii="宋体" w:hAnsi="宋体"/>
          <w:color w:val="auto"/>
          <w:highlight w:val="none"/>
        </w:rPr>
      </w:pPr>
      <w:r>
        <w:rPr>
          <w:rFonts w:hint="eastAsia" w:ascii="宋体" w:hAnsi="宋体"/>
          <w:color w:val="auto"/>
          <w:highlight w:val="none"/>
        </w:rPr>
        <w:t>注：</w:t>
      </w:r>
    </w:p>
    <w:p w14:paraId="67F12F18">
      <w:pPr>
        <w:pStyle w:val="19"/>
        <w:spacing w:line="360" w:lineRule="auto"/>
        <w:ind w:firstLine="0"/>
        <w:contextualSpacing/>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采购需求”中的服务内容及技术要求逐条作明确的投标响应，并作出偏离说明。</w:t>
      </w:r>
    </w:p>
    <w:p w14:paraId="2AA89465">
      <w:pPr>
        <w:pStyle w:val="17"/>
        <w:spacing w:line="360" w:lineRule="auto"/>
        <w:contextualSpacing/>
        <w:rPr>
          <w:rFonts w:ascii="宋体" w:hAnsi="宋体"/>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2051B704">
      <w:pPr>
        <w:pStyle w:val="17"/>
        <w:spacing w:line="360" w:lineRule="auto"/>
        <w:contextualSpacing/>
        <w:rPr>
          <w:rFonts w:ascii="宋体" w:hAnsi="宋体"/>
          <w:color w:val="auto"/>
          <w:spacing w:val="20"/>
          <w:highlight w:val="none"/>
        </w:rPr>
      </w:pPr>
    </w:p>
    <w:p w14:paraId="79E6E380">
      <w:pPr>
        <w:spacing w:line="360" w:lineRule="auto"/>
        <w:contextualSpacing/>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29B2978B">
      <w:pPr>
        <w:spacing w:line="360" w:lineRule="auto"/>
        <w:contextualSpacing/>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36C74A8">
      <w:pPr>
        <w:spacing w:line="360" w:lineRule="auto"/>
        <w:contextualSpacing/>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2C41D9C">
      <w:pPr>
        <w:spacing w:line="360" w:lineRule="auto"/>
        <w:contextualSpacing/>
        <w:rPr>
          <w:rFonts w:ascii="宋体" w:hAnsi="宋体"/>
          <w:color w:val="auto"/>
          <w:spacing w:val="20"/>
          <w:sz w:val="24"/>
          <w:highlight w:val="none"/>
          <w:u w:val="single"/>
        </w:rPr>
      </w:pPr>
    </w:p>
    <w:p w14:paraId="28B0B593">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10.项目实施人员一览表格式</w:t>
      </w:r>
    </w:p>
    <w:p w14:paraId="1E32A252">
      <w:pPr>
        <w:spacing w:before="120" w:after="50"/>
        <w:ind w:left="142"/>
        <w:jc w:val="left"/>
        <w:rPr>
          <w:rFonts w:ascii="宋体" w:hAnsi="宋体"/>
          <w:b/>
          <w:color w:val="auto"/>
          <w:sz w:val="24"/>
          <w:highlight w:val="none"/>
        </w:rPr>
      </w:pPr>
    </w:p>
    <w:p w14:paraId="1789D612">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1DE61F72">
      <w:pPr>
        <w:pStyle w:val="24"/>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8"/>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2957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14:paraId="20512704">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709" w:type="dxa"/>
            <w:vAlign w:val="center"/>
          </w:tcPr>
          <w:p w14:paraId="64528CAF">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701" w:type="dxa"/>
            <w:vAlign w:val="center"/>
          </w:tcPr>
          <w:p w14:paraId="4DEBF34F">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vAlign w:val="center"/>
          </w:tcPr>
          <w:p w14:paraId="6FE20074">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1698" w:type="dxa"/>
            <w:vAlign w:val="center"/>
          </w:tcPr>
          <w:p w14:paraId="4C384B6A">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26B2034B">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工作时间</w:t>
            </w:r>
          </w:p>
        </w:tc>
        <w:tc>
          <w:tcPr>
            <w:tcW w:w="1843" w:type="dxa"/>
            <w:vAlign w:val="center"/>
          </w:tcPr>
          <w:p w14:paraId="1635094C">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劳动合同编号</w:t>
            </w:r>
          </w:p>
        </w:tc>
      </w:tr>
      <w:tr w14:paraId="371E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F8E1D5">
            <w:pPr>
              <w:spacing w:before="50" w:after="120"/>
              <w:jc w:val="center"/>
              <w:rPr>
                <w:rFonts w:ascii="宋体" w:hAnsi="宋体"/>
                <w:color w:val="auto"/>
                <w:sz w:val="24"/>
                <w:szCs w:val="20"/>
                <w:highlight w:val="none"/>
              </w:rPr>
            </w:pPr>
          </w:p>
        </w:tc>
        <w:tc>
          <w:tcPr>
            <w:tcW w:w="709" w:type="dxa"/>
            <w:vAlign w:val="center"/>
          </w:tcPr>
          <w:p w14:paraId="01FC7E7A">
            <w:pPr>
              <w:spacing w:before="50" w:after="120"/>
              <w:jc w:val="center"/>
              <w:rPr>
                <w:rFonts w:ascii="宋体" w:hAnsi="宋体"/>
                <w:color w:val="auto"/>
                <w:sz w:val="24"/>
                <w:szCs w:val="20"/>
                <w:highlight w:val="none"/>
              </w:rPr>
            </w:pPr>
          </w:p>
        </w:tc>
        <w:tc>
          <w:tcPr>
            <w:tcW w:w="1701" w:type="dxa"/>
            <w:vAlign w:val="center"/>
          </w:tcPr>
          <w:p w14:paraId="4E8CB67B">
            <w:pPr>
              <w:spacing w:before="50" w:after="120"/>
              <w:jc w:val="center"/>
              <w:rPr>
                <w:rFonts w:ascii="宋体" w:hAnsi="宋体"/>
                <w:color w:val="auto"/>
                <w:sz w:val="24"/>
                <w:szCs w:val="20"/>
                <w:highlight w:val="none"/>
              </w:rPr>
            </w:pPr>
          </w:p>
        </w:tc>
        <w:tc>
          <w:tcPr>
            <w:tcW w:w="1420" w:type="dxa"/>
            <w:vAlign w:val="center"/>
          </w:tcPr>
          <w:p w14:paraId="07417451">
            <w:pPr>
              <w:spacing w:before="50" w:after="120"/>
              <w:jc w:val="center"/>
              <w:rPr>
                <w:rFonts w:ascii="宋体" w:hAnsi="宋体"/>
                <w:color w:val="auto"/>
                <w:sz w:val="24"/>
                <w:szCs w:val="20"/>
                <w:highlight w:val="none"/>
              </w:rPr>
            </w:pPr>
          </w:p>
        </w:tc>
        <w:tc>
          <w:tcPr>
            <w:tcW w:w="1698" w:type="dxa"/>
            <w:vAlign w:val="center"/>
          </w:tcPr>
          <w:p w14:paraId="7517F38E">
            <w:pPr>
              <w:spacing w:before="50" w:after="120"/>
              <w:jc w:val="center"/>
              <w:rPr>
                <w:rFonts w:ascii="宋体" w:hAnsi="宋体"/>
                <w:color w:val="auto"/>
                <w:sz w:val="24"/>
                <w:szCs w:val="20"/>
                <w:highlight w:val="none"/>
              </w:rPr>
            </w:pPr>
          </w:p>
        </w:tc>
        <w:tc>
          <w:tcPr>
            <w:tcW w:w="1843" w:type="dxa"/>
            <w:vAlign w:val="center"/>
          </w:tcPr>
          <w:p w14:paraId="32E78E44">
            <w:pPr>
              <w:spacing w:before="50" w:after="120"/>
              <w:jc w:val="center"/>
              <w:rPr>
                <w:rFonts w:ascii="宋体" w:hAnsi="宋体"/>
                <w:color w:val="auto"/>
                <w:sz w:val="24"/>
                <w:szCs w:val="20"/>
                <w:highlight w:val="none"/>
              </w:rPr>
            </w:pPr>
          </w:p>
        </w:tc>
      </w:tr>
      <w:tr w14:paraId="2172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8D7E63E">
            <w:pPr>
              <w:spacing w:before="50" w:after="120"/>
              <w:jc w:val="center"/>
              <w:rPr>
                <w:rFonts w:ascii="宋体" w:hAnsi="宋体"/>
                <w:color w:val="auto"/>
                <w:sz w:val="24"/>
                <w:szCs w:val="20"/>
                <w:highlight w:val="none"/>
              </w:rPr>
            </w:pPr>
          </w:p>
        </w:tc>
        <w:tc>
          <w:tcPr>
            <w:tcW w:w="709" w:type="dxa"/>
            <w:vAlign w:val="center"/>
          </w:tcPr>
          <w:p w14:paraId="4DA8A447">
            <w:pPr>
              <w:spacing w:before="50" w:after="120"/>
              <w:jc w:val="center"/>
              <w:rPr>
                <w:rFonts w:ascii="宋体" w:hAnsi="宋体"/>
                <w:color w:val="auto"/>
                <w:sz w:val="24"/>
                <w:szCs w:val="20"/>
                <w:highlight w:val="none"/>
              </w:rPr>
            </w:pPr>
          </w:p>
        </w:tc>
        <w:tc>
          <w:tcPr>
            <w:tcW w:w="1701" w:type="dxa"/>
            <w:vAlign w:val="center"/>
          </w:tcPr>
          <w:p w14:paraId="59B303C5">
            <w:pPr>
              <w:spacing w:before="50" w:after="120"/>
              <w:jc w:val="center"/>
              <w:rPr>
                <w:rFonts w:ascii="宋体" w:hAnsi="宋体"/>
                <w:color w:val="auto"/>
                <w:sz w:val="24"/>
                <w:szCs w:val="20"/>
                <w:highlight w:val="none"/>
              </w:rPr>
            </w:pPr>
          </w:p>
        </w:tc>
        <w:tc>
          <w:tcPr>
            <w:tcW w:w="1420" w:type="dxa"/>
            <w:vAlign w:val="center"/>
          </w:tcPr>
          <w:p w14:paraId="43A47D73">
            <w:pPr>
              <w:spacing w:before="50" w:after="120"/>
              <w:jc w:val="center"/>
              <w:rPr>
                <w:rFonts w:ascii="宋体" w:hAnsi="宋体"/>
                <w:color w:val="auto"/>
                <w:sz w:val="24"/>
                <w:szCs w:val="20"/>
                <w:highlight w:val="none"/>
              </w:rPr>
            </w:pPr>
          </w:p>
        </w:tc>
        <w:tc>
          <w:tcPr>
            <w:tcW w:w="1698" w:type="dxa"/>
            <w:vAlign w:val="center"/>
          </w:tcPr>
          <w:p w14:paraId="186D794D">
            <w:pPr>
              <w:spacing w:before="50" w:after="120"/>
              <w:jc w:val="center"/>
              <w:rPr>
                <w:rFonts w:ascii="宋体" w:hAnsi="宋体"/>
                <w:color w:val="auto"/>
                <w:sz w:val="24"/>
                <w:szCs w:val="20"/>
                <w:highlight w:val="none"/>
              </w:rPr>
            </w:pPr>
          </w:p>
        </w:tc>
        <w:tc>
          <w:tcPr>
            <w:tcW w:w="1843" w:type="dxa"/>
            <w:vAlign w:val="center"/>
          </w:tcPr>
          <w:p w14:paraId="3AD32E41">
            <w:pPr>
              <w:spacing w:before="50" w:after="120"/>
              <w:jc w:val="center"/>
              <w:rPr>
                <w:rFonts w:ascii="宋体" w:hAnsi="宋体"/>
                <w:color w:val="auto"/>
                <w:sz w:val="24"/>
                <w:szCs w:val="20"/>
                <w:highlight w:val="none"/>
              </w:rPr>
            </w:pPr>
          </w:p>
        </w:tc>
      </w:tr>
      <w:tr w14:paraId="5585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54BE64A">
            <w:pPr>
              <w:spacing w:before="50" w:after="120"/>
              <w:jc w:val="center"/>
              <w:rPr>
                <w:rFonts w:ascii="宋体" w:hAnsi="宋体"/>
                <w:color w:val="auto"/>
                <w:sz w:val="24"/>
                <w:szCs w:val="20"/>
                <w:highlight w:val="none"/>
              </w:rPr>
            </w:pPr>
          </w:p>
        </w:tc>
        <w:tc>
          <w:tcPr>
            <w:tcW w:w="709" w:type="dxa"/>
            <w:vAlign w:val="center"/>
          </w:tcPr>
          <w:p w14:paraId="3BCE847E">
            <w:pPr>
              <w:spacing w:before="50" w:after="120"/>
              <w:jc w:val="center"/>
              <w:rPr>
                <w:rFonts w:ascii="宋体" w:hAnsi="宋体"/>
                <w:color w:val="auto"/>
                <w:sz w:val="24"/>
                <w:szCs w:val="20"/>
                <w:highlight w:val="none"/>
              </w:rPr>
            </w:pPr>
          </w:p>
        </w:tc>
        <w:tc>
          <w:tcPr>
            <w:tcW w:w="1701" w:type="dxa"/>
            <w:vAlign w:val="center"/>
          </w:tcPr>
          <w:p w14:paraId="7CBDA6EB">
            <w:pPr>
              <w:spacing w:before="50" w:after="120"/>
              <w:jc w:val="center"/>
              <w:rPr>
                <w:rFonts w:ascii="宋体" w:hAnsi="宋体"/>
                <w:color w:val="auto"/>
                <w:sz w:val="24"/>
                <w:szCs w:val="20"/>
                <w:highlight w:val="none"/>
              </w:rPr>
            </w:pPr>
          </w:p>
        </w:tc>
        <w:tc>
          <w:tcPr>
            <w:tcW w:w="1420" w:type="dxa"/>
            <w:vAlign w:val="center"/>
          </w:tcPr>
          <w:p w14:paraId="12B97AB6">
            <w:pPr>
              <w:spacing w:before="50" w:after="120"/>
              <w:jc w:val="center"/>
              <w:rPr>
                <w:rFonts w:ascii="宋体" w:hAnsi="宋体"/>
                <w:color w:val="auto"/>
                <w:sz w:val="24"/>
                <w:szCs w:val="20"/>
                <w:highlight w:val="none"/>
              </w:rPr>
            </w:pPr>
          </w:p>
        </w:tc>
        <w:tc>
          <w:tcPr>
            <w:tcW w:w="1698" w:type="dxa"/>
            <w:vAlign w:val="center"/>
          </w:tcPr>
          <w:p w14:paraId="70A55CF9">
            <w:pPr>
              <w:spacing w:before="50" w:after="120"/>
              <w:jc w:val="center"/>
              <w:rPr>
                <w:rFonts w:ascii="宋体" w:hAnsi="宋体"/>
                <w:color w:val="auto"/>
                <w:sz w:val="24"/>
                <w:szCs w:val="20"/>
                <w:highlight w:val="none"/>
              </w:rPr>
            </w:pPr>
          </w:p>
        </w:tc>
        <w:tc>
          <w:tcPr>
            <w:tcW w:w="1843" w:type="dxa"/>
            <w:vAlign w:val="center"/>
          </w:tcPr>
          <w:p w14:paraId="12ECB9E4">
            <w:pPr>
              <w:spacing w:before="50" w:after="120"/>
              <w:jc w:val="center"/>
              <w:rPr>
                <w:rFonts w:ascii="宋体" w:hAnsi="宋体"/>
                <w:color w:val="auto"/>
                <w:sz w:val="24"/>
                <w:szCs w:val="20"/>
                <w:highlight w:val="none"/>
              </w:rPr>
            </w:pPr>
          </w:p>
        </w:tc>
      </w:tr>
    </w:tbl>
    <w:p w14:paraId="17ECE45B">
      <w:pPr>
        <w:spacing w:before="50" w:after="120"/>
        <w:jc w:val="left"/>
        <w:rPr>
          <w:rFonts w:ascii="宋体" w:hAnsi="宋体"/>
          <w:color w:val="auto"/>
          <w:sz w:val="24"/>
          <w:szCs w:val="20"/>
          <w:highlight w:val="none"/>
        </w:rPr>
      </w:pPr>
    </w:p>
    <w:p w14:paraId="76012F2D">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267BD36D">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1.在填写时，如本表格不适合投标单位的实际情况，可根据本表格式自行制表填写。</w:t>
      </w:r>
    </w:p>
    <w:p w14:paraId="776ABCA9">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2.投标人应当附本表所列证书的复印件并加盖投标人电子签章。</w:t>
      </w:r>
    </w:p>
    <w:p w14:paraId="54D484D9">
      <w:pPr>
        <w:spacing w:line="360" w:lineRule="auto"/>
        <w:contextualSpacing/>
        <w:jc w:val="left"/>
        <w:rPr>
          <w:rFonts w:ascii="宋体" w:hAnsi="宋体"/>
          <w:color w:val="auto"/>
          <w:sz w:val="24"/>
          <w:szCs w:val="20"/>
          <w:highlight w:val="none"/>
        </w:rPr>
      </w:pPr>
    </w:p>
    <w:p w14:paraId="77F95092">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p>
    <w:p w14:paraId="3294E5C7">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53FDD23">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p>
    <w:p w14:paraId="4E133306">
      <w:pPr>
        <w:rPr>
          <w:b/>
          <w:color w:val="auto"/>
          <w:sz w:val="28"/>
          <w:szCs w:val="28"/>
          <w:highlight w:val="none"/>
        </w:rPr>
      </w:pPr>
      <w:r>
        <w:rPr>
          <w:rFonts w:ascii="宋体" w:hAnsi="宋体"/>
          <w:b/>
          <w:bCs/>
          <w:color w:val="auto"/>
          <w:sz w:val="24"/>
          <w:highlight w:val="none"/>
        </w:rPr>
        <w:br w:type="page" w:clear="all"/>
      </w:r>
      <w:bookmarkStart w:id="148" w:name="_Toc19686840"/>
      <w:r>
        <w:rPr>
          <w:rFonts w:hint="eastAsia"/>
          <w:b/>
          <w:color w:val="auto"/>
          <w:sz w:val="28"/>
          <w:szCs w:val="28"/>
          <w:highlight w:val="none"/>
        </w:rPr>
        <w:t>四、其他文书、文件格式</w:t>
      </w:r>
      <w:bookmarkEnd w:id="148"/>
    </w:p>
    <w:p w14:paraId="51994692">
      <w:pPr>
        <w:spacing w:before="120" w:after="50"/>
        <w:ind w:left="142"/>
        <w:jc w:val="left"/>
        <w:rPr>
          <w:rFonts w:ascii="宋体" w:hAnsi="宋体"/>
          <w:b/>
          <w:color w:val="auto"/>
          <w:spacing w:val="20"/>
          <w:sz w:val="24"/>
          <w:highlight w:val="none"/>
        </w:rPr>
      </w:pPr>
      <w:r>
        <w:rPr>
          <w:rFonts w:hint="eastAsia" w:ascii="宋体" w:hAnsi="宋体"/>
          <w:b/>
          <w:color w:val="auto"/>
          <w:spacing w:val="20"/>
          <w:sz w:val="24"/>
          <w:highlight w:val="none"/>
        </w:rPr>
        <w:t>1.联合投标协议书格式</w:t>
      </w:r>
    </w:p>
    <w:p w14:paraId="00351D45">
      <w:pPr>
        <w:pStyle w:val="7"/>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联合体协议书</w:t>
      </w:r>
    </w:p>
    <w:p w14:paraId="10B08575">
      <w:pPr>
        <w:pStyle w:val="7"/>
        <w:spacing w:line="360" w:lineRule="auto"/>
        <w:ind w:firstLine="0"/>
        <w:contextualSpacing/>
        <w:rPr>
          <w:rFonts w:ascii="宋体" w:hAnsi="宋体"/>
          <w:color w:val="auto"/>
          <w:sz w:val="24"/>
          <w:highlight w:val="none"/>
        </w:rPr>
      </w:pPr>
    </w:p>
    <w:p w14:paraId="5EFCA57B">
      <w:pPr>
        <w:pStyle w:val="7"/>
        <w:spacing w:line="360" w:lineRule="auto"/>
        <w:contextualSpacing/>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（所有成员单位名称）自愿组成</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（联合体名称）联合体，共同参加</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（项</w:t>
      </w:r>
      <w:r>
        <w:rPr>
          <w:rFonts w:hint="eastAsia" w:ascii="宋体" w:hAnsi="宋体"/>
          <w:color w:val="auto"/>
          <w:sz w:val="24"/>
          <w:highlight w:val="none"/>
        </w:rPr>
        <w:t>目名称）采购招标项目投标。现就联合体投标事宜订立如下协议。</w:t>
      </w:r>
    </w:p>
    <w:p w14:paraId="1D654EF0">
      <w:pPr>
        <w:pStyle w:val="7"/>
        <w:spacing w:line="360" w:lineRule="auto"/>
        <w:contextualSpacing/>
        <w:rPr>
          <w:rFonts w:ascii="宋体" w:hAnsi="宋体"/>
          <w:color w:val="auto"/>
          <w:sz w:val="24"/>
          <w:highlight w:val="none"/>
        </w:rPr>
      </w:pPr>
    </w:p>
    <w:p w14:paraId="5291FE6A">
      <w:pPr>
        <w:pStyle w:val="7"/>
        <w:spacing w:line="360" w:lineRule="auto"/>
        <w:contextualSpacing/>
        <w:rPr>
          <w:rFonts w:ascii="宋体" w:hAnsi="宋体"/>
          <w:color w:val="auto"/>
          <w:sz w:val="24"/>
          <w:highlight w:val="none"/>
        </w:rPr>
      </w:pPr>
      <w:r>
        <w:rPr>
          <w:rFonts w:ascii="宋体" w:hAnsi="宋体"/>
          <w:color w:val="auto"/>
          <w:sz w:val="24"/>
          <w:highlight w:val="none"/>
        </w:rPr>
        <w:t xml:space="preserve">1.  </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（某成员单位名称）为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（联合体名称）牵头人。</w:t>
      </w:r>
    </w:p>
    <w:p w14:paraId="45DA0F4F">
      <w:pPr>
        <w:pStyle w:val="7"/>
        <w:spacing w:line="360" w:lineRule="auto"/>
        <w:contextualSpacing/>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联合体各成员授权牵头人代表联合体参加投标活动，签署文件及对文件的盖章，提交和接收相关的资料、</w:t>
      </w:r>
      <w:r>
        <w:rPr>
          <w:rFonts w:ascii="宋体" w:hAnsi="宋体"/>
          <w:color w:val="auto"/>
          <w:sz w:val="24"/>
          <w:highlight w:val="none"/>
        </w:rPr>
        <w:t xml:space="preserve"> </w:t>
      </w:r>
      <w:r>
        <w:rPr>
          <w:rFonts w:hint="eastAsia" w:ascii="宋体" w:hAnsi="宋体"/>
          <w:color w:val="auto"/>
          <w:sz w:val="24"/>
          <w:highlight w:val="none"/>
        </w:rPr>
        <w:t>信息及指示，进行合同谈判活动，负责合同实施阶段的组织和协调工作，以及处理与本招标项</w:t>
      </w:r>
      <w:r>
        <w:rPr>
          <w:rFonts w:ascii="宋体" w:hAnsi="宋体"/>
          <w:color w:val="auto"/>
          <w:sz w:val="24"/>
          <w:highlight w:val="none"/>
        </w:rPr>
        <w:t xml:space="preserve"> </w:t>
      </w:r>
      <w:r>
        <w:rPr>
          <w:rFonts w:hint="eastAsia" w:ascii="宋体" w:hAnsi="宋体"/>
          <w:color w:val="auto"/>
          <w:sz w:val="24"/>
          <w:highlight w:val="none"/>
        </w:rPr>
        <w:t>目有关的一切事宜。</w:t>
      </w:r>
    </w:p>
    <w:p w14:paraId="598A2BA1">
      <w:pPr>
        <w:pStyle w:val="7"/>
        <w:spacing w:line="360" w:lineRule="auto"/>
        <w:contextualSpacing/>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联合体牵头人在本项目中签署和盖章的一切文件和处理的一切事宜，联合体各成员均予以承认。</w:t>
      </w:r>
      <w:r>
        <w:rPr>
          <w:rFonts w:ascii="宋体" w:hAnsi="宋体"/>
          <w:color w:val="auto"/>
          <w:sz w:val="24"/>
          <w:highlight w:val="none"/>
        </w:rPr>
        <w:t xml:space="preserve"> </w:t>
      </w:r>
      <w:r>
        <w:rPr>
          <w:rFonts w:hint="eastAsia" w:ascii="宋体" w:hAnsi="宋体"/>
          <w:color w:val="auto"/>
          <w:sz w:val="24"/>
          <w:highlight w:val="none"/>
        </w:rPr>
        <w:t>联合体各成员将严格按照招标文件、投标文件和合同的要求全面履行义务，并向招标人承担连带责任。</w:t>
      </w:r>
    </w:p>
    <w:p w14:paraId="24B8A8D7">
      <w:pPr>
        <w:pStyle w:val="7"/>
        <w:spacing w:line="360" w:lineRule="auto"/>
        <w:contextualSpacing/>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联合体各成员单位内部的职责分工如下：</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w:t>
      </w:r>
    </w:p>
    <w:p w14:paraId="5B32026A">
      <w:pPr>
        <w:pStyle w:val="7"/>
        <w:spacing w:line="360" w:lineRule="auto"/>
        <w:contextualSpacing/>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本协议书自所有成员单位法定代表人或者其委托代理人签字（或者电子签名）或者盖公章之日起生效，合同履行完毕后自动失效。</w:t>
      </w:r>
    </w:p>
    <w:p w14:paraId="28939332">
      <w:pPr>
        <w:pStyle w:val="7"/>
        <w:spacing w:line="360" w:lineRule="auto"/>
        <w:contextualSpacing/>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本协议书一式</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份，联合体成员和招标人各执一份。</w:t>
      </w:r>
    </w:p>
    <w:p w14:paraId="4082B437">
      <w:pPr>
        <w:pStyle w:val="7"/>
        <w:spacing w:line="360" w:lineRule="auto"/>
        <w:contextualSpacing/>
        <w:rPr>
          <w:rFonts w:ascii="宋体" w:hAnsi="宋体"/>
          <w:color w:val="auto"/>
          <w:sz w:val="24"/>
          <w:highlight w:val="none"/>
        </w:rPr>
      </w:pPr>
      <w:r>
        <w:rPr>
          <w:rFonts w:hint="eastAsia" w:ascii="宋体" w:hAnsi="宋体"/>
          <w:color w:val="auto"/>
          <w:sz w:val="24"/>
          <w:highlight w:val="none"/>
        </w:rPr>
        <w:t>注：本协议书应附法定代表人身份证明；有委托代理的，应附授权委托书</w:t>
      </w:r>
      <w:r>
        <w:rPr>
          <w:rFonts w:hint="eastAsia" w:ascii="宋体" w:hAnsi="宋体" w:cs="仿宋_GB2312"/>
          <w:color w:val="auto"/>
          <w:sz w:val="24"/>
          <w:highlight w:val="none"/>
        </w:rPr>
        <w:t>（格式自拟）</w:t>
      </w:r>
      <w:r>
        <w:rPr>
          <w:rFonts w:hint="eastAsia" w:ascii="宋体" w:hAnsi="宋体"/>
          <w:color w:val="auto"/>
          <w:sz w:val="24"/>
          <w:highlight w:val="none"/>
        </w:rPr>
        <w:t>。</w:t>
      </w:r>
    </w:p>
    <w:p w14:paraId="71486DA8">
      <w:pPr>
        <w:pStyle w:val="7"/>
        <w:spacing w:line="360" w:lineRule="auto"/>
        <w:contextualSpacing/>
        <w:rPr>
          <w:rFonts w:ascii="宋体" w:hAnsi="宋体"/>
          <w:color w:val="auto"/>
          <w:sz w:val="24"/>
          <w:highlight w:val="none"/>
        </w:rPr>
      </w:pPr>
    </w:p>
    <w:p w14:paraId="02A3B168">
      <w:pPr>
        <w:pStyle w:val="7"/>
        <w:spacing w:line="360" w:lineRule="auto"/>
        <w:contextualSpacing/>
        <w:rPr>
          <w:rFonts w:ascii="宋体" w:hAnsi="宋体"/>
          <w:color w:val="auto"/>
          <w:sz w:val="24"/>
          <w:highlight w:val="none"/>
        </w:rPr>
      </w:pPr>
      <w:r>
        <w:rPr>
          <w:rFonts w:hint="eastAsia" w:ascii="宋体" w:hAnsi="宋体"/>
          <w:color w:val="auto"/>
          <w:sz w:val="24"/>
          <w:highlight w:val="none"/>
        </w:rPr>
        <w:t>联合体牵头人名称（电子签章）：</w:t>
      </w:r>
    </w:p>
    <w:p w14:paraId="5CD9A17F">
      <w:pPr>
        <w:pStyle w:val="7"/>
        <w:spacing w:line="360" w:lineRule="auto"/>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24156041">
      <w:pPr>
        <w:pStyle w:val="7"/>
        <w:spacing w:line="360" w:lineRule="auto"/>
        <w:contextualSpacing/>
        <w:rPr>
          <w:rFonts w:ascii="宋体" w:hAnsi="宋体"/>
          <w:color w:val="auto"/>
          <w:sz w:val="24"/>
          <w:highlight w:val="none"/>
        </w:rPr>
      </w:pPr>
    </w:p>
    <w:p w14:paraId="631A634B">
      <w:pPr>
        <w:pStyle w:val="7"/>
        <w:spacing w:line="360" w:lineRule="auto"/>
        <w:contextualSpacing/>
        <w:rPr>
          <w:rFonts w:ascii="宋体" w:hAnsi="宋体"/>
          <w:color w:val="auto"/>
          <w:sz w:val="24"/>
          <w:highlight w:val="none"/>
        </w:rPr>
      </w:pPr>
      <w:r>
        <w:rPr>
          <w:rFonts w:hint="eastAsia" w:ascii="宋体" w:hAnsi="宋体"/>
          <w:color w:val="auto"/>
          <w:sz w:val="24"/>
          <w:highlight w:val="none"/>
        </w:rPr>
        <w:t>联合体成员名称（</w:t>
      </w:r>
      <w:r>
        <w:rPr>
          <w:rFonts w:hint="eastAsia" w:ascii="宋体" w:hAnsi="宋体" w:cs="仿宋_GB2312"/>
          <w:color w:val="auto"/>
          <w:sz w:val="24"/>
          <w:highlight w:val="none"/>
        </w:rPr>
        <w:t>盖公章或者电子签章</w:t>
      </w:r>
      <w:r>
        <w:rPr>
          <w:rFonts w:hint="eastAsia" w:ascii="宋体" w:hAnsi="宋体"/>
          <w:color w:val="auto"/>
          <w:sz w:val="24"/>
          <w:highlight w:val="none"/>
        </w:rPr>
        <w:t>）：</w:t>
      </w:r>
    </w:p>
    <w:p w14:paraId="0660319B">
      <w:pPr>
        <w:pStyle w:val="7"/>
        <w:spacing w:line="360" w:lineRule="auto"/>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335BB65D">
      <w:pPr>
        <w:pStyle w:val="7"/>
        <w:spacing w:line="360" w:lineRule="auto"/>
        <w:contextualSpacing/>
        <w:rPr>
          <w:rFonts w:ascii="宋体" w:hAnsi="宋体"/>
          <w:color w:val="auto"/>
          <w:sz w:val="24"/>
          <w:highlight w:val="none"/>
        </w:rPr>
      </w:pPr>
      <w:r>
        <w:rPr>
          <w:rFonts w:ascii="宋体" w:hAnsi="宋体"/>
          <w:color w:val="auto"/>
          <w:sz w:val="24"/>
          <w:highlight w:val="none"/>
        </w:rPr>
        <w:t>……</w:t>
      </w:r>
    </w:p>
    <w:p w14:paraId="606FEA52">
      <w:pPr>
        <w:pStyle w:val="7"/>
        <w:spacing w:line="360" w:lineRule="auto"/>
        <w:contextualSpacing/>
        <w:rPr>
          <w:rFonts w:ascii="宋体" w:hAnsi="宋体"/>
          <w:color w:val="auto"/>
          <w:sz w:val="24"/>
          <w:highlight w:val="none"/>
        </w:rPr>
      </w:pPr>
    </w:p>
    <w:p w14:paraId="407D3224">
      <w:pPr>
        <w:pStyle w:val="7"/>
        <w:spacing w:line="360" w:lineRule="auto"/>
        <w:contextualSpacing/>
        <w:jc w:val="right"/>
        <w:rPr>
          <w:rFonts w:ascii="宋体" w:hAnsi="宋体"/>
          <w:b/>
          <w:color w:val="auto"/>
          <w:sz w:val="24"/>
          <w:highlight w:val="none"/>
        </w:rPr>
      </w:pP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日</w:t>
      </w:r>
    </w:p>
    <w:p w14:paraId="1DF96D91">
      <w:pPr>
        <w:spacing w:before="120" w:after="50"/>
        <w:jc w:val="left"/>
        <w:rPr>
          <w:rFonts w:ascii="宋体" w:hAnsi="宋体"/>
          <w:b/>
          <w:color w:val="auto"/>
          <w:sz w:val="24"/>
          <w:highlight w:val="none"/>
        </w:rPr>
      </w:pPr>
      <w:r>
        <w:rPr>
          <w:rFonts w:hint="eastAsia" w:ascii="宋体" w:hAnsi="宋体"/>
          <w:b/>
          <w:color w:val="auto"/>
          <w:sz w:val="24"/>
          <w:highlight w:val="none"/>
        </w:rPr>
        <w:t xml:space="preserve"> </w:t>
      </w:r>
    </w:p>
    <w:p w14:paraId="04ED0907">
      <w:pPr>
        <w:rPr>
          <w:rFonts w:ascii="宋体" w:hAnsi="宋体"/>
          <w:b/>
          <w:color w:val="auto"/>
          <w:sz w:val="24"/>
          <w:highlight w:val="none"/>
        </w:rPr>
      </w:pPr>
    </w:p>
    <w:p w14:paraId="1480119C">
      <w:pPr>
        <w:spacing w:before="120" w:after="50"/>
        <w:jc w:val="left"/>
        <w:rPr>
          <w:color w:val="auto"/>
          <w:highlight w:val="none"/>
        </w:rPr>
      </w:pPr>
      <w:r>
        <w:rPr>
          <w:rFonts w:hint="eastAsia" w:ascii="宋体" w:hAnsi="宋体"/>
          <w:b/>
          <w:color w:val="auto"/>
          <w:sz w:val="24"/>
          <w:highlight w:val="none"/>
        </w:rPr>
        <w:t>2.中小企业声明函格式</w:t>
      </w:r>
    </w:p>
    <w:p w14:paraId="10304CC4">
      <w:pPr>
        <w:rPr>
          <w:color w:val="auto"/>
          <w:highlight w:val="none"/>
        </w:rPr>
      </w:pPr>
    </w:p>
    <w:p w14:paraId="27FDAC6F">
      <w:pPr>
        <w:jc w:val="center"/>
        <w:rPr>
          <w:rFonts w:ascii="方正小标宋简体" w:hAnsi="方正小标宋简体" w:eastAsia="方正小标宋简体" w:cs="方正小标宋简体"/>
          <w:color w:val="auto"/>
          <w:sz w:val="44"/>
          <w:szCs w:val="44"/>
          <w:highlight w:val="none"/>
        </w:rPr>
      </w:pPr>
      <w:r>
        <w:rPr>
          <w:rFonts w:hint="eastAsia" w:ascii="方正小标宋_GBK" w:hAnsi="方正小标宋_GBK" w:eastAsia="方正小标宋_GBK" w:cs="方正小标宋_GBK"/>
          <w:color w:val="auto"/>
          <w:sz w:val="44"/>
          <w:szCs w:val="44"/>
          <w:highlight w:val="none"/>
        </w:rPr>
        <w:t>中小企业声明函（服务）</w:t>
      </w:r>
    </w:p>
    <w:p w14:paraId="49CCDEC3">
      <w:pPr>
        <w:spacing w:before="2" w:line="500" w:lineRule="exact"/>
        <w:rPr>
          <w:rFonts w:ascii="宋体" w:hAnsi="宋体" w:cs="宋体"/>
          <w:b/>
          <w:bCs/>
          <w:color w:val="auto"/>
          <w:sz w:val="24"/>
          <w:highlight w:val="none"/>
        </w:rPr>
      </w:pPr>
    </w:p>
    <w:p w14:paraId="538AC0C5">
      <w:pPr>
        <w:pStyle w:val="18"/>
        <w:spacing w:line="500" w:lineRule="exact"/>
        <w:ind w:right="142" w:firstLine="480"/>
        <w:rPr>
          <w:rFonts w:ascii="宋体" w:hAnsi="宋体"/>
          <w:color w:val="auto"/>
          <w:highlight w:val="none"/>
        </w:rPr>
      </w:pPr>
      <w:r>
        <w:rPr>
          <w:rFonts w:ascii="宋体" w:hAnsi="宋体"/>
          <w:color w:val="auto"/>
          <w:highlight w:val="none"/>
        </w:rPr>
        <w:t>本公司（联合体）郑重声明，根据《政府采购促进中小企业发展管理办法》（</w:t>
      </w:r>
      <w:r>
        <w:rPr>
          <w:color w:val="auto"/>
          <w:highlight w:val="none"/>
        </w:rPr>
        <w:t>财库〔2020〕46号</w:t>
      </w:r>
      <w:r>
        <w:rPr>
          <w:rFonts w:ascii="宋体" w:hAnsi="宋体"/>
          <w:color w:val="auto"/>
          <w:highlight w:val="none"/>
        </w:rPr>
        <w:t>）的规定，本公司（联合体）参加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0D122EEB">
      <w:pPr>
        <w:tabs>
          <w:tab w:val="left" w:pos="1384"/>
          <w:tab w:val="left" w:pos="4562"/>
          <w:tab w:val="left" w:pos="6803"/>
        </w:tabs>
        <w:spacing w:before="13" w:line="500" w:lineRule="exact"/>
        <w:ind w:right="142" w:firstLine="686"/>
        <w:rPr>
          <w:rFonts w:ascii="宋体" w:hAnsi="宋体"/>
          <w:color w:val="auto"/>
          <w:sz w:val="24"/>
          <w:highlight w:val="none"/>
        </w:rPr>
      </w:pPr>
      <w:r>
        <w:rPr>
          <w:rFonts w:ascii="宋体" w:hAnsi="宋体"/>
          <w:color w:val="auto"/>
          <w:sz w:val="24"/>
          <w:highlight w:val="none"/>
        </w:rPr>
        <w:t>1.</w:t>
      </w:r>
      <w:r>
        <w:rPr>
          <w:rFonts w:hint="eastAsia" w:ascii="宋体" w:hAnsi="宋体"/>
          <w:b/>
          <w:bCs/>
          <w:color w:val="auto"/>
          <w:sz w:val="24"/>
          <w:highlight w:val="none"/>
          <w:u w:val="single"/>
        </w:rPr>
        <w:t>2026年-2028年万秀区农村义务教育学生营养改善计划食品进行集中配送项目</w:t>
      </w:r>
      <w:r>
        <w:rPr>
          <w:rFonts w:ascii="宋体" w:hAnsi="宋体"/>
          <w:color w:val="auto"/>
          <w:sz w:val="24"/>
          <w:highlight w:val="none"/>
        </w:rPr>
        <w:t>，属于</w:t>
      </w:r>
      <w:r>
        <w:rPr>
          <w:rFonts w:hint="eastAsia" w:ascii="宋体" w:hAnsi="宋体"/>
          <w:b/>
          <w:bCs/>
          <w:color w:val="auto"/>
          <w:sz w:val="24"/>
          <w:highlight w:val="none"/>
          <w:u w:val="single"/>
        </w:rPr>
        <w:t>批发业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D9EAFB0">
      <w:pPr>
        <w:pStyle w:val="18"/>
        <w:spacing w:before="34" w:line="500" w:lineRule="exact"/>
        <w:ind w:right="142" w:firstLine="480"/>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1BC69CE6">
      <w:pPr>
        <w:pStyle w:val="18"/>
        <w:spacing w:before="34" w:line="500" w:lineRule="exact"/>
        <w:ind w:right="142" w:firstLine="48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2D7DF29B">
      <w:pPr>
        <w:pStyle w:val="18"/>
        <w:spacing w:before="56" w:line="500" w:lineRule="exact"/>
        <w:ind w:left="3960" w:right="1808"/>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rPr>
        <w:t>电子签章</w:t>
      </w:r>
      <w:r>
        <w:rPr>
          <w:rFonts w:ascii="宋体" w:hAnsi="宋体"/>
          <w:color w:val="auto"/>
          <w:highlight w:val="none"/>
        </w:rPr>
        <w:t xml:space="preserve">）： </w:t>
      </w:r>
    </w:p>
    <w:p w14:paraId="53D0EFFC">
      <w:pPr>
        <w:pStyle w:val="18"/>
        <w:spacing w:before="56" w:line="500" w:lineRule="exact"/>
        <w:ind w:left="3960" w:right="1808"/>
        <w:rPr>
          <w:rFonts w:ascii="宋体" w:hAnsi="宋体"/>
          <w:color w:val="auto"/>
          <w:highlight w:val="none"/>
        </w:rPr>
      </w:pPr>
      <w:r>
        <w:rPr>
          <w:rFonts w:ascii="宋体" w:hAnsi="宋体"/>
          <w:color w:val="auto"/>
          <w:highlight w:val="none"/>
        </w:rPr>
        <w:t>日 期：</w:t>
      </w:r>
    </w:p>
    <w:p w14:paraId="119381EC">
      <w:pPr>
        <w:rPr>
          <w:rFonts w:ascii="宋体" w:hAnsi="宋体"/>
          <w:color w:val="auto"/>
          <w:sz w:val="24"/>
          <w:highlight w:val="none"/>
        </w:rPr>
      </w:pPr>
      <w:r>
        <w:rPr>
          <w:rFonts w:hint="eastAsia" w:ascii="宋体" w:hAnsi="宋体"/>
          <w:color w:val="auto"/>
          <w:spacing w:val="6"/>
          <w:sz w:val="24"/>
          <w:highlight w:val="none"/>
        </w:rPr>
        <w:t xml:space="preserve"> </w:t>
      </w:r>
    </w:p>
    <w:p w14:paraId="62EBF95F">
      <w:pPr>
        <w:ind w:firstLine="480"/>
        <w:rPr>
          <w:rFonts w:ascii="宋体" w:hAnsi="宋体"/>
          <w:color w:val="auto"/>
          <w:sz w:val="24"/>
          <w:highlight w:val="none"/>
        </w:rPr>
      </w:pPr>
      <w:r>
        <w:rPr>
          <w:rFonts w:hint="eastAsia" w:ascii="宋体" w:hAnsi="宋体"/>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11CAAC06">
      <w:pPr>
        <w:ind w:firstLine="480"/>
        <w:rPr>
          <w:rFonts w:ascii="宋体" w:hAnsi="宋体"/>
          <w:color w:val="auto"/>
          <w:sz w:val="24"/>
          <w:highlight w:val="none"/>
        </w:rPr>
      </w:pPr>
    </w:p>
    <w:p w14:paraId="273614FC">
      <w:pPr>
        <w:ind w:firstLine="420"/>
        <w:rPr>
          <w:rFonts w:ascii="宋体" w:hAnsi="宋体"/>
          <w:b/>
          <w:color w:val="auto"/>
          <w:sz w:val="24"/>
          <w:highlight w:val="none"/>
        </w:rPr>
      </w:pPr>
      <w:r>
        <w:rPr>
          <w:color w:val="auto"/>
          <w:highlight w:val="none"/>
        </w:rPr>
        <w:br w:type="page" w:clear="all"/>
      </w:r>
      <w:r>
        <w:rPr>
          <w:rFonts w:hint="eastAsia" w:ascii="宋体" w:hAnsi="宋体"/>
          <w:b/>
          <w:color w:val="auto"/>
          <w:sz w:val="24"/>
          <w:highlight w:val="none"/>
        </w:rPr>
        <w:t>3.残疾人福利性单位声明函格式</w:t>
      </w:r>
    </w:p>
    <w:p w14:paraId="60CFC0DE">
      <w:pPr>
        <w:spacing w:line="588" w:lineRule="exact"/>
        <w:jc w:val="center"/>
        <w:rPr>
          <w:rFonts w:ascii="仿宋_GB2312" w:eastAsia="仿宋_GB2312"/>
          <w:b/>
          <w:color w:val="auto"/>
          <w:spacing w:val="6"/>
          <w:sz w:val="32"/>
          <w:szCs w:val="32"/>
          <w:highlight w:val="none"/>
        </w:rPr>
      </w:pPr>
      <w:bookmarkStart w:id="149" w:name="OLE_LINK14"/>
      <w:bookmarkStart w:id="150" w:name="OLE_LINK13"/>
    </w:p>
    <w:p w14:paraId="1D26DCC4">
      <w:pPr>
        <w:spacing w:line="588" w:lineRule="exact"/>
        <w:jc w:val="center"/>
        <w:rPr>
          <w:rFonts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bookmarkEnd w:id="149"/>
      <w:bookmarkEnd w:id="150"/>
    </w:p>
    <w:p w14:paraId="76F0160E">
      <w:pPr>
        <w:spacing w:line="588" w:lineRule="exact"/>
        <w:rPr>
          <w:rFonts w:ascii="仿宋_GB2312" w:eastAsia="仿宋_GB2312"/>
          <w:b/>
          <w:color w:val="auto"/>
          <w:spacing w:val="6"/>
          <w:sz w:val="30"/>
          <w:szCs w:val="30"/>
          <w:highlight w:val="none"/>
        </w:rPr>
      </w:pPr>
    </w:p>
    <w:p w14:paraId="738B0288">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36ED0787">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3E46A414">
      <w:pPr>
        <w:spacing w:line="360" w:lineRule="auto"/>
        <w:ind w:firstLine="504"/>
        <w:contextualSpacing/>
        <w:rPr>
          <w:rFonts w:ascii="宋体" w:hAnsi="宋体"/>
          <w:color w:val="auto"/>
          <w:spacing w:val="6"/>
          <w:sz w:val="24"/>
          <w:highlight w:val="none"/>
        </w:rPr>
      </w:pPr>
    </w:p>
    <w:p w14:paraId="37116B88">
      <w:pPr>
        <w:spacing w:line="360" w:lineRule="auto"/>
        <w:ind w:firstLine="504"/>
        <w:contextualSpacing/>
        <w:rPr>
          <w:rFonts w:ascii="宋体" w:hAnsi="宋体"/>
          <w:color w:val="auto"/>
          <w:spacing w:val="6"/>
          <w:sz w:val="24"/>
          <w:highlight w:val="none"/>
        </w:rPr>
      </w:pPr>
    </w:p>
    <w:p w14:paraId="32571933">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526E765E">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72BFE0DE">
      <w:pPr>
        <w:spacing w:line="360" w:lineRule="auto"/>
        <w:contextualSpacing/>
        <w:rPr>
          <w:rFonts w:ascii="宋体" w:hAnsi="宋体"/>
          <w:color w:val="auto"/>
          <w:sz w:val="24"/>
          <w:highlight w:val="none"/>
        </w:rPr>
      </w:pPr>
    </w:p>
    <w:p w14:paraId="462293FE">
      <w:pPr>
        <w:spacing w:line="360" w:lineRule="auto"/>
        <w:contextualSpacing/>
        <w:rPr>
          <w:rFonts w:ascii="宋体" w:hAnsi="宋体"/>
          <w:color w:val="auto"/>
          <w:sz w:val="24"/>
          <w:highlight w:val="none"/>
        </w:rPr>
      </w:pPr>
    </w:p>
    <w:p w14:paraId="37944E1E">
      <w:pPr>
        <w:spacing w:line="360" w:lineRule="auto"/>
        <w:contextualSpacing/>
        <w:rPr>
          <w:rFonts w:ascii="宋体" w:hAnsi="宋体"/>
          <w:color w:val="auto"/>
          <w:sz w:val="24"/>
          <w:highlight w:val="none"/>
        </w:rPr>
      </w:pPr>
    </w:p>
    <w:p w14:paraId="4F859C61">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注：请根据自己的真实情况出具《残疾人福利性单位声明函》。依法享受残疾人福利性单位优惠政策的，采购人或者采购代理机构在公告中标结果时，同时公告其《残疾人福利性单位声明函》，接受社会监督。</w:t>
      </w:r>
    </w:p>
    <w:p w14:paraId="53CD1A04">
      <w:pPr>
        <w:spacing w:line="360" w:lineRule="auto"/>
        <w:jc w:val="left"/>
        <w:rPr>
          <w:rFonts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color w:val="auto"/>
          <w:sz w:val="24"/>
          <w:highlight w:val="none"/>
        </w:rPr>
        <w:t>4.质疑函（格式）</w:t>
      </w:r>
    </w:p>
    <w:p w14:paraId="7E6BF10D">
      <w:pPr>
        <w:spacing w:line="360" w:lineRule="auto"/>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质疑函（格式）</w:t>
      </w:r>
    </w:p>
    <w:p w14:paraId="0E0B8B9E">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6BF7E4AB">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00C5DC6">
      <w:pPr>
        <w:pStyle w:val="24"/>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5762CE7">
      <w:pPr>
        <w:pStyle w:val="24"/>
        <w:spacing w:line="360" w:lineRule="auto"/>
        <w:ind w:firstLine="48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1A567B1">
      <w:pPr>
        <w:pStyle w:val="24"/>
        <w:spacing w:line="360" w:lineRule="auto"/>
        <w:ind w:firstLine="48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187DFF8">
      <w:pPr>
        <w:pStyle w:val="24"/>
        <w:spacing w:line="360" w:lineRule="auto"/>
        <w:ind w:firstLine="48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4A811E0">
      <w:pPr>
        <w:pStyle w:val="24"/>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EC27DB1">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二、质疑项目基本情况：</w:t>
      </w:r>
    </w:p>
    <w:p w14:paraId="465CB56F">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DA93DC3">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0B344E6">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866E420">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质疑事项：</w:t>
      </w:r>
    </w:p>
    <w:p w14:paraId="2E4A7EC9">
      <w:pPr>
        <w:pStyle w:val="24"/>
        <w:spacing w:line="360" w:lineRule="auto"/>
        <w:ind w:left="25" w:firstLine="352"/>
        <w:rPr>
          <w:rFonts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7AEEB2B8">
      <w:pPr>
        <w:pStyle w:val="24"/>
        <w:spacing w:line="360" w:lineRule="auto"/>
        <w:ind w:left="25" w:firstLine="352"/>
        <w:rPr>
          <w:rFonts w:hAnsi="宋体"/>
          <w:color w:val="auto"/>
          <w:sz w:val="24"/>
          <w:szCs w:val="24"/>
          <w:highlight w:val="none"/>
        </w:rPr>
      </w:pPr>
      <w:r>
        <w:rPr>
          <w:rFonts w:hint="eastAsia" w:hAnsi="宋体"/>
          <w:color w:val="auto"/>
          <w:sz w:val="24"/>
          <w:szCs w:val="24"/>
          <w:highlight w:val="none"/>
        </w:rPr>
        <w:t xml:space="preserve">□招标过程   </w:t>
      </w:r>
    </w:p>
    <w:p w14:paraId="324B248C">
      <w:pPr>
        <w:pStyle w:val="24"/>
        <w:spacing w:line="360" w:lineRule="auto"/>
        <w:ind w:left="25" w:firstLine="352"/>
        <w:rPr>
          <w:rFonts w:hAnsi="宋体"/>
          <w:bCs/>
          <w:color w:val="auto"/>
          <w:sz w:val="24"/>
          <w:szCs w:val="24"/>
          <w:highlight w:val="none"/>
          <w:u w:val="single"/>
        </w:rPr>
      </w:pPr>
      <w:r>
        <w:rPr>
          <w:rFonts w:hint="eastAsia" w:hAnsi="宋体"/>
          <w:color w:val="auto"/>
          <w:sz w:val="24"/>
          <w:szCs w:val="24"/>
          <w:highlight w:val="none"/>
        </w:rPr>
        <w:t xml:space="preserve">□招标结果   </w:t>
      </w:r>
    </w:p>
    <w:p w14:paraId="07C5D153">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三、质疑事项具体内容</w:t>
      </w:r>
    </w:p>
    <w:p w14:paraId="4AFC150C">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3C05A88">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455DDFD5">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3D60D2B5">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质疑事项2</w:t>
      </w:r>
    </w:p>
    <w:p w14:paraId="46804BE9">
      <w:pPr>
        <w:pStyle w:val="24"/>
        <w:spacing w:line="360" w:lineRule="auto"/>
        <w:ind w:left="25" w:firstLine="472"/>
        <w:rPr>
          <w:rFonts w:hAnsi="宋体"/>
          <w:color w:val="auto"/>
          <w:sz w:val="24"/>
          <w:szCs w:val="24"/>
          <w:highlight w:val="none"/>
        </w:rPr>
      </w:pPr>
      <w:r>
        <w:rPr>
          <w:rFonts w:hAnsi="宋体"/>
          <w:color w:val="auto"/>
          <w:sz w:val="24"/>
          <w:szCs w:val="24"/>
          <w:highlight w:val="none"/>
        </w:rPr>
        <w:t>……</w:t>
      </w:r>
    </w:p>
    <w:p w14:paraId="42ED0189">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四、与质疑事项相关的质疑请求：</w:t>
      </w:r>
    </w:p>
    <w:p w14:paraId="1960C115">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FDC1414">
      <w:pPr>
        <w:pStyle w:val="24"/>
        <w:spacing w:line="360" w:lineRule="auto"/>
        <w:ind w:left="25" w:firstLine="352"/>
        <w:rPr>
          <w:rFonts w:hAnsi="宋体"/>
          <w:color w:val="auto"/>
          <w:sz w:val="24"/>
          <w:szCs w:val="24"/>
          <w:highlight w:val="none"/>
        </w:rPr>
      </w:pPr>
    </w:p>
    <w:p w14:paraId="28FB07C0">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41652B57">
      <w:pPr>
        <w:pStyle w:val="24"/>
        <w:spacing w:line="360" w:lineRule="auto"/>
        <w:ind w:left="25" w:firstLine="352"/>
        <w:rPr>
          <w:rFonts w:hAnsi="宋体"/>
          <w:color w:val="auto"/>
          <w:sz w:val="24"/>
          <w:szCs w:val="24"/>
          <w:highlight w:val="none"/>
        </w:rPr>
      </w:pPr>
    </w:p>
    <w:p w14:paraId="613C733B">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671D9B56">
      <w:pPr>
        <w:pStyle w:val="24"/>
        <w:spacing w:line="360" w:lineRule="auto"/>
        <w:rPr>
          <w:rFonts w:hAnsi="宋体"/>
          <w:b/>
          <w:color w:val="auto"/>
          <w:sz w:val="24"/>
          <w:szCs w:val="24"/>
          <w:highlight w:val="none"/>
        </w:rPr>
      </w:pPr>
    </w:p>
    <w:p w14:paraId="75DD2A93">
      <w:pPr>
        <w:pStyle w:val="24"/>
        <w:spacing w:line="360" w:lineRule="auto"/>
        <w:rPr>
          <w:rFonts w:hAnsi="宋体"/>
          <w:b/>
          <w:color w:val="auto"/>
          <w:sz w:val="24"/>
          <w:szCs w:val="24"/>
          <w:highlight w:val="none"/>
        </w:rPr>
      </w:pPr>
      <w:r>
        <w:rPr>
          <w:rFonts w:hint="eastAsia" w:hAnsi="宋体"/>
          <w:b/>
          <w:color w:val="auto"/>
          <w:sz w:val="24"/>
          <w:szCs w:val="24"/>
          <w:highlight w:val="none"/>
        </w:rPr>
        <w:t>说明：</w:t>
      </w:r>
    </w:p>
    <w:p w14:paraId="40B73EAA">
      <w:pPr>
        <w:pStyle w:val="24"/>
        <w:spacing w:line="360" w:lineRule="auto"/>
        <w:ind w:left="25" w:firstLine="354"/>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0EBE3F0">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944269">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6C46FEA">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79063F91">
      <w:pPr>
        <w:pStyle w:val="24"/>
        <w:spacing w:line="360" w:lineRule="auto"/>
        <w:ind w:left="25" w:firstLine="354"/>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FC19C87">
      <w:pPr>
        <w:spacing w:line="460" w:lineRule="exact"/>
        <w:rPr>
          <w:rFonts w:eastAsia="隶书"/>
          <w:color w:val="auto"/>
          <w:sz w:val="44"/>
          <w:highlight w:val="none"/>
        </w:rPr>
      </w:pPr>
    </w:p>
    <w:p w14:paraId="419ED4D0">
      <w:pPr>
        <w:spacing w:line="360" w:lineRule="auto"/>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5.投诉书（格式）</w:t>
      </w:r>
    </w:p>
    <w:p w14:paraId="05570D74">
      <w:pPr>
        <w:spacing w:line="360" w:lineRule="auto"/>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投诉书（格式）</w:t>
      </w:r>
    </w:p>
    <w:p w14:paraId="77ABBF1A">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2CF4FD8">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636CDA3">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F7BBA95">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78B1D432">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9267BEC">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46CED05">
      <w:pPr>
        <w:pStyle w:val="24"/>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1CD9BF4">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7E4AFE3">
      <w:pPr>
        <w:pStyle w:val="24"/>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被投诉人1：</w:t>
      </w:r>
    </w:p>
    <w:p w14:paraId="7B3C85E8">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5BEA0B71">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CC5D920">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D2769C2">
      <w:pPr>
        <w:pStyle w:val="24"/>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被投诉人2：</w:t>
      </w:r>
    </w:p>
    <w:p w14:paraId="3C10F5BE">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w:t>
      </w:r>
    </w:p>
    <w:p w14:paraId="71B051B0">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143ABAB6">
      <w:pPr>
        <w:pStyle w:val="24"/>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C198FA4">
      <w:pPr>
        <w:pStyle w:val="24"/>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A850E8">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3334B551">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招标项目的名称：</w:t>
      </w:r>
      <w:r>
        <w:rPr>
          <w:rFonts w:hint="eastAsia" w:hAnsi="宋体"/>
          <w:bCs/>
          <w:color w:val="auto"/>
          <w:sz w:val="24"/>
          <w:szCs w:val="24"/>
          <w:highlight w:val="none"/>
          <w:u w:val="single"/>
        </w:rPr>
        <w:t xml:space="preserve">                                                                   </w:t>
      </w:r>
    </w:p>
    <w:p w14:paraId="081CA099">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招标项目的编号：</w:t>
      </w:r>
      <w:r>
        <w:rPr>
          <w:rFonts w:hint="eastAsia" w:hAnsi="宋体"/>
          <w:bCs/>
          <w:color w:val="auto"/>
          <w:sz w:val="24"/>
          <w:szCs w:val="24"/>
          <w:highlight w:val="none"/>
          <w:u w:val="single"/>
        </w:rPr>
        <w:t xml:space="preserve">                                          </w:t>
      </w:r>
    </w:p>
    <w:p w14:paraId="4D49BB96">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0AE5790">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5B6202A2">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A0BDA17">
      <w:pPr>
        <w:pStyle w:val="24"/>
        <w:spacing w:line="360" w:lineRule="auto"/>
        <w:ind w:left="25" w:firstLine="472"/>
        <w:rPr>
          <w:rFonts w:hAnsi="宋体"/>
          <w:b/>
          <w:color w:val="auto"/>
          <w:sz w:val="24"/>
          <w:szCs w:val="24"/>
          <w:highlight w:val="none"/>
        </w:rPr>
      </w:pPr>
      <w:r>
        <w:rPr>
          <w:rFonts w:hint="eastAsia" w:hAnsi="宋体"/>
          <w:color w:val="auto"/>
          <w:sz w:val="24"/>
          <w:highlight w:val="none"/>
        </w:rPr>
        <w:t>招标</w:t>
      </w:r>
      <w:r>
        <w:rPr>
          <w:rFonts w:hint="eastAsia" w:hAnsi="宋体"/>
          <w:bCs/>
          <w:color w:val="auto"/>
          <w:sz w:val="24"/>
          <w:highlight w:val="none"/>
        </w:rPr>
        <w:t>结果公告：</w:t>
      </w:r>
      <w:r>
        <w:rPr>
          <w:rFonts w:hint="eastAsia" w:hAnsi="宋体"/>
          <w:bCs/>
          <w:color w:val="auto"/>
          <w:sz w:val="24"/>
          <w:highlight w:val="none"/>
          <w:u w:val="single"/>
        </w:rPr>
        <w:t>是</w:t>
      </w:r>
      <w:r>
        <w:rPr>
          <w:rFonts w:hAnsi="宋体"/>
          <w:bCs/>
          <w:color w:val="auto"/>
          <w:sz w:val="24"/>
          <w:highlight w:val="none"/>
          <w:u w:val="single"/>
        </w:rPr>
        <w:t>/</w:t>
      </w:r>
      <w:r>
        <w:rPr>
          <w:rFonts w:hint="eastAsia" w:hAnsi="宋体"/>
          <w:bCs/>
          <w:color w:val="auto"/>
          <w:sz w:val="24"/>
          <w:highlight w:val="none"/>
          <w:u w:val="single"/>
        </w:rPr>
        <w:t>否</w:t>
      </w:r>
      <w:r>
        <w:rPr>
          <w:rFonts w:hint="eastAsia" w:hAnsi="宋体"/>
          <w:bCs/>
          <w:color w:val="auto"/>
          <w:sz w:val="24"/>
          <w:highlight w:val="none"/>
        </w:rPr>
        <w:t>公告期限：</w:t>
      </w:r>
      <w:r>
        <w:rPr>
          <w:rFonts w:hAnsi="宋体"/>
          <w:bCs/>
          <w:color w:val="auto"/>
          <w:sz w:val="24"/>
          <w:highlight w:val="none"/>
          <w:u w:val="single"/>
        </w:rPr>
        <w:t xml:space="preserve">                                      </w:t>
      </w:r>
      <w:r>
        <w:rPr>
          <w:rFonts w:hint="eastAsia" w:hAnsi="宋体"/>
          <w:bCs/>
          <w:color w:val="auto"/>
          <w:sz w:val="24"/>
          <w:szCs w:val="24"/>
          <w:highlight w:val="none"/>
          <w:u w:val="single"/>
        </w:rPr>
        <w:t xml:space="preserve">              </w:t>
      </w:r>
    </w:p>
    <w:p w14:paraId="13BA8B03">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76739FB8">
      <w:pPr>
        <w:pStyle w:val="24"/>
        <w:spacing w:line="360" w:lineRule="auto"/>
        <w:ind w:left="25" w:firstLine="48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CC3476F">
      <w:pPr>
        <w:pStyle w:val="24"/>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A98553F">
      <w:pPr>
        <w:pStyle w:val="24"/>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10B4F9E">
      <w:pPr>
        <w:pStyle w:val="24"/>
        <w:spacing w:line="360" w:lineRule="auto"/>
        <w:ind w:firstLine="48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69FA3271">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3E6E1548">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20334B24">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AD671B4">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3FD4E720">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5B37D48">
      <w:pPr>
        <w:pStyle w:val="24"/>
        <w:spacing w:line="360" w:lineRule="auto"/>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1DA1803">
      <w:pPr>
        <w:pStyle w:val="24"/>
        <w:spacing w:line="360" w:lineRule="auto"/>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16D7F14D">
      <w:pPr>
        <w:pStyle w:val="24"/>
        <w:spacing w:line="360" w:lineRule="auto"/>
        <w:ind w:left="25" w:firstLine="472"/>
        <w:rPr>
          <w:rFonts w:hAnsi="宋体"/>
          <w:bCs/>
          <w:color w:val="auto"/>
          <w:sz w:val="24"/>
          <w:szCs w:val="24"/>
          <w:highlight w:val="none"/>
        </w:rPr>
      </w:pPr>
      <w:r>
        <w:rPr>
          <w:rFonts w:hAnsi="宋体"/>
          <w:bCs/>
          <w:color w:val="auto"/>
          <w:sz w:val="24"/>
          <w:szCs w:val="24"/>
          <w:highlight w:val="none"/>
        </w:rPr>
        <w:t>……</w:t>
      </w:r>
    </w:p>
    <w:p w14:paraId="7550D203">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3895C263">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44F2F32">
      <w:pPr>
        <w:pStyle w:val="24"/>
        <w:spacing w:line="360" w:lineRule="auto"/>
        <w:ind w:left="25" w:firstLine="352"/>
        <w:rPr>
          <w:rFonts w:hAnsi="宋体"/>
          <w:color w:val="auto"/>
          <w:sz w:val="24"/>
          <w:szCs w:val="24"/>
          <w:highlight w:val="none"/>
        </w:rPr>
      </w:pPr>
    </w:p>
    <w:p w14:paraId="4CD28C32">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44593DBE">
      <w:pPr>
        <w:pStyle w:val="24"/>
        <w:spacing w:line="360" w:lineRule="auto"/>
        <w:ind w:left="25" w:firstLine="352"/>
        <w:rPr>
          <w:rFonts w:hAnsi="宋体"/>
          <w:color w:val="auto"/>
          <w:sz w:val="24"/>
          <w:szCs w:val="24"/>
          <w:highlight w:val="none"/>
        </w:rPr>
      </w:pPr>
    </w:p>
    <w:p w14:paraId="2EA28B39">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2CC3E472">
      <w:pPr>
        <w:pStyle w:val="24"/>
        <w:spacing w:line="360" w:lineRule="auto"/>
        <w:ind w:left="25" w:firstLine="472"/>
        <w:rPr>
          <w:rFonts w:hAnsi="宋体"/>
          <w:b/>
          <w:color w:val="auto"/>
          <w:sz w:val="24"/>
          <w:szCs w:val="24"/>
          <w:highlight w:val="none"/>
        </w:rPr>
      </w:pP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721FC1FA">
      <w:pPr>
        <w:pStyle w:val="24"/>
        <w:spacing w:line="360" w:lineRule="auto"/>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4761887C">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BDCFD9">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3DB604C">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209FA62">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43D752F9">
      <w:pPr>
        <w:pStyle w:val="24"/>
        <w:spacing w:line="360" w:lineRule="auto"/>
        <w:ind w:left="25" w:firstLine="354"/>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bookmarkEnd w:id="151"/>
    <w:sectPr>
      <w:footerReference r:id="rId16" w:type="first"/>
      <w:headerReference r:id="rId13" w:type="default"/>
      <w:footerReference r:id="rId14" w:type="default"/>
      <w:footerReference r:id="rId15" w:type="even"/>
      <w:pgSz w:w="11911" w:h="16838"/>
      <w:pgMar w:top="1519" w:right="1502" w:bottom="278" w:left="1678" w:header="720" w:footer="720" w:gutter="0"/>
      <w:cols w:space="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5D0AC1E-413D-494E-B8D6-A8A34AC23988}"/>
  </w:font>
  <w:font w:name="黑体">
    <w:panose1 w:val="02010609060101010101"/>
    <w:charset w:val="86"/>
    <w:family w:val="auto"/>
    <w:pitch w:val="default"/>
    <w:sig w:usb0="800002BF" w:usb1="38CF7CFA" w:usb2="00000016" w:usb3="00000000" w:csb0="00040001" w:csb1="00000000"/>
    <w:embedRegular r:id="rId2" w:fontKey="{ADDEF350-C98F-44D4-96CB-83A7F524D418}"/>
  </w:font>
  <w:font w:name="Courier New">
    <w:panose1 w:val="02070309020205020404"/>
    <w:charset w:val="01"/>
    <w:family w:val="modern"/>
    <w:pitch w:val="default"/>
    <w:sig w:usb0="E0002EFF" w:usb1="C0007843" w:usb2="00000009" w:usb3="00000000" w:csb0="400001FF" w:csb1="FFFF0000"/>
    <w:embedRegular r:id="rId3" w:fontKey="{A6E53804-5915-45E9-A8FB-F8441427010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3BD1B496-6CED-405B-B3F6-307A9FCB280E}"/>
  </w:font>
  <w:font w:name="Cambria">
    <w:panose1 w:val="02040503050406030204"/>
    <w:charset w:val="00"/>
    <w:family w:val="roman"/>
    <w:pitch w:val="default"/>
    <w:sig w:usb0="E00006FF" w:usb1="420024FF" w:usb2="02000000" w:usb3="00000000" w:csb0="2000019F" w:csb1="00000000"/>
  </w:font>
  <w:font w:name="_x000B__x000C_">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Century">
    <w:altName w:val="Times New Roman"/>
    <w:panose1 w:val="02040604050505020304"/>
    <w:charset w:val="00"/>
    <w:family w:val="roman"/>
    <w:pitch w:val="default"/>
    <w:sig w:usb0="00000000" w:usb1="00000000" w:usb2="00000000" w:usb3="00000000" w:csb0="2000009F" w:csb1="DFD70000"/>
  </w:font>
  <w:font w:name="Helvetica">
    <w:altName w:val="Arial"/>
    <w:panose1 w:val="020B0604020202020204"/>
    <w:charset w:val="00"/>
    <w:family w:val="swiss"/>
    <w:pitch w:val="default"/>
    <w:sig w:usb0="00000000" w:usb1="00000000" w:usb2="00000000" w:usb3="00000000" w:csb0="00000001" w:csb1="00000000"/>
    <w:embedRegular r:id="rId5" w:fontKey="{D79D8B09-2A10-4048-B3EF-0AA953435793}"/>
  </w:font>
  <w:font w:name="方正小标宋简体">
    <w:panose1 w:val="02000000000000000000"/>
    <w:charset w:val="86"/>
    <w:family w:val="script"/>
    <w:pitch w:val="default"/>
    <w:sig w:usb0="00000001" w:usb1="08000000" w:usb2="00000000" w:usb3="00000000" w:csb0="00040000" w:csb1="00000000"/>
    <w:embedRegular r:id="rId6" w:fontKey="{18CDF9B3-EFD2-4BC1-A051-366938CFB376}"/>
  </w:font>
  <w:font w:name="华文新魏">
    <w:panose1 w:val="02010800040101010101"/>
    <w:charset w:val="86"/>
    <w:family w:val="auto"/>
    <w:pitch w:val="default"/>
    <w:sig w:usb0="00000001" w:usb1="080F0000" w:usb2="00000000" w:usb3="00000000" w:csb0="00040000" w:csb1="00000000"/>
    <w:embedRegular r:id="rId7" w:fontKey="{B6347E6B-02E1-4170-9DAE-6B0D4AC72D3D}"/>
  </w:font>
  <w:font w:name="微软雅黑">
    <w:panose1 w:val="020B0503020204020204"/>
    <w:charset w:val="86"/>
    <w:family w:val="swiss"/>
    <w:pitch w:val="default"/>
    <w:sig w:usb0="80000287" w:usb1="2ACF3C50" w:usb2="00000016" w:usb3="00000000" w:csb0="0004001F" w:csb1="00000000"/>
    <w:embedRegular r:id="rId8" w:fontKey="{A5CEFDE1-5513-4DA0-861C-2ABC5CFB3F95}"/>
  </w:font>
  <w:font w:name="方正小标宋_GBK">
    <w:panose1 w:val="03000509000000000000"/>
    <w:charset w:val="86"/>
    <w:family w:val="auto"/>
    <w:pitch w:val="default"/>
    <w:sig w:usb0="00000001" w:usb1="080E0000" w:usb2="00000000" w:usb3="00000000" w:csb0="00040000" w:csb1="00000000"/>
    <w:embedRegular r:id="rId9" w:fontKey="{D7026CC4-2E92-4D04-961A-84C499F24A9D}"/>
  </w:font>
  <w:font w:name="隶书">
    <w:altName w:val="微软雅黑"/>
    <w:panose1 w:val="02010509060101010101"/>
    <w:charset w:val="86"/>
    <w:family w:val="modern"/>
    <w:pitch w:val="default"/>
    <w:sig w:usb0="00000000" w:usb1="00000000" w:usb2="00000000" w:usb3="00000000" w:csb0="00040000" w:csb1="00000000"/>
    <w:embedRegular r:id="rId10" w:fontKey="{303EFA7F-5C81-4ADA-9E04-055084FFC75E}"/>
  </w:font>
  <w:font w:name="KSOF7FC4CF2A">
    <w:panose1 w:val="020B0604020202020204"/>
    <w:charset w:val="00"/>
    <w:family w:val="auto"/>
    <w:pitch w:val="default"/>
    <w:sig w:usb0="00000001"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752BA">
    <w:pPr>
      <w:pStyle w:val="30"/>
      <w:jc w:val="center"/>
    </w:pPr>
  </w:p>
  <w:p w14:paraId="727D7864">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23EBF">
    <w:pPr>
      <w:pStyle w:val="30"/>
      <w:framePr w:wrap="around" w:vAnchor="text" w:hAnchor="margin" w:xAlign="center" w:y="1"/>
      <w:rPr>
        <w:rStyle w:val="53"/>
      </w:rPr>
    </w:pPr>
    <w:r>
      <w:fldChar w:fldCharType="begin"/>
    </w:r>
    <w:r>
      <w:rPr>
        <w:rStyle w:val="53"/>
      </w:rPr>
      <w:instrText xml:space="preserve">PAGE  </w:instrText>
    </w:r>
    <w:r>
      <w:fldChar w:fldCharType="end"/>
    </w:r>
  </w:p>
  <w:p w14:paraId="4B0E085E">
    <w:pPr>
      <w:pStyle w:val="3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807F3">
    <w:pPr>
      <w:pStyle w:val="30"/>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58D1031">
                          <w:pPr>
                            <w:pStyle w:val="30"/>
                          </w:pPr>
                          <w:r>
                            <w:fldChar w:fldCharType="begin"/>
                          </w:r>
                          <w:r>
                            <w:instrText xml:space="preserve"> PAGE  \* MERGEFORMAT </w:instrText>
                          </w:r>
                          <w:r>
                            <w:fldChar w:fldCharType="separate"/>
                          </w:r>
                          <w:r>
                            <w:t>92</w:t>
                          </w:r>
                          <w:r>
                            <w:fldChar w:fldCharType="end"/>
                          </w:r>
                        </w:p>
                      </w:txbxContent>
                    </wps:txbx>
                    <wps:bodyPr wrap="none" lIns="0" tIns="0" rIns="0" bIns="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3yic4BAACeAwAADgAAAGRycy9lMm9Eb2MueG1srVNLjtswDN0X6B0E&#10;7Rs7KTAIjDiDKYIUBfoDpnMAWZZiAZIoSErsXKC9QVfddN9z5RylZDttp5tZzEagSOqR75Ha3A5G&#10;k5PwQYGt6XJRUiIsh1bZQ00fvuxfrSkJkdmWabCipmcR6O325YtN7yqxgg50KzxBEBuq3tW0i9FV&#10;RRF4JwwLC3DCYlCCNyzi1R+K1rMe0Y0uVmV5U/TgW+eBixDQuxuDdEL0TwEEKRUXO+BHI2wcUb3Q&#10;LCKl0CkX6DZ3K6Xg8ZOUQUSia4pMYz6xCNpNOovthlUHz1yn+NQCe0oLjzgZpiwWvULtWGTk6NV/&#10;UEZxDwFkXHAwxUgkK4IsluUjbe475kTmglIHdxU9PB8s/3j67Ilqa3pDiWUGB375/u3y49fl51ey&#10;LF9nhXoXKky8d5gahzcw4N4k5ZI/JGfTf4AWn7JjhCzDIL1JciBBgtmo9vmqthgi4QlivVqvSwxx&#10;jM0XRC1YNT93PsS3AgxJRk09jjPDs9P7EMfUOSVVs7BXWueRavuPAzGTp5g7HnuPQzNMNBpoz0ik&#10;x02oqcXFp0S/syh0WprZ8LPRTEaqEdwdst6r3E/CH6GmYji2zGhasbQXf99z1p9vtf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ByN8onOAQAAngMAAA4AAAAAAAAAAQAgAAAAHgEAAGRycy9l&#10;Mm9Eb2MueG1sUEsFBgAAAAAGAAYAWQEAAF4FAAAAAA==&#10;">
              <v:fill on="f" focussize="0,0"/>
              <v:stroke on="f"/>
              <v:imagedata o:title=""/>
              <o:lock v:ext="edit" aspectratio="f"/>
              <v:textbox inset="0mm,0mm,0mm,0mm" style="mso-fit-shape-to-text:t;">
                <w:txbxContent>
                  <w:p w14:paraId="358D1031">
                    <w:pPr>
                      <w:pStyle w:val="30"/>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BB6B">
    <w:pPr>
      <w:pStyle w:val="30"/>
      <w:jc w:val="center"/>
    </w:pPr>
  </w:p>
  <w:p w14:paraId="7AFAF6CC">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46DB">
    <w:pPr>
      <w:pStyle w:val="30"/>
      <w:jc w:val="center"/>
    </w:pPr>
  </w:p>
  <w:p w14:paraId="0BFF2AC9">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BA7E">
    <w:pPr>
      <w:pStyle w:val="30"/>
      <w:jc w:val="center"/>
    </w:pPr>
  </w:p>
  <w:p w14:paraId="5E5F2560">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2A6A1">
    <w:pPr>
      <w:pStyle w:val="3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1884385">
                          <w:pPr>
                            <w:pStyle w:val="30"/>
                          </w:pPr>
                          <w:r>
                            <w:fldChar w:fldCharType="begin"/>
                          </w:r>
                          <w:r>
                            <w:instrText xml:space="preserve"> PAGE  \* MERGEFORMAT </w:instrText>
                          </w:r>
                          <w:r>
                            <w:fldChar w:fldCharType="separate"/>
                          </w:r>
                          <w:r>
                            <w:t>14</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60I/c4BAACeAwAADgAAAGRycy9lMm9Eb2MueG1srVPNjtMwEL4j8Q6W&#10;7zRpJVZV1HQFqoqQWEBaeADHcRpLtsfyuE36AvAGnLhw3+fqc+w4PwWWyx64ROOZz9/M93myue2t&#10;YScVUIMr+XKRc6achFq7Q8m/ftm/WnOGUbhaGHCq5GeF/Hb78sWm84VaQQumVoERicOi8yVvY/RF&#10;lqFslRW4AK8cFRsIVkQ6hkNWB9ERuzXZKs9vsg5C7QNIhUjZ3VjkE2N4DiE0jZZqB/JolYsja1BG&#10;RJKErfbIt8O0TaNk/NQ0qCIzJSelcfhSE4qr9M22G1EcgvCtltMI4jkjPNFkhXbU9Eq1E1GwY9D/&#10;UFktAyA0cSHBZqOQwRFSscyfeHPfCq8GLWQ1+qvp+P9o5cfT58B0TZvAmROWHvzy4/vl58Pl1ze2&#10;zFevk0Odx4KA956gsX8LfUJPeUzJqruDmq6KY4TBhr4JNtlBAhmhye3z1W3VRyYTxXq1XudUklSb&#10;D8SaiWK+7gPGdwosS0HJAz3nQC9OHzCO0BmSujnYa2MoLwrj/koQZ8pkSUmaeNQU+6qfZFRQn0lI&#10;R5tQckeLz5l578jotDRzEOagmoLUA/0bUr3XwzyJf6SamtGzDYqmFUt78ed5QP3+rb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MutCP3OAQAAngMAAA4AAAAAAAAAAQAgAAAAHgEAAGRycy9l&#10;Mm9Eb2MueG1sUEsFBgAAAAAGAAYAWQEAAF4FAAAAAA==&#10;">
              <v:fill on="f" focussize="0,0"/>
              <v:stroke on="f"/>
              <v:imagedata o:title=""/>
              <o:lock v:ext="edit" aspectratio="f"/>
              <v:textbox inset="0mm,0mm,0mm,0mm" style="mso-fit-shape-to-text:t;">
                <w:txbxContent>
                  <w:p w14:paraId="41884385">
                    <w:pPr>
                      <w:pStyle w:val="30"/>
                    </w:pPr>
                    <w:r>
                      <w:fldChar w:fldCharType="begin"/>
                    </w:r>
                    <w:r>
                      <w:instrText xml:space="preserve"> PAGE  \* MERGEFORMAT </w:instrText>
                    </w:r>
                    <w:r>
                      <w:fldChar w:fldCharType="separate"/>
                    </w:r>
                    <w:r>
                      <w:t>14</w:t>
                    </w:r>
                    <w:r>
                      <w:fldChar w:fldCharType="end"/>
                    </w:r>
                  </w:p>
                </w:txbxContent>
              </v:textbox>
            </v:shape>
          </w:pict>
        </mc:Fallback>
      </mc:AlternateContent>
    </w:r>
  </w:p>
  <w:p w14:paraId="239321A1">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BCEE4">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43A36">
                          <w:pPr>
                            <w:pStyle w:val="3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nT+/M2AgAAYwQAAA4AAABkcnMvZTJvRG9jLnhtbK1UwW4TMRC9I/EP&#10;lu90kyBKFHVThVZBSIVWCoiz4/VmV7I9lu10t3wA/AEnLr3zXf0Onr3ZgAqHHrhYs57xm3lvZvbs&#10;vDea3SofWrIln55MOFNWUtXaXck/fVy/mHMWorCV0GRVye9U4OfL58/OOrdQM2pIV8ozgNiw6FzJ&#10;mxjdoiiCbJQR4YScsnDW5I2I+PS7ovKiA7rRxWwyOS068pXzJFUIuL0cnPyA6J8CSHXdSnVJcm+U&#10;jQOqV1pEUApN6wJf5mrrWsl4XddBRaZLDqYxn0gCe5vOYnkmFjsvXNPKQwniKSU84mREa5H0CHUp&#10;omB73/4FZVrpKVAdTySZYiCSFQGL6eSRNptGOJW5QOrgjqKH/wcrP9zeeNZWJZ9xZoVBwx++f3v4&#10;8fPh/it7neTpXFggauMQF/s31GNoxvuQLrfde6rwTuwjZQ362pukBdgxREPqu6PUqo9MJoj5bD6f&#10;wCXhGz+QrRCL8bnzIb5VZFgySu7Rywwvbq9CHELHkJTN0rrVOvdTW9aV/PTlq0l+cPQAXFvkSJRS&#10;6QO52G/7A88tVXdg5GmYk+DkukXyKxHijfAYDBSM1YnXOGpNSEIHi7OG/Jd/3ad49AtezjoMWskt&#10;9ooz/c6ijwCMo+FHYzsadm8uCJM7xUo6mU088FGPZu3JfMY+rVIOuISVyFTyOJoXcRh27KNUq1UO&#10;wuQ5Ea/sxskEncQLboXurdu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MnT+/M2AgAAYwQAAA4AAAAAAAAAAQAgAAAAHwEAAGRycy9lMm9Eb2MueG1s&#10;UEsFBgAAAAAGAAYAWQEAAMcFAAAAAA==&#10;">
              <v:fill on="f" focussize="0,0"/>
              <v:stroke on="f" weight="0.5pt"/>
              <v:imagedata o:title=""/>
              <o:lock v:ext="edit" aspectratio="f"/>
              <v:textbox inset="0mm,0mm,0mm,0mm" style="mso-fit-shape-to-text:t;">
                <w:txbxContent>
                  <w:p w14:paraId="6F943A36">
                    <w:pPr>
                      <w:pStyle w:val="30"/>
                    </w:pPr>
                    <w:r>
                      <w:fldChar w:fldCharType="begin"/>
                    </w:r>
                    <w:r>
                      <w:instrText xml:space="preserve"> PAGE  \* MERGEFORMAT </w:instrText>
                    </w:r>
                    <w:r>
                      <w:fldChar w:fldCharType="separate"/>
                    </w:r>
                    <w:r>
                      <w:t>6</w:t>
                    </w:r>
                    <w:r>
                      <w:fldChar w:fldCharType="end"/>
                    </w:r>
                  </w:p>
                </w:txbxContent>
              </v:textbox>
            </v:shape>
          </w:pict>
        </mc:Fallback>
      </mc:AlternateContent>
    </w:r>
  </w:p>
  <w:p w14:paraId="248A1B79">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4848A">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E6EE5D2">
                          <w:pPr>
                            <w:pStyle w:val="30"/>
                          </w:pPr>
                          <w:r>
                            <w:fldChar w:fldCharType="begin"/>
                          </w:r>
                          <w:r>
                            <w:instrText xml:space="preserve"> PAGE  \* MERGEFORMAT </w:instrText>
                          </w:r>
                          <w:r>
                            <w:fldChar w:fldCharType="separate"/>
                          </w:r>
                          <w:r>
                            <w:t>61</w:t>
                          </w:r>
                          <w:r>
                            <w:fldChar w:fldCharType="end"/>
                          </w:r>
                        </w:p>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GNtwc0BAACeAwAADgAAAGRycy9lMm9Eb2MueG1srVNNrtMwEN4jcQfL&#10;e5q0SCiKmj6BqiIk/qQHB3Acu7FkeyzbbdILwA1YsWHPuXoOxk5S4LF5CzbWeGb8zXzfjLd3o9Hk&#10;LHxQYBu6XpWUCMuhU/bY0M+fDs8qSkJktmMarGjoRQR6t3v6ZDu4WmygB90JTxDEhnpwDe1jdHVR&#10;BN4Lw8IKnLAYlOANi3j1x6LzbEB0o4tNWb4oBvCd88BFCOjdT0E6I/rHAIKUios98JMRNk6oXmgW&#10;kVLolQt0l7uVUvD4QcogItENRaYxn1gE7TadxW7L6qNnrld8boE9poUHnAxTFoveoPYsMnLy6h8o&#10;o7iHADKuOJhiIpIVQRbr8oE29z1zInNBqYO7iR7+Hyx/f/7oieoa+pwSywwO/Prt6/X7z+uPL2Rd&#10;bqqk0OBCjYn3DlPj+ApG3JvFH5KzHd5Bh0/ZKUKWYZTeJDmQIMFsVPtyU1uMkfAEUW2qqsQQx9hy&#10;wWoFq5fnzof4WoAhyWiox3FmeHZ+G+KUuqSkahYOSus8Um3/ciBm8hSJSep44hTHdpzptdBdkMiA&#10;m9BQi4tPiX5jUei0NIvhF6OdjVQjuJfI+qByPwl/gpqL4dgyo3nF0l78ec9Zv7/V7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RGNtwc0BAACeAwAADgAAAAAAAAABACAAAAAeAQAAZHJzL2Uy&#10;b0RvYy54bWxQSwUGAAAAAAYABgBZAQAAXQUAAAAA&#10;">
              <v:fill on="f" focussize="0,0"/>
              <v:stroke on="f"/>
              <v:imagedata o:title=""/>
              <o:lock v:ext="edit" aspectratio="f"/>
              <v:textbox inset="0mm,0mm,0mm,0mm" style="mso-fit-shape-to-text:t;">
                <w:txbxContent>
                  <w:p w14:paraId="3E6EE5D2">
                    <w:pPr>
                      <w:pStyle w:val="30"/>
                    </w:pPr>
                    <w:r>
                      <w:fldChar w:fldCharType="begin"/>
                    </w:r>
                    <w:r>
                      <w:instrText xml:space="preserve"> PAGE  \* MERGEFORMAT </w:instrText>
                    </w:r>
                    <w:r>
                      <w:fldChar w:fldCharType="separate"/>
                    </w:r>
                    <w:r>
                      <w:t>61</w:t>
                    </w:r>
                    <w:r>
                      <w:fldChar w:fldCharType="end"/>
                    </w:r>
                  </w:p>
                </w:txbxContent>
              </v:textbox>
            </v:shape>
          </w:pict>
        </mc:Fallback>
      </mc:AlternateContent>
    </w:r>
  </w:p>
  <w:p w14:paraId="3F738C92">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0FC37">
    <w:pPr>
      <w:pStyle w:val="30"/>
      <w:ind w:right="360"/>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6E7B0">
                          <w:pPr>
                            <w:pStyle w:val="30"/>
                            <w:rPr>
                              <w:rStyle w:val="53"/>
                            </w:rPr>
                          </w:pPr>
                          <w:r>
                            <w:fldChar w:fldCharType="begin"/>
                          </w:r>
                          <w:r>
                            <w:rPr>
                              <w:rStyle w:val="53"/>
                            </w:rPr>
                            <w:instrText xml:space="preserve">PAGE  </w:instrText>
                          </w:r>
                          <w:r>
                            <w:fldChar w:fldCharType="separate"/>
                          </w:r>
                          <w:r>
                            <w:rPr>
                              <w:rStyle w:val="53"/>
                            </w:rP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MohM2AgAAYwQAAA4AAABkcnMvZTJvRG9jLnhtbK1UwW4TMRC9I/EP&#10;lu90kwJVFHVThUZBSIVWKoiz4/VmV7I9lu10t3wA/AEnLr3zXfkOnr3ZgAqHHrhYs57xm3lvZvb8&#10;ojea3SkfWrIln55MOFNWUtXabck/fVy/mHEWorCV0GRVye9V4BeL58/OOzdXp9SQrpRnALFh3rmS&#10;NzG6eVEE2Sgjwgk5ZeGsyRsR8em3ReVFB3Sji9PJ5KzoyFfOk1Qh4HY1OPkB0T8FkOq6lWpFcmeU&#10;jQOqV1pEUApN6wJf5GrrWsl4XddBRaZLDqYxn0gCe5POYnEu5lsvXNPKQwniKSU84mREa5H0CLUS&#10;UbCdb/+CMq30FKiOJ5JMMRDJioDFdPJIm9tGOJW5QOrgjqKH/wcrP9zdeNZWJX/FmRUGDd9//7b/&#10;8XP/8JXNkjydC3NE3TrExf4N9Ria8T6ky033niq8E7tIWYO+9iZpAXYM0ZD6/ii16iOTCWJ2OptN&#10;4JLwjR/IVoj5+Nz5EN8qMiwZJffoZYYXd1chDqFjSMpmad1qnfupLetKfvby9SQ/OHoAri1yJEqp&#10;9IFc7Df9geeGqnsw8jTMSXBy3SL5lQjxRngMBgrG6sRrHLUmJKGDxVlD/su/7lM8+gUvZx0GreQW&#10;e8WZfmfRRwDG0fCjsRkNuzOXhMmdYiWdzCYe+KhHs/ZkPmOflikHXMJKZCp5HM3LOAw79lGq5TIH&#10;YfKciFf21skEncQLbonurdusa5JnUOKgFWYvd+awJ2m4//zOUb//DY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LDMohM2AgAAYwQAAA4AAAAAAAAAAQAgAAAAHwEAAGRycy9lMm9Eb2MueG1s&#10;UEsFBgAAAAAGAAYAWQEAAMcFAAAAAA==&#10;">
              <v:fill on="f" focussize="0,0"/>
              <v:stroke on="f" weight="0.5pt"/>
              <v:imagedata o:title=""/>
              <o:lock v:ext="edit" aspectratio="f"/>
              <v:textbox inset="0mm,0mm,0mm,0mm" style="mso-fit-shape-to-text:t;">
                <w:txbxContent>
                  <w:p w14:paraId="0B56E7B0">
                    <w:pPr>
                      <w:pStyle w:val="30"/>
                      <w:rPr>
                        <w:rStyle w:val="53"/>
                      </w:rPr>
                    </w:pPr>
                    <w:r>
                      <w:fldChar w:fldCharType="begin"/>
                    </w:r>
                    <w:r>
                      <w:rPr>
                        <w:rStyle w:val="53"/>
                      </w:rPr>
                      <w:instrText xml:space="preserve">PAGE  </w:instrText>
                    </w:r>
                    <w:r>
                      <w:fldChar w:fldCharType="separate"/>
                    </w:r>
                    <w:r>
                      <w:rPr>
                        <w:rStyle w:val="53"/>
                      </w:rPr>
                      <w:t>30</w:t>
                    </w:r>
                    <w:r>
                      <w:fldChar w:fldCharType="end"/>
                    </w:r>
                  </w:p>
                </w:txbxContent>
              </v:textbox>
            </v:shape>
          </w:pict>
        </mc:Fallback>
      </mc:AlternateContent>
    </w: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32156">
    <w:pPr>
      <w:pStyle w:val="3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09CAAC9">
                          <w:pPr>
                            <w:pStyle w:val="30"/>
                          </w:pPr>
                          <w:r>
                            <w:fldChar w:fldCharType="begin"/>
                          </w:r>
                          <w:r>
                            <w:instrText xml:space="preserve"> PAGE  \* MERGEFORMAT </w:instrText>
                          </w:r>
                          <w:r>
                            <w:fldChar w:fldCharType="separate"/>
                          </w:r>
                          <w:r>
                            <w:t>100</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SG5c8BAACeAwAADgAAAGRycy9lMm9Eb2MueG1srVPNjtMwEL4j8Q6W&#10;7zRpJVCJmq5AVRESf9IuD+A4dmPJ9li226QvAG/AiQt3nqvPwdhJCuxe9rAXazwz/ma+b8abm8Fo&#10;chI+KLA1XS5KSoTl0Cp7qOnXu/2LNSUhMtsyDVbU9CwCvdk+f7bpXSVW0IFuhScIYkPVu5p2Mbqq&#10;KALvhGFhAU5YDErwhkW8+kPRetYjutHFqixfFT341nngIgT07sYgnRD9YwBBSsXFDvjRCBtHVC80&#10;i0gpdMoFus3dSil4/CxlEJHomiLTmE8sgnaTzmK7YdXBM9cpPrXAHtPCPU6GKYtFr1A7Fhk5evUA&#10;yijuIYCMCw6mGIlkRZDFsrynzW3HnMhcUOrgrqKHp4Pln05fPFFtTV9SYpnBgV9+fL/8/H359Y0s&#10;y9XrpFDvQoWJtw5T4/AWBtyb2R+Ss+k/QotP2TFClmGQ3iQ5kCDBbFT7fFVbDJHwBLFerdclhjjG&#10;5gtWK1g1P3c+xHcCDElGTT2OM8Oz04cQx9Q5JVWzsFda55Fq+58DMZOnSExSxyOnODTDRK+B9oxE&#10;etyEmlpcfEr0e4tCp6WZDT8bzWSkGsG9QdZ7lftJ+CPUVAzHlhlNK5b24t97zvr7rb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qhIblzwEAAJ4DAAAOAAAAAAAAAAEAIAAAAB4BAABkcnMv&#10;ZTJvRG9jLnhtbFBLBQYAAAAABgAGAFkBAABfBQAAAAA=&#10;">
              <v:fill on="f" focussize="0,0"/>
              <v:stroke on="f"/>
              <v:imagedata o:title=""/>
              <o:lock v:ext="edit" aspectratio="f"/>
              <v:textbox inset="0mm,0mm,0mm,0mm" style="mso-fit-shape-to-text:t;">
                <w:txbxContent>
                  <w:p w14:paraId="409CAAC9">
                    <w:pPr>
                      <w:pStyle w:val="30"/>
                    </w:pPr>
                    <w:r>
                      <w:fldChar w:fldCharType="begin"/>
                    </w:r>
                    <w:r>
                      <w:instrText xml:space="preserve"> PAGE  \* MERGEFORMAT </w:instrText>
                    </w:r>
                    <w:r>
                      <w:fldChar w:fldCharType="separate"/>
                    </w:r>
                    <w:r>
                      <w:t>100</w:t>
                    </w:r>
                    <w:r>
                      <w:fldChar w:fldCharType="end"/>
                    </w:r>
                  </w:p>
                </w:txbxContent>
              </v:textbox>
            </v:shape>
          </w:pict>
        </mc:Fallback>
      </mc:AlternateContent>
    </w:r>
  </w:p>
  <w:p w14:paraId="5550B756">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B60F9">
    <w:pPr>
      <w:pStyle w:val="31"/>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BBB03">
    <w:pPr>
      <w:pStyle w:val="31"/>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83D">
    <w:pPr>
      <w:pStyle w:val="3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0"/>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174448B"/>
    <w:multiLevelType w:val="singleLevel"/>
    <w:tmpl w:val="0174448B"/>
    <w:lvl w:ilvl="0" w:tentative="0">
      <w:start w:val="12"/>
      <w:numFmt w:val="decimal"/>
      <w:lvlText w:val="%1."/>
      <w:lvlJc w:val="left"/>
      <w:pPr>
        <w:tabs>
          <w:tab w:val="left" w:pos="312"/>
        </w:tabs>
      </w:pPr>
    </w:lvl>
  </w:abstractNum>
  <w:abstractNum w:abstractNumId="2">
    <w:nsid w:val="1823D7D1"/>
    <w:multiLevelType w:val="multilevel"/>
    <w:tmpl w:val="1823D7D1"/>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1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4C601917"/>
    <w:multiLevelType w:val="multilevel"/>
    <w:tmpl w:val="4C60191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0"/>
  </w:num>
  <w:num w:numId="3">
    <w:abstractNumId w:val="4"/>
  </w:num>
  <w:num w:numId="4">
    <w:abstractNumId w:val="1"/>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47E"/>
    <w:rsid w:val="00032057"/>
    <w:rsid w:val="005F7BB3"/>
    <w:rsid w:val="00B90D0F"/>
    <w:rsid w:val="00EE447E"/>
    <w:rsid w:val="028D7905"/>
    <w:rsid w:val="06B12945"/>
    <w:rsid w:val="0E1138A4"/>
    <w:rsid w:val="1A5C26E5"/>
    <w:rsid w:val="39DA14C9"/>
    <w:rsid w:val="3B311D92"/>
    <w:rsid w:val="3B747256"/>
    <w:rsid w:val="50AA2519"/>
    <w:rsid w:val="5A96064C"/>
    <w:rsid w:val="5B1D7EC6"/>
    <w:rsid w:val="631A16A8"/>
    <w:rsid w:val="7228481C"/>
    <w:rsid w:val="79547668"/>
    <w:rsid w:val="7B453816"/>
    <w:rsid w:val="7C196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230"/>
    <w:qFormat/>
    <w:uiPriority w:val="0"/>
    <w:pPr>
      <w:keepNext/>
      <w:keepLines/>
      <w:spacing w:before="340" w:after="330" w:line="578" w:lineRule="auto"/>
      <w:outlineLvl w:val="0"/>
    </w:pPr>
    <w:rPr>
      <w:b/>
      <w:bCs/>
      <w:sz w:val="44"/>
      <w:szCs w:val="44"/>
    </w:rPr>
  </w:style>
  <w:style w:type="paragraph" w:styleId="3">
    <w:name w:val="heading 2"/>
    <w:basedOn w:val="1"/>
    <w:next w:val="1"/>
    <w:link w:val="22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3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232"/>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233"/>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234"/>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235"/>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236"/>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pPr>
    <w:rPr>
      <w:rFonts w:ascii="Calibri" w:hAnsi="Calibri"/>
      <w:szCs w:val="22"/>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annotation text"/>
    <w:basedOn w:val="1"/>
    <w:link w:val="237"/>
    <w:unhideWhenUsed/>
    <w:qFormat/>
    <w:uiPriority w:val="0"/>
    <w:pPr>
      <w:jc w:val="left"/>
    </w:pPr>
  </w:style>
  <w:style w:type="paragraph" w:styleId="17">
    <w:name w:val="Body Text 3"/>
    <w:basedOn w:val="1"/>
    <w:link w:val="238"/>
    <w:qFormat/>
    <w:uiPriority w:val="0"/>
    <w:pPr>
      <w:spacing w:line="500" w:lineRule="exact"/>
    </w:pPr>
    <w:rPr>
      <w:b/>
      <w:bCs/>
      <w:sz w:val="24"/>
    </w:rPr>
  </w:style>
  <w:style w:type="paragraph" w:styleId="18">
    <w:name w:val="Body Text"/>
    <w:basedOn w:val="1"/>
    <w:next w:val="1"/>
    <w:link w:val="229"/>
    <w:qFormat/>
    <w:uiPriority w:val="99"/>
    <w:pPr>
      <w:spacing w:line="380" w:lineRule="exact"/>
    </w:pPr>
    <w:rPr>
      <w:sz w:val="24"/>
    </w:rPr>
  </w:style>
  <w:style w:type="paragraph" w:styleId="19">
    <w:name w:val="Body Text Indent"/>
    <w:basedOn w:val="1"/>
    <w:link w:val="239"/>
    <w:qFormat/>
    <w:uiPriority w:val="0"/>
    <w:pPr>
      <w:ind w:firstLine="830"/>
    </w:pPr>
    <w:rPr>
      <w:rFonts w:ascii="仿宋_GB2312" w:eastAsia="仿宋_GB2312"/>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hanging="200"/>
    </w:pPr>
    <w:rPr>
      <w:sz w:val="28"/>
    </w:rPr>
  </w:style>
  <w:style w:type="paragraph" w:styleId="22">
    <w:name w:val="toc 5"/>
    <w:basedOn w:val="1"/>
    <w:next w:val="1"/>
    <w:unhideWhenUsed/>
    <w:qFormat/>
    <w:uiPriority w:val="39"/>
    <w:pPr>
      <w:ind w:left="1680"/>
    </w:pPr>
    <w:rPr>
      <w:rFonts w:ascii="Calibri" w:hAnsi="Calibri"/>
      <w:szCs w:val="22"/>
    </w:rPr>
  </w:style>
  <w:style w:type="paragraph" w:styleId="23">
    <w:name w:val="toc 3"/>
    <w:basedOn w:val="1"/>
    <w:next w:val="1"/>
    <w:unhideWhenUsed/>
    <w:qFormat/>
    <w:uiPriority w:val="39"/>
    <w:pPr>
      <w:ind w:left="840"/>
    </w:pPr>
    <w:rPr>
      <w:rFonts w:ascii="Calibri" w:hAnsi="Calibri"/>
      <w:szCs w:val="22"/>
    </w:rPr>
  </w:style>
  <w:style w:type="paragraph" w:styleId="24">
    <w:name w:val="Plain Text"/>
    <w:basedOn w:val="1"/>
    <w:next w:val="13"/>
    <w:link w:val="240"/>
    <w:qFormat/>
    <w:uiPriority w:val="0"/>
    <w:rPr>
      <w:rFonts w:ascii="宋体" w:hAnsi="Courier New"/>
      <w:sz w:val="20"/>
      <w:szCs w:val="21"/>
    </w:rPr>
  </w:style>
  <w:style w:type="paragraph" w:styleId="25">
    <w:name w:val="toc 8"/>
    <w:basedOn w:val="1"/>
    <w:next w:val="1"/>
    <w:unhideWhenUsed/>
    <w:qFormat/>
    <w:uiPriority w:val="39"/>
    <w:pPr>
      <w:ind w:left="2940"/>
    </w:pPr>
    <w:rPr>
      <w:rFonts w:ascii="Calibri" w:hAnsi="Calibri"/>
      <w:szCs w:val="22"/>
    </w:rPr>
  </w:style>
  <w:style w:type="paragraph" w:styleId="26">
    <w:name w:val="Date"/>
    <w:basedOn w:val="1"/>
    <w:next w:val="1"/>
    <w:link w:val="241"/>
    <w:qFormat/>
    <w:uiPriority w:val="0"/>
    <w:pPr>
      <w:ind w:left="100"/>
    </w:pPr>
    <w:rPr>
      <w:rFonts w:ascii="宋体" w:hAnsi="Courier New"/>
      <w:sz w:val="20"/>
      <w:szCs w:val="21"/>
    </w:rPr>
  </w:style>
  <w:style w:type="paragraph" w:styleId="27">
    <w:name w:val="Body Text Indent 2"/>
    <w:basedOn w:val="1"/>
    <w:link w:val="242"/>
    <w:qFormat/>
    <w:uiPriority w:val="0"/>
    <w:pPr>
      <w:ind w:firstLine="630"/>
    </w:pPr>
    <w:rPr>
      <w:sz w:val="32"/>
      <w:szCs w:val="20"/>
    </w:rPr>
  </w:style>
  <w:style w:type="paragraph" w:styleId="28">
    <w:name w:val="endnote text"/>
    <w:basedOn w:val="1"/>
    <w:link w:val="243"/>
    <w:unhideWhenUsed/>
    <w:qFormat/>
    <w:uiPriority w:val="99"/>
    <w:pPr>
      <w:jc w:val="left"/>
    </w:pPr>
  </w:style>
  <w:style w:type="paragraph" w:styleId="29">
    <w:name w:val="Balloon Text"/>
    <w:basedOn w:val="1"/>
    <w:link w:val="244"/>
    <w:semiHidden/>
    <w:qFormat/>
    <w:uiPriority w:val="0"/>
    <w:rPr>
      <w:sz w:val="18"/>
      <w:szCs w:val="18"/>
    </w:rPr>
  </w:style>
  <w:style w:type="paragraph" w:styleId="30">
    <w:name w:val="footer"/>
    <w:basedOn w:val="1"/>
    <w:link w:val="245"/>
    <w:unhideWhenUsed/>
    <w:qFormat/>
    <w:uiPriority w:val="99"/>
    <w:pPr>
      <w:tabs>
        <w:tab w:val="center" w:pos="4153"/>
        <w:tab w:val="right" w:pos="8306"/>
      </w:tabs>
      <w:jc w:val="left"/>
    </w:pPr>
    <w:rPr>
      <w:sz w:val="18"/>
      <w:szCs w:val="18"/>
    </w:rPr>
  </w:style>
  <w:style w:type="paragraph" w:styleId="31">
    <w:name w:val="header"/>
    <w:basedOn w:val="1"/>
    <w:link w:val="246"/>
    <w:unhideWhenUsed/>
    <w:qFormat/>
    <w:uiPriority w:val="99"/>
    <w:pPr>
      <w:pBdr>
        <w:bottom w:val="single" w:color="000000" w:sz="6" w:space="1"/>
      </w:pBdr>
      <w:tabs>
        <w:tab w:val="center" w:pos="0"/>
        <w:tab w:val="left" w:pos="8306"/>
      </w:tabs>
      <w:jc w:val="center"/>
    </w:pPr>
    <w:rPr>
      <w:sz w:val="18"/>
      <w:szCs w:val="18"/>
    </w:rPr>
  </w:style>
  <w:style w:type="paragraph" w:styleId="32">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3">
    <w:name w:val="toc 4"/>
    <w:basedOn w:val="1"/>
    <w:next w:val="1"/>
    <w:unhideWhenUsed/>
    <w:qFormat/>
    <w:uiPriority w:val="39"/>
    <w:pPr>
      <w:ind w:left="1260"/>
    </w:pPr>
    <w:rPr>
      <w:rFonts w:ascii="Calibri" w:hAnsi="Calibri"/>
      <w:szCs w:val="22"/>
    </w:rPr>
  </w:style>
  <w:style w:type="paragraph" w:styleId="34">
    <w:name w:val="Subtitle"/>
    <w:basedOn w:val="1"/>
    <w:next w:val="1"/>
    <w:link w:val="209"/>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5">
    <w:name w:val="List"/>
    <w:basedOn w:val="1"/>
    <w:qFormat/>
    <w:uiPriority w:val="0"/>
    <w:pPr>
      <w:ind w:left="200" w:hanging="200"/>
    </w:pPr>
    <w:rPr>
      <w:sz w:val="28"/>
    </w:rPr>
  </w:style>
  <w:style w:type="paragraph" w:styleId="36">
    <w:name w:val="footnote text"/>
    <w:basedOn w:val="1"/>
    <w:link w:val="247"/>
    <w:unhideWhenUsed/>
    <w:qFormat/>
    <w:uiPriority w:val="99"/>
    <w:pPr>
      <w:jc w:val="left"/>
    </w:pPr>
    <w:rPr>
      <w:sz w:val="18"/>
      <w:szCs w:val="18"/>
    </w:rPr>
  </w:style>
  <w:style w:type="paragraph" w:styleId="37">
    <w:name w:val="toc 6"/>
    <w:basedOn w:val="1"/>
    <w:next w:val="1"/>
    <w:unhideWhenUsed/>
    <w:qFormat/>
    <w:uiPriority w:val="39"/>
    <w:pPr>
      <w:ind w:left="2100"/>
    </w:pPr>
    <w:rPr>
      <w:rFonts w:ascii="Calibri" w:hAnsi="Calibri"/>
      <w:szCs w:val="22"/>
    </w:rPr>
  </w:style>
  <w:style w:type="paragraph" w:styleId="38">
    <w:name w:val="Body Text Indent 3"/>
    <w:basedOn w:val="1"/>
    <w:link w:val="248"/>
    <w:qFormat/>
    <w:uiPriority w:val="0"/>
    <w:pPr>
      <w:spacing w:after="120"/>
      <w:ind w:left="420"/>
    </w:pPr>
    <w:rPr>
      <w:sz w:val="16"/>
      <w:szCs w:val="16"/>
    </w:rPr>
  </w:style>
  <w:style w:type="paragraph" w:styleId="39">
    <w:name w:val="table of figures"/>
    <w:basedOn w:val="1"/>
    <w:next w:val="1"/>
    <w:unhideWhenUsed/>
    <w:qFormat/>
    <w:uiPriority w:val="99"/>
  </w:style>
  <w:style w:type="paragraph" w:styleId="40">
    <w:name w:val="toc 2"/>
    <w:basedOn w:val="1"/>
    <w:next w:val="1"/>
    <w:unhideWhenUsed/>
    <w:qFormat/>
    <w:uiPriority w:val="39"/>
    <w:pPr>
      <w:ind w:left="420"/>
    </w:pPr>
  </w:style>
  <w:style w:type="paragraph" w:styleId="41">
    <w:name w:val="toc 9"/>
    <w:basedOn w:val="1"/>
    <w:next w:val="1"/>
    <w:unhideWhenUsed/>
    <w:qFormat/>
    <w:uiPriority w:val="39"/>
    <w:pPr>
      <w:ind w:left="3360"/>
    </w:pPr>
    <w:rPr>
      <w:rFonts w:ascii="Calibri" w:hAnsi="Calibri"/>
      <w:szCs w:val="22"/>
    </w:rPr>
  </w:style>
  <w:style w:type="paragraph" w:styleId="42">
    <w:name w:val="Body Text 2"/>
    <w:basedOn w:val="1"/>
    <w:link w:val="249"/>
    <w:qFormat/>
    <w:uiPriority w:val="0"/>
    <w:pPr>
      <w:spacing w:after="120" w:line="480" w:lineRule="auto"/>
    </w:pPr>
    <w:rPr>
      <w:sz w:val="20"/>
    </w:rPr>
  </w:style>
  <w:style w:type="paragraph" w:styleId="43">
    <w:name w:val="Normal (Web)"/>
    <w:basedOn w:val="1"/>
    <w:qFormat/>
    <w:uiPriority w:val="99"/>
    <w:pPr>
      <w:widowControl/>
      <w:spacing w:before="100" w:beforeAutospacing="1" w:after="100" w:afterAutospacing="1"/>
      <w:jc w:val="left"/>
    </w:pPr>
    <w:rPr>
      <w:rFonts w:ascii="宋体" w:hAnsi="宋体"/>
      <w:sz w:val="24"/>
    </w:rPr>
  </w:style>
  <w:style w:type="paragraph" w:styleId="44">
    <w:name w:val="index 1"/>
    <w:basedOn w:val="1"/>
    <w:next w:val="1"/>
    <w:semiHidden/>
    <w:qFormat/>
    <w:uiPriority w:val="0"/>
    <w:pPr>
      <w:spacing w:line="400" w:lineRule="exact"/>
      <w:ind w:firstLine="420"/>
    </w:pPr>
    <w:rPr>
      <w:rFonts w:ascii="宋体" w:hAnsi="Courier New"/>
      <w:b/>
      <w:szCs w:val="20"/>
    </w:rPr>
  </w:style>
  <w:style w:type="paragraph" w:styleId="45">
    <w:name w:val="Title"/>
    <w:basedOn w:val="1"/>
    <w:next w:val="1"/>
    <w:link w:val="250"/>
    <w:qFormat/>
    <w:uiPriority w:val="10"/>
    <w:pPr>
      <w:spacing w:before="240" w:after="60"/>
      <w:jc w:val="center"/>
      <w:outlineLvl w:val="0"/>
    </w:pPr>
    <w:rPr>
      <w:rFonts w:ascii="Cambria" w:hAnsi="Cambria"/>
      <w:b/>
      <w:bCs/>
      <w:sz w:val="32"/>
      <w:szCs w:val="32"/>
    </w:rPr>
  </w:style>
  <w:style w:type="paragraph" w:styleId="46">
    <w:name w:val="annotation subject"/>
    <w:basedOn w:val="16"/>
    <w:next w:val="16"/>
    <w:link w:val="251"/>
    <w:unhideWhenUsed/>
    <w:qFormat/>
    <w:uiPriority w:val="99"/>
    <w:rPr>
      <w:b/>
      <w:bCs/>
    </w:rPr>
  </w:style>
  <w:style w:type="paragraph" w:styleId="47">
    <w:name w:val="Body Text First Indent"/>
    <w:basedOn w:val="18"/>
    <w:qFormat/>
    <w:uiPriority w:val="0"/>
    <w:pPr>
      <w:spacing w:line="600" w:lineRule="exact"/>
      <w:ind w:firstLine="602"/>
      <w:jc w:val="left"/>
    </w:pPr>
  </w:style>
  <w:style w:type="table" w:styleId="49">
    <w:name w:val="Table Grid"/>
    <w:basedOn w:val="48"/>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endnote reference"/>
    <w:unhideWhenUsed/>
    <w:qFormat/>
    <w:uiPriority w:val="99"/>
    <w:rPr>
      <w:vertAlign w:val="superscript"/>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basedOn w:val="50"/>
    <w:qFormat/>
    <w:uiPriority w:val="20"/>
    <w:rPr>
      <w:i/>
    </w:rPr>
  </w:style>
  <w:style w:type="character" w:styleId="56">
    <w:name w:val="Hyperlink"/>
    <w:qFormat/>
    <w:uiPriority w:val="99"/>
    <w:rPr>
      <w:color w:val="0000FF"/>
      <w:u w:val="single"/>
    </w:rPr>
  </w:style>
  <w:style w:type="character" w:styleId="57">
    <w:name w:val="annotation reference"/>
    <w:unhideWhenUsed/>
    <w:qFormat/>
    <w:uiPriority w:val="99"/>
    <w:rPr>
      <w:sz w:val="21"/>
      <w:szCs w:val="21"/>
    </w:rPr>
  </w:style>
  <w:style w:type="character" w:styleId="58">
    <w:name w:val="footnote reference"/>
    <w:unhideWhenUsed/>
    <w:qFormat/>
    <w:uiPriority w:val="99"/>
    <w:rPr>
      <w:vertAlign w:val="superscript"/>
    </w:rPr>
  </w:style>
  <w:style w:type="table" w:customStyle="1" w:styleId="59">
    <w:name w:val="无格式表格 11"/>
    <w:basedOn w:val="48"/>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0">
    <w:name w:val="无格式表格 21"/>
    <w:basedOn w:val="48"/>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1">
    <w:name w:val="无格式表格 31"/>
    <w:basedOn w:val="48"/>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41"/>
    <w:basedOn w:val="48"/>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无格式表格 51"/>
    <w:basedOn w:val="48"/>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网格表 1 浅色1"/>
    <w:basedOn w:val="48"/>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5">
    <w:name w:val="网格表 21"/>
    <w:basedOn w:val="48"/>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6">
    <w:name w:val="网格表 31"/>
    <w:basedOn w:val="48"/>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7">
    <w:name w:val="网格表 41"/>
    <w:basedOn w:val="48"/>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网格表 5 深色1"/>
    <w:basedOn w:val="4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9">
    <w:name w:val="网格表 6 彩色1"/>
    <w:basedOn w:val="48"/>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70">
    <w:name w:val="网格表 7 彩色1"/>
    <w:basedOn w:val="48"/>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71">
    <w:name w:val="清单表 1 浅色1"/>
    <w:basedOn w:val="48"/>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72">
    <w:name w:val="清单表 21"/>
    <w:basedOn w:val="48"/>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73">
    <w:name w:val="清单表 31"/>
    <w:basedOn w:val="48"/>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74">
    <w:name w:val="清单表 41"/>
    <w:basedOn w:val="48"/>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75">
    <w:name w:val="清单表 5 深色1"/>
    <w:basedOn w:val="48"/>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76">
    <w:name w:val="清单表 6 彩色1"/>
    <w:basedOn w:val="48"/>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77">
    <w:name w:val="清单表 7 彩色1"/>
    <w:basedOn w:val="48"/>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character" w:customStyle="1" w:styleId="78">
    <w:name w:val="明显强调1"/>
    <w:basedOn w:val="50"/>
    <w:qFormat/>
    <w:uiPriority w:val="21"/>
    <w:rPr>
      <w:i/>
      <w:iCs/>
      <w:color w:val="376092" w:themeColor="accent1" w:themeShade="BF"/>
    </w:rPr>
  </w:style>
  <w:style w:type="character" w:customStyle="1" w:styleId="79">
    <w:name w:val="明显参考1"/>
    <w:basedOn w:val="50"/>
    <w:qFormat/>
    <w:uiPriority w:val="32"/>
    <w:rPr>
      <w:b/>
      <w:bCs/>
      <w:smallCaps/>
      <w:color w:val="376092" w:themeColor="accent1" w:themeShade="BF"/>
      <w:spacing w:val="5"/>
    </w:rPr>
  </w:style>
  <w:style w:type="character" w:customStyle="1" w:styleId="80">
    <w:name w:val="不明显强调1"/>
    <w:basedOn w:val="50"/>
    <w:qFormat/>
    <w:uiPriority w:val="19"/>
    <w:rPr>
      <w:i/>
      <w:iCs/>
      <w:color w:val="404040" w:themeColor="text1" w:themeTint="BF"/>
      <w14:textFill>
        <w14:solidFill>
          <w14:schemeClr w14:val="tx1">
            <w14:lumMod w14:val="75000"/>
            <w14:lumOff w14:val="25000"/>
          </w14:schemeClr>
        </w14:solidFill>
      </w14:textFill>
    </w:rPr>
  </w:style>
  <w:style w:type="character" w:customStyle="1" w:styleId="81">
    <w:name w:val="不明显参考1"/>
    <w:basedOn w:val="5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82">
    <w:name w:val="书籍标题1"/>
    <w:basedOn w:val="50"/>
    <w:qFormat/>
    <w:uiPriority w:val="33"/>
    <w:rPr>
      <w:b/>
      <w:bCs/>
      <w:i/>
      <w:iCs/>
      <w:spacing w:val="5"/>
    </w:rPr>
  </w:style>
  <w:style w:type="paragraph" w:customStyle="1" w:styleId="83">
    <w:name w:val="TOC 标题1"/>
    <w:unhideWhenUsed/>
    <w:qFormat/>
    <w:uiPriority w:val="39"/>
    <w:rPr>
      <w:rFonts w:ascii="Times New Roman" w:hAnsi="Times New Roman" w:eastAsia="宋体" w:cs="Times New Roman"/>
      <w:lang w:val="en-US" w:eastAsia="zh-CN" w:bidi="ar-SA"/>
    </w:rPr>
  </w:style>
  <w:style w:type="character" w:customStyle="1" w:styleId="84">
    <w:name w:val="Subtitle Char"/>
    <w:basedOn w:val="50"/>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85">
    <w:name w:val="Quote Char"/>
    <w:basedOn w:val="50"/>
    <w:qFormat/>
    <w:uiPriority w:val="29"/>
    <w:rPr>
      <w:i/>
      <w:iCs/>
      <w:color w:val="404040" w:themeColor="text1" w:themeTint="BF"/>
      <w14:textFill>
        <w14:solidFill>
          <w14:schemeClr w14:val="tx1">
            <w14:lumMod w14:val="75000"/>
            <w14:lumOff w14:val="25000"/>
          </w14:schemeClr>
        </w14:solidFill>
      </w14:textFill>
    </w:rPr>
  </w:style>
  <w:style w:type="character" w:customStyle="1" w:styleId="86">
    <w:name w:val="明显强调111"/>
    <w:basedOn w:val="50"/>
    <w:qFormat/>
    <w:uiPriority w:val="21"/>
    <w:rPr>
      <w:i/>
      <w:iCs/>
      <w:color w:val="376092" w:themeColor="accent1" w:themeShade="BF"/>
    </w:rPr>
  </w:style>
  <w:style w:type="character" w:customStyle="1" w:styleId="87">
    <w:name w:val="Intense Quote Char"/>
    <w:basedOn w:val="50"/>
    <w:qFormat/>
    <w:uiPriority w:val="30"/>
    <w:rPr>
      <w:i/>
      <w:iCs/>
      <w:color w:val="376092" w:themeColor="accent1" w:themeShade="BF"/>
    </w:rPr>
  </w:style>
  <w:style w:type="character" w:customStyle="1" w:styleId="88">
    <w:name w:val="明显参考111"/>
    <w:basedOn w:val="50"/>
    <w:qFormat/>
    <w:uiPriority w:val="32"/>
    <w:rPr>
      <w:b/>
      <w:bCs/>
      <w:smallCaps/>
      <w:color w:val="376092" w:themeColor="accent1" w:themeShade="BF"/>
      <w:spacing w:val="5"/>
    </w:rPr>
  </w:style>
  <w:style w:type="character" w:customStyle="1" w:styleId="89">
    <w:name w:val="不明显强调111"/>
    <w:basedOn w:val="50"/>
    <w:qFormat/>
    <w:uiPriority w:val="19"/>
    <w:rPr>
      <w:i/>
      <w:iCs/>
      <w:color w:val="404040" w:themeColor="text1" w:themeTint="BF"/>
      <w14:textFill>
        <w14:solidFill>
          <w14:schemeClr w14:val="tx1">
            <w14:lumMod w14:val="75000"/>
            <w14:lumOff w14:val="25000"/>
          </w14:schemeClr>
        </w14:solidFill>
      </w14:textFill>
    </w:rPr>
  </w:style>
  <w:style w:type="character" w:customStyle="1" w:styleId="90">
    <w:name w:val="不明显参考111"/>
    <w:basedOn w:val="5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91">
    <w:name w:val="书籍标题111"/>
    <w:basedOn w:val="50"/>
    <w:qFormat/>
    <w:uiPriority w:val="33"/>
    <w:rPr>
      <w:b/>
      <w:bCs/>
      <w:i/>
      <w:iCs/>
      <w:spacing w:val="5"/>
    </w:rPr>
  </w:style>
  <w:style w:type="paragraph" w:customStyle="1" w:styleId="92">
    <w:name w:val="TOC 标题111"/>
    <w:unhideWhenUsed/>
    <w:qFormat/>
    <w:uiPriority w:val="39"/>
    <w:rPr>
      <w:rFonts w:ascii="Times New Roman" w:hAnsi="Times New Roman" w:eastAsia="宋体" w:cs="Times New Roman"/>
      <w:lang w:val="en-US" w:eastAsia="zh-CN" w:bidi="ar-SA"/>
    </w:rPr>
  </w:style>
  <w:style w:type="table" w:customStyle="1" w:styleId="93">
    <w:name w:val="Table Grid Light"/>
    <w:basedOn w:val="48"/>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94">
    <w:name w:val="Grid Table 1 Light - Accent 1"/>
    <w:basedOn w:val="48"/>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95">
    <w:name w:val="Grid Table 1 Light - Accent 2"/>
    <w:basedOn w:val="48"/>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96">
    <w:name w:val="Grid Table 1 Light - Accent 3"/>
    <w:basedOn w:val="48"/>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97">
    <w:name w:val="Grid Table 1 Light - Accent 4"/>
    <w:basedOn w:val="48"/>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98">
    <w:name w:val="Grid Table 1 Light - Accent 5"/>
    <w:basedOn w:val="48"/>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99">
    <w:name w:val="Grid Table 1 Light - Accent 6"/>
    <w:basedOn w:val="48"/>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00">
    <w:name w:val="Grid Table 2 - Accent 1"/>
    <w:basedOn w:val="48"/>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1">
    <w:name w:val="Grid Table 2 - Accent 2"/>
    <w:basedOn w:val="48"/>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2">
    <w:name w:val="Grid Table 2 - Accent 3"/>
    <w:basedOn w:val="48"/>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3">
    <w:name w:val="Grid Table 2 - Accent 4"/>
    <w:basedOn w:val="48"/>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4">
    <w:name w:val="Grid Table 2 - Accent 5"/>
    <w:basedOn w:val="48"/>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5">
    <w:name w:val="Grid Table 2 - Accent 6"/>
    <w:basedOn w:val="48"/>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6">
    <w:name w:val="Grid Table 3 - Accent 1"/>
    <w:basedOn w:val="48"/>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7">
    <w:name w:val="Grid Table 3 - Accent 2"/>
    <w:basedOn w:val="48"/>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8">
    <w:name w:val="Grid Table 3 - Accent 3"/>
    <w:basedOn w:val="48"/>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9">
    <w:name w:val="Grid Table 3 - Accent 4"/>
    <w:basedOn w:val="48"/>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0">
    <w:name w:val="Grid Table 3 - Accent 5"/>
    <w:basedOn w:val="48"/>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1">
    <w:name w:val="Grid Table 3 - Accent 6"/>
    <w:basedOn w:val="48"/>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2">
    <w:name w:val="Grid Table 4 - Accent 1"/>
    <w:basedOn w:val="48"/>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13">
    <w:name w:val="Grid Table 4 - Accent 2"/>
    <w:basedOn w:val="48"/>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4">
    <w:name w:val="Grid Table 4 - Accent 3"/>
    <w:basedOn w:val="48"/>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5">
    <w:name w:val="Grid Table 4 - Accent 4"/>
    <w:basedOn w:val="48"/>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6">
    <w:name w:val="Grid Table 4 - Accent 5"/>
    <w:basedOn w:val="48"/>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7">
    <w:name w:val="Grid Table 4 - Accent 6"/>
    <w:basedOn w:val="48"/>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8">
    <w:name w:val="Grid Table 5 Dark- Accent 1"/>
    <w:basedOn w:val="4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9">
    <w:name w:val="Grid Table 5 Dark - Accent 2"/>
    <w:basedOn w:val="4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20">
    <w:name w:val="Grid Table 5 Dark - Accent 3"/>
    <w:basedOn w:val="4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21">
    <w:name w:val="Grid Table 5 Dark- Accent 4"/>
    <w:basedOn w:val="4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22">
    <w:name w:val="Grid Table 5 Dark - Accent 5"/>
    <w:basedOn w:val="4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23">
    <w:name w:val="Grid Table 5 Dark - Accent 6"/>
    <w:basedOn w:val="48"/>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24">
    <w:name w:val="Grid Table 6 Colorful - Accent 1"/>
    <w:basedOn w:val="48"/>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5">
    <w:name w:val="Grid Table 6 Colorful - Accent 2"/>
    <w:basedOn w:val="48"/>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6">
    <w:name w:val="Grid Table 6 Colorful - Accent 3"/>
    <w:basedOn w:val="48"/>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7">
    <w:name w:val="Grid Table 6 Colorful - Accent 4"/>
    <w:basedOn w:val="48"/>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8">
    <w:name w:val="Grid Table 6 Colorful - Accent 5"/>
    <w:basedOn w:val="48"/>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9">
    <w:name w:val="Grid Table 6 Colorful - Accent 6"/>
    <w:basedOn w:val="48"/>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30">
    <w:name w:val="Grid Table 7 Colorful - Accent 1"/>
    <w:basedOn w:val="48"/>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31">
    <w:name w:val="Grid Table 7 Colorful - Accent 2"/>
    <w:basedOn w:val="48"/>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2">
    <w:name w:val="Grid Table 7 Colorful - Accent 3"/>
    <w:basedOn w:val="48"/>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33">
    <w:name w:val="Grid Table 7 Colorful - Accent 4"/>
    <w:basedOn w:val="48"/>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34">
    <w:name w:val="Grid Table 7 Colorful - Accent 5"/>
    <w:basedOn w:val="48"/>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35">
    <w:name w:val="Grid Table 7 Colorful - Accent 6"/>
    <w:basedOn w:val="48"/>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36">
    <w:name w:val="List Table 1 Light - Accent 1"/>
    <w:basedOn w:val="48"/>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7">
    <w:name w:val="List Table 1 Light - Accent 2"/>
    <w:basedOn w:val="48"/>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8">
    <w:name w:val="List Table 1 Light - Accent 3"/>
    <w:basedOn w:val="48"/>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9">
    <w:name w:val="List Table 1 Light - Accent 4"/>
    <w:basedOn w:val="48"/>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40">
    <w:name w:val="List Table 1 Light - Accent 5"/>
    <w:basedOn w:val="48"/>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41">
    <w:name w:val="List Table 1 Light - Accent 6"/>
    <w:basedOn w:val="48"/>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42">
    <w:name w:val="List Table 2 - Accent 1"/>
    <w:basedOn w:val="48"/>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3">
    <w:name w:val="List Table 2 - Accent 2"/>
    <w:basedOn w:val="48"/>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4">
    <w:name w:val="List Table 2 - Accent 3"/>
    <w:basedOn w:val="48"/>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5">
    <w:name w:val="List Table 2 - Accent 4"/>
    <w:basedOn w:val="48"/>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6">
    <w:name w:val="List Table 2 - Accent 5"/>
    <w:basedOn w:val="48"/>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7">
    <w:name w:val="List Table 2 - Accent 6"/>
    <w:basedOn w:val="48"/>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8">
    <w:name w:val="List Table 3 - Accent 1"/>
    <w:basedOn w:val="48"/>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9">
    <w:name w:val="List Table 3 - Accent 2"/>
    <w:basedOn w:val="48"/>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50">
    <w:name w:val="List Table 3 - Accent 3"/>
    <w:basedOn w:val="48"/>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51">
    <w:name w:val="List Table 3 - Accent 4"/>
    <w:basedOn w:val="48"/>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52">
    <w:name w:val="List Table 3 - Accent 5"/>
    <w:basedOn w:val="48"/>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53">
    <w:name w:val="List Table 3 - Accent 6"/>
    <w:basedOn w:val="48"/>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4">
    <w:name w:val="List Table 4 - Accent 1"/>
    <w:basedOn w:val="48"/>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5">
    <w:name w:val="List Table 4 - Accent 2"/>
    <w:basedOn w:val="48"/>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6">
    <w:name w:val="List Table 4 - Accent 3"/>
    <w:basedOn w:val="48"/>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7">
    <w:name w:val="List Table 4 - Accent 4"/>
    <w:basedOn w:val="48"/>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8">
    <w:name w:val="List Table 4 - Accent 5"/>
    <w:basedOn w:val="48"/>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9">
    <w:name w:val="List Table 4 - Accent 6"/>
    <w:basedOn w:val="48"/>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0">
    <w:name w:val="List Table 5 Dark - Accent 1"/>
    <w:basedOn w:val="48"/>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61">
    <w:name w:val="List Table 5 Dark - Accent 2"/>
    <w:basedOn w:val="48"/>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62">
    <w:name w:val="List Table 5 Dark - Accent 3"/>
    <w:basedOn w:val="48"/>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3">
    <w:name w:val="List Table 5 Dark - Accent 4"/>
    <w:basedOn w:val="48"/>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4">
    <w:name w:val="List Table 5 Dark - Accent 5"/>
    <w:basedOn w:val="48"/>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5">
    <w:name w:val="List Table 5 Dark - Accent 6"/>
    <w:basedOn w:val="48"/>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6">
    <w:name w:val="List Table 6 Colorful - Accent 1"/>
    <w:basedOn w:val="48"/>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7">
    <w:name w:val="List Table 6 Colorful - Accent 2"/>
    <w:basedOn w:val="48"/>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8">
    <w:name w:val="List Table 6 Colorful - Accent 3"/>
    <w:basedOn w:val="48"/>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9">
    <w:name w:val="List Table 6 Colorful - Accent 4"/>
    <w:basedOn w:val="48"/>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0">
    <w:name w:val="List Table 6 Colorful - Accent 5"/>
    <w:basedOn w:val="48"/>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1">
    <w:name w:val="List Table 6 Colorful - Accent 6"/>
    <w:basedOn w:val="48"/>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2">
    <w:name w:val="List Table 7 Colorful - Accent 1"/>
    <w:basedOn w:val="48"/>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3">
    <w:name w:val="List Table 7 Colorful - Accent 2"/>
    <w:basedOn w:val="48"/>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4">
    <w:name w:val="List Table 7 Colorful - Accent 3"/>
    <w:basedOn w:val="48"/>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5">
    <w:name w:val="List Table 7 Colorful - Accent 4"/>
    <w:basedOn w:val="48"/>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6">
    <w:name w:val="List Table 7 Colorful - Accent 5"/>
    <w:basedOn w:val="48"/>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7">
    <w:name w:val="List Table 7 Colorful - Accent 6"/>
    <w:basedOn w:val="48"/>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8">
    <w:name w:val="Lined - Accent"/>
    <w:basedOn w:val="4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9">
    <w:name w:val="Lined - Accent 1"/>
    <w:basedOn w:val="4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0">
    <w:name w:val="Lined - Accent 2"/>
    <w:basedOn w:val="4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1">
    <w:name w:val="Lined - Accent 3"/>
    <w:basedOn w:val="4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2">
    <w:name w:val="Lined - Accent 4"/>
    <w:basedOn w:val="4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3">
    <w:name w:val="Lined - Accent 5"/>
    <w:basedOn w:val="4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4">
    <w:name w:val="Lined - Accent 6"/>
    <w:basedOn w:val="48"/>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5">
    <w:name w:val="Bordered &amp; Lined - Accent"/>
    <w:basedOn w:val="48"/>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6">
    <w:name w:val="Bordered &amp; Lined - Accent 1"/>
    <w:basedOn w:val="48"/>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7">
    <w:name w:val="Bordered &amp; Lined - Accent 2"/>
    <w:basedOn w:val="48"/>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8">
    <w:name w:val="Bordered &amp; Lined - Accent 3"/>
    <w:basedOn w:val="48"/>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9">
    <w:name w:val="Bordered &amp; Lined - Accent 4"/>
    <w:basedOn w:val="48"/>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0">
    <w:name w:val="Bordered &amp; Lined - Accent 5"/>
    <w:basedOn w:val="48"/>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1">
    <w:name w:val="Bordered &amp; Lined - Accent 6"/>
    <w:basedOn w:val="48"/>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2">
    <w:name w:val="Bordered"/>
    <w:basedOn w:val="48"/>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3">
    <w:name w:val="Bordered - Accent 1"/>
    <w:basedOn w:val="48"/>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4">
    <w:name w:val="Bordered - Accent 2"/>
    <w:basedOn w:val="48"/>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5">
    <w:name w:val="Bordered - Accent 3"/>
    <w:basedOn w:val="48"/>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6">
    <w:name w:val="Bordered - Accent 4"/>
    <w:basedOn w:val="48"/>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7">
    <w:name w:val="Bordered - Accent 5"/>
    <w:basedOn w:val="48"/>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8">
    <w:name w:val="Bordered - Accent 6"/>
    <w:basedOn w:val="48"/>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9">
    <w:name w:val="Heading 1 Char"/>
    <w:basedOn w:val="50"/>
    <w:qFormat/>
    <w:uiPriority w:val="9"/>
    <w:rPr>
      <w:rFonts w:ascii="Arial" w:hAnsi="Arial" w:eastAsia="Arial" w:cs="Arial"/>
      <w:color w:val="376092" w:themeColor="accent1" w:themeShade="BF"/>
      <w:sz w:val="40"/>
      <w:szCs w:val="40"/>
    </w:rPr>
  </w:style>
  <w:style w:type="character" w:customStyle="1" w:styleId="200">
    <w:name w:val="Heading 2 Char"/>
    <w:basedOn w:val="50"/>
    <w:qFormat/>
    <w:uiPriority w:val="9"/>
    <w:rPr>
      <w:rFonts w:ascii="Arial" w:hAnsi="Arial" w:eastAsia="Arial" w:cs="Arial"/>
      <w:color w:val="376092" w:themeColor="accent1" w:themeShade="BF"/>
      <w:sz w:val="32"/>
      <w:szCs w:val="32"/>
    </w:rPr>
  </w:style>
  <w:style w:type="character" w:customStyle="1" w:styleId="201">
    <w:name w:val="Heading 3 Char"/>
    <w:basedOn w:val="50"/>
    <w:qFormat/>
    <w:uiPriority w:val="9"/>
    <w:rPr>
      <w:rFonts w:ascii="Arial" w:hAnsi="Arial" w:eastAsia="Arial" w:cs="Arial"/>
      <w:color w:val="376092" w:themeColor="accent1" w:themeShade="BF"/>
      <w:sz w:val="28"/>
      <w:szCs w:val="28"/>
    </w:rPr>
  </w:style>
  <w:style w:type="character" w:customStyle="1" w:styleId="202">
    <w:name w:val="Heading 4 Char"/>
    <w:basedOn w:val="50"/>
    <w:qFormat/>
    <w:uiPriority w:val="9"/>
    <w:rPr>
      <w:rFonts w:ascii="Arial" w:hAnsi="Arial" w:eastAsia="Arial" w:cs="Arial"/>
      <w:i/>
      <w:iCs/>
      <w:color w:val="376092" w:themeColor="accent1" w:themeShade="BF"/>
    </w:rPr>
  </w:style>
  <w:style w:type="character" w:customStyle="1" w:styleId="203">
    <w:name w:val="Heading 5 Char"/>
    <w:basedOn w:val="50"/>
    <w:qFormat/>
    <w:uiPriority w:val="9"/>
    <w:rPr>
      <w:rFonts w:ascii="Arial" w:hAnsi="Arial" w:eastAsia="Arial" w:cs="Arial"/>
      <w:color w:val="376092" w:themeColor="accent1" w:themeShade="BF"/>
    </w:rPr>
  </w:style>
  <w:style w:type="character" w:customStyle="1" w:styleId="204">
    <w:name w:val="Heading 6 Char"/>
    <w:basedOn w:val="50"/>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5">
    <w:name w:val="Heading 7 Char"/>
    <w:basedOn w:val="50"/>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6">
    <w:name w:val="Heading 8 Char"/>
    <w:basedOn w:val="5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7">
    <w:name w:val="Heading 9 Char"/>
    <w:basedOn w:val="5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8">
    <w:name w:val="Title Char"/>
    <w:basedOn w:val="50"/>
    <w:qFormat/>
    <w:uiPriority w:val="10"/>
    <w:rPr>
      <w:rFonts w:ascii="Arial" w:hAnsi="Arial" w:eastAsia="Arial" w:cs="Arial"/>
      <w:spacing w:val="-10"/>
      <w:sz w:val="56"/>
      <w:szCs w:val="56"/>
    </w:rPr>
  </w:style>
  <w:style w:type="character" w:customStyle="1" w:styleId="209">
    <w:name w:val="副标题 Char"/>
    <w:basedOn w:val="50"/>
    <w:link w:val="3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10">
    <w:name w:val="Quote"/>
    <w:basedOn w:val="1"/>
    <w:next w:val="1"/>
    <w:link w:val="21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11">
    <w:name w:val="引用 Char"/>
    <w:basedOn w:val="50"/>
    <w:link w:val="210"/>
    <w:qFormat/>
    <w:uiPriority w:val="29"/>
    <w:rPr>
      <w:i/>
      <w:iCs/>
      <w:color w:val="404040" w:themeColor="text1" w:themeTint="BF"/>
      <w14:textFill>
        <w14:solidFill>
          <w14:schemeClr w14:val="tx1">
            <w14:lumMod w14:val="75000"/>
            <w14:lumOff w14:val="25000"/>
          </w14:schemeClr>
        </w14:solidFill>
      </w14:textFill>
    </w:rPr>
  </w:style>
  <w:style w:type="character" w:customStyle="1" w:styleId="212">
    <w:name w:val="明显强调11"/>
    <w:basedOn w:val="50"/>
    <w:qFormat/>
    <w:uiPriority w:val="21"/>
    <w:rPr>
      <w:i/>
      <w:iCs/>
      <w:color w:val="376092" w:themeColor="accent1" w:themeShade="BF"/>
    </w:rPr>
  </w:style>
  <w:style w:type="paragraph" w:styleId="213">
    <w:name w:val="Intense Quote"/>
    <w:basedOn w:val="1"/>
    <w:next w:val="1"/>
    <w:link w:val="214"/>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14">
    <w:name w:val="明显引用 Char"/>
    <w:basedOn w:val="50"/>
    <w:link w:val="213"/>
    <w:qFormat/>
    <w:uiPriority w:val="30"/>
    <w:rPr>
      <w:i/>
      <w:iCs/>
      <w:color w:val="376092" w:themeColor="accent1" w:themeShade="BF"/>
    </w:rPr>
  </w:style>
  <w:style w:type="character" w:customStyle="1" w:styleId="215">
    <w:name w:val="明显参考11"/>
    <w:basedOn w:val="50"/>
    <w:qFormat/>
    <w:uiPriority w:val="32"/>
    <w:rPr>
      <w:b/>
      <w:bCs/>
      <w:smallCaps/>
      <w:color w:val="376092" w:themeColor="accent1" w:themeShade="BF"/>
      <w:spacing w:val="5"/>
    </w:rPr>
  </w:style>
  <w:style w:type="paragraph" w:styleId="216">
    <w:name w:val="No Spacing"/>
    <w:basedOn w:val="1"/>
    <w:qFormat/>
    <w:uiPriority w:val="1"/>
  </w:style>
  <w:style w:type="character" w:customStyle="1" w:styleId="217">
    <w:name w:val="不明显强调11"/>
    <w:basedOn w:val="50"/>
    <w:qFormat/>
    <w:uiPriority w:val="19"/>
    <w:rPr>
      <w:i/>
      <w:iCs/>
      <w:color w:val="404040" w:themeColor="text1" w:themeTint="BF"/>
      <w14:textFill>
        <w14:solidFill>
          <w14:schemeClr w14:val="tx1">
            <w14:lumMod w14:val="75000"/>
            <w14:lumOff w14:val="25000"/>
          </w14:schemeClr>
        </w14:solidFill>
      </w14:textFill>
    </w:rPr>
  </w:style>
  <w:style w:type="character" w:customStyle="1" w:styleId="218">
    <w:name w:val="不明显参考11"/>
    <w:basedOn w:val="5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9">
    <w:name w:val="书籍标题11"/>
    <w:basedOn w:val="50"/>
    <w:qFormat/>
    <w:uiPriority w:val="33"/>
    <w:rPr>
      <w:b/>
      <w:bCs/>
      <w:i/>
      <w:iCs/>
      <w:spacing w:val="5"/>
    </w:rPr>
  </w:style>
  <w:style w:type="character" w:customStyle="1" w:styleId="220">
    <w:name w:val="Header Char"/>
    <w:basedOn w:val="50"/>
    <w:qFormat/>
    <w:uiPriority w:val="99"/>
  </w:style>
  <w:style w:type="character" w:customStyle="1" w:styleId="221">
    <w:name w:val="Footer Char"/>
    <w:basedOn w:val="50"/>
    <w:qFormat/>
    <w:uiPriority w:val="99"/>
  </w:style>
  <w:style w:type="character" w:customStyle="1" w:styleId="222">
    <w:name w:val="Footnote Text Char"/>
    <w:basedOn w:val="50"/>
    <w:semiHidden/>
    <w:qFormat/>
    <w:uiPriority w:val="99"/>
    <w:rPr>
      <w:sz w:val="20"/>
      <w:szCs w:val="20"/>
    </w:rPr>
  </w:style>
  <w:style w:type="character" w:customStyle="1" w:styleId="223">
    <w:name w:val="Endnote Text Char"/>
    <w:basedOn w:val="50"/>
    <w:semiHidden/>
    <w:qFormat/>
    <w:uiPriority w:val="99"/>
    <w:rPr>
      <w:sz w:val="20"/>
      <w:szCs w:val="20"/>
    </w:rPr>
  </w:style>
  <w:style w:type="character" w:styleId="224">
    <w:name w:val="Placeholder Text"/>
    <w:basedOn w:val="50"/>
    <w:semiHidden/>
    <w:qFormat/>
    <w:uiPriority w:val="99"/>
    <w:rPr>
      <w:color w:val="666666"/>
    </w:rPr>
  </w:style>
  <w:style w:type="paragraph" w:customStyle="1" w:styleId="225">
    <w:name w:val="TOC 标题11"/>
    <w:unhideWhenUsed/>
    <w:qFormat/>
    <w:uiPriority w:val="39"/>
    <w:rPr>
      <w:rFonts w:ascii="Times New Roman" w:hAnsi="Times New Roman" w:eastAsia="宋体" w:cs="Times New Roman"/>
      <w:lang w:val="en-US" w:eastAsia="zh-CN" w:bidi="ar-SA"/>
    </w:rPr>
  </w:style>
  <w:style w:type="paragraph" w:customStyle="1" w:styleId="226">
    <w:name w:val="首行缩进"/>
    <w:basedOn w:val="1"/>
    <w:qFormat/>
    <w:uiPriority w:val="0"/>
    <w:pPr>
      <w:spacing w:before="100" w:beforeAutospacing="1"/>
      <w:ind w:firstLine="480"/>
    </w:pPr>
    <w:rPr>
      <w:szCs w:val="21"/>
    </w:rPr>
  </w:style>
  <w:style w:type="character" w:customStyle="1" w:styleId="227">
    <w:name w:val="标题 1 字符"/>
    <w:qFormat/>
    <w:uiPriority w:val="9"/>
    <w:rPr>
      <w:rFonts w:ascii="Times New Roman" w:hAnsi="Times New Roman" w:eastAsia="宋体" w:cs="Times New Roman"/>
      <w:b/>
      <w:bCs/>
      <w:sz w:val="44"/>
      <w:szCs w:val="44"/>
    </w:rPr>
  </w:style>
  <w:style w:type="character" w:customStyle="1" w:styleId="228">
    <w:name w:val="标题 2 Char"/>
    <w:link w:val="3"/>
    <w:qFormat/>
    <w:uiPriority w:val="0"/>
    <w:rPr>
      <w:rFonts w:ascii="Arial" w:hAnsi="Arial" w:eastAsia="黑体" w:cs="Times New Roman"/>
      <w:b/>
      <w:bCs/>
      <w:sz w:val="32"/>
      <w:szCs w:val="32"/>
    </w:rPr>
  </w:style>
  <w:style w:type="character" w:customStyle="1" w:styleId="229">
    <w:name w:val="正文文本 Char"/>
    <w:link w:val="18"/>
    <w:qFormat/>
    <w:uiPriority w:val="99"/>
    <w:rPr>
      <w:rFonts w:ascii="Times New Roman" w:hAnsi="Times New Roman" w:eastAsia="宋体" w:cs="Times New Roman"/>
      <w:sz w:val="24"/>
      <w:szCs w:val="24"/>
    </w:rPr>
  </w:style>
  <w:style w:type="character" w:customStyle="1" w:styleId="230">
    <w:name w:val="标题 1 Char"/>
    <w:link w:val="2"/>
    <w:qFormat/>
    <w:uiPriority w:val="0"/>
    <w:rPr>
      <w:rFonts w:ascii="Times New Roman" w:hAnsi="Times New Roman" w:eastAsia="宋体" w:cs="Times New Roman"/>
      <w:b/>
      <w:bCs/>
      <w:sz w:val="44"/>
      <w:szCs w:val="44"/>
    </w:rPr>
  </w:style>
  <w:style w:type="character" w:customStyle="1" w:styleId="231">
    <w:name w:val="标题 3 Char"/>
    <w:link w:val="4"/>
    <w:qFormat/>
    <w:uiPriority w:val="0"/>
    <w:rPr>
      <w:rFonts w:ascii="Times New Roman" w:hAnsi="Times New Roman" w:eastAsia="宋体" w:cs="Times New Roman"/>
      <w:b/>
      <w:bCs/>
      <w:sz w:val="32"/>
      <w:szCs w:val="32"/>
    </w:rPr>
  </w:style>
  <w:style w:type="character" w:customStyle="1" w:styleId="232">
    <w:name w:val="标题 5 Char2"/>
    <w:link w:val="6"/>
    <w:qFormat/>
    <w:uiPriority w:val="0"/>
    <w:rPr>
      <w:b/>
      <w:sz w:val="28"/>
      <w:szCs w:val="24"/>
    </w:rPr>
  </w:style>
  <w:style w:type="character" w:customStyle="1" w:styleId="233">
    <w:name w:val="标题 6 Char"/>
    <w:link w:val="8"/>
    <w:qFormat/>
    <w:uiPriority w:val="0"/>
    <w:rPr>
      <w:rFonts w:ascii="Arial" w:hAnsi="Arial" w:eastAsia="黑体"/>
      <w:b/>
      <w:sz w:val="24"/>
      <w:szCs w:val="24"/>
    </w:rPr>
  </w:style>
  <w:style w:type="character" w:customStyle="1" w:styleId="234">
    <w:name w:val="标题 7 Char"/>
    <w:link w:val="9"/>
    <w:qFormat/>
    <w:uiPriority w:val="0"/>
    <w:rPr>
      <w:rFonts w:ascii="Times New Roman" w:hAnsi="Times New Roman"/>
      <w:b/>
      <w:sz w:val="24"/>
      <w:szCs w:val="24"/>
    </w:rPr>
  </w:style>
  <w:style w:type="character" w:customStyle="1" w:styleId="235">
    <w:name w:val="标题 8 Char"/>
    <w:link w:val="10"/>
    <w:qFormat/>
    <w:uiPriority w:val="0"/>
    <w:rPr>
      <w:rFonts w:ascii="Arial" w:hAnsi="Arial" w:eastAsia="黑体"/>
      <w:sz w:val="24"/>
      <w:szCs w:val="24"/>
    </w:rPr>
  </w:style>
  <w:style w:type="character" w:customStyle="1" w:styleId="236">
    <w:name w:val="标题 9 Char"/>
    <w:link w:val="11"/>
    <w:qFormat/>
    <w:uiPriority w:val="0"/>
    <w:rPr>
      <w:rFonts w:ascii="Arial" w:hAnsi="Arial" w:eastAsia="黑体"/>
      <w:sz w:val="21"/>
      <w:szCs w:val="24"/>
    </w:rPr>
  </w:style>
  <w:style w:type="character" w:customStyle="1" w:styleId="237">
    <w:name w:val="批注文字 Char2"/>
    <w:link w:val="16"/>
    <w:qFormat/>
    <w:uiPriority w:val="0"/>
    <w:rPr>
      <w:rFonts w:ascii="Times New Roman" w:hAnsi="Times New Roman"/>
      <w:sz w:val="21"/>
      <w:szCs w:val="24"/>
    </w:rPr>
  </w:style>
  <w:style w:type="character" w:customStyle="1" w:styleId="238">
    <w:name w:val="正文文本 3 Char"/>
    <w:link w:val="17"/>
    <w:qFormat/>
    <w:uiPriority w:val="0"/>
    <w:rPr>
      <w:rFonts w:ascii="Times New Roman" w:hAnsi="Times New Roman" w:eastAsia="宋体" w:cs="Times New Roman"/>
      <w:b/>
      <w:bCs/>
      <w:sz w:val="24"/>
      <w:szCs w:val="24"/>
    </w:rPr>
  </w:style>
  <w:style w:type="character" w:customStyle="1" w:styleId="239">
    <w:name w:val="正文文本缩进 Char"/>
    <w:link w:val="19"/>
    <w:qFormat/>
    <w:uiPriority w:val="0"/>
    <w:rPr>
      <w:rFonts w:ascii="仿宋_GB2312" w:hAnsi="Times New Roman" w:eastAsia="仿宋_GB2312" w:cs="Times New Roman"/>
      <w:sz w:val="32"/>
      <w:szCs w:val="20"/>
    </w:rPr>
  </w:style>
  <w:style w:type="character" w:customStyle="1" w:styleId="240">
    <w:name w:val="纯文本 Char2"/>
    <w:link w:val="24"/>
    <w:qFormat/>
    <w:uiPriority w:val="0"/>
    <w:rPr>
      <w:rFonts w:ascii="宋体" w:hAnsi="Courier New" w:eastAsia="宋体" w:cs="Courier New"/>
      <w:szCs w:val="21"/>
    </w:rPr>
  </w:style>
  <w:style w:type="character" w:customStyle="1" w:styleId="241">
    <w:name w:val="日期 Char"/>
    <w:link w:val="26"/>
    <w:qFormat/>
    <w:uiPriority w:val="0"/>
    <w:rPr>
      <w:rFonts w:ascii="宋体" w:hAnsi="Courier New" w:eastAsia="宋体" w:cs="Courier New"/>
      <w:szCs w:val="21"/>
    </w:rPr>
  </w:style>
  <w:style w:type="character" w:customStyle="1" w:styleId="242">
    <w:name w:val="正文文本缩进 2 Char"/>
    <w:link w:val="27"/>
    <w:qFormat/>
    <w:uiPriority w:val="0"/>
    <w:rPr>
      <w:rFonts w:ascii="Times New Roman" w:hAnsi="Times New Roman" w:eastAsia="宋体" w:cs="Times New Roman"/>
      <w:sz w:val="32"/>
      <w:szCs w:val="20"/>
    </w:rPr>
  </w:style>
  <w:style w:type="character" w:customStyle="1" w:styleId="243">
    <w:name w:val="尾注文本 Char"/>
    <w:link w:val="28"/>
    <w:semiHidden/>
    <w:qFormat/>
    <w:uiPriority w:val="99"/>
    <w:rPr>
      <w:rFonts w:ascii="Times New Roman" w:hAnsi="Times New Roman"/>
      <w:sz w:val="21"/>
      <w:szCs w:val="24"/>
    </w:rPr>
  </w:style>
  <w:style w:type="character" w:customStyle="1" w:styleId="244">
    <w:name w:val="批注框文本 Char"/>
    <w:link w:val="29"/>
    <w:semiHidden/>
    <w:qFormat/>
    <w:uiPriority w:val="0"/>
    <w:rPr>
      <w:rFonts w:ascii="Times New Roman" w:hAnsi="Times New Roman" w:eastAsia="宋体" w:cs="Times New Roman"/>
      <w:sz w:val="18"/>
      <w:szCs w:val="18"/>
    </w:rPr>
  </w:style>
  <w:style w:type="character" w:customStyle="1" w:styleId="245">
    <w:name w:val="页脚 Char"/>
    <w:link w:val="30"/>
    <w:qFormat/>
    <w:uiPriority w:val="99"/>
    <w:rPr>
      <w:sz w:val="18"/>
      <w:szCs w:val="18"/>
    </w:rPr>
  </w:style>
  <w:style w:type="character" w:customStyle="1" w:styleId="246">
    <w:name w:val="页眉 Char"/>
    <w:link w:val="31"/>
    <w:qFormat/>
    <w:uiPriority w:val="99"/>
    <w:rPr>
      <w:rFonts w:ascii="Times New Roman" w:hAnsi="Times New Roman"/>
      <w:sz w:val="18"/>
      <w:szCs w:val="18"/>
    </w:rPr>
  </w:style>
  <w:style w:type="character" w:customStyle="1" w:styleId="247">
    <w:name w:val="脚注文本 Char"/>
    <w:link w:val="36"/>
    <w:semiHidden/>
    <w:qFormat/>
    <w:uiPriority w:val="99"/>
    <w:rPr>
      <w:rFonts w:ascii="Times New Roman" w:hAnsi="Times New Roman"/>
      <w:sz w:val="18"/>
      <w:szCs w:val="18"/>
    </w:rPr>
  </w:style>
  <w:style w:type="character" w:customStyle="1" w:styleId="248">
    <w:name w:val="正文文本缩进 3 Char"/>
    <w:link w:val="38"/>
    <w:qFormat/>
    <w:uiPriority w:val="0"/>
    <w:rPr>
      <w:rFonts w:ascii="Times New Roman" w:hAnsi="Times New Roman" w:eastAsia="宋体" w:cs="Times New Roman"/>
      <w:sz w:val="16"/>
      <w:szCs w:val="16"/>
    </w:rPr>
  </w:style>
  <w:style w:type="character" w:customStyle="1" w:styleId="249">
    <w:name w:val="正文文本 2 Char"/>
    <w:link w:val="42"/>
    <w:qFormat/>
    <w:uiPriority w:val="0"/>
    <w:rPr>
      <w:rFonts w:ascii="Times New Roman" w:hAnsi="Times New Roman" w:eastAsia="宋体" w:cs="Times New Roman"/>
      <w:szCs w:val="24"/>
    </w:rPr>
  </w:style>
  <w:style w:type="character" w:customStyle="1" w:styleId="250">
    <w:name w:val="标题 Char"/>
    <w:link w:val="45"/>
    <w:qFormat/>
    <w:uiPriority w:val="10"/>
    <w:rPr>
      <w:rFonts w:ascii="Cambria" w:hAnsi="Cambria" w:cs="Times New Roman"/>
      <w:b/>
      <w:bCs/>
      <w:sz w:val="32"/>
      <w:szCs w:val="32"/>
    </w:rPr>
  </w:style>
  <w:style w:type="character" w:customStyle="1" w:styleId="251">
    <w:name w:val="批注主题 Char"/>
    <w:link w:val="46"/>
    <w:semiHidden/>
    <w:qFormat/>
    <w:uiPriority w:val="99"/>
    <w:rPr>
      <w:rFonts w:ascii="Times New Roman" w:hAnsi="Times New Roman"/>
      <w:b/>
      <w:bCs/>
      <w:sz w:val="21"/>
      <w:szCs w:val="24"/>
    </w:rPr>
  </w:style>
  <w:style w:type="character" w:customStyle="1" w:styleId="252">
    <w:name w:val="纯文本 字符1"/>
    <w:qFormat/>
    <w:uiPriority w:val="0"/>
    <w:rPr>
      <w:rFonts w:ascii="宋体" w:hAnsi="Courier New"/>
    </w:rPr>
  </w:style>
  <w:style w:type="character" w:customStyle="1" w:styleId="253">
    <w:name w:val="批注文字 Char1"/>
    <w:semiHidden/>
    <w:qFormat/>
    <w:uiPriority w:val="0"/>
    <w:rPr>
      <w:rFonts w:ascii="Times New Roman" w:hAnsi="Times New Roman"/>
      <w:sz w:val="21"/>
      <w:szCs w:val="24"/>
    </w:rPr>
  </w:style>
  <w:style w:type="character" w:customStyle="1" w:styleId="254">
    <w:name w:val="headline-content4"/>
    <w:qFormat/>
    <w:uiPriority w:val="0"/>
  </w:style>
  <w:style w:type="character" w:customStyle="1" w:styleId="255">
    <w:name w:val="批注文字 字符"/>
    <w:qFormat/>
    <w:uiPriority w:val="0"/>
    <w:rPr>
      <w:rFonts w:ascii="Times New Roman" w:hAnsi="Times New Roman"/>
      <w:sz w:val="21"/>
      <w:szCs w:val="24"/>
    </w:rPr>
  </w:style>
  <w:style w:type="character" w:customStyle="1" w:styleId="256">
    <w:name w:val="标题 5 Char"/>
    <w:qFormat/>
    <w:uiPriority w:val="0"/>
    <w:rPr>
      <w:b/>
      <w:sz w:val="28"/>
      <w:szCs w:val="24"/>
    </w:rPr>
  </w:style>
  <w:style w:type="character" w:customStyle="1" w:styleId="257">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58">
    <w:name w:val="批注文字 Char"/>
    <w:qFormat/>
    <w:uiPriority w:val="0"/>
    <w:rPr>
      <w:rFonts w:ascii="Times New Roman" w:hAnsi="Times New Roman"/>
      <w:sz w:val="21"/>
      <w:szCs w:val="24"/>
    </w:rPr>
  </w:style>
  <w:style w:type="character" w:customStyle="1" w:styleId="259">
    <w:name w:val="apple-style-span"/>
    <w:qFormat/>
    <w:uiPriority w:val="0"/>
  </w:style>
  <w:style w:type="character" w:customStyle="1" w:styleId="260">
    <w:name w:val="正文文本缩进 字符"/>
    <w:qFormat/>
    <w:uiPriority w:val="0"/>
    <w:rPr>
      <w:rFonts w:ascii="仿宋_GB2312" w:hAnsi="Times New Roman" w:eastAsia="仿宋_GB2312" w:cs="Times New Roman"/>
      <w:sz w:val="32"/>
      <w:szCs w:val="20"/>
    </w:rPr>
  </w:style>
  <w:style w:type="character" w:customStyle="1" w:styleId="261">
    <w:name w:val="case31"/>
    <w:qFormat/>
    <w:uiPriority w:val="0"/>
    <w:rPr>
      <w:rFonts w:hint="default" w:ascii="_x000B__x000C_" w:hAnsi="_x000B__x000C_"/>
      <w:sz w:val="21"/>
      <w:szCs w:val="21"/>
    </w:rPr>
  </w:style>
  <w:style w:type="character" w:customStyle="1" w:styleId="262">
    <w:name w:val="纯文本 字符"/>
    <w:qFormat/>
    <w:uiPriority w:val="0"/>
    <w:rPr>
      <w:rFonts w:ascii="宋体" w:hAnsi="Courier New" w:eastAsia="宋体" w:cs="Courier New"/>
      <w:szCs w:val="21"/>
    </w:rPr>
  </w:style>
  <w:style w:type="character" w:customStyle="1" w:styleId="263">
    <w:name w:val="textcontents"/>
    <w:qFormat/>
    <w:uiPriority w:val="0"/>
  </w:style>
  <w:style w:type="character" w:customStyle="1" w:styleId="264">
    <w:name w:val="普通文字 Char Char2"/>
    <w:qFormat/>
    <w:uiPriority w:val="0"/>
    <w:rPr>
      <w:rFonts w:ascii="宋体" w:hAnsi="Courier New" w:eastAsia="宋体"/>
      <w:sz w:val="21"/>
      <w:lang w:val="en-US" w:eastAsia="zh-CN" w:bidi="ar-SA"/>
    </w:rPr>
  </w:style>
  <w:style w:type="paragraph" w:customStyle="1" w:styleId="265">
    <w:name w:val="正文段"/>
    <w:basedOn w:val="1"/>
    <w:qFormat/>
    <w:uiPriority w:val="0"/>
    <w:pPr>
      <w:widowControl/>
      <w:spacing w:after="50"/>
      <w:ind w:firstLine="200"/>
    </w:pPr>
    <w:rPr>
      <w:sz w:val="24"/>
      <w:szCs w:val="20"/>
    </w:rPr>
  </w:style>
  <w:style w:type="paragraph" w:customStyle="1" w:styleId="266">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67">
    <w:name w:val="默认段落字体 Para Char Char Char Char Char Char Char Char Char1 Char Char Char Char"/>
    <w:basedOn w:val="1"/>
    <w:qFormat/>
    <w:uiPriority w:val="0"/>
    <w:rPr>
      <w:rFonts w:ascii="Tahoma" w:hAnsi="Tahoma"/>
      <w:sz w:val="24"/>
      <w:szCs w:val="20"/>
    </w:rPr>
  </w:style>
  <w:style w:type="paragraph" w:customStyle="1" w:styleId="268">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69">
    <w:name w:val="样式"/>
    <w:qFormat/>
    <w:uiPriority w:val="0"/>
    <w:pPr>
      <w:widowControl w:val="0"/>
      <w:jc w:val="center"/>
    </w:pPr>
    <w:rPr>
      <w:rFonts w:ascii="宋体" w:hAnsi="宋体" w:eastAsia="宋体" w:cs="宋体"/>
      <w:sz w:val="24"/>
      <w:szCs w:val="24"/>
      <w:lang w:val="en-US" w:eastAsia="zh-CN" w:bidi="ar-SA"/>
    </w:rPr>
  </w:style>
  <w:style w:type="paragraph" w:customStyle="1" w:styleId="27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71">
    <w:name w:val="Table Paragraph"/>
    <w:basedOn w:val="1"/>
    <w:qFormat/>
    <w:uiPriority w:val="1"/>
    <w:pPr>
      <w:jc w:val="left"/>
    </w:pPr>
    <w:rPr>
      <w:rFonts w:ascii="Calibri" w:hAnsi="Calibri"/>
      <w:sz w:val="22"/>
      <w:szCs w:val="22"/>
      <w:lang w:eastAsia="en-US"/>
    </w:rPr>
  </w:style>
  <w:style w:type="paragraph" w:customStyle="1" w:styleId="272">
    <w:name w:val="Char1"/>
    <w:basedOn w:val="1"/>
    <w:qFormat/>
    <w:uiPriority w:val="0"/>
    <w:rPr>
      <w:szCs w:val="21"/>
    </w:rPr>
  </w:style>
  <w:style w:type="paragraph" w:customStyle="1" w:styleId="273">
    <w:name w:val="正文首行缩进两字符"/>
    <w:basedOn w:val="1"/>
    <w:qFormat/>
    <w:uiPriority w:val="0"/>
    <w:pPr>
      <w:spacing w:line="360" w:lineRule="auto"/>
      <w:ind w:firstLine="200"/>
    </w:pPr>
  </w:style>
  <w:style w:type="paragraph" w:customStyle="1" w:styleId="274">
    <w:name w:val="表格"/>
    <w:basedOn w:val="1"/>
    <w:qFormat/>
    <w:uiPriority w:val="0"/>
    <w:pPr>
      <w:spacing w:line="400" w:lineRule="exact"/>
    </w:pPr>
    <w:rPr>
      <w:sz w:val="24"/>
    </w:rPr>
  </w:style>
  <w:style w:type="paragraph" w:customStyle="1" w:styleId="275">
    <w:name w:val="样式 首行缩进:  2 字符"/>
    <w:basedOn w:val="1"/>
    <w:qFormat/>
    <w:uiPriority w:val="0"/>
    <w:pPr>
      <w:spacing w:line="400" w:lineRule="exact"/>
      <w:ind w:firstLine="200"/>
    </w:pPr>
    <w:rPr>
      <w:rFonts w:cs="宋体"/>
      <w:sz w:val="24"/>
    </w:rPr>
  </w:style>
  <w:style w:type="paragraph" w:customStyle="1" w:styleId="276">
    <w:name w:val="纯文本1"/>
    <w:basedOn w:val="1"/>
    <w:qFormat/>
    <w:uiPriority w:val="0"/>
    <w:rPr>
      <w:rFonts w:ascii="宋体" w:hAnsi="Courier New" w:cs="Century"/>
      <w:szCs w:val="21"/>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278">
    <w:name w:val="List Paragraph"/>
    <w:basedOn w:val="1"/>
    <w:qFormat/>
    <w:uiPriority w:val="34"/>
    <w:pPr>
      <w:ind w:firstLine="420"/>
    </w:pPr>
  </w:style>
  <w:style w:type="table" w:customStyle="1" w:styleId="279">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280">
    <w:name w:val="纯文本 Char1"/>
    <w:qFormat/>
    <w:uiPriority w:val="0"/>
    <w:rPr>
      <w:rFonts w:ascii="宋体" w:hAnsi="Courier New" w:eastAsia="宋体" w:cs="Courier New"/>
      <w:szCs w:val="21"/>
    </w:rPr>
  </w:style>
  <w:style w:type="character" w:customStyle="1" w:styleId="281">
    <w:name w:val="标题 5 Char1"/>
    <w:qFormat/>
    <w:uiPriority w:val="0"/>
    <w:rPr>
      <w:b/>
      <w:sz w:val="28"/>
      <w:szCs w:val="24"/>
    </w:rPr>
  </w:style>
  <w:style w:type="character" w:customStyle="1" w:styleId="282">
    <w:name w:val="批注文字 字符2"/>
    <w:qFormat/>
    <w:uiPriority w:val="0"/>
    <w:rPr>
      <w:rFonts w:ascii="Times New Roman" w:hAnsi="Times New Roman"/>
      <w:sz w:val="21"/>
      <w:szCs w:val="24"/>
    </w:rPr>
  </w:style>
  <w:style w:type="character" w:customStyle="1" w:styleId="283">
    <w:name w:val="纯文本 Char"/>
    <w:qFormat/>
    <w:uiPriority w:val="0"/>
    <w:rPr>
      <w:rFonts w:ascii="宋体" w:hAnsi="Courier New" w:eastAsia="宋体" w:cs="Courier New"/>
      <w:szCs w:val="21"/>
    </w:rPr>
  </w:style>
  <w:style w:type="paragraph" w:customStyle="1" w:styleId="284">
    <w:name w:val="正文2"/>
    <w:basedOn w:val="1"/>
    <w:qFormat/>
    <w:uiPriority w:val="0"/>
    <w:pPr>
      <w:spacing w:before="156" w:line="360" w:lineRule="auto"/>
      <w:ind w:firstLine="510"/>
    </w:pPr>
    <w:rPr>
      <w:sz w:val="24"/>
      <w:szCs w:val="20"/>
    </w:rPr>
  </w:style>
  <w:style w:type="character" w:customStyle="1" w:styleId="285">
    <w:name w:val="font11"/>
    <w:basedOn w:val="50"/>
    <w:qFormat/>
    <w:uiPriority w:val="0"/>
    <w:rPr>
      <w:rFonts w:hint="eastAsia" w:ascii="宋体" w:hAnsi="宋体" w:eastAsia="宋体" w:cs="宋体"/>
      <w:color w:val="000000"/>
      <w:sz w:val="24"/>
      <w:szCs w:val="24"/>
      <w:u w:val="none"/>
    </w:rPr>
  </w:style>
  <w:style w:type="character" w:customStyle="1" w:styleId="286">
    <w:name w:val="font21"/>
    <w:basedOn w:val="50"/>
    <w:qFormat/>
    <w:uiPriority w:val="0"/>
    <w:rPr>
      <w:rFonts w:hint="eastAsia" w:ascii="宋体" w:hAnsi="宋体" w:eastAsia="宋体" w:cs="宋体"/>
      <w:color w:val="000000"/>
      <w:sz w:val="22"/>
      <w:szCs w:val="22"/>
      <w:u w:val="none"/>
    </w:rPr>
  </w:style>
  <w:style w:type="character" w:customStyle="1" w:styleId="287">
    <w:name w:val="font41"/>
    <w:basedOn w:val="50"/>
    <w:qFormat/>
    <w:uiPriority w:val="0"/>
    <w:rPr>
      <w:rFonts w:hint="default" w:ascii="Arial" w:hAnsi="Arial" w:cs="Arial"/>
      <w:color w:val="000000"/>
      <w:sz w:val="21"/>
      <w:szCs w:val="21"/>
      <w:u w:val="none"/>
    </w:rPr>
  </w:style>
  <w:style w:type="character" w:customStyle="1" w:styleId="288">
    <w:name w:val="font51"/>
    <w:basedOn w:val="50"/>
    <w:qFormat/>
    <w:uiPriority w:val="0"/>
    <w:rPr>
      <w:rFonts w:hint="default" w:ascii="Arial" w:hAnsi="Arial" w:cs="Arial"/>
      <w:color w:val="333333"/>
      <w:sz w:val="21"/>
      <w:szCs w:val="21"/>
      <w:u w:val="none"/>
    </w:rPr>
  </w:style>
  <w:style w:type="character" w:customStyle="1" w:styleId="289">
    <w:name w:val="font141"/>
    <w:basedOn w:val="50"/>
    <w:qFormat/>
    <w:uiPriority w:val="0"/>
    <w:rPr>
      <w:rFonts w:hint="eastAsia" w:ascii="宋体" w:hAnsi="宋体" w:eastAsia="宋体" w:cs="宋体"/>
      <w:color w:val="333333"/>
      <w:sz w:val="21"/>
      <w:szCs w:val="21"/>
      <w:u w:val="none"/>
    </w:rPr>
  </w:style>
  <w:style w:type="character" w:customStyle="1" w:styleId="290">
    <w:name w:val="font91"/>
    <w:basedOn w:val="50"/>
    <w:qFormat/>
    <w:uiPriority w:val="0"/>
    <w:rPr>
      <w:rFonts w:hint="default" w:ascii="Times New Roman" w:hAnsi="Times New Roman" w:cs="Times New Roman"/>
      <w:color w:val="000000"/>
      <w:sz w:val="24"/>
      <w:szCs w:val="24"/>
      <w:u w:val="none"/>
    </w:rPr>
  </w:style>
  <w:style w:type="character" w:customStyle="1" w:styleId="291">
    <w:name w:val="font151"/>
    <w:basedOn w:val="50"/>
    <w:qFormat/>
    <w:uiPriority w:val="0"/>
    <w:rPr>
      <w:rFonts w:hint="eastAsia" w:ascii="宋体" w:hAnsi="宋体" w:eastAsia="宋体" w:cs="宋体"/>
      <w:color w:val="000000"/>
      <w:sz w:val="24"/>
      <w:szCs w:val="24"/>
      <w:u w:val="none"/>
    </w:rPr>
  </w:style>
  <w:style w:type="character" w:customStyle="1" w:styleId="292">
    <w:name w:val="font61"/>
    <w:basedOn w:val="50"/>
    <w:qFormat/>
    <w:uiPriority w:val="0"/>
    <w:rPr>
      <w:rFonts w:hint="default" w:ascii="Arial" w:hAnsi="Arial" w:cs="Arial"/>
      <w:color w:val="333333"/>
      <w:sz w:val="19"/>
      <w:szCs w:val="19"/>
      <w:u w:val="none"/>
    </w:rPr>
  </w:style>
  <w:style w:type="character" w:customStyle="1" w:styleId="293">
    <w:name w:val="font131"/>
    <w:basedOn w:val="50"/>
    <w:qFormat/>
    <w:uiPriority w:val="0"/>
    <w:rPr>
      <w:rFonts w:hint="eastAsia" w:ascii="宋体" w:hAnsi="宋体" w:eastAsia="宋体" w:cs="宋体"/>
      <w:color w:val="000000"/>
      <w:sz w:val="20"/>
      <w:szCs w:val="20"/>
      <w:u w:val="none"/>
    </w:rPr>
  </w:style>
  <w:style w:type="character" w:customStyle="1" w:styleId="294">
    <w:name w:val="font161"/>
    <w:basedOn w:val="50"/>
    <w:qFormat/>
    <w:uiPriority w:val="0"/>
    <w:rPr>
      <w:rFonts w:hint="default" w:ascii="Times New Roman" w:hAnsi="Times New Roman" w:cs="Times New Roman"/>
      <w:color w:val="000000"/>
      <w:sz w:val="16"/>
      <w:szCs w:val="16"/>
      <w:u w:val="none"/>
    </w:rPr>
  </w:style>
  <w:style w:type="character" w:customStyle="1" w:styleId="295">
    <w:name w:val="font81"/>
    <w:basedOn w:val="50"/>
    <w:qFormat/>
    <w:uiPriority w:val="0"/>
    <w:rPr>
      <w:rFonts w:hint="default" w:ascii="Arial" w:hAnsi="Arial" w:cs="Arial"/>
      <w:color w:val="333333"/>
      <w:sz w:val="20"/>
      <w:szCs w:val="20"/>
      <w:u w:val="none"/>
    </w:rPr>
  </w:style>
  <w:style w:type="character" w:customStyle="1" w:styleId="296">
    <w:name w:val="font171"/>
    <w:basedOn w:val="50"/>
    <w:qFormat/>
    <w:uiPriority w:val="0"/>
    <w:rPr>
      <w:rFonts w:hint="eastAsia" w:ascii="宋体" w:hAnsi="宋体" w:eastAsia="宋体" w:cs="宋体"/>
      <w:color w:val="333333"/>
      <w:sz w:val="20"/>
      <w:szCs w:val="20"/>
      <w:u w:val="none"/>
    </w:rPr>
  </w:style>
  <w:style w:type="character" w:customStyle="1" w:styleId="297">
    <w:name w:val="font101"/>
    <w:basedOn w:val="50"/>
    <w:qFormat/>
    <w:uiPriority w:val="0"/>
    <w:rPr>
      <w:rFonts w:hint="default" w:ascii="Times New Roman" w:hAnsi="Times New Roman" w:cs="Times New Roman"/>
      <w:color w:val="000000"/>
      <w:sz w:val="21"/>
      <w:szCs w:val="21"/>
      <w:u w:val="none"/>
    </w:rPr>
  </w:style>
  <w:style w:type="character" w:customStyle="1" w:styleId="298">
    <w:name w:val="font181"/>
    <w:basedOn w:val="50"/>
    <w:qFormat/>
    <w:uiPriority w:val="0"/>
    <w:rPr>
      <w:rFonts w:hint="eastAsia" w:ascii="宋体" w:hAnsi="宋体" w:eastAsia="宋体" w:cs="宋体"/>
      <w:color w:val="000000"/>
      <w:sz w:val="21"/>
      <w:szCs w:val="21"/>
      <w:u w:val="none"/>
    </w:rPr>
  </w:style>
  <w:style w:type="character" w:customStyle="1" w:styleId="299">
    <w:name w:val="font191"/>
    <w:basedOn w:val="50"/>
    <w:qFormat/>
    <w:uiPriority w:val="0"/>
    <w:rPr>
      <w:rFonts w:hint="default" w:ascii="Times New Roman" w:hAnsi="Times New Roman" w:cs="Times New Roman"/>
      <w:color w:val="000000"/>
      <w:sz w:val="21"/>
      <w:szCs w:val="21"/>
      <w:u w:val="none"/>
      <w:vertAlign w:val="subscript"/>
    </w:rPr>
  </w:style>
  <w:style w:type="character" w:customStyle="1" w:styleId="300">
    <w:name w:val="font201"/>
    <w:basedOn w:val="50"/>
    <w:qFormat/>
    <w:uiPriority w:val="0"/>
    <w:rPr>
      <w:rFonts w:hint="default" w:ascii="Arial" w:hAnsi="Arial" w:cs="Arial"/>
      <w:b/>
      <w:bCs/>
      <w:color w:val="333333"/>
      <w:sz w:val="30"/>
      <w:szCs w:val="30"/>
      <w:u w:val="none"/>
    </w:rPr>
  </w:style>
  <w:style w:type="character" w:customStyle="1" w:styleId="301">
    <w:name w:val="font121"/>
    <w:basedOn w:val="50"/>
    <w:qFormat/>
    <w:uiPriority w:val="0"/>
    <w:rPr>
      <w:rFonts w:hint="eastAsia" w:ascii="宋体" w:hAnsi="宋体" w:eastAsia="宋体" w:cs="宋体"/>
      <w:color w:val="000000"/>
      <w:sz w:val="19"/>
      <w:szCs w:val="19"/>
      <w:u w:val="none"/>
    </w:rPr>
  </w:style>
  <w:style w:type="character" w:customStyle="1" w:styleId="302">
    <w:name w:val="font112"/>
    <w:basedOn w:val="50"/>
    <w:qFormat/>
    <w:uiPriority w:val="0"/>
    <w:rPr>
      <w:rFonts w:hint="default" w:ascii="Arial" w:hAnsi="Arial" w:cs="Arial"/>
      <w:color w:val="000000"/>
      <w:sz w:val="19"/>
      <w:szCs w:val="19"/>
      <w:u w:val="none"/>
    </w:rPr>
  </w:style>
  <w:style w:type="character" w:customStyle="1" w:styleId="303">
    <w:name w:val="font212"/>
    <w:basedOn w:val="50"/>
    <w:qFormat/>
    <w:uiPriority w:val="0"/>
    <w:rPr>
      <w:rFonts w:hint="default" w:ascii="Arial" w:hAnsi="Arial" w:cs="Arial"/>
      <w:b/>
      <w:bCs/>
      <w:color w:val="333333"/>
      <w:sz w:val="21"/>
      <w:szCs w:val="21"/>
      <w:u w:val="none"/>
    </w:rPr>
  </w:style>
  <w:style w:type="character" w:customStyle="1" w:styleId="304">
    <w:name w:val="font71"/>
    <w:basedOn w:val="50"/>
    <w:qFormat/>
    <w:uiPriority w:val="0"/>
    <w:rPr>
      <w:rFonts w:hint="default" w:ascii="Times New Roman" w:hAnsi="Times New Roman" w:cs="Times New Roman"/>
      <w:color w:val="000000"/>
      <w:sz w:val="20"/>
      <w:szCs w:val="20"/>
      <w:u w:val="none"/>
    </w:rPr>
  </w:style>
  <w:style w:type="character" w:customStyle="1" w:styleId="305">
    <w:name w:val="font221"/>
    <w:basedOn w:val="50"/>
    <w:qFormat/>
    <w:uiPriority w:val="0"/>
    <w:rPr>
      <w:rFonts w:hint="eastAsia" w:ascii="宋体" w:hAnsi="宋体" w:eastAsia="宋体" w:cs="宋体"/>
      <w:color w:val="333333"/>
      <w:sz w:val="20"/>
      <w:szCs w:val="20"/>
      <w:u w:val="none"/>
    </w:rPr>
  </w:style>
  <w:style w:type="character" w:customStyle="1" w:styleId="306">
    <w:name w:val="font231"/>
    <w:basedOn w:val="50"/>
    <w:qFormat/>
    <w:uiPriority w:val="0"/>
    <w:rPr>
      <w:rFonts w:hint="default" w:ascii="Helvetica" w:hAnsi="Helvetica" w:eastAsia="Helvetica" w:cs="Helvetica"/>
      <w:color w:val="333333"/>
      <w:sz w:val="21"/>
      <w:szCs w:val="21"/>
      <w:u w:val="none"/>
    </w:rPr>
  </w:style>
  <w:style w:type="character" w:customStyle="1" w:styleId="307">
    <w:name w:val="font241"/>
    <w:basedOn w:val="50"/>
    <w:qFormat/>
    <w:uiPriority w:val="0"/>
    <w:rPr>
      <w:rFonts w:hint="eastAsia" w:ascii="宋体" w:hAnsi="宋体" w:eastAsia="宋体" w:cs="宋体"/>
      <w:color w:val="333333"/>
      <w:sz w:val="21"/>
      <w:szCs w:val="21"/>
      <w:u w:val="none"/>
    </w:rPr>
  </w:style>
  <w:style w:type="character" w:customStyle="1" w:styleId="308">
    <w:name w:val="font251"/>
    <w:basedOn w:val="50"/>
    <w:qFormat/>
    <w:uiPriority w:val="0"/>
    <w:rPr>
      <w:rFonts w:hint="default" w:ascii="Times New Roman" w:hAnsi="Times New Roman" w:cs="Times New Roman"/>
      <w:color w:val="000000"/>
      <w:sz w:val="18"/>
      <w:szCs w:val="18"/>
      <w:u w:val="none"/>
    </w:rPr>
  </w:style>
  <w:style w:type="character" w:customStyle="1" w:styleId="309">
    <w:name w:val="font261"/>
    <w:basedOn w:val="50"/>
    <w:qFormat/>
    <w:uiPriority w:val="0"/>
    <w:rPr>
      <w:rFonts w:hint="eastAsia" w:ascii="宋体" w:hAnsi="宋体" w:eastAsia="宋体" w:cs="宋体"/>
      <w:color w:val="000000"/>
      <w:sz w:val="20"/>
      <w:szCs w:val="20"/>
      <w:u w:val="none"/>
    </w:rPr>
  </w:style>
  <w:style w:type="character" w:customStyle="1" w:styleId="310">
    <w:name w:val="font271"/>
    <w:basedOn w:val="50"/>
    <w:qFormat/>
    <w:uiPriority w:val="0"/>
    <w:rPr>
      <w:rFonts w:hint="default" w:ascii="Times New Roman" w:hAnsi="Times New Roman" w:cs="Times New Roman"/>
      <w:color w:val="000000"/>
      <w:sz w:val="20"/>
      <w:szCs w:val="20"/>
      <w:u w:val="none"/>
    </w:rPr>
  </w:style>
  <w:style w:type="character" w:customStyle="1" w:styleId="311">
    <w:name w:val="font281"/>
    <w:basedOn w:val="50"/>
    <w:qFormat/>
    <w:uiPriority w:val="0"/>
    <w:rPr>
      <w:rFonts w:hint="eastAsia" w:ascii="宋体" w:hAnsi="宋体" w:eastAsia="宋体" w:cs="宋体"/>
      <w:color w:val="333333"/>
      <w:sz w:val="22"/>
      <w:szCs w:val="22"/>
      <w:u w:val="none"/>
    </w:rPr>
  </w:style>
  <w:style w:type="character" w:customStyle="1" w:styleId="312">
    <w:name w:val="font22"/>
    <w:basedOn w:val="50"/>
    <w:qFormat/>
    <w:uiPriority w:val="0"/>
    <w:rPr>
      <w:rFonts w:hint="eastAsia" w:ascii="宋体" w:hAnsi="宋体" w:eastAsia="宋体" w:cs="宋体"/>
      <w:color w:val="000000"/>
      <w:sz w:val="22"/>
      <w:szCs w:val="22"/>
      <w:u w:val="none"/>
    </w:rPr>
  </w:style>
  <w:style w:type="character" w:customStyle="1" w:styleId="313">
    <w:name w:val="font211"/>
    <w:basedOn w:val="50"/>
    <w:qFormat/>
    <w:uiPriority w:val="0"/>
    <w:rPr>
      <w:rFonts w:hint="eastAsia" w:ascii="宋体" w:hAnsi="宋体" w:eastAsia="宋体" w:cs="宋体"/>
      <w:b/>
      <w:bCs/>
      <w:color w:val="333333"/>
      <w:sz w:val="22"/>
      <w:szCs w:val="22"/>
      <w:u w:val="none"/>
    </w:rPr>
  </w:style>
  <w:style w:type="character" w:customStyle="1" w:styleId="314">
    <w:name w:val="font01"/>
    <w:basedOn w:val="50"/>
    <w:qFormat/>
    <w:uiPriority w:val="0"/>
    <w:rPr>
      <w:rFonts w:hint="eastAsia" w:ascii="宋体" w:hAnsi="宋体" w:eastAsia="宋体" w:cs="宋体"/>
      <w:color w:val="000000"/>
      <w:sz w:val="22"/>
      <w:szCs w:val="22"/>
      <w:u w:val="none"/>
    </w:rPr>
  </w:style>
  <w:style w:type="character" w:customStyle="1" w:styleId="315">
    <w:name w:val="font31"/>
    <w:basedOn w:val="50"/>
    <w:qFormat/>
    <w:uiPriority w:val="0"/>
    <w:rPr>
      <w:rFonts w:hint="default" w:ascii="Times New Roman" w:hAnsi="Times New Roman" w:cs="Times New Roman"/>
      <w:color w:val="000000"/>
      <w:sz w:val="24"/>
      <w:szCs w:val="24"/>
      <w:u w:val="none"/>
    </w:rPr>
  </w:style>
  <w:style w:type="paragraph" w:customStyle="1" w:styleId="316">
    <w:name w:val="_Style 3"/>
    <w:basedOn w:val="2"/>
    <w:next w:val="1"/>
    <w:qFormat/>
    <w:uiPriority w:val="0"/>
    <w:pPr>
      <w:outlineLvl w:val="9"/>
    </w:pPr>
  </w:style>
  <w:style w:type="paragraph" w:customStyle="1" w:styleId="317">
    <w:name w:val="Table Text"/>
    <w:basedOn w:val="1"/>
    <w:semiHidden/>
    <w:qFormat/>
    <w:uiPriority w:val="0"/>
    <w:rPr>
      <w:rFonts w:ascii="宋体" w:hAnsi="宋体" w:cs="宋体"/>
      <w:sz w:val="29"/>
      <w:szCs w:val="29"/>
      <w:lang w:eastAsia="en-US"/>
    </w:rPr>
  </w:style>
  <w:style w:type="paragraph" w:customStyle="1" w:styleId="318">
    <w:name w:val="标题 5（有编号）（绿盟科技）"/>
    <w:basedOn w:val="1"/>
    <w:next w:val="319"/>
    <w:qFormat/>
    <w:uiPriority w:val="0"/>
    <w:pPr>
      <w:keepNext/>
      <w:keepLines/>
      <w:numPr>
        <w:ilvl w:val="4"/>
        <w:numId w:val="3"/>
      </w:numPr>
      <w:spacing w:before="280" w:after="156" w:line="377" w:lineRule="auto"/>
      <w:jc w:val="left"/>
      <w:outlineLvl w:val="4"/>
    </w:pPr>
    <w:rPr>
      <w:rFonts w:ascii="Arial" w:hAnsi="Arial" w:eastAsia="黑体" w:cs="黑体"/>
      <w:b/>
      <w:sz w:val="24"/>
      <w:szCs w:val="28"/>
    </w:rPr>
  </w:style>
  <w:style w:type="paragraph" w:customStyle="1" w:styleId="319">
    <w:name w:val="正文（绿盟科技）"/>
    <w:qFormat/>
    <w:uiPriority w:val="0"/>
    <w:pPr>
      <w:spacing w:line="300" w:lineRule="auto"/>
    </w:pPr>
    <w:rPr>
      <w:rFonts w:ascii="Arial" w:hAnsi="Arial" w:eastAsia="宋体" w:cs="黑体"/>
      <w:color w:val="FF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102</Pages>
  <Words>56113</Words>
  <Characters>58745</Characters>
  <Lines>474</Lines>
  <Paragraphs>133</Paragraphs>
  <TotalTime>29</TotalTime>
  <ScaleCrop>false</ScaleCrop>
  <LinksUpToDate>false</LinksUpToDate>
  <CharactersWithSpaces>64637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2020-10-14T10:17:00Z</dcterms:created>
  <dc:creator>番茄花园</dc:creator>
  <cp:lastModifiedBy>树叶绿了。</cp:lastModifiedBy>
  <dcterms:modified xsi:type="dcterms:W3CDTF">2026-08-05T09:30:14Z</dcterms:modified>
  <dc:title>公开招标采购文件范本</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575770E2614E4CEC91A79B87A8C2DCDF_13</vt:lpwstr>
  </property>
  <property fmtid="{D5CDD505-2E9C-101B-9397-08002B2CF9AE}" pid="4" name="KSOTemplateDocerSaveRecord">
    <vt:lpwstr>eyJoZGlkIjoiODVhYWNlN2NlY2NkYjI4MjIxYmNkYjA0NTRmYjdhMDAiLCJ1c2VySWQiOiI1MjA4NjIwNjUifQ==</vt:lpwstr>
  </property>
</Properties>
</file>