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40CE2">
      <w:pPr>
        <w:spacing w:line="720" w:lineRule="exact"/>
        <w:ind w:firstLine="1201"/>
        <w:jc w:val="center"/>
        <w:rPr>
          <w:rFonts w:ascii="华文新魏" w:eastAsia="华文新魏"/>
          <w:b/>
          <w:bCs/>
          <w:color w:val="auto"/>
          <w:kern w:val="0"/>
          <w:sz w:val="60"/>
          <w:szCs w:val="60"/>
          <w:highlight w:val="none"/>
        </w:rPr>
      </w:pPr>
      <w:bookmarkStart w:id="0" w:name="_Toc82016587"/>
    </w:p>
    <w:p w14:paraId="04EEF825">
      <w:pPr>
        <w:spacing w:line="720" w:lineRule="exact"/>
        <w:ind w:firstLine="198" w:firstLineChars="33"/>
        <w:jc w:val="center"/>
        <w:rPr>
          <w:rFonts w:ascii="文鼎中隶简" w:eastAsia="文鼎中隶简"/>
          <w:color w:val="auto"/>
          <w:kern w:val="0"/>
          <w:sz w:val="60"/>
          <w:szCs w:val="60"/>
          <w:highlight w:val="none"/>
        </w:rPr>
      </w:pPr>
      <w:r>
        <w:rPr>
          <w:rFonts w:hint="eastAsia" w:ascii="华文新魏" w:eastAsia="华文新魏"/>
          <w:b/>
          <w:bCs/>
          <w:color w:val="auto"/>
          <w:kern w:val="0"/>
          <w:sz w:val="60"/>
          <w:szCs w:val="60"/>
          <w:highlight w:val="none"/>
        </w:rPr>
        <w:t>云之龙咨询集团有限公司</w:t>
      </w:r>
    </w:p>
    <w:p w14:paraId="5EB26633">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7D07ACA8">
      <w:pPr>
        <w:spacing w:line="1000" w:lineRule="exact"/>
        <w:ind w:firstLine="144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2A77AC15">
      <w:pPr>
        <w:pStyle w:val="26"/>
        <w:ind w:firstLine="4560" w:firstLineChars="1900"/>
        <w:rPr>
          <w:color w:val="auto"/>
          <w:kern w:val="0"/>
          <w:highlight w:val="none"/>
        </w:rPr>
      </w:pPr>
    </w:p>
    <w:p w14:paraId="4C116FA1">
      <w:pPr>
        <w:ind w:left="2871" w:leftChars="527" w:hanging="1606" w:hangingChars="500"/>
        <w:rPr>
          <w:rFonts w:ascii="宋体" w:hAnsi="宋体" w:cs="宋体"/>
          <w:b/>
          <w:bCs/>
          <w:color w:val="auto"/>
          <w:kern w:val="0"/>
          <w:sz w:val="32"/>
          <w:highlight w:val="none"/>
        </w:rPr>
      </w:pPr>
    </w:p>
    <w:p w14:paraId="53F450B3">
      <w:pPr>
        <w:ind w:left="2871" w:leftChars="527" w:hanging="1606" w:hangingChars="500"/>
        <w:rPr>
          <w:rFonts w:ascii="宋体" w:hAnsi="宋体" w:cs="宋体"/>
          <w:b/>
          <w:bCs/>
          <w:color w:val="auto"/>
          <w:kern w:val="0"/>
          <w:sz w:val="32"/>
          <w:highlight w:val="none"/>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w:t>
      </w:r>
      <w:r>
        <w:rPr>
          <w:rFonts w:hint="eastAsia" w:ascii="宋体" w:hAnsi="宋体" w:cs="宋体"/>
          <w:b/>
          <w:bCs/>
          <w:color w:val="auto"/>
          <w:kern w:val="0"/>
          <w:sz w:val="32"/>
          <w:highlight w:val="none"/>
        </w:rPr>
        <w:t>桂林市田家炳中学球类活动场地改造</w:t>
      </w:r>
    </w:p>
    <w:p w14:paraId="5EC8BB5E">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项目编号：GLZC2026-C2-990128-YZLZ</w:t>
      </w:r>
    </w:p>
    <w:p w14:paraId="55C8E4E8">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：YZLGL2026-C2-023-GLZC</w:t>
      </w:r>
    </w:p>
    <w:p w14:paraId="1702775E">
      <w:pPr>
        <w:ind w:left="-2" w:leftChars="-1" w:firstLine="720" w:firstLineChars="300"/>
        <w:rPr>
          <w:rFonts w:ascii="宋体" w:hAnsi="宋体" w:cs="宋体"/>
          <w:color w:val="auto"/>
          <w:kern w:val="0"/>
          <w:highlight w:val="none"/>
        </w:rPr>
      </w:pPr>
    </w:p>
    <w:p w14:paraId="54AA17E1">
      <w:pPr>
        <w:ind w:firstLine="1446" w:firstLineChars="450"/>
        <w:jc w:val="center"/>
        <w:rPr>
          <w:rFonts w:ascii="宋体" w:hAnsi="宋体" w:cs="宋体"/>
          <w:b/>
          <w:bCs/>
          <w:color w:val="auto"/>
          <w:kern w:val="0"/>
          <w:sz w:val="32"/>
          <w:highlight w:val="none"/>
        </w:rPr>
      </w:pPr>
    </w:p>
    <w:p w14:paraId="1C62FE90">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1CCC9C67">
      <w:pPr>
        <w:ind w:firstLine="643"/>
        <w:jc w:val="center"/>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lang w:eastAsia="zh-CN"/>
        </w:rPr>
        <w:t>2026年</w:t>
      </w:r>
      <w:r>
        <w:rPr>
          <w:rFonts w:hint="eastAsia" w:ascii="宋体" w:hAnsi="宋体" w:cs="宋体"/>
          <w:b/>
          <w:bCs/>
          <w:color w:val="auto"/>
          <w:kern w:val="0"/>
          <w:sz w:val="32"/>
          <w:highlight w:val="none"/>
          <w:lang w:val="en-US" w:eastAsia="zh-CN"/>
        </w:rPr>
        <w:t>4</w:t>
      </w:r>
      <w:r>
        <w:rPr>
          <w:rFonts w:hint="eastAsia" w:ascii="宋体" w:hAnsi="宋体" w:cs="宋体"/>
          <w:b/>
          <w:bCs/>
          <w:color w:val="auto"/>
          <w:kern w:val="0"/>
          <w:sz w:val="32"/>
          <w:highlight w:val="none"/>
          <w:lang w:eastAsia="zh-CN"/>
        </w:rPr>
        <w:t>月</w:t>
      </w:r>
      <w:r>
        <w:rPr>
          <w:rFonts w:hint="eastAsia" w:ascii="宋体" w:hAnsi="宋体" w:cs="宋体"/>
          <w:b/>
          <w:bCs/>
          <w:color w:val="auto"/>
          <w:kern w:val="0"/>
          <w:sz w:val="32"/>
          <w:highlight w:val="none"/>
          <w:lang w:val="en-US" w:eastAsia="zh-CN"/>
        </w:rPr>
        <w:t>23</w:t>
      </w:r>
      <w:r>
        <w:rPr>
          <w:rFonts w:hint="eastAsia" w:ascii="宋体" w:hAnsi="宋体" w:cs="宋体"/>
          <w:b/>
          <w:bCs/>
          <w:color w:val="auto"/>
          <w:kern w:val="0"/>
          <w:sz w:val="32"/>
          <w:highlight w:val="none"/>
          <w:lang w:eastAsia="zh-CN"/>
        </w:rPr>
        <w:t>日</w:t>
      </w:r>
    </w:p>
    <w:p w14:paraId="7098D6D5">
      <w:pPr>
        <w:pStyle w:val="26"/>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3276AB28">
      <w:pPr>
        <w:pStyle w:val="26"/>
        <w:spacing w:line="420" w:lineRule="exact"/>
        <w:rPr>
          <w:rFonts w:hAnsi="宋体" w:cs="宋体"/>
          <w:color w:val="auto"/>
          <w:kern w:val="0"/>
          <w:sz w:val="44"/>
          <w:highlight w:val="none"/>
        </w:rPr>
      </w:pPr>
    </w:p>
    <w:p w14:paraId="0D90E817">
      <w:pPr>
        <w:pStyle w:val="26"/>
        <w:spacing w:line="420" w:lineRule="exact"/>
        <w:jc w:val="center"/>
        <w:rPr>
          <w:rFonts w:hAnsi="宋体" w:cs="宋体"/>
          <w:color w:val="auto"/>
          <w:kern w:val="0"/>
          <w:sz w:val="44"/>
          <w:highlight w:val="none"/>
        </w:rPr>
      </w:pPr>
    </w:p>
    <w:p w14:paraId="0B246392">
      <w:pPr>
        <w:pStyle w:val="26"/>
        <w:spacing w:line="420" w:lineRule="exact"/>
        <w:jc w:val="center"/>
        <w:rPr>
          <w:rFonts w:hAnsi="宋体" w:cs="宋体"/>
          <w:b/>
          <w:bCs/>
          <w:color w:val="auto"/>
          <w:kern w:val="0"/>
          <w:sz w:val="44"/>
          <w:highlight w:val="none"/>
        </w:rPr>
      </w:pPr>
      <w:r>
        <w:rPr>
          <w:rFonts w:hint="eastAsia" w:hAnsi="宋体" w:cs="宋体"/>
          <w:b/>
          <w:bCs/>
          <w:color w:val="auto"/>
          <w:kern w:val="0"/>
          <w:sz w:val="44"/>
          <w:highlight w:val="none"/>
        </w:rPr>
        <w:t>目     录</w:t>
      </w:r>
    </w:p>
    <w:p w14:paraId="0E0C87C6">
      <w:pPr>
        <w:pStyle w:val="26"/>
        <w:tabs>
          <w:tab w:val="left" w:pos="8860"/>
          <w:tab w:val="left" w:pos="9140"/>
        </w:tabs>
        <w:rPr>
          <w:rFonts w:hAnsi="宋体" w:cs="宋体"/>
          <w:color w:val="auto"/>
          <w:kern w:val="0"/>
          <w:sz w:val="32"/>
          <w:highlight w:val="none"/>
        </w:rPr>
      </w:pPr>
    </w:p>
    <w:p w14:paraId="11C15F18">
      <w:pPr>
        <w:pStyle w:val="39"/>
        <w:ind w:left="480"/>
        <w:rPr>
          <w:rStyle w:val="58"/>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第一章 竞争性磋商公告</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2</w:t>
      </w:r>
    </w:p>
    <w:p w14:paraId="4269DCFB">
      <w:pPr>
        <w:pStyle w:val="39"/>
        <w:ind w:left="480"/>
        <w:rPr>
          <w:rStyle w:val="58"/>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第二章 供应商须知</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5</w:t>
      </w:r>
    </w:p>
    <w:p w14:paraId="724F6B0A">
      <w:pPr>
        <w:pStyle w:val="39"/>
        <w:ind w:left="480"/>
        <w:rPr>
          <w:rStyle w:val="58"/>
          <w:rFonts w:hint="eastAsia" w:ascii="宋体" w:hAnsi="宋体" w:eastAsia="宋体" w:cs="宋体"/>
          <w:b/>
          <w:color w:val="auto"/>
          <w:kern w:val="0"/>
          <w:sz w:val="32"/>
          <w:szCs w:val="32"/>
          <w:highlight w:val="none"/>
          <w:lang w:eastAsia="zh-CN"/>
        </w:rPr>
      </w:pPr>
      <w:r>
        <w:rPr>
          <w:rFonts w:hint="eastAsia" w:ascii="宋体" w:hAnsi="宋体" w:cs="宋体"/>
          <w:b/>
          <w:color w:val="auto"/>
          <w:kern w:val="0"/>
          <w:sz w:val="32"/>
          <w:szCs w:val="32"/>
          <w:highlight w:val="none"/>
        </w:rPr>
        <w:t>第三章 采购需求</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3</w:t>
      </w:r>
      <w:r>
        <w:rPr>
          <w:rStyle w:val="58"/>
          <w:rFonts w:hint="eastAsia" w:ascii="宋体" w:hAnsi="宋体" w:cs="宋体"/>
          <w:b/>
          <w:color w:val="auto"/>
          <w:kern w:val="0"/>
          <w:sz w:val="32"/>
          <w:szCs w:val="32"/>
          <w:highlight w:val="none"/>
          <w:u w:val="none"/>
          <w:lang w:val="en-US" w:eastAsia="zh-CN"/>
        </w:rPr>
        <w:t>1</w:t>
      </w:r>
    </w:p>
    <w:p w14:paraId="6BCA4103">
      <w:pPr>
        <w:pStyle w:val="39"/>
        <w:ind w:left="480"/>
        <w:rPr>
          <w:rStyle w:val="58"/>
          <w:rFonts w:hint="eastAsia" w:ascii="宋体" w:hAnsi="宋体" w:eastAsia="宋体" w:cs="宋体"/>
          <w:b/>
          <w:color w:val="auto"/>
          <w:kern w:val="0"/>
          <w:sz w:val="32"/>
          <w:szCs w:val="32"/>
          <w:highlight w:val="none"/>
          <w:u w:val="none"/>
          <w:lang w:eastAsia="zh-CN"/>
        </w:rPr>
      </w:pPr>
      <w:r>
        <w:rPr>
          <w:rFonts w:hint="eastAsia" w:ascii="宋体" w:hAnsi="宋体" w:cs="宋体"/>
          <w:b/>
          <w:color w:val="auto"/>
          <w:kern w:val="0"/>
          <w:sz w:val="32"/>
          <w:szCs w:val="32"/>
          <w:highlight w:val="none"/>
        </w:rPr>
        <w:t>第四</w:t>
      </w:r>
      <w:r>
        <w:rPr>
          <w:rFonts w:hint="eastAsia" w:ascii="宋体" w:hAnsi="宋体" w:eastAsia="宋体" w:cs="宋体"/>
          <w:b/>
          <w:color w:val="auto"/>
          <w:kern w:val="0"/>
          <w:sz w:val="32"/>
          <w:szCs w:val="32"/>
          <w:highlight w:val="none"/>
        </w:rPr>
        <w:t>章 工程量清单</w:t>
      </w:r>
      <w:r>
        <w:rPr>
          <w:rFonts w:hint="eastAsia" w:ascii="宋体" w:hAnsi="宋体" w:eastAsia="宋体" w:cs="宋体"/>
          <w:b/>
          <w:color w:val="auto"/>
          <w:kern w:val="0"/>
          <w:sz w:val="32"/>
          <w:szCs w:val="32"/>
          <w:highlight w:val="none"/>
          <w:lang w:eastAsia="zh-CN"/>
        </w:rPr>
        <w:t>及图纸</w:t>
      </w:r>
      <w:r>
        <w:rPr>
          <w:rFonts w:ascii="宋体" w:hAnsi="宋体" w:cs="宋体"/>
          <w:b/>
          <w:color w:val="auto"/>
          <w:kern w:val="0"/>
          <w:sz w:val="32"/>
          <w:szCs w:val="32"/>
          <w:highlight w:val="none"/>
        </w:rPr>
        <w:t>……………………………</w:t>
      </w:r>
      <w:r>
        <w:rPr>
          <w:rStyle w:val="58"/>
          <w:rFonts w:hint="eastAsia" w:ascii="宋体" w:hAnsi="宋体" w:cs="宋体"/>
          <w:b/>
          <w:color w:val="auto"/>
          <w:kern w:val="0"/>
          <w:sz w:val="32"/>
          <w:szCs w:val="32"/>
          <w:highlight w:val="none"/>
          <w:u w:val="none"/>
        </w:rPr>
        <w:t>3</w:t>
      </w:r>
      <w:r>
        <w:rPr>
          <w:rStyle w:val="58"/>
          <w:rFonts w:hint="eastAsia" w:ascii="宋体" w:hAnsi="宋体" w:cs="宋体"/>
          <w:b/>
          <w:color w:val="auto"/>
          <w:kern w:val="0"/>
          <w:sz w:val="32"/>
          <w:szCs w:val="32"/>
          <w:highlight w:val="none"/>
          <w:u w:val="none"/>
          <w:lang w:val="en-US" w:eastAsia="zh-CN"/>
        </w:rPr>
        <w:t>5</w:t>
      </w:r>
    </w:p>
    <w:p w14:paraId="492CFCF6">
      <w:pPr>
        <w:pStyle w:val="39"/>
        <w:ind w:left="480"/>
        <w:rPr>
          <w:rFonts w:hint="eastAsia" w:ascii="宋体" w:hAnsi="宋体" w:eastAsia="宋体" w:cs="宋体"/>
          <w:b/>
          <w:color w:val="auto"/>
          <w:sz w:val="32"/>
          <w:szCs w:val="32"/>
          <w:highlight w:val="none"/>
          <w:lang w:eastAsia="zh-CN"/>
        </w:rPr>
      </w:pPr>
      <w:r>
        <w:rPr>
          <w:rStyle w:val="58"/>
          <w:rFonts w:hint="eastAsia" w:ascii="宋体" w:hAnsi="宋体" w:cs="宋体"/>
          <w:b/>
          <w:color w:val="auto"/>
          <w:kern w:val="0"/>
          <w:sz w:val="32"/>
          <w:szCs w:val="32"/>
          <w:highlight w:val="none"/>
          <w:u w:val="none"/>
        </w:rPr>
        <w:t xml:space="preserve">第五章 </w:t>
      </w:r>
      <w:r>
        <w:rPr>
          <w:rFonts w:hint="eastAsia" w:ascii="宋体" w:hAnsi="宋体" w:cs="宋体"/>
          <w:b/>
          <w:color w:val="auto"/>
          <w:sz w:val="32"/>
          <w:szCs w:val="32"/>
          <w:highlight w:val="none"/>
        </w:rPr>
        <w:t>评审方法………………………………………3</w:t>
      </w:r>
      <w:r>
        <w:rPr>
          <w:rFonts w:hint="eastAsia" w:ascii="宋体" w:hAnsi="宋体" w:cs="宋体"/>
          <w:b/>
          <w:color w:val="auto"/>
          <w:sz w:val="32"/>
          <w:szCs w:val="32"/>
          <w:highlight w:val="none"/>
          <w:lang w:val="en-US" w:eastAsia="zh-CN"/>
        </w:rPr>
        <w:t>8</w:t>
      </w:r>
    </w:p>
    <w:p w14:paraId="5DF1405C">
      <w:pPr>
        <w:pStyle w:val="39"/>
        <w:ind w:left="480"/>
        <w:rPr>
          <w:rFonts w:hint="eastAsia" w:ascii="宋体" w:hAnsi="宋体" w:eastAsia="宋体" w:cs="宋体"/>
          <w:b/>
          <w:color w:val="auto"/>
          <w:sz w:val="32"/>
          <w:szCs w:val="32"/>
          <w:highlight w:val="none"/>
          <w:lang w:eastAsia="zh-CN"/>
        </w:rPr>
      </w:pPr>
      <w:r>
        <w:rPr>
          <w:rStyle w:val="58"/>
          <w:rFonts w:hint="eastAsia" w:ascii="宋体" w:hAnsi="宋体" w:cs="宋体"/>
          <w:b/>
          <w:color w:val="auto"/>
          <w:kern w:val="0"/>
          <w:sz w:val="32"/>
          <w:szCs w:val="32"/>
          <w:highlight w:val="none"/>
          <w:u w:val="none"/>
        </w:rPr>
        <w:t xml:space="preserve">第六章 </w:t>
      </w:r>
      <w:r>
        <w:rPr>
          <w:rFonts w:hint="eastAsia" w:ascii="宋体" w:hAnsi="宋体" w:cs="宋体"/>
          <w:b/>
          <w:color w:val="auto"/>
          <w:sz w:val="32"/>
          <w:szCs w:val="32"/>
          <w:highlight w:val="none"/>
        </w:rPr>
        <w:t>响应文件（格式）……………………………4</w:t>
      </w:r>
      <w:r>
        <w:rPr>
          <w:rFonts w:hint="eastAsia" w:ascii="宋体" w:hAnsi="宋体" w:cs="宋体"/>
          <w:b/>
          <w:color w:val="auto"/>
          <w:sz w:val="32"/>
          <w:szCs w:val="32"/>
          <w:highlight w:val="none"/>
          <w:lang w:val="en-US" w:eastAsia="zh-CN"/>
        </w:rPr>
        <w:t>3</w:t>
      </w:r>
    </w:p>
    <w:p w14:paraId="0B3EDED8">
      <w:pPr>
        <w:pStyle w:val="39"/>
        <w:ind w:left="480"/>
        <w:rPr>
          <w:rStyle w:val="58"/>
          <w:rFonts w:hint="eastAsia" w:ascii="宋体" w:hAnsi="宋体" w:eastAsia="宋体" w:cs="宋体"/>
          <w:b/>
          <w:color w:val="auto"/>
          <w:kern w:val="0"/>
          <w:sz w:val="32"/>
          <w:szCs w:val="32"/>
          <w:highlight w:val="none"/>
          <w:u w:val="none"/>
          <w:lang w:val="en-US" w:eastAsia="zh-CN"/>
        </w:rPr>
      </w:pPr>
      <w:r>
        <w:rPr>
          <w:rFonts w:hint="eastAsia" w:ascii="宋体" w:hAnsi="宋体" w:cs="宋体"/>
          <w:b/>
          <w:color w:val="auto"/>
          <w:kern w:val="0"/>
          <w:sz w:val="32"/>
          <w:szCs w:val="32"/>
          <w:highlight w:val="none"/>
        </w:rPr>
        <w:t xml:space="preserve">第七章 </w:t>
      </w:r>
      <w:r>
        <w:rPr>
          <w:rFonts w:hint="eastAsia" w:ascii="宋体" w:hAnsi="宋体" w:cs="宋体"/>
          <w:b/>
          <w:color w:val="auto"/>
          <w:sz w:val="32"/>
          <w:szCs w:val="32"/>
          <w:highlight w:val="none"/>
        </w:rPr>
        <w:t>合同主要条款及格式…………………………</w:t>
      </w:r>
      <w:r>
        <w:rPr>
          <w:rStyle w:val="58"/>
          <w:rFonts w:ascii="宋体" w:hAnsi="宋体" w:cs="宋体"/>
          <w:b/>
          <w:color w:val="auto"/>
          <w:kern w:val="0"/>
          <w:sz w:val="32"/>
          <w:szCs w:val="32"/>
          <w:highlight w:val="none"/>
          <w:u w:val="none"/>
        </w:rPr>
        <w:t>6</w:t>
      </w:r>
      <w:r>
        <w:rPr>
          <w:rStyle w:val="58"/>
          <w:rFonts w:hint="eastAsia" w:ascii="宋体" w:hAnsi="宋体" w:cs="宋体"/>
          <w:b/>
          <w:color w:val="auto"/>
          <w:kern w:val="0"/>
          <w:sz w:val="32"/>
          <w:szCs w:val="32"/>
          <w:highlight w:val="none"/>
          <w:u w:val="none"/>
          <w:lang w:val="en-US" w:eastAsia="zh-CN"/>
        </w:rPr>
        <w:t>2</w:t>
      </w:r>
    </w:p>
    <w:p w14:paraId="05F7BAA5">
      <w:pPr>
        <w:pStyle w:val="25"/>
        <w:tabs>
          <w:tab w:val="right" w:leader="dot" w:pos="9288"/>
        </w:tabs>
        <w:ind w:left="960"/>
        <w:rPr>
          <w:color w:val="auto"/>
          <w:highlight w:val="none"/>
        </w:rPr>
      </w:pPr>
    </w:p>
    <w:p w14:paraId="0BC00BEF">
      <w:pPr>
        <w:pStyle w:val="26"/>
        <w:tabs>
          <w:tab w:val="left" w:pos="8860"/>
          <w:tab w:val="left" w:pos="9140"/>
        </w:tabs>
        <w:spacing w:line="520" w:lineRule="exact"/>
        <w:rPr>
          <w:rFonts w:hAnsi="宋体" w:cs="宋体"/>
          <w:color w:val="auto"/>
          <w:kern w:val="0"/>
          <w:sz w:val="32"/>
          <w:highlight w:val="none"/>
        </w:rPr>
      </w:pPr>
    </w:p>
    <w:p w14:paraId="619687F2">
      <w:pPr>
        <w:pStyle w:val="26"/>
        <w:tabs>
          <w:tab w:val="left" w:pos="8860"/>
          <w:tab w:val="left" w:pos="9140"/>
        </w:tabs>
        <w:spacing w:line="520" w:lineRule="exact"/>
        <w:ind w:firstLine="737"/>
        <w:rPr>
          <w:rFonts w:hAnsi="宋体" w:cs="宋体"/>
          <w:color w:val="auto"/>
          <w:kern w:val="0"/>
          <w:szCs w:val="21"/>
          <w:highlight w:val="none"/>
        </w:rPr>
      </w:pPr>
    </w:p>
    <w:p w14:paraId="66EA2AA0">
      <w:pPr>
        <w:ind w:firstLine="3120" w:firstLineChars="1300"/>
        <w:rPr>
          <w:color w:val="auto"/>
          <w:kern w:val="0"/>
          <w:szCs w:val="21"/>
          <w:highlight w:val="none"/>
        </w:rPr>
      </w:pPr>
    </w:p>
    <w:p w14:paraId="4072228D">
      <w:pPr>
        <w:ind w:firstLine="3120" w:firstLineChars="1300"/>
        <w:rPr>
          <w:color w:val="auto"/>
          <w:kern w:val="0"/>
          <w:szCs w:val="21"/>
          <w:highlight w:val="none"/>
        </w:rPr>
      </w:pPr>
    </w:p>
    <w:p w14:paraId="75A460AC">
      <w:pPr>
        <w:ind w:firstLine="3120" w:firstLineChars="1300"/>
        <w:rPr>
          <w:color w:val="auto"/>
          <w:kern w:val="0"/>
          <w:szCs w:val="21"/>
          <w:highlight w:val="none"/>
        </w:rPr>
      </w:pPr>
    </w:p>
    <w:p w14:paraId="3E1DA470">
      <w:pPr>
        <w:ind w:firstLine="3120" w:firstLineChars="1300"/>
        <w:rPr>
          <w:color w:val="auto"/>
          <w:kern w:val="0"/>
          <w:szCs w:val="21"/>
          <w:highlight w:val="none"/>
        </w:rPr>
      </w:pPr>
    </w:p>
    <w:p w14:paraId="123A4391">
      <w:pPr>
        <w:ind w:firstLine="3120" w:firstLineChars="1300"/>
        <w:rPr>
          <w:color w:val="auto"/>
          <w:kern w:val="0"/>
          <w:szCs w:val="21"/>
          <w:highlight w:val="none"/>
        </w:rPr>
      </w:pPr>
    </w:p>
    <w:p w14:paraId="603ED436">
      <w:pPr>
        <w:ind w:firstLine="3120" w:firstLineChars="1300"/>
        <w:rPr>
          <w:color w:val="auto"/>
          <w:kern w:val="0"/>
          <w:szCs w:val="21"/>
          <w:highlight w:val="none"/>
        </w:rPr>
      </w:pPr>
    </w:p>
    <w:p w14:paraId="656000D8">
      <w:pPr>
        <w:ind w:firstLine="3120" w:firstLineChars="1300"/>
        <w:rPr>
          <w:color w:val="auto"/>
          <w:kern w:val="0"/>
          <w:szCs w:val="21"/>
          <w:highlight w:val="none"/>
        </w:rPr>
      </w:pPr>
    </w:p>
    <w:p w14:paraId="2F0D4785">
      <w:pPr>
        <w:ind w:firstLine="3120" w:firstLineChars="1300"/>
        <w:rPr>
          <w:color w:val="auto"/>
          <w:kern w:val="0"/>
          <w:szCs w:val="21"/>
          <w:highlight w:val="none"/>
        </w:rPr>
      </w:pPr>
    </w:p>
    <w:p w14:paraId="2B7D861F">
      <w:pPr>
        <w:ind w:firstLine="3120" w:firstLineChars="1300"/>
        <w:rPr>
          <w:color w:val="auto"/>
          <w:kern w:val="0"/>
          <w:szCs w:val="21"/>
          <w:highlight w:val="none"/>
        </w:rPr>
      </w:pPr>
    </w:p>
    <w:p w14:paraId="098F0DB6">
      <w:pPr>
        <w:ind w:firstLine="3120" w:firstLineChars="1300"/>
        <w:rPr>
          <w:color w:val="auto"/>
          <w:kern w:val="0"/>
          <w:szCs w:val="21"/>
          <w:highlight w:val="none"/>
        </w:rPr>
      </w:pPr>
    </w:p>
    <w:p w14:paraId="500DA64E">
      <w:pPr>
        <w:pStyle w:val="23"/>
        <w:rPr>
          <w:color w:val="auto"/>
          <w:highlight w:val="none"/>
        </w:rPr>
      </w:pPr>
    </w:p>
    <w:p w14:paraId="36B1D81A">
      <w:pPr>
        <w:ind w:firstLine="3120" w:firstLineChars="1300"/>
        <w:rPr>
          <w:color w:val="auto"/>
          <w:kern w:val="0"/>
          <w:szCs w:val="21"/>
          <w:highlight w:val="none"/>
        </w:rPr>
      </w:pPr>
    </w:p>
    <w:p w14:paraId="5FBC2826">
      <w:pPr>
        <w:ind w:firstLine="3120" w:firstLineChars="1300"/>
        <w:rPr>
          <w:color w:val="auto"/>
          <w:kern w:val="0"/>
          <w:szCs w:val="21"/>
          <w:highlight w:val="none"/>
        </w:rPr>
      </w:pPr>
    </w:p>
    <w:p w14:paraId="505D1751">
      <w:pPr>
        <w:ind w:firstLine="3120" w:firstLineChars="1300"/>
        <w:rPr>
          <w:color w:val="auto"/>
          <w:kern w:val="0"/>
          <w:szCs w:val="21"/>
          <w:highlight w:val="none"/>
        </w:rPr>
      </w:pPr>
    </w:p>
    <w:p w14:paraId="1E544C47">
      <w:pPr>
        <w:ind w:firstLine="3120" w:firstLineChars="1300"/>
        <w:rPr>
          <w:color w:val="auto"/>
          <w:kern w:val="0"/>
          <w:szCs w:val="21"/>
          <w:highlight w:val="none"/>
        </w:rPr>
      </w:pPr>
    </w:p>
    <w:p w14:paraId="22FF0F12">
      <w:pPr>
        <w:numPr>
          <w:ilvl w:val="0"/>
          <w:numId w:val="2"/>
        </w:numPr>
        <w:tabs>
          <w:tab w:val="left" w:pos="1080"/>
        </w:tabs>
        <w:spacing w:line="480" w:lineRule="exact"/>
        <w:ind w:left="1077" w:hanging="1077" w:firstLineChars="0"/>
        <w:jc w:val="center"/>
        <w:outlineLvl w:val="1"/>
        <w:rPr>
          <w:rFonts w:ascii="宋体" w:hAnsi="宋体" w:cs="宋体"/>
          <w:b/>
          <w:color w:val="auto"/>
          <w:kern w:val="0"/>
          <w:sz w:val="32"/>
          <w:szCs w:val="32"/>
          <w:highlight w:val="none"/>
        </w:rPr>
      </w:pPr>
      <w:bookmarkStart w:id="1" w:name="_Toc82016584"/>
      <w:bookmarkStart w:id="2" w:name="_Toc44405619"/>
      <w:bookmarkStart w:id="3" w:name="_Toc44229878"/>
      <w:r>
        <w:rPr>
          <w:rFonts w:hint="eastAsia" w:ascii="宋体" w:hAnsi="宋体" w:cs="宋体"/>
          <w:b/>
          <w:color w:val="auto"/>
          <w:kern w:val="0"/>
          <w:sz w:val="32"/>
          <w:szCs w:val="32"/>
          <w:highlight w:val="none"/>
        </w:rPr>
        <w:t>竞争性磋商公告</w:t>
      </w:r>
      <w:bookmarkEnd w:id="1"/>
    </w:p>
    <w:p w14:paraId="2DF1DFC3">
      <w:pPr>
        <w:spacing w:line="320" w:lineRule="exact"/>
        <w:ind w:firstLine="0" w:firstLineChars="0"/>
        <w:rPr>
          <w:rFonts w:ascii="宋体" w:hAnsi="宋体" w:cs="宋体"/>
          <w:color w:val="auto"/>
          <w:sz w:val="21"/>
          <w:szCs w:val="24"/>
          <w:highlight w:val="none"/>
        </w:rPr>
      </w:pPr>
    </w:p>
    <w:p w14:paraId="3321F47D">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bookmarkStart w:id="4" w:name="_Hlk37430271"/>
      <w:r>
        <w:rPr>
          <w:rFonts w:hint="eastAsia" w:ascii="宋体" w:hAnsi="宋体" w:cs="宋体"/>
          <w:color w:val="auto"/>
          <w:sz w:val="21"/>
          <w:szCs w:val="24"/>
          <w:highlight w:val="none"/>
        </w:rPr>
        <w:t>项目概况</w:t>
      </w:r>
    </w:p>
    <w:p w14:paraId="38AD1F2D">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桂林市田家炳中学球类活动场地改造</w:t>
      </w:r>
      <w:r>
        <w:rPr>
          <w:rFonts w:hint="eastAsia" w:ascii="宋体" w:hAnsi="宋体" w:cs="宋体"/>
          <w:color w:val="auto"/>
          <w:sz w:val="21"/>
          <w:szCs w:val="24"/>
          <w:highlight w:val="none"/>
        </w:rPr>
        <w:t>的潜在供应商应在广西政府采购云平台（https://www.gcy.zfcg.gxzf.gov.cn/）获取竞争性磋商文件，并于</w:t>
      </w:r>
      <w:r>
        <w:rPr>
          <w:rFonts w:hint="eastAsia" w:ascii="宋体" w:hAnsi="宋体" w:cs="宋体"/>
          <w:color w:val="auto"/>
          <w:sz w:val="21"/>
          <w:szCs w:val="24"/>
          <w:highlight w:val="none"/>
          <w:lang w:eastAsia="zh-CN"/>
        </w:rPr>
        <w:t>2026年</w:t>
      </w:r>
      <w:r>
        <w:rPr>
          <w:rFonts w:hint="eastAsia" w:ascii="宋体" w:hAnsi="宋体" w:cs="宋体"/>
          <w:color w:val="auto"/>
          <w:sz w:val="21"/>
          <w:szCs w:val="24"/>
          <w:highlight w:val="none"/>
          <w:lang w:val="en-US" w:eastAsia="zh-CN"/>
        </w:rPr>
        <w:t>5</w:t>
      </w:r>
      <w:r>
        <w:rPr>
          <w:rFonts w:hint="eastAsia" w:ascii="宋体" w:hAnsi="宋体" w:cs="宋体"/>
          <w:color w:val="auto"/>
          <w:sz w:val="21"/>
          <w:szCs w:val="24"/>
          <w:highlight w:val="none"/>
          <w:lang w:eastAsia="zh-CN"/>
        </w:rPr>
        <w:t>月</w:t>
      </w:r>
      <w:r>
        <w:rPr>
          <w:rFonts w:hint="eastAsia" w:ascii="宋体" w:hAnsi="宋体" w:cs="宋体"/>
          <w:color w:val="auto"/>
          <w:sz w:val="21"/>
          <w:szCs w:val="24"/>
          <w:highlight w:val="none"/>
          <w:lang w:val="en-US" w:eastAsia="zh-CN"/>
        </w:rPr>
        <w:t>6</w:t>
      </w:r>
      <w:r>
        <w:rPr>
          <w:rFonts w:hint="eastAsia" w:ascii="宋体" w:hAnsi="宋体" w:cs="宋体"/>
          <w:color w:val="auto"/>
          <w:sz w:val="21"/>
          <w:szCs w:val="24"/>
          <w:highlight w:val="none"/>
          <w:lang w:eastAsia="zh-CN"/>
        </w:rPr>
        <w:t>日</w:t>
      </w:r>
      <w:r>
        <w:rPr>
          <w:rFonts w:hint="eastAsia" w:ascii="宋体" w:hAnsi="宋体" w:cs="宋体"/>
          <w:color w:val="auto"/>
          <w:sz w:val="21"/>
          <w:szCs w:val="24"/>
          <w:highlight w:val="none"/>
        </w:rPr>
        <w:t>上午9时30分（北京时间）前提交响应文件。</w:t>
      </w:r>
    </w:p>
    <w:bookmarkEnd w:id="4"/>
    <w:p w14:paraId="6491CAED">
      <w:pPr>
        <w:keepNext/>
        <w:keepLines/>
        <w:spacing w:before="260" w:after="260" w:line="400" w:lineRule="exact"/>
        <w:ind w:firstLine="422"/>
        <w:outlineLvl w:val="1"/>
        <w:rPr>
          <w:rFonts w:ascii="宋体" w:hAnsi="宋体" w:cs="宋体"/>
          <w:b/>
          <w:color w:val="auto"/>
          <w:sz w:val="21"/>
          <w:szCs w:val="21"/>
          <w:highlight w:val="none"/>
        </w:rPr>
      </w:pPr>
      <w:bookmarkStart w:id="5" w:name="_Toc35393798"/>
      <w:bookmarkStart w:id="6" w:name="_Toc28359089"/>
      <w:bookmarkStart w:id="7" w:name="_Toc28359012"/>
      <w:bookmarkStart w:id="8" w:name="_Toc82016585"/>
      <w:bookmarkStart w:id="9" w:name="_Toc35393629"/>
      <w:r>
        <w:rPr>
          <w:rFonts w:hint="eastAsia" w:ascii="宋体" w:hAnsi="宋体" w:cs="宋体"/>
          <w:b/>
          <w:color w:val="auto"/>
          <w:sz w:val="21"/>
          <w:szCs w:val="21"/>
          <w:highlight w:val="none"/>
        </w:rPr>
        <w:t>一、项目基本情况</w:t>
      </w:r>
      <w:bookmarkEnd w:id="5"/>
      <w:bookmarkEnd w:id="6"/>
      <w:bookmarkEnd w:id="7"/>
      <w:bookmarkEnd w:id="8"/>
      <w:bookmarkEnd w:id="9"/>
    </w:p>
    <w:p w14:paraId="4822CE2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项目编号：GLZC2026-C2-990128-YZLZ</w:t>
      </w:r>
    </w:p>
    <w:p w14:paraId="7A4C5349">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s="宋体"/>
          <w:color w:val="auto"/>
          <w:sz w:val="21"/>
          <w:szCs w:val="24"/>
          <w:highlight w:val="none"/>
          <w:lang w:eastAsia="zh-CN"/>
        </w:rPr>
        <w:t>桂林市田家炳中学球类活动场地改造</w:t>
      </w:r>
    </w:p>
    <w:p w14:paraId="5D240789">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4A4201E3">
      <w:pPr>
        <w:spacing w:line="400" w:lineRule="exact"/>
        <w:ind w:firstLine="420"/>
        <w:rPr>
          <w:rFonts w:hint="eastAsia" w:ascii="宋体" w:hAnsi="宋体"/>
          <w:color w:val="auto"/>
          <w:sz w:val="21"/>
          <w:szCs w:val="24"/>
          <w:highlight w:val="none"/>
        </w:rPr>
      </w:pPr>
      <w:r>
        <w:rPr>
          <w:rFonts w:hint="eastAsia" w:ascii="宋体" w:hAnsi="宋体"/>
          <w:color w:val="auto"/>
          <w:sz w:val="21"/>
          <w:szCs w:val="24"/>
          <w:highlight w:val="none"/>
        </w:rPr>
        <w:t>预算金额（元）：101</w:t>
      </w:r>
      <w:r>
        <w:rPr>
          <w:rFonts w:hint="eastAsia" w:ascii="宋体" w:hAnsi="宋体"/>
          <w:color w:val="auto"/>
          <w:sz w:val="21"/>
          <w:szCs w:val="24"/>
          <w:highlight w:val="none"/>
          <w:lang w:val="en-US" w:eastAsia="zh-CN"/>
        </w:rPr>
        <w:t>0000.00</w:t>
      </w:r>
      <w:r>
        <w:rPr>
          <w:rFonts w:hint="eastAsia" w:ascii="宋体" w:hAnsi="宋体"/>
          <w:color w:val="auto"/>
          <w:sz w:val="21"/>
          <w:szCs w:val="24"/>
          <w:highlight w:val="none"/>
        </w:rPr>
        <w:t>元。</w:t>
      </w:r>
    </w:p>
    <w:p w14:paraId="614F499D">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最高限价：101</w:t>
      </w:r>
      <w:r>
        <w:rPr>
          <w:rFonts w:hint="eastAsia" w:ascii="宋体" w:hAnsi="宋体"/>
          <w:color w:val="auto"/>
          <w:sz w:val="21"/>
          <w:szCs w:val="24"/>
          <w:highlight w:val="none"/>
          <w:lang w:val="en-US" w:eastAsia="zh-CN"/>
        </w:rPr>
        <w:t>0000.00元</w:t>
      </w:r>
      <w:r>
        <w:rPr>
          <w:rFonts w:hint="eastAsia" w:ascii="宋体" w:hAnsi="宋体"/>
          <w:color w:val="auto"/>
          <w:sz w:val="21"/>
          <w:szCs w:val="24"/>
          <w:highlight w:val="none"/>
        </w:rPr>
        <w:t>。</w:t>
      </w:r>
    </w:p>
    <w:p w14:paraId="39C7F84F">
      <w:pPr>
        <w:spacing w:line="400" w:lineRule="exact"/>
        <w:ind w:firstLine="420"/>
        <w:rPr>
          <w:rFonts w:hint="eastAsia" w:ascii="宋体" w:hAnsi="宋体"/>
          <w:color w:val="auto"/>
          <w:sz w:val="21"/>
          <w:szCs w:val="24"/>
          <w:highlight w:val="none"/>
        </w:rPr>
      </w:pPr>
      <w:bookmarkStart w:id="10" w:name="_Toc35393799"/>
      <w:bookmarkStart w:id="11" w:name="_Toc28359090"/>
      <w:bookmarkStart w:id="12" w:name="_Toc35393630"/>
      <w:bookmarkStart w:id="13" w:name="_Toc28359013"/>
      <w:r>
        <w:rPr>
          <w:rFonts w:hint="eastAsia" w:ascii="宋体" w:hAnsi="宋体"/>
          <w:color w:val="auto"/>
          <w:sz w:val="21"/>
          <w:szCs w:val="24"/>
          <w:highlight w:val="none"/>
        </w:rPr>
        <w:t>（1）</w:t>
      </w:r>
      <w:r>
        <w:rPr>
          <w:rFonts w:hint="eastAsia" w:ascii="宋体" w:hAnsi="宋体"/>
          <w:color w:val="auto"/>
          <w:sz w:val="21"/>
          <w:szCs w:val="24"/>
          <w:highlight w:val="none"/>
          <w:lang w:eastAsia="zh-CN"/>
        </w:rPr>
        <w:t>标的名称</w:t>
      </w:r>
      <w:r>
        <w:rPr>
          <w:rFonts w:hint="eastAsia" w:ascii="宋体" w:hAnsi="宋体"/>
          <w:color w:val="auto"/>
          <w:sz w:val="21"/>
          <w:szCs w:val="24"/>
          <w:highlight w:val="none"/>
        </w:rPr>
        <w:t>、数量及单位：</w:t>
      </w:r>
      <w:r>
        <w:rPr>
          <w:rFonts w:hint="eastAsia" w:ascii="宋体" w:hAnsi="宋体" w:cs="宋体"/>
          <w:color w:val="auto"/>
          <w:sz w:val="21"/>
          <w:szCs w:val="24"/>
          <w:highlight w:val="none"/>
          <w:lang w:eastAsia="zh-CN"/>
        </w:rPr>
        <w:t>桂林市田家炳中学球类活动场地改造</w:t>
      </w:r>
      <w:r>
        <w:rPr>
          <w:rFonts w:hint="eastAsia" w:ascii="宋体" w:hAnsi="宋体"/>
          <w:color w:val="auto"/>
          <w:sz w:val="21"/>
          <w:szCs w:val="24"/>
          <w:highlight w:val="none"/>
        </w:rPr>
        <w:t>1项，主要工程内容为：原8</w:t>
      </w:r>
      <w:r>
        <w:rPr>
          <w:rFonts w:hint="eastAsia"/>
          <w:color w:val="auto"/>
          <w:highlight w:val="none"/>
          <w:lang w:val="en-US" w:eastAsia="zh-CN"/>
        </w:rPr>
        <w:t>mm</w:t>
      </w:r>
      <w:r>
        <w:rPr>
          <w:rFonts w:hint="eastAsia" w:ascii="宋体" w:hAnsi="宋体"/>
          <w:color w:val="auto"/>
          <w:sz w:val="21"/>
          <w:szCs w:val="24"/>
          <w:highlight w:val="none"/>
        </w:rPr>
        <w:t>厚硅PU球场拆除</w:t>
      </w:r>
      <w:r>
        <w:rPr>
          <w:rFonts w:hint="eastAsia" w:ascii="宋体" w:hAnsi="宋体"/>
          <w:color w:val="auto"/>
          <w:sz w:val="21"/>
          <w:szCs w:val="24"/>
          <w:highlight w:val="none"/>
          <w:lang w:eastAsia="zh-CN"/>
        </w:rPr>
        <w:t>，</w:t>
      </w:r>
      <w:r>
        <w:rPr>
          <w:rFonts w:hint="eastAsia" w:ascii="宋体" w:hAnsi="宋体"/>
          <w:color w:val="auto"/>
          <w:sz w:val="21"/>
          <w:szCs w:val="24"/>
          <w:highlight w:val="none"/>
        </w:rPr>
        <w:t>新建8</w:t>
      </w:r>
      <w:r>
        <w:rPr>
          <w:rFonts w:hint="eastAsia" w:ascii="宋体" w:hAnsi="宋体"/>
          <w:color w:val="auto"/>
          <w:sz w:val="21"/>
          <w:szCs w:val="24"/>
          <w:highlight w:val="none"/>
          <w:lang w:val="en-US" w:eastAsia="zh-CN"/>
        </w:rPr>
        <w:t>mm</w:t>
      </w:r>
      <w:r>
        <w:rPr>
          <w:rFonts w:hint="eastAsia" w:ascii="宋体" w:hAnsi="宋体"/>
          <w:color w:val="auto"/>
          <w:sz w:val="21"/>
          <w:szCs w:val="24"/>
          <w:highlight w:val="none"/>
        </w:rPr>
        <w:t>厚硅PU球场、排水沟等项目</w:t>
      </w:r>
      <w:r>
        <w:rPr>
          <w:rFonts w:hint="eastAsia" w:ascii="宋体" w:hAnsi="宋体" w:eastAsia="宋体" w:cs="宋体"/>
          <w:color w:val="auto"/>
          <w:sz w:val="21"/>
          <w:szCs w:val="21"/>
          <w:highlight w:val="none"/>
          <w:lang w:eastAsia="zh-CN"/>
        </w:rPr>
        <w:t>，具体详见工程量清单及图纸</w:t>
      </w:r>
      <w:r>
        <w:rPr>
          <w:rFonts w:hint="eastAsia" w:ascii="宋体" w:hAnsi="宋体"/>
          <w:color w:val="auto"/>
          <w:sz w:val="21"/>
          <w:szCs w:val="24"/>
          <w:highlight w:val="none"/>
        </w:rPr>
        <w:t>；（2）简要技术需求或者服务要求：工程质量保修期不得少于</w:t>
      </w:r>
      <w:r>
        <w:rPr>
          <w:rFonts w:hint="eastAsia" w:ascii="宋体" w:hAnsi="宋体"/>
          <w:color w:val="auto"/>
          <w:sz w:val="21"/>
          <w:szCs w:val="24"/>
          <w:highlight w:val="none"/>
          <w:lang w:val="en-US" w:eastAsia="zh-CN"/>
        </w:rPr>
        <w:t>3年</w:t>
      </w:r>
      <w:r>
        <w:rPr>
          <w:rFonts w:hint="eastAsia" w:ascii="宋体" w:hAnsi="宋体"/>
          <w:color w:val="auto"/>
          <w:sz w:val="21"/>
          <w:szCs w:val="24"/>
          <w:highlight w:val="none"/>
        </w:rPr>
        <w:t>。</w:t>
      </w:r>
    </w:p>
    <w:p w14:paraId="478DB43C">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合同履行期限（工期）：</w:t>
      </w:r>
      <w:r>
        <w:rPr>
          <w:rFonts w:hint="eastAsia" w:ascii="宋体" w:hAnsi="宋体"/>
          <w:color w:val="auto"/>
          <w:sz w:val="21"/>
          <w:szCs w:val="24"/>
          <w:highlight w:val="none"/>
          <w:u w:val="single"/>
          <w:lang w:val="en-US" w:eastAsia="zh-CN"/>
        </w:rPr>
        <w:t>40</w:t>
      </w:r>
      <w:r>
        <w:rPr>
          <w:rFonts w:hint="eastAsia" w:ascii="宋体" w:hAnsi="宋体"/>
          <w:color w:val="auto"/>
          <w:sz w:val="21"/>
          <w:szCs w:val="24"/>
          <w:highlight w:val="none"/>
        </w:rPr>
        <w:t>日历天。</w:t>
      </w:r>
    </w:p>
    <w:p w14:paraId="22482ADB">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本项目不接受联合体参与磋商。</w:t>
      </w:r>
    </w:p>
    <w:p w14:paraId="45A0CADB">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0"/>
      <w:bookmarkEnd w:id="11"/>
      <w:bookmarkEnd w:id="12"/>
      <w:bookmarkEnd w:id="13"/>
    </w:p>
    <w:p w14:paraId="44930F59">
      <w:pPr>
        <w:spacing w:line="400" w:lineRule="exact"/>
        <w:ind w:firstLine="420"/>
        <w:rPr>
          <w:rFonts w:ascii="宋体" w:hAnsi="宋体" w:cs="宋体"/>
          <w:color w:val="auto"/>
          <w:sz w:val="21"/>
          <w:szCs w:val="21"/>
          <w:highlight w:val="none"/>
        </w:rPr>
      </w:pPr>
      <w:bookmarkStart w:id="14" w:name="OLE_LINK42"/>
      <w:bookmarkStart w:id="15" w:name="_Toc28359091"/>
      <w:bookmarkStart w:id="16" w:name="_Toc28359014"/>
      <w:r>
        <w:rPr>
          <w:rFonts w:hint="eastAsia" w:ascii="宋体" w:hAnsi="宋体" w:cs="宋体"/>
          <w:color w:val="auto"/>
          <w:sz w:val="21"/>
          <w:szCs w:val="21"/>
          <w:highlight w:val="none"/>
        </w:rPr>
        <w:t>1.满足《中华人民共和国政府采购法》第二十二条规定。</w:t>
      </w:r>
    </w:p>
    <w:p w14:paraId="58C0905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落实政府采购政策需满足的资格要求：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财库〔2014〕68号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及《关于促进残疾人就业政府采购政策的通知》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财库〔2017〕141号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规定，监狱企业、残疾人福利性单位视同小型、微型企业。</w:t>
      </w:r>
    </w:p>
    <w:p w14:paraId="0905F64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3.本项目的特定资格要求：</w:t>
      </w:r>
      <w:bookmarkStart w:id="17" w:name="OLE_LINK6"/>
    </w:p>
    <w:p w14:paraId="14ECF79E">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供应商须具备建筑工程施工总承包三级以上（含三级）资质，同时具备有效的安全生产许可证，并在人员、设备、资金等方面具有相应的履约能力。</w:t>
      </w:r>
    </w:p>
    <w:p w14:paraId="7DBA77B5">
      <w:pPr>
        <w:spacing w:line="400" w:lineRule="exact"/>
        <w:ind w:firstLine="42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082B201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项目经理必须具备建筑工程专业二级以上（含二级）注册建造师执业资格，具备有效的安全生产考核合格证书（B类）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bookmarkEnd w:id="17"/>
      <w:r>
        <w:rPr>
          <w:rFonts w:hint="eastAsia" w:ascii="宋体" w:hAnsi="宋体" w:cs="宋体"/>
          <w:color w:val="auto"/>
          <w:sz w:val="21"/>
          <w:szCs w:val="21"/>
          <w:highlight w:val="none"/>
        </w:rPr>
        <w:t>。</w:t>
      </w:r>
      <w:bookmarkEnd w:id="14"/>
    </w:p>
    <w:p w14:paraId="6E6F211D">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074E223">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617205E">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1F083959">
      <w:pPr>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385653DD">
      <w:pPr>
        <w:spacing w:line="400" w:lineRule="exact"/>
        <w:ind w:firstLine="422"/>
        <w:rPr>
          <w:rFonts w:ascii="宋体" w:hAnsi="宋体" w:cs="宋体"/>
          <w:b/>
          <w:bCs/>
          <w:color w:val="auto"/>
          <w:sz w:val="21"/>
          <w:szCs w:val="21"/>
          <w:highlight w:val="none"/>
        </w:rPr>
      </w:pPr>
      <w:bookmarkStart w:id="18" w:name="_Toc35393800"/>
      <w:bookmarkStart w:id="19" w:name="_Toc35393631"/>
      <w:r>
        <w:rPr>
          <w:rFonts w:hint="eastAsia" w:ascii="宋体" w:hAnsi="宋体" w:cs="宋体"/>
          <w:b/>
          <w:bCs/>
          <w:color w:val="auto"/>
          <w:sz w:val="21"/>
          <w:szCs w:val="21"/>
          <w:highlight w:val="none"/>
        </w:rPr>
        <w:t>三、获取采购文件</w:t>
      </w:r>
      <w:bookmarkEnd w:id="15"/>
      <w:bookmarkEnd w:id="16"/>
      <w:bookmarkEnd w:id="18"/>
      <w:bookmarkEnd w:id="19"/>
    </w:p>
    <w:p w14:paraId="62DC28B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4</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23</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rPr>
        <w:t>，每天上午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11:59</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rPr>
        <w:t>（北京时间，法定节假日除外）</w:t>
      </w:r>
    </w:p>
    <w:p w14:paraId="3312CFBF">
      <w:pPr>
        <w:spacing w:line="440" w:lineRule="exact"/>
        <w:ind w:firstLine="424" w:firstLineChars="202"/>
        <w:rPr>
          <w:rFonts w:ascii="宋体" w:hAnsi="宋体"/>
          <w:color w:val="auto"/>
          <w:sz w:val="21"/>
          <w:szCs w:val="21"/>
          <w:highlight w:val="none"/>
        </w:rPr>
      </w:pPr>
      <w:r>
        <w:rPr>
          <w:rFonts w:hint="eastAsia" w:ascii="宋体" w:hAnsi="宋体" w:cs="宋体"/>
          <w:color w:val="auto"/>
          <w:sz w:val="21"/>
          <w:szCs w:val="21"/>
          <w:highlight w:val="none"/>
        </w:rPr>
        <w:t>地点：</w:t>
      </w:r>
      <w:bookmarkStart w:id="20" w:name="OLE_LINK7"/>
      <w:bookmarkStart w:id="21" w:name="OLE_LINK8"/>
      <w:r>
        <w:rPr>
          <w:rFonts w:hint="eastAsia" w:ascii="宋体" w:hAnsi="宋体" w:cs="宋体"/>
          <w:color w:val="auto"/>
          <w:sz w:val="21"/>
          <w:szCs w:val="21"/>
          <w:highlight w:val="none"/>
        </w:rPr>
        <w:t>广西政府采购云平台（https://www.gcy.zfcg.gxzf.gov.cn/）</w:t>
      </w:r>
      <w:bookmarkEnd w:id="20"/>
      <w:bookmarkEnd w:id="21"/>
      <w:r>
        <w:rPr>
          <w:rFonts w:hint="eastAsia" w:ascii="宋体" w:hAnsi="宋体" w:cs="宋体"/>
          <w:color w:val="auto"/>
          <w:sz w:val="21"/>
          <w:szCs w:val="21"/>
          <w:highlight w:val="none"/>
        </w:rPr>
        <w:t>。</w:t>
      </w:r>
    </w:p>
    <w:p w14:paraId="73B88F0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bookmarkStart w:id="22" w:name="OLE_LINK12"/>
      <w:r>
        <w:rPr>
          <w:rFonts w:hint="eastAsia" w:ascii="宋体" w:hAnsi="宋体" w:cs="宋体"/>
          <w:color w:val="auto"/>
          <w:kern w:val="0"/>
          <w:sz w:val="21"/>
          <w:szCs w:val="21"/>
          <w:highlight w:val="none"/>
        </w:rPr>
        <w:t>潜在供应商登录</w:t>
      </w:r>
      <w:r>
        <w:rPr>
          <w:rFonts w:hint="eastAsia" w:ascii="宋体" w:hAnsi="宋体" w:cs="宋体"/>
          <w:color w:val="auto"/>
          <w:sz w:val="21"/>
          <w:szCs w:val="21"/>
          <w:highlight w:val="none"/>
        </w:rPr>
        <w:t>广西政府采购云平台（https://www.gcy.zfcg.gxzf.gov.cn/）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bookmarkEnd w:id="22"/>
      <w:r>
        <w:rPr>
          <w:rFonts w:hint="eastAsia" w:ascii="宋体" w:hAnsi="宋体" w:cs="宋体"/>
          <w:b/>
          <w:bCs/>
          <w:color w:val="auto"/>
          <w:sz w:val="21"/>
          <w:szCs w:val="21"/>
          <w:highlight w:val="none"/>
        </w:rPr>
        <w:t>。</w:t>
      </w:r>
    </w:p>
    <w:p w14:paraId="0A52F1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3" w:name="_Toc35393801"/>
      <w:bookmarkStart w:id="24" w:name="_Toc35393632"/>
      <w:bookmarkStart w:id="25" w:name="_Toc28359092"/>
      <w:bookmarkStart w:id="26" w:name="_Toc28359015"/>
    </w:p>
    <w:p w14:paraId="2AFB470E">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3"/>
      <w:bookmarkEnd w:id="24"/>
      <w:bookmarkEnd w:id="25"/>
      <w:bookmarkEnd w:id="26"/>
    </w:p>
    <w:p w14:paraId="04E1B9A8">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w:t>
      </w:r>
      <w:r>
        <w:rPr>
          <w:rFonts w:hint="eastAsia" w:ascii="宋体" w:hAnsi="宋体" w:cs="宋体"/>
          <w:color w:val="auto"/>
          <w:sz w:val="21"/>
          <w:szCs w:val="21"/>
          <w:highlight w:val="none"/>
          <w:u w:val="single"/>
        </w:rPr>
        <w:t>2026年5月6日</w:t>
      </w:r>
      <w:r>
        <w:rPr>
          <w:rFonts w:ascii="宋体" w:hAnsi="宋体" w:cs="宋体"/>
          <w:color w:val="auto"/>
          <w:sz w:val="21"/>
          <w:szCs w:val="21"/>
          <w:highlight w:val="none"/>
          <w:u w:val="single"/>
        </w:rPr>
        <w:t>上午</w:t>
      </w:r>
      <w:r>
        <w:rPr>
          <w:rFonts w:hint="eastAsia" w:ascii="宋体" w:hAnsi="宋体" w:cs="宋体"/>
          <w:color w:val="auto"/>
          <w:sz w:val="21"/>
          <w:szCs w:val="21"/>
          <w:highlight w:val="none"/>
          <w:u w:val="single"/>
        </w:rPr>
        <w:t>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629C262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7" w:name="OLE_LINK13"/>
      <w:bookmarkStart w:id="28" w:name="OLE_LINK14"/>
      <w:bookmarkStart w:id="29" w:name="_Toc35393802"/>
      <w:bookmarkStart w:id="30" w:name="_Toc28359016"/>
      <w:bookmarkStart w:id="31" w:name="_Toc28359093"/>
      <w:bookmarkStart w:id="32" w:name="_Toc35393633"/>
      <w:r>
        <w:rPr>
          <w:rFonts w:hint="eastAsia" w:ascii="宋体" w:hAnsi="宋体" w:cs="宋体"/>
          <w:color w:val="auto"/>
          <w:sz w:val="21"/>
          <w:szCs w:val="21"/>
          <w:highlight w:val="none"/>
        </w:rPr>
        <w:t>登录广西政府采购云平台在线提交</w:t>
      </w:r>
      <w:bookmarkEnd w:id="27"/>
      <w:bookmarkEnd w:id="28"/>
      <w:r>
        <w:rPr>
          <w:rFonts w:hint="eastAsia" w:ascii="宋体" w:hAnsi="宋体" w:cs="宋体"/>
          <w:color w:val="auto"/>
          <w:sz w:val="21"/>
          <w:szCs w:val="21"/>
          <w:highlight w:val="none"/>
        </w:rPr>
        <w:t>。</w:t>
      </w:r>
    </w:p>
    <w:p w14:paraId="1B701131">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9"/>
      <w:bookmarkEnd w:id="30"/>
      <w:bookmarkEnd w:id="31"/>
      <w:bookmarkEnd w:id="32"/>
    </w:p>
    <w:p w14:paraId="35503DAC">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u w:val="single"/>
        </w:rPr>
        <w:t>上</w:t>
      </w:r>
      <w:r>
        <w:rPr>
          <w:rFonts w:ascii="宋体" w:hAnsi="宋体" w:cs="宋体"/>
          <w:color w:val="auto"/>
          <w:sz w:val="21"/>
          <w:szCs w:val="21"/>
          <w:highlight w:val="none"/>
          <w:u w:val="single"/>
        </w:rPr>
        <w:t>午</w:t>
      </w:r>
      <w:r>
        <w:rPr>
          <w:rFonts w:hint="eastAsia" w:ascii="宋体" w:hAnsi="宋体" w:cs="宋体"/>
          <w:color w:val="auto"/>
          <w:sz w:val="21"/>
          <w:szCs w:val="21"/>
          <w:highlight w:val="none"/>
          <w:u w:val="single"/>
        </w:rPr>
        <w:t>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625AC427">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33" w:name="_Toc35393803"/>
      <w:bookmarkStart w:id="34" w:name="_Toc35393634"/>
      <w:bookmarkStart w:id="35" w:name="_Toc28359017"/>
      <w:bookmarkStart w:id="36" w:name="_Toc28359094"/>
      <w:r>
        <w:rPr>
          <w:rFonts w:hint="eastAsia" w:ascii="宋体" w:hAnsi="宋体" w:cs="宋体"/>
          <w:color w:val="auto"/>
          <w:sz w:val="21"/>
          <w:szCs w:val="21"/>
          <w:highlight w:val="none"/>
        </w:rPr>
        <w:t>通过广西政府采购云平台在线解密开启。</w:t>
      </w:r>
    </w:p>
    <w:p w14:paraId="4F23EFBF">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33"/>
      <w:bookmarkEnd w:id="34"/>
      <w:bookmarkEnd w:id="35"/>
      <w:bookmarkEnd w:id="36"/>
    </w:p>
    <w:p w14:paraId="30B15B9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7" w:name="_Toc35393804"/>
      <w:bookmarkStart w:id="38" w:name="_Toc35393635"/>
    </w:p>
    <w:p w14:paraId="1F13643C">
      <w:pPr>
        <w:numPr>
          <w:ilvl w:val="0"/>
          <w:numId w:val="3"/>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7"/>
      <w:bookmarkEnd w:id="38"/>
    </w:p>
    <w:p w14:paraId="45F90400">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1.信息公告发布媒体：中国政府采购网（www.ccgp.gov.cn）、广西壮族自治区政府采购网（zfcg.gxzf.gov.cn）、桂林市政府采购网（zfcg.czj.guilin.gov.cn）。</w:t>
      </w:r>
    </w:p>
    <w:p w14:paraId="7D1B424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19CB56B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28C9B286">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5CD2799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118ECD67">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（4）强制采购政府强制采购节能产品；优先采购节能产品、环境标志产品；</w:t>
      </w:r>
    </w:p>
    <w:p w14:paraId="2E6AA975">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4CF3BA74">
      <w:pPr>
        <w:spacing w:line="400" w:lineRule="exact"/>
        <w:ind w:firstLine="420"/>
        <w:rPr>
          <w:rFonts w:ascii="宋体" w:hAnsi="宋体" w:cs="宋体"/>
          <w:color w:val="auto"/>
          <w:sz w:val="21"/>
          <w:szCs w:val="21"/>
          <w:highlight w:val="none"/>
        </w:rPr>
      </w:pPr>
      <w:bookmarkStart w:id="39" w:name="_Toc35393636"/>
      <w:bookmarkStart w:id="40" w:name="_Toc35393805"/>
      <w:bookmarkStart w:id="41" w:name="_Toc28359018"/>
      <w:bookmarkStart w:id="42" w:name="_Toc2835909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3D44E2E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6C0E3C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00EEFD7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 广西政府采购云平台电子竞标相关事宜：</w:t>
      </w:r>
    </w:p>
    <w:p w14:paraId="6B7DC212">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电子签章或电子签名；供应商应当在响应文件提交截止时间前在广西政府采购云平台</w:t>
      </w:r>
      <w:r>
        <w:rPr>
          <w:rFonts w:hint="eastAsia" w:ascii="宋体" w:hAnsi="宋体" w:cs="宋体"/>
          <w:bCs/>
          <w:color w:val="auto"/>
          <w:sz w:val="21"/>
          <w:szCs w:val="21"/>
          <w:highlight w:val="none"/>
          <w:lang w:eastAsia="zh-CN"/>
        </w:rPr>
        <w:t>完成</w:t>
      </w:r>
      <w:r>
        <w:rPr>
          <w:rFonts w:hint="eastAsia" w:ascii="宋体" w:hAnsi="宋体" w:cs="宋体"/>
          <w:bCs/>
          <w:color w:val="auto"/>
          <w:sz w:val="21"/>
          <w:szCs w:val="21"/>
          <w:highlight w:val="none"/>
        </w:rPr>
        <w:t>身份认证，确保能够对相关数据电文进行加密和使用电子签章；③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28B2D91">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（2）电子竞标具体操作流程参考《政府采购项目电子交易管理操作指南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供应商》（详见桂林市政府采购网—采购资讯—重要通知）；如遇平台技术问题详询95763或者0771-3381253。</w:t>
      </w:r>
    </w:p>
    <w:p w14:paraId="405FF0D0">
      <w:pPr>
        <w:adjustRightInd w:val="0"/>
        <w:snapToGrid w:val="0"/>
        <w:spacing w:line="400" w:lineRule="exact"/>
        <w:ind w:firstLine="420"/>
        <w:rPr>
          <w:rFonts w:hint="eastAsia"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kern w:val="0"/>
          <w:sz w:val="21"/>
          <w:szCs w:val="21"/>
          <w:highlight w:val="none"/>
        </w:rPr>
        <w:t>电子响应文件的制作、加密、</w:t>
      </w:r>
      <w:r>
        <w:rPr>
          <w:rFonts w:hint="eastAsia" w:ascii="宋体" w:hAnsi="宋体" w:cs="宋体"/>
          <w:color w:val="auto"/>
          <w:sz w:val="21"/>
          <w:szCs w:val="21"/>
          <w:highlight w:val="none"/>
        </w:rPr>
        <w:t>提交、解密等相关事宜详见第二章 “供应商须知”。</w:t>
      </w:r>
    </w:p>
    <w:p w14:paraId="233EAF19">
      <w:pPr>
        <w:adjustRightInd w:val="0"/>
        <w:snapToGrid w:val="0"/>
        <w:spacing w:line="400" w:lineRule="exact"/>
        <w:ind w:firstLine="42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w:t>
      </w:r>
      <w:r>
        <w:rPr>
          <w:rFonts w:hint="eastAsia" w:ascii="宋体" w:hAnsi="宋体" w:cs="宋体"/>
          <w:color w:val="auto"/>
          <w:kern w:val="0"/>
          <w:sz w:val="21"/>
          <w:szCs w:val="21"/>
          <w:highlight w:val="none"/>
        </w:rPr>
        <w:t>监督管理机构</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桂林市财政局    联系电话：0773-2816067</w:t>
      </w:r>
    </w:p>
    <w:p w14:paraId="3BA62CEF">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9"/>
      <w:bookmarkEnd w:id="40"/>
      <w:bookmarkEnd w:id="41"/>
      <w:bookmarkEnd w:id="42"/>
    </w:p>
    <w:p w14:paraId="7116B0B3">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0E85C81A">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称：桂林市田家炳中学</w:t>
      </w:r>
    </w:p>
    <w:p w14:paraId="3D5A57B3">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w:t>
      </w:r>
      <w:r>
        <w:rPr>
          <w:rFonts w:ascii="宋体" w:hAnsi="宋体" w:cs="宋体"/>
          <w:color w:val="auto"/>
          <w:sz w:val="21"/>
          <w:szCs w:val="24"/>
          <w:highlight w:val="none"/>
        </w:rPr>
        <w:fldChar w:fldCharType="begin"/>
      </w:r>
      <w:r>
        <w:rPr>
          <w:rFonts w:ascii="宋体" w:hAnsi="宋体" w:cs="宋体"/>
          <w:color w:val="auto"/>
          <w:sz w:val="21"/>
          <w:szCs w:val="24"/>
          <w:highlight w:val="none"/>
        </w:rPr>
        <w:instrText xml:space="preserve"> HYPERLINK "http://www.baidu.com/link?url=UwmCk_WYCpVhnt8WNof7ACl_V-BcuHdnc9oxKVvXEsbI2CToSKID4qiynhHKz-Z38MbVjKvByWjTTJcI2RD7rbRl6GsnVn8fYXLH2GfoBi9DlUD-8vG0C1H3df1tqvs0YbEEaHRhWrSt5fmFQ7QH_cbW3FN0dP4rhIC1gWdzpMlWF_CLZXb1gKhNq4-9Ng5JYSrG9uXH06Obo5Gm7nOqxaVqTJOe7X4tAv1-drHA9KDYcHvYcwq9BYmqbQz5kzMC4I9wT1fWdB2rVFaTfJvX1eWkIEZWgyn1ta2G0Wr4EpK" \t "_blank" </w:instrText>
      </w:r>
      <w:r>
        <w:rPr>
          <w:rFonts w:ascii="宋体" w:hAnsi="宋体" w:cs="宋体"/>
          <w:color w:val="auto"/>
          <w:sz w:val="21"/>
          <w:szCs w:val="24"/>
          <w:highlight w:val="none"/>
        </w:rPr>
        <w:fldChar w:fldCharType="separate"/>
      </w:r>
      <w:bookmarkStart w:id="43" w:name="OLE_LINK15"/>
      <w:r>
        <w:rPr>
          <w:rFonts w:ascii="宋体" w:hAnsi="宋体" w:cs="宋体"/>
          <w:color w:val="auto"/>
          <w:sz w:val="21"/>
          <w:szCs w:val="24"/>
          <w:highlight w:val="none"/>
        </w:rPr>
        <w:t>广西壮族自治区桂林市七星区屏风路2号</w:t>
      </w:r>
      <w:bookmarkEnd w:id="43"/>
      <w:bookmarkStart w:id="1504" w:name="_GoBack"/>
      <w:bookmarkEnd w:id="1504"/>
    </w:p>
    <w:p w14:paraId="4DE34817">
      <w:pPr>
        <w:spacing w:line="400" w:lineRule="exact"/>
        <w:ind w:firstLine="420"/>
        <w:rPr>
          <w:rFonts w:ascii="宋体" w:hAnsi="宋体" w:cs="宋体"/>
          <w:color w:val="auto"/>
          <w:sz w:val="21"/>
          <w:szCs w:val="24"/>
          <w:highlight w:val="none"/>
        </w:rPr>
      </w:pPr>
      <w:r>
        <w:rPr>
          <w:rFonts w:ascii="宋体" w:hAnsi="宋体" w:cs="宋体"/>
          <w:color w:val="auto"/>
          <w:sz w:val="21"/>
          <w:szCs w:val="24"/>
          <w:highlight w:val="none"/>
        </w:rPr>
        <w:fldChar w:fldCharType="end"/>
      </w:r>
      <w:r>
        <w:rPr>
          <w:rFonts w:hint="eastAsia" w:ascii="宋体" w:hAnsi="宋体" w:cs="宋体"/>
          <w:color w:val="auto"/>
          <w:sz w:val="21"/>
          <w:szCs w:val="24"/>
          <w:highlight w:val="none"/>
        </w:rPr>
        <w:t>项目联系人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张亚冰</w:t>
      </w:r>
    </w:p>
    <w:p w14:paraId="235180EF">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联系方式：</w:t>
      </w:r>
      <w:r>
        <w:rPr>
          <w:rFonts w:ascii="宋体" w:hAnsi="宋体" w:cs="宋体"/>
          <w:color w:val="auto"/>
          <w:sz w:val="21"/>
          <w:szCs w:val="24"/>
          <w:highlight w:val="none"/>
        </w:rPr>
        <w:t>18076760311</w:t>
      </w:r>
    </w:p>
    <w:p w14:paraId="08CC1DDB">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19A2038C">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776ED30B">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址：广西桂林市临桂区西城北路2号耀辉•美好家园2幢12层1号房</w:t>
      </w:r>
    </w:p>
    <w:p w14:paraId="71A34E3F">
      <w:pPr>
        <w:spacing w:line="400" w:lineRule="exact"/>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0"/>
          <w:highlight w:val="none"/>
        </w:rPr>
        <w:t>项目联系人：</w:t>
      </w:r>
      <w:r>
        <w:rPr>
          <w:rFonts w:hint="eastAsia" w:ascii="宋体" w:hAnsi="宋体" w:cs="宋体"/>
          <w:color w:val="auto"/>
          <w:sz w:val="21"/>
          <w:szCs w:val="20"/>
          <w:highlight w:val="none"/>
          <w:lang w:eastAsia="zh-CN"/>
        </w:rPr>
        <w:t>李贞</w:t>
      </w:r>
    </w:p>
    <w:p w14:paraId="20FDAD7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项目联系方式：</w:t>
      </w:r>
      <w:bookmarkStart w:id="44" w:name="OLE_LINK9"/>
      <w:r>
        <w:rPr>
          <w:rFonts w:hint="eastAsia" w:ascii="宋体" w:hAnsi="宋体" w:cs="宋体"/>
          <w:color w:val="auto"/>
          <w:sz w:val="21"/>
          <w:szCs w:val="24"/>
          <w:highlight w:val="none"/>
        </w:rPr>
        <w:t>0773-2887388</w:t>
      </w:r>
      <w:bookmarkEnd w:id="44"/>
      <w:r>
        <w:rPr>
          <w:rFonts w:hint="eastAsia" w:ascii="宋体" w:hAnsi="宋体" w:cs="宋体"/>
          <w:color w:val="auto"/>
          <w:sz w:val="21"/>
          <w:szCs w:val="24"/>
          <w:highlight w:val="none"/>
        </w:rPr>
        <w:t xml:space="preserve">、2887399 </w:t>
      </w:r>
    </w:p>
    <w:p w14:paraId="3EF47B55">
      <w:pPr>
        <w:widowControl/>
        <w:spacing w:line="240" w:lineRule="auto"/>
        <w:ind w:firstLine="0" w:firstLineChars="0"/>
        <w:jc w:val="left"/>
        <w:rPr>
          <w:rFonts w:ascii="宋体" w:hAnsi="宋体" w:cs="宋体"/>
          <w:bCs/>
          <w:color w:val="auto"/>
          <w:szCs w:val="21"/>
          <w:highlight w:val="none"/>
        </w:rPr>
      </w:pPr>
      <w:r>
        <w:rPr>
          <w:rFonts w:ascii="宋体" w:hAnsi="宋体" w:cs="宋体"/>
          <w:bCs/>
          <w:color w:val="auto"/>
          <w:szCs w:val="21"/>
          <w:highlight w:val="none"/>
        </w:rPr>
        <w:br w:type="page"/>
      </w:r>
    </w:p>
    <w:bookmarkEnd w:id="2"/>
    <w:bookmarkEnd w:id="3"/>
    <w:p w14:paraId="442C4232">
      <w:pPr>
        <w:numPr>
          <w:ilvl w:val="0"/>
          <w:numId w:val="4"/>
        </w:numPr>
        <w:spacing w:line="360" w:lineRule="exact"/>
        <w:ind w:left="1077" w:hanging="1077" w:firstLineChars="0"/>
        <w:jc w:val="center"/>
        <w:outlineLvl w:val="1"/>
        <w:rPr>
          <w:rFonts w:ascii="宋体" w:hAnsi="宋体" w:cs="宋体"/>
          <w:b/>
          <w:color w:val="auto"/>
          <w:kern w:val="0"/>
          <w:sz w:val="32"/>
          <w:szCs w:val="32"/>
          <w:highlight w:val="none"/>
        </w:rPr>
      </w:pPr>
      <w:bookmarkStart w:id="45" w:name="_Toc82016586"/>
      <w:r>
        <w:rPr>
          <w:rFonts w:hint="eastAsia" w:ascii="宋体" w:hAnsi="宋体" w:cs="宋体"/>
          <w:b/>
          <w:color w:val="auto"/>
          <w:kern w:val="0"/>
          <w:sz w:val="32"/>
          <w:szCs w:val="32"/>
          <w:highlight w:val="none"/>
        </w:rPr>
        <w:t>供应商须知</w:t>
      </w:r>
      <w:bookmarkEnd w:id="45"/>
    </w:p>
    <w:p w14:paraId="70F45B97">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16"/>
        <w:gridCol w:w="1324"/>
        <w:gridCol w:w="6586"/>
      </w:tblGrid>
      <w:tr w14:paraId="132C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96AB17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816" w:type="dxa"/>
            <w:vAlign w:val="center"/>
          </w:tcPr>
          <w:p w14:paraId="3D279ED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3404775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2A622B8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33C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4769CD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816" w:type="dxa"/>
            <w:vAlign w:val="center"/>
          </w:tcPr>
          <w:p w14:paraId="456C327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62D8957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项目名称及项目编号</w:t>
            </w:r>
          </w:p>
        </w:tc>
        <w:tc>
          <w:tcPr>
            <w:tcW w:w="6586" w:type="dxa"/>
            <w:vAlign w:val="center"/>
          </w:tcPr>
          <w:p w14:paraId="29EB8DDD">
            <w:pPr>
              <w:spacing w:line="340" w:lineRule="exact"/>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sz w:val="21"/>
                <w:szCs w:val="24"/>
                <w:highlight w:val="none"/>
                <w:lang w:eastAsia="zh-CN"/>
              </w:rPr>
              <w:t>桂林市田家炳中学球类活动场地改造</w:t>
            </w:r>
          </w:p>
          <w:p w14:paraId="4CAE2CA1">
            <w:pPr>
              <w:spacing w:line="340" w:lineRule="exact"/>
              <w:ind w:firstLine="0" w:firstLineChars="0"/>
              <w:jc w:val="left"/>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项目编号：GLZC2026-C2-990128-YZLZ</w:t>
            </w:r>
          </w:p>
          <w:p w14:paraId="50F2F20E">
            <w:pPr>
              <w:spacing w:line="340" w:lineRule="exact"/>
              <w:ind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YZLGL2026-C2-023-GLZC</w:t>
            </w:r>
          </w:p>
        </w:tc>
      </w:tr>
      <w:tr w14:paraId="3FCC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88" w:type="dxa"/>
            <w:vAlign w:val="center"/>
          </w:tcPr>
          <w:p w14:paraId="2372651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816" w:type="dxa"/>
            <w:vAlign w:val="center"/>
          </w:tcPr>
          <w:p w14:paraId="769BCFA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527B413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5D82CB40">
            <w:pPr>
              <w:spacing w:line="340" w:lineRule="exact"/>
              <w:ind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3.1满足《中华人民共和国政府采购法》第二十二条规定。</w:t>
            </w:r>
          </w:p>
          <w:p w14:paraId="7DBC4D62">
            <w:pPr>
              <w:spacing w:line="340" w:lineRule="exact"/>
              <w:ind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3.2落实政府采购政策需满足的资格要求：</w:t>
            </w:r>
            <w:r>
              <w:rPr>
                <w:rFonts w:hint="eastAsia" w:ascii="宋体" w:hAnsi="宋体" w:cs="宋体"/>
                <w:color w:val="auto"/>
                <w:sz w:val="21"/>
                <w:szCs w:val="24"/>
                <w:highlight w:val="none"/>
              </w:rPr>
              <w:t>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财库〔2014〕68号</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及《关于促进残疾人就业政府采购政策的通知》</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财库〔2017〕141号</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规定，监狱企业、残疾人福利性单位视同小型、微型企业。</w:t>
            </w:r>
          </w:p>
          <w:p w14:paraId="53757DFD">
            <w:pPr>
              <w:spacing w:line="340" w:lineRule="exact"/>
              <w:ind w:left="0" w:leftChars="0"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3.3本项目的特定资格要求：</w:t>
            </w:r>
          </w:p>
          <w:p w14:paraId="06221F01">
            <w:pPr>
              <w:spacing w:line="34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供应商须具备建筑工程施工总承包三级以上（含三级）资质，同时具备有效的安全生产许可证，并在人员、设备、资金等方面具有相应的履约能力。</w:t>
            </w:r>
          </w:p>
          <w:p w14:paraId="1516FDC4">
            <w:pPr>
              <w:spacing w:line="340" w:lineRule="exact"/>
              <w:ind w:firstLine="0" w:firstLineChars="0"/>
              <w:jc w:val="left"/>
              <w:rPr>
                <w:rFonts w:hint="eastAsia" w:ascii="宋体" w:hAnsi="宋体" w:cs="宋体"/>
                <w:color w:val="auto"/>
                <w:sz w:val="21"/>
                <w:szCs w:val="24"/>
                <w:highlight w:val="none"/>
                <w:lang w:eastAsia="zh-CN"/>
              </w:rPr>
            </w:pP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2</w:t>
            </w:r>
            <w:r>
              <w:rPr>
                <w:rFonts w:hint="eastAsia" w:ascii="宋体" w:hAnsi="宋体" w:cs="宋体"/>
                <w:color w:val="auto"/>
                <w:sz w:val="21"/>
                <w:szCs w:val="24"/>
                <w:highlight w:val="none"/>
                <w:lang w:eastAsia="zh-CN"/>
              </w:rPr>
              <w:t>）供应商提供</w:t>
            </w:r>
            <w:r>
              <w:rPr>
                <w:rFonts w:hint="eastAsia" w:ascii="宋体" w:hAnsi="宋体" w:cs="宋体"/>
                <w:bCs w:val="0"/>
                <w:color w:val="auto"/>
                <w:sz w:val="21"/>
                <w:szCs w:val="24"/>
                <w:highlight w:val="none"/>
              </w:rPr>
              <w:t>项目管理机构组成表</w:t>
            </w:r>
            <w:r>
              <w:rPr>
                <w:rFonts w:hint="eastAsia" w:ascii="宋体" w:hAnsi="宋体" w:cs="宋体"/>
                <w:color w:val="auto"/>
                <w:sz w:val="21"/>
                <w:szCs w:val="24"/>
                <w:highlight w:val="none"/>
                <w:lang w:eastAsia="zh-CN"/>
              </w:rPr>
              <w:t>，且</w:t>
            </w:r>
            <w:r>
              <w:rPr>
                <w:rFonts w:hint="eastAsia" w:ascii="宋体" w:hAnsi="宋体" w:cs="宋体"/>
                <w:bCs w:val="0"/>
                <w:color w:val="auto"/>
                <w:sz w:val="21"/>
                <w:szCs w:val="24"/>
                <w:highlight w:val="none"/>
                <w:lang w:eastAsia="zh-CN"/>
              </w:rPr>
              <w:t>须满足以下最低人员配备要求</w:t>
            </w:r>
            <w:r>
              <w:rPr>
                <w:rFonts w:hint="eastAsia" w:ascii="宋体" w:hAnsi="宋体" w:cs="宋体"/>
                <w:color w:val="auto"/>
                <w:sz w:val="21"/>
                <w:szCs w:val="24"/>
                <w:highlight w:val="none"/>
                <w:lang w:eastAsia="zh-CN"/>
              </w:rPr>
              <w:t>：</w:t>
            </w:r>
          </w:p>
          <w:p w14:paraId="547A620C">
            <w:pPr>
              <w:spacing w:line="34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①</w:t>
            </w:r>
            <w:r>
              <w:rPr>
                <w:rFonts w:hint="eastAsia" w:ascii="宋体" w:hAnsi="宋体" w:cs="宋体"/>
                <w:color w:val="auto"/>
                <w:sz w:val="21"/>
                <w:szCs w:val="24"/>
                <w:highlight w:val="none"/>
              </w:rPr>
              <w:t>项目经理</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color w:val="auto"/>
                <w:sz w:val="21"/>
                <w:szCs w:val="24"/>
                <w:highlight w:val="none"/>
              </w:rPr>
              <w:t>项目经理必须具备建筑工程专业二级以上（含二级）注册建造师执业资格，具备有效的安全生产考核合格证书（B类）</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color w:val="auto"/>
                <w:sz w:val="21"/>
                <w:szCs w:val="24"/>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4"/>
                <w:highlight w:val="none"/>
                <w:lang w:eastAsia="zh-CN"/>
              </w:rPr>
              <w:t>文</w:t>
            </w:r>
            <w:r>
              <w:rPr>
                <w:rFonts w:hint="eastAsia" w:ascii="宋体" w:hAnsi="宋体" w:cs="宋体"/>
                <w:color w:val="auto"/>
                <w:sz w:val="21"/>
                <w:szCs w:val="24"/>
                <w:highlight w:val="none"/>
              </w:rPr>
              <w:t>除外）。</w:t>
            </w:r>
          </w:p>
          <w:p w14:paraId="1B797120">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color w:val="auto"/>
                <w:sz w:val="21"/>
                <w:szCs w:val="24"/>
                <w:highlight w:val="none"/>
                <w:lang w:eastAsia="zh-CN"/>
              </w:rPr>
              <w:t>②</w:t>
            </w:r>
            <w:r>
              <w:rPr>
                <w:rFonts w:hint="eastAsia" w:ascii="宋体" w:hAnsi="宋体" w:cs="宋体"/>
                <w:bCs w:val="0"/>
                <w:color w:val="auto"/>
                <w:sz w:val="21"/>
                <w:szCs w:val="24"/>
                <w:highlight w:val="none"/>
              </w:rPr>
              <w:t>技术负责人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1人</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bCs w:val="0"/>
                <w:color w:val="auto"/>
                <w:sz w:val="21"/>
                <w:szCs w:val="24"/>
                <w:highlight w:val="none"/>
              </w:rPr>
              <w:t>技术负责人</w:t>
            </w:r>
            <w:r>
              <w:rPr>
                <w:rFonts w:hint="eastAsia" w:ascii="宋体" w:hAnsi="宋体" w:cs="宋体"/>
                <w:bCs w:val="0"/>
                <w:color w:val="auto"/>
                <w:sz w:val="21"/>
                <w:szCs w:val="24"/>
                <w:highlight w:val="none"/>
                <w:lang w:eastAsia="zh-CN"/>
              </w:rPr>
              <w:t>须具有相关专业中级及以上职称</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273DD05F">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bCs w:val="0"/>
                <w:color w:val="auto"/>
                <w:sz w:val="21"/>
                <w:szCs w:val="24"/>
                <w:highlight w:val="none"/>
                <w:lang w:eastAsia="zh-CN"/>
              </w:rPr>
              <w:t>③</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lang w:val="en-US" w:eastAsia="zh-CN"/>
              </w:rPr>
              <w:t>1人</w:t>
            </w:r>
            <w:r>
              <w:rPr>
                <w:rFonts w:hint="eastAsia" w:ascii="宋体" w:hAnsi="宋体" w:cs="宋体"/>
                <w:bCs w:val="0"/>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须具有</w:t>
            </w:r>
            <w:r>
              <w:rPr>
                <w:rFonts w:hint="eastAsia" w:ascii="宋体" w:hAnsi="宋体" w:cs="宋体"/>
                <w:bCs w:val="0"/>
                <w:color w:val="auto"/>
                <w:sz w:val="21"/>
                <w:szCs w:val="24"/>
                <w:highlight w:val="none"/>
              </w:rPr>
              <w:t>相应有效的专职安全员安全生产考核合格证书（C类）</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74F9C368">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bCs w:val="0"/>
                <w:color w:val="auto"/>
                <w:sz w:val="21"/>
                <w:szCs w:val="24"/>
                <w:highlight w:val="none"/>
                <w:lang w:eastAsia="zh-CN"/>
              </w:rPr>
              <w:t>④</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（各配备</w:t>
            </w:r>
            <w:r>
              <w:rPr>
                <w:rFonts w:hint="eastAsia" w:ascii="宋体" w:hAnsi="宋体" w:cs="宋体"/>
                <w:bCs w:val="0"/>
                <w:color w:val="auto"/>
                <w:sz w:val="21"/>
                <w:szCs w:val="24"/>
                <w:highlight w:val="none"/>
                <w:lang w:val="en-US" w:eastAsia="zh-CN"/>
              </w:rPr>
              <w:t>1人</w:t>
            </w:r>
            <w:r>
              <w:rPr>
                <w:rFonts w:hint="eastAsia" w:ascii="宋体" w:hAnsi="宋体" w:cs="宋体"/>
                <w:bCs w:val="0"/>
                <w:color w:val="auto"/>
                <w:sz w:val="21"/>
                <w:szCs w:val="24"/>
                <w:highlight w:val="none"/>
                <w:lang w:eastAsia="zh-CN"/>
              </w:rPr>
              <w:t>）：拟投入的</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须具有</w:t>
            </w:r>
            <w:r>
              <w:rPr>
                <w:rFonts w:hint="eastAsia" w:ascii="宋体" w:hAnsi="宋体" w:cs="宋体"/>
                <w:bCs w:val="0"/>
                <w:color w:val="auto"/>
                <w:sz w:val="21"/>
                <w:szCs w:val="24"/>
                <w:highlight w:val="none"/>
              </w:rPr>
              <w:t>相应有效的施工现场专业人员职业培训合格证书</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3BF1A176">
            <w:pPr>
              <w:spacing w:line="340" w:lineRule="exact"/>
              <w:ind w:firstLine="0" w:firstLineChars="0"/>
              <w:jc w:val="left"/>
              <w:rPr>
                <w:rFonts w:hint="eastAsia" w:ascii="宋体" w:hAnsi="宋体" w:cs="宋体"/>
                <w:color w:val="auto"/>
                <w:spacing w:val="0"/>
                <w:kern w:val="2"/>
                <w:sz w:val="21"/>
                <w:szCs w:val="21"/>
                <w:highlight w:val="none"/>
              </w:rPr>
            </w:pPr>
            <w:r>
              <w:rPr>
                <w:rFonts w:hint="eastAsia" w:ascii="宋体" w:hAnsi="宋体" w:cs="宋体"/>
                <w:bCs w:val="0"/>
                <w:color w:val="auto"/>
                <w:sz w:val="21"/>
                <w:szCs w:val="24"/>
                <w:highlight w:val="none"/>
                <w:lang w:eastAsia="zh-CN"/>
              </w:rPr>
              <w:t>⑤供应商具有</w:t>
            </w:r>
            <w:r>
              <w:rPr>
                <w:rFonts w:hint="eastAsia" w:ascii="宋体" w:hAnsi="宋体" w:cs="宋体"/>
                <w:bCs w:val="0"/>
                <w:color w:val="auto"/>
                <w:sz w:val="21"/>
                <w:szCs w:val="24"/>
                <w:highlight w:val="none"/>
              </w:rPr>
              <w:t>202</w:t>
            </w:r>
            <w:r>
              <w:rPr>
                <w:rFonts w:hint="eastAsia" w:ascii="宋体" w:hAnsi="宋体" w:cs="宋体"/>
                <w:bCs w:val="0"/>
                <w:color w:val="auto"/>
                <w:sz w:val="21"/>
                <w:szCs w:val="24"/>
                <w:highlight w:val="none"/>
                <w:lang w:val="en-US" w:eastAsia="zh-CN"/>
              </w:rPr>
              <w:t>6</w:t>
            </w:r>
            <w:r>
              <w:rPr>
                <w:rFonts w:hint="eastAsia" w:ascii="宋体" w:hAnsi="宋体" w:cs="宋体"/>
                <w:bCs w:val="0"/>
                <w:color w:val="auto"/>
                <w:sz w:val="21"/>
                <w:szCs w:val="24"/>
                <w:highlight w:val="none"/>
              </w:rPr>
              <w:t>年以来任意1个月为</w:t>
            </w:r>
            <w:r>
              <w:rPr>
                <w:rFonts w:hint="eastAsia" w:ascii="宋体" w:hAnsi="宋体" w:cs="宋体"/>
                <w:bCs w:val="0"/>
                <w:color w:val="auto"/>
                <w:sz w:val="21"/>
                <w:szCs w:val="24"/>
                <w:highlight w:val="none"/>
                <w:lang w:eastAsia="zh-CN"/>
              </w:rPr>
              <w:t>以上</w:t>
            </w:r>
            <w:r>
              <w:rPr>
                <w:rFonts w:hint="eastAsia" w:ascii="宋体" w:hAnsi="宋体" w:cs="宋体"/>
                <w:color w:val="auto"/>
                <w:sz w:val="21"/>
                <w:szCs w:val="24"/>
                <w:highlight w:val="none"/>
              </w:rPr>
              <w:t>项目经理</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技术负责人</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缴纳</w:t>
            </w:r>
            <w:r>
              <w:rPr>
                <w:rFonts w:hint="eastAsia" w:ascii="宋体" w:hAnsi="宋体" w:cs="宋体"/>
                <w:bCs w:val="0"/>
                <w:color w:val="auto"/>
                <w:sz w:val="21"/>
                <w:szCs w:val="24"/>
                <w:highlight w:val="none"/>
              </w:rPr>
              <w:t>的社保证明材料或供应商与其签订的有效劳动合同</w:t>
            </w:r>
            <w:r>
              <w:rPr>
                <w:rFonts w:hint="eastAsia" w:ascii="宋体" w:hAnsi="宋体" w:cs="宋体"/>
                <w:bCs w:val="0"/>
                <w:color w:val="auto"/>
                <w:sz w:val="21"/>
                <w:szCs w:val="24"/>
                <w:highlight w:val="none"/>
                <w:lang w:eastAsia="zh-CN"/>
              </w:rPr>
              <w:t>。</w:t>
            </w:r>
          </w:p>
        </w:tc>
      </w:tr>
      <w:tr w14:paraId="2091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0F28334">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816" w:type="dxa"/>
            <w:vAlign w:val="center"/>
          </w:tcPr>
          <w:p w14:paraId="42A02DA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1603DEEC">
            <w:pPr>
              <w:spacing w:line="340" w:lineRule="exact"/>
              <w:ind w:firstLine="0" w:firstLineChars="0"/>
              <w:jc w:val="center"/>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参与电子竞标的准备工作</w:t>
            </w:r>
          </w:p>
        </w:tc>
        <w:tc>
          <w:tcPr>
            <w:tcW w:w="6586" w:type="dxa"/>
            <w:vAlign w:val="center"/>
          </w:tcPr>
          <w:p w14:paraId="2D8BBE41">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电子签章或电子签名；③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650E9821">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4.2电子竞标具体操作流程参考《政府采购项目电子交易管理操作指南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供应商》（详见桂林市政府采购网—采购资讯—重要通知）；如遇平台技术问题详询95763或者0771-3381253。</w:t>
            </w:r>
          </w:p>
          <w:p w14:paraId="7BEF25F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4.3不论磋商结果如何，供应商均应自行承担所有与磋商有关的全部费用。 </w:t>
            </w:r>
          </w:p>
        </w:tc>
      </w:tr>
      <w:tr w14:paraId="303E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6EAB09F">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816" w:type="dxa"/>
            <w:vAlign w:val="center"/>
          </w:tcPr>
          <w:p w14:paraId="74868AF1">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688D2ED1">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磋商报价及采购预算金额</w:t>
            </w:r>
          </w:p>
        </w:tc>
        <w:tc>
          <w:tcPr>
            <w:tcW w:w="6586" w:type="dxa"/>
            <w:vAlign w:val="center"/>
          </w:tcPr>
          <w:p w14:paraId="0B49FE17">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13.1磋商报价应按磋商文件中相关附件格式填写。</w:t>
            </w:r>
          </w:p>
          <w:p w14:paraId="30A57CFE">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13.2工程量清单报价表中所报的单价和合价，以及磋商汇总表中的价格应包括施工设备、主要材料、辅助材料、铺装、垃圾清运、劳务、管理、维护、保险、利润、增值税、政策性文件规定及合同包含的所有风险、责任等各项应有费用。</w:t>
            </w:r>
          </w:p>
          <w:p w14:paraId="2C35DD16">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磋商货币：响应文件报价中的单价和合价全部采用人民币表示。</w:t>
            </w:r>
          </w:p>
          <w:p w14:paraId="296F5C8D">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eastAsia="宋体" w:cs="宋体"/>
                <w:b/>
                <w:bCs w:val="0"/>
                <w:color w:val="auto"/>
                <w:sz w:val="21"/>
                <w:szCs w:val="21"/>
                <w:highlight w:val="none"/>
              </w:rPr>
              <w:t>13.</w:t>
            </w:r>
            <w:r>
              <w:rPr>
                <w:rFonts w:hint="eastAsia" w:ascii="宋体" w:hAnsi="宋体" w:eastAsia="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本项目预算金额（即</w:t>
            </w:r>
            <w:r>
              <w:rPr>
                <w:rFonts w:hint="eastAsia" w:ascii="宋体" w:hAnsi="宋体" w:eastAsia="宋体" w:cs="宋体"/>
                <w:b/>
                <w:bCs w:val="0"/>
                <w:color w:val="auto"/>
                <w:sz w:val="21"/>
                <w:szCs w:val="21"/>
                <w:highlight w:val="none"/>
              </w:rPr>
              <w:t>工程总造价</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及</w:t>
            </w:r>
            <w:r>
              <w:rPr>
                <w:rFonts w:hint="eastAsia" w:ascii="宋体" w:hAnsi="宋体" w:eastAsia="宋体" w:cs="宋体"/>
                <w:b/>
                <w:bCs w:val="0"/>
                <w:color w:val="auto"/>
                <w:sz w:val="21"/>
                <w:szCs w:val="21"/>
                <w:highlight w:val="none"/>
                <w:lang w:eastAsia="zh-CN"/>
              </w:rPr>
              <w:t>最高限价</w:t>
            </w:r>
            <w:r>
              <w:rPr>
                <w:rFonts w:hint="eastAsia" w:ascii="宋体" w:hAnsi="宋体" w:cs="宋体"/>
                <w:b/>
                <w:bCs w:val="0"/>
                <w:color w:val="auto"/>
                <w:sz w:val="21"/>
                <w:szCs w:val="21"/>
                <w:highlight w:val="none"/>
                <w:lang w:eastAsia="zh-CN"/>
              </w:rPr>
              <w:t>均</w:t>
            </w:r>
            <w:r>
              <w:rPr>
                <w:rFonts w:hint="eastAsia" w:ascii="宋体" w:hAnsi="宋体" w:eastAsia="宋体" w:cs="宋体"/>
                <w:b/>
                <w:bCs w:val="0"/>
                <w:color w:val="auto"/>
                <w:sz w:val="21"/>
                <w:szCs w:val="21"/>
                <w:highlight w:val="none"/>
                <w:lang w:eastAsia="zh-CN"/>
              </w:rPr>
              <w:t>为壹佰零壹万元整（¥</w:t>
            </w:r>
            <w:r>
              <w:rPr>
                <w:rFonts w:hint="eastAsia" w:ascii="宋体" w:hAnsi="宋体" w:eastAsia="宋体" w:cs="宋体"/>
                <w:b/>
                <w:bCs w:val="0"/>
                <w:color w:val="auto"/>
                <w:sz w:val="21"/>
                <w:szCs w:val="21"/>
                <w:highlight w:val="none"/>
              </w:rPr>
              <w:t>101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供应商的磋商报价不得高于本项目</w:t>
            </w:r>
            <w:r>
              <w:rPr>
                <w:rFonts w:hint="eastAsia" w:ascii="宋体" w:hAnsi="宋体" w:eastAsia="宋体" w:cs="宋体"/>
                <w:b/>
                <w:bCs w:val="0"/>
                <w:color w:val="auto"/>
                <w:sz w:val="21"/>
                <w:szCs w:val="21"/>
                <w:highlight w:val="none"/>
                <w:lang w:eastAsia="zh-CN"/>
              </w:rPr>
              <w:t>本项目预算金额（即</w:t>
            </w:r>
            <w:r>
              <w:rPr>
                <w:rFonts w:hint="eastAsia" w:ascii="宋体" w:hAnsi="宋体" w:eastAsia="宋体" w:cs="宋体"/>
                <w:b/>
                <w:bCs w:val="0"/>
                <w:color w:val="auto"/>
                <w:sz w:val="21"/>
                <w:szCs w:val="21"/>
                <w:highlight w:val="none"/>
              </w:rPr>
              <w:t>工程总造价</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及</w:t>
            </w:r>
            <w:r>
              <w:rPr>
                <w:rFonts w:hint="eastAsia" w:ascii="宋体" w:hAnsi="宋体" w:eastAsia="宋体" w:cs="宋体"/>
                <w:b/>
                <w:bCs w:val="0"/>
                <w:color w:val="auto"/>
                <w:sz w:val="21"/>
                <w:szCs w:val="21"/>
                <w:highlight w:val="none"/>
                <w:lang w:eastAsia="zh-CN"/>
              </w:rPr>
              <w:t>最高限价</w:t>
            </w:r>
            <w:r>
              <w:rPr>
                <w:rFonts w:hint="eastAsia" w:ascii="宋体" w:hAnsi="宋体" w:eastAsia="宋体" w:cs="宋体"/>
                <w:b/>
                <w:bCs w:val="0"/>
                <w:color w:val="auto"/>
                <w:sz w:val="21"/>
                <w:szCs w:val="21"/>
                <w:highlight w:val="none"/>
              </w:rPr>
              <w:t>金额，否则响应文件按无效处理。</w:t>
            </w:r>
          </w:p>
        </w:tc>
      </w:tr>
      <w:tr w14:paraId="42A3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1F3E5C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816" w:type="dxa"/>
            <w:vAlign w:val="center"/>
          </w:tcPr>
          <w:p w14:paraId="64C35C49">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35B8378F">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77383705">
            <w:pPr>
              <w:tabs>
                <w:tab w:val="left" w:pos="1305"/>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45EE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FD72EB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816" w:type="dxa"/>
            <w:vAlign w:val="center"/>
          </w:tcPr>
          <w:p w14:paraId="1D28099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24047092">
            <w:pPr>
              <w:spacing w:line="340" w:lineRule="exact"/>
              <w:ind w:firstLine="0" w:firstLineChars="0"/>
              <w:jc w:val="center"/>
              <w:rPr>
                <w:rFonts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595F69E7">
            <w:pPr>
              <w:snapToGrid w:val="0"/>
              <w:spacing w:line="340" w:lineRule="exact"/>
              <w:ind w:firstLine="0" w:firstLineChars="0"/>
              <w:jc w:val="left"/>
              <w:rPr>
                <w:rFonts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3C6EAD18">
            <w:pPr>
              <w:snapToGrid w:val="0"/>
              <w:spacing w:line="340" w:lineRule="exact"/>
              <w:ind w:firstLine="0" w:firstLineChars="0"/>
              <w:jc w:val="left"/>
              <w:rPr>
                <w:rFonts w:ascii="宋体" w:hAnsi="宋体" w:cs="宋体"/>
                <w:bCs/>
                <w:color w:val="auto"/>
                <w:sz w:val="21"/>
                <w:szCs w:val="21"/>
                <w:highlight w:val="none"/>
              </w:rPr>
            </w:pPr>
            <w:r>
              <w:rPr>
                <w:rFonts w:hint="eastAsia" w:ascii="宋体" w:hAnsi="宋体" w:cs="宋体"/>
                <w:bCs/>
                <w:color w:val="auto"/>
                <w:sz w:val="21"/>
                <w:szCs w:val="21"/>
                <w:highlight w:val="none"/>
              </w:rPr>
              <w:t>15.2供应商下载或获取竞争性磋商文件后，登录广西政府采购云平台，按照本磋商文件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以及广西政府采购云平台的要求，通过广西政府采购云平台编制电子响应文件。</w:t>
            </w:r>
          </w:p>
          <w:p w14:paraId="7CF333F4">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广西政府采购云平台</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191D075D">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授权委托代理人签字（或电子签名）。因响应文件字迹潦草、表达不清、内容不完整、编排混乱导致响应文件被误读、漏读，或者在按竞争性磋商文件规定的部位查找不到相关内容的，其不利后果由供应商自行承担。</w:t>
            </w:r>
          </w:p>
          <w:p w14:paraId="09B027AC">
            <w:pPr>
              <w:snapToGrid w:val="0"/>
              <w:spacing w:line="340" w:lineRule="exact"/>
              <w:ind w:firstLine="0" w:firstLineChars="0"/>
              <w:jc w:val="left"/>
              <w:rPr>
                <w:rFonts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7F3C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E18F019">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816" w:type="dxa"/>
            <w:vAlign w:val="center"/>
          </w:tcPr>
          <w:p w14:paraId="4DBFE91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565CFFED">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48D2FD44">
            <w:pPr>
              <w:snapToGrid w:val="0"/>
              <w:spacing w:line="38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15.6.1本竞争性磋商文件中描述供应商的“公章”是指根据我国对公章的管理规定，用供应商法定主体行为名称制作的印章，除本竞争性磋商文件有特殊规定外，供应商的其他形式印章均不能代替公章。</w:t>
            </w:r>
          </w:p>
          <w:p w14:paraId="614AEF32">
            <w:pPr>
              <w:snapToGrid w:val="0"/>
              <w:spacing w:line="38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15.6.2本竞争性磋商文件中描述供应商的“签字”是指供应商的法定代表人或者委托代理人亲自在文件规定签字处亲笔写上个人的名字的行为，私章、签字章、印鉴、影印等其他形式均不能代替亲笔签字。</w:t>
            </w:r>
          </w:p>
          <w:p w14:paraId="12C734AC">
            <w:pPr>
              <w:snapToGrid w:val="0"/>
              <w:spacing w:line="34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15.6.3本竞争性磋商文件所称的“电子签章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02DF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B2F698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816" w:type="dxa"/>
            <w:vAlign w:val="center"/>
          </w:tcPr>
          <w:p w14:paraId="74F144EC">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66EE17DB">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57160BCB">
            <w:pPr>
              <w:spacing w:line="340" w:lineRule="exact"/>
              <w:ind w:firstLine="0" w:firstLineChars="0"/>
              <w:rPr>
                <w:rFonts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u w:val="single"/>
              </w:rPr>
              <w:t>2026年5月6日</w:t>
            </w:r>
            <w:r>
              <w:rPr>
                <w:rFonts w:ascii="宋体" w:hAnsi="宋体" w:cs="宋体"/>
                <w:color w:val="auto"/>
                <w:sz w:val="21"/>
                <w:szCs w:val="21"/>
                <w:highlight w:val="none"/>
                <w:u w:val="single"/>
              </w:rPr>
              <w:t>上午9</w:t>
            </w:r>
            <w:r>
              <w:rPr>
                <w:rFonts w:hint="eastAsia" w:ascii="宋体" w:hAnsi="宋体" w:cs="宋体"/>
                <w:bCs/>
                <w:color w:val="auto"/>
                <w:sz w:val="21"/>
                <w:szCs w:val="21"/>
                <w:highlight w:val="none"/>
                <w:u w:val="single"/>
              </w:rPr>
              <w:t>时</w:t>
            </w:r>
            <w:r>
              <w:rPr>
                <w:rFonts w:ascii="宋体" w:hAnsi="宋体" w:cs="宋体"/>
                <w:bCs/>
                <w:color w:val="auto"/>
                <w:sz w:val="21"/>
                <w:szCs w:val="21"/>
                <w:highlight w:val="none"/>
                <w:u w:val="single"/>
              </w:rPr>
              <w:t>30分</w:t>
            </w:r>
            <w:r>
              <w:rPr>
                <w:rFonts w:hint="eastAsia" w:ascii="宋体" w:hAnsi="宋体" w:cs="宋体"/>
                <w:bCs/>
                <w:color w:val="auto"/>
                <w:sz w:val="21"/>
                <w:szCs w:val="21"/>
                <w:highlight w:val="none"/>
              </w:rPr>
              <w:t>（北京时间）</w:t>
            </w:r>
          </w:p>
          <w:p w14:paraId="03CF3F6B">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16.2地点：通过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在线提交。</w:t>
            </w:r>
          </w:p>
          <w:p w14:paraId="40C0A916">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A239A31">
            <w:pPr>
              <w:tabs>
                <w:tab w:val="left" w:pos="1305"/>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16.4除竞争性磋商文件另有规定外，供应商所提交的响应文件不予退还。</w:t>
            </w:r>
          </w:p>
        </w:tc>
      </w:tr>
      <w:tr w14:paraId="64D0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5899AB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816" w:type="dxa"/>
            <w:vAlign w:val="center"/>
          </w:tcPr>
          <w:p w14:paraId="4B009354">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7020E73D">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3953F450">
            <w:pPr>
              <w:tabs>
                <w:tab w:val="left" w:pos="1305"/>
              </w:tabs>
              <w:spacing w:line="340" w:lineRule="exact"/>
              <w:ind w:firstLine="0" w:firstLineChars="0"/>
              <w:rPr>
                <w:rFonts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w:t>
            </w:r>
            <w:r>
              <w:rPr>
                <w:rFonts w:hint="eastAsia" w:ascii="宋体" w:hAnsi="宋体" w:cs="宋体"/>
                <w:color w:val="auto"/>
                <w:kern w:val="0"/>
                <w:sz w:val="21"/>
                <w:szCs w:val="21"/>
                <w:highlight w:val="none"/>
                <w:lang w:eastAsia="zh-CN"/>
              </w:rPr>
              <w:t>－</w:t>
            </w:r>
            <w:r>
              <w:rPr>
                <w:rFonts w:ascii="宋体" w:hAnsi="宋体" w:cs="宋体"/>
                <w:color w:val="auto"/>
                <w:kern w:val="0"/>
                <w:sz w:val="21"/>
                <w:szCs w:val="21"/>
                <w:highlight w:val="none"/>
              </w:rPr>
              <w:t>开标评标”功能对响应文件进行解密。若供应商在上述规定的时间内无法解密或解密失败的，可以在响应文件解密截止时间后30分钟内向采购代理机构现场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操作规范上传至</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hint="eastAsia" w:ascii="宋体" w:hAnsi="宋体" w:cs="宋体"/>
                <w:color w:val="auto"/>
                <w:kern w:val="0"/>
                <w:sz w:val="21"/>
                <w:szCs w:val="21"/>
                <w:highlight w:val="none"/>
              </w:rPr>
              <w:t>磋商。</w:t>
            </w:r>
          </w:p>
        </w:tc>
      </w:tr>
      <w:tr w14:paraId="295E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E49B31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816" w:type="dxa"/>
            <w:vAlign w:val="center"/>
          </w:tcPr>
          <w:p w14:paraId="5C68EAFF">
            <w:pPr>
              <w:spacing w:line="340" w:lineRule="exact"/>
              <w:ind w:firstLine="105" w:firstLineChars="5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400C30D2">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2EB9CF9E">
            <w:pPr>
              <w:tabs>
                <w:tab w:val="left" w:pos="1140"/>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磋商及评审组织工作由采购代理机构负责，具体磋商、评审工作由依法组建的磋商小组负责，磋商小组由采购人代表和</w:t>
            </w:r>
            <w:r>
              <w:rPr>
                <w:rFonts w:hint="eastAsia" w:ascii="宋体" w:hAnsi="宋体" w:cs="宋体"/>
                <w:color w:val="auto"/>
                <w:kern w:val="0"/>
                <w:sz w:val="21"/>
                <w:szCs w:val="21"/>
                <w:highlight w:val="none"/>
                <w:lang w:eastAsia="zh-CN"/>
              </w:rPr>
              <w:t>评审专家</w:t>
            </w:r>
            <w:r>
              <w:rPr>
                <w:rFonts w:hint="eastAsia" w:ascii="宋体" w:hAnsi="宋体" w:cs="宋体"/>
                <w:color w:val="auto"/>
                <w:kern w:val="0"/>
                <w:sz w:val="21"/>
                <w:szCs w:val="21"/>
                <w:highlight w:val="none"/>
              </w:rPr>
              <w:t>3人组成，其中评审专家人数不得少于磋商小组成员总数的2/3。</w:t>
            </w:r>
          </w:p>
        </w:tc>
      </w:tr>
      <w:tr w14:paraId="49CC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F21CA1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816" w:type="dxa"/>
            <w:vAlign w:val="center"/>
          </w:tcPr>
          <w:p w14:paraId="3E5332B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18CE811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4539F4B7">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 磋商时间：首次响应文件提交截止时间后。</w:t>
            </w:r>
          </w:p>
          <w:p w14:paraId="5B6DE945">
            <w:pPr>
              <w:spacing w:line="340" w:lineRule="exact"/>
              <w:ind w:firstLine="0" w:firstLineChars="0"/>
              <w:rPr>
                <w:rFonts w:ascii="宋体" w:hAnsi="宋体" w:cs="宋体"/>
                <w:bCs/>
                <w:color w:val="auto"/>
                <w:sz w:val="21"/>
                <w:szCs w:val="21"/>
                <w:highlight w:val="none"/>
              </w:rPr>
            </w:pPr>
            <w:r>
              <w:rPr>
                <w:rFonts w:hint="eastAsia" w:ascii="宋体" w:hAnsi="宋体" w:cs="宋体"/>
                <w:color w:val="auto"/>
                <w:kern w:val="0"/>
                <w:sz w:val="21"/>
                <w:szCs w:val="21"/>
                <w:highlight w:val="none"/>
              </w:rPr>
              <w:t>18.2.2 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229ADF46">
            <w:pPr>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18.2.3磋商参加人员：供应商法定代表人或相应的委托代理人参加磋商。请供应商实时登录广西政府采购云平台等候在线磋商。</w:t>
            </w:r>
          </w:p>
          <w:p w14:paraId="2A7446CA">
            <w:pPr>
              <w:spacing w:line="340" w:lineRule="exact"/>
              <w:ind w:firstLine="0" w:firstLineChars="0"/>
              <w:rPr>
                <w:rFonts w:ascii="宋体" w:hAnsi="宋体" w:cs="宋体"/>
                <w:color w:val="auto"/>
                <w:sz w:val="21"/>
                <w:szCs w:val="21"/>
                <w:highlight w:val="none"/>
              </w:rPr>
            </w:pPr>
            <w:r>
              <w:rPr>
                <w:rFonts w:hint="eastAsia" w:ascii="宋体" w:hAnsi="宋体" w:cs="宋体"/>
                <w:bCs/>
                <w:color w:val="auto"/>
                <w:sz w:val="21"/>
                <w:szCs w:val="21"/>
                <w:highlight w:val="none"/>
              </w:rPr>
              <w:t>18.2.4 首次响应文件提交截止时间后，登录广西政府采购云平台在线解密开启。</w:t>
            </w:r>
          </w:p>
        </w:tc>
      </w:tr>
      <w:tr w14:paraId="3B4D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88" w:type="dxa"/>
            <w:vAlign w:val="center"/>
          </w:tcPr>
          <w:p w14:paraId="44CBD27A">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816" w:type="dxa"/>
            <w:vAlign w:val="center"/>
          </w:tcPr>
          <w:p w14:paraId="5A56723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41690817">
            <w:pPr>
              <w:spacing w:line="340" w:lineRule="exact"/>
              <w:ind w:left="34" w:leftChars="14"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75683F35">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综合评分法，具体详见第</w:t>
            </w:r>
            <w:r>
              <w:rPr>
                <w:rFonts w:hint="eastAsia" w:ascii="宋体" w:hAnsi="宋体" w:cs="宋体"/>
                <w:color w:val="auto"/>
                <w:sz w:val="21"/>
                <w:szCs w:val="21"/>
                <w:highlight w:val="none"/>
                <w:lang w:eastAsia="zh-CN"/>
              </w:rPr>
              <w:t>五</w:t>
            </w:r>
            <w:r>
              <w:rPr>
                <w:rFonts w:hint="eastAsia" w:ascii="宋体" w:hAnsi="宋体" w:cs="宋体"/>
                <w:color w:val="auto"/>
                <w:sz w:val="21"/>
                <w:szCs w:val="21"/>
                <w:highlight w:val="none"/>
              </w:rPr>
              <w:t>章“评审办法”。</w:t>
            </w:r>
          </w:p>
        </w:tc>
      </w:tr>
      <w:tr w14:paraId="2E43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0EB402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816" w:type="dxa"/>
            <w:vAlign w:val="center"/>
          </w:tcPr>
          <w:p w14:paraId="4C083E4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324" w:type="dxa"/>
            <w:vAlign w:val="center"/>
          </w:tcPr>
          <w:p w14:paraId="73491EA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6586" w:type="dxa"/>
            <w:vAlign w:val="center"/>
          </w:tcPr>
          <w:p w14:paraId="5729BABE">
            <w:pPr>
              <w:spacing w:line="340" w:lineRule="exact"/>
              <w:ind w:left="73" w:leftChars="20" w:hanging="25" w:hangingChars="12"/>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6EDEF59">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210431D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38F9503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4F87F80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等渠道列入失信被执行人、重大税收违法失信主体、政府采购严重违法失信行为记录名单及其他不符合《中华人民共和国政府采购法》第二十二条规定条件的供应商，取消其成交候选人资格。</w:t>
            </w:r>
          </w:p>
        </w:tc>
      </w:tr>
      <w:tr w14:paraId="324C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56658E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816" w:type="dxa"/>
            <w:vAlign w:val="center"/>
          </w:tcPr>
          <w:p w14:paraId="726DB63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75F33DA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0F91375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5105C2D3">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采购代理机构于评审结束后两个工作日内将评审报告送交采购人，采购人应当自收到评审报告五个工作日内在评审报告推荐的成交候选供应商中按顺序确定</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，采购代理机构在</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确定之日起两个工作日内发出成交通知书，并在指定媒体上公告成交信息。</w:t>
            </w:r>
          </w:p>
          <w:p w14:paraId="651002E6">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27.3在发布成交公告的同时，采购代理机构向</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发出成交通知书。</w:t>
            </w:r>
          </w:p>
        </w:tc>
      </w:tr>
      <w:tr w14:paraId="2D9E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D9F8DDC">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816" w:type="dxa"/>
            <w:vAlign w:val="center"/>
          </w:tcPr>
          <w:p w14:paraId="5D12047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28</w:t>
            </w:r>
          </w:p>
        </w:tc>
        <w:tc>
          <w:tcPr>
            <w:tcW w:w="1324" w:type="dxa"/>
            <w:vAlign w:val="center"/>
          </w:tcPr>
          <w:p w14:paraId="1742376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履约保证金</w:t>
            </w:r>
          </w:p>
        </w:tc>
        <w:tc>
          <w:tcPr>
            <w:tcW w:w="6586" w:type="dxa"/>
            <w:vAlign w:val="center"/>
          </w:tcPr>
          <w:p w14:paraId="62533829">
            <w:pPr>
              <w:snapToGrid w:val="0"/>
              <w:spacing w:line="380" w:lineRule="exact"/>
              <w:ind w:firstLine="0" w:firstLineChars="0"/>
              <w:outlineLvl w:val="4"/>
              <w:rPr>
                <w:rFonts w:ascii="宋体" w:hAnsi="宋体" w:cs="宋体"/>
                <w:b/>
                <w:color w:val="auto"/>
                <w:sz w:val="21"/>
                <w:szCs w:val="21"/>
                <w:highlight w:val="none"/>
              </w:rPr>
            </w:pPr>
            <w:r>
              <w:rPr>
                <w:rFonts w:hint="eastAsia" w:ascii="宋体" w:hAnsi="宋体" w:cs="宋体"/>
                <w:color w:val="auto"/>
                <w:kern w:val="0"/>
                <w:sz w:val="21"/>
                <w:szCs w:val="21"/>
                <w:highlight w:val="none"/>
              </w:rPr>
              <w:t>本项目专门面向小微企业采购，不收取履约保证金。</w:t>
            </w:r>
          </w:p>
        </w:tc>
      </w:tr>
      <w:tr w14:paraId="0BC7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37CE1E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816" w:type="dxa"/>
            <w:vAlign w:val="center"/>
          </w:tcPr>
          <w:p w14:paraId="58F32B64">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03D4785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09187ED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成交通知书发出之日起8个工作日内。供应商应按规定与采购人签订合同。</w:t>
            </w:r>
          </w:p>
        </w:tc>
      </w:tr>
      <w:tr w14:paraId="0398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5D345F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816" w:type="dxa"/>
            <w:vAlign w:val="center"/>
          </w:tcPr>
          <w:p w14:paraId="152F994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5E18FBE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政府采购合同公告</w:t>
            </w:r>
          </w:p>
        </w:tc>
        <w:tc>
          <w:tcPr>
            <w:tcW w:w="6586" w:type="dxa"/>
            <w:vAlign w:val="center"/>
          </w:tcPr>
          <w:p w14:paraId="7F83EFE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采购人应当自政府采购合同签订之日起2个工作日内，将政府采购合同在省级以上人民政府财政部门指定的媒体上公告，但政府采购合同中涉及国家秘密、商业秘密的内容除外。</w:t>
            </w:r>
          </w:p>
        </w:tc>
      </w:tr>
      <w:tr w14:paraId="1189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9B5702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816" w:type="dxa"/>
            <w:vAlign w:val="center"/>
          </w:tcPr>
          <w:p w14:paraId="109B5E6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30</w:t>
            </w:r>
          </w:p>
        </w:tc>
        <w:tc>
          <w:tcPr>
            <w:tcW w:w="1324" w:type="dxa"/>
            <w:vAlign w:val="center"/>
          </w:tcPr>
          <w:p w14:paraId="3380988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6767BB4B">
            <w:pPr>
              <w:snapToGrid w:val="0"/>
              <w:spacing w:line="380" w:lineRule="exact"/>
              <w:ind w:firstLine="0" w:firstLineChars="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代理服务费为人民币</w:t>
            </w:r>
            <w:r>
              <w:rPr>
                <w:rFonts w:hint="eastAsia" w:ascii="宋体" w:hAnsi="宋体" w:cs="宋体"/>
                <w:color w:val="auto"/>
                <w:kern w:val="0"/>
                <w:sz w:val="21"/>
                <w:szCs w:val="21"/>
                <w:highlight w:val="none"/>
                <w:lang w:eastAsia="zh-CN"/>
              </w:rPr>
              <w:t>壹万元整（¥10000.00）</w:t>
            </w:r>
            <w:r>
              <w:rPr>
                <w:rFonts w:hint="eastAsia" w:ascii="宋体" w:hAnsi="宋体" w:cs="宋体"/>
                <w:color w:val="auto"/>
                <w:kern w:val="0"/>
                <w:sz w:val="21"/>
                <w:szCs w:val="21"/>
                <w:highlight w:val="none"/>
              </w:rPr>
              <w:t>，由</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向采购代理机构一次性支付。</w:t>
            </w:r>
          </w:p>
        </w:tc>
      </w:tr>
      <w:tr w14:paraId="6265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5AC12C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816" w:type="dxa"/>
            <w:vAlign w:val="center"/>
          </w:tcPr>
          <w:p w14:paraId="4558920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71E7633F">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54D74B04">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本竞争性磋商文件是根据《中华人民共和国政府采购法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政府采购竞争性磋商采购方式管理暂行办法》和政府采购管理有关规定编制，本竞争性磋商文件的解释权属于采购代理机构。</w:t>
            </w:r>
          </w:p>
        </w:tc>
      </w:tr>
      <w:tr w14:paraId="0C9B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441A439">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816" w:type="dxa"/>
            <w:vAlign w:val="center"/>
          </w:tcPr>
          <w:p w14:paraId="1546174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3CF76F9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7B8085D6">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桂林市财政局    联系电话：0773-2816067</w:t>
            </w:r>
          </w:p>
        </w:tc>
      </w:tr>
      <w:tr w14:paraId="2AF7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DD9CA9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21</w:t>
            </w:r>
          </w:p>
        </w:tc>
        <w:tc>
          <w:tcPr>
            <w:tcW w:w="816" w:type="dxa"/>
            <w:vAlign w:val="center"/>
          </w:tcPr>
          <w:p w14:paraId="673CBD7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35</w:t>
            </w:r>
          </w:p>
        </w:tc>
        <w:tc>
          <w:tcPr>
            <w:tcW w:w="1324" w:type="dxa"/>
            <w:vAlign w:val="center"/>
          </w:tcPr>
          <w:p w14:paraId="203E7A0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中小企业</w:t>
            </w:r>
          </w:p>
        </w:tc>
        <w:tc>
          <w:tcPr>
            <w:tcW w:w="6586" w:type="dxa"/>
            <w:vAlign w:val="center"/>
          </w:tcPr>
          <w:p w14:paraId="17DCC7B9">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的规定，本磋商文件所称小微企业，是指在中华人民共和国境内依法设立，依据中小企业划分标准确定的小型企业和微型企业，但与大企业的负责人为同一人，或者与大企业存在直接控股、管理关系的除外。</w:t>
            </w:r>
          </w:p>
          <w:p w14:paraId="0BE6C1E0">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本项目所属行业为建筑业。</w:t>
            </w:r>
          </w:p>
          <w:p w14:paraId="2EA874A9">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903969">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供应商确定自身属于上述定义的小微企业时，应按第</w:t>
            </w:r>
            <w:r>
              <w:rPr>
                <w:rFonts w:hint="eastAsia" w:ascii="宋体" w:hAnsi="宋体" w:cs="宋体"/>
                <w:color w:val="auto"/>
                <w:kern w:val="0"/>
                <w:sz w:val="21"/>
                <w:szCs w:val="21"/>
                <w:highlight w:val="none"/>
                <w:lang w:eastAsia="zh-CN"/>
              </w:rPr>
              <w:t>六</w:t>
            </w:r>
            <w:r>
              <w:rPr>
                <w:rFonts w:hint="eastAsia" w:ascii="宋体" w:hAnsi="宋体" w:cs="宋体"/>
                <w:color w:val="auto"/>
                <w:kern w:val="0"/>
                <w:sz w:val="21"/>
                <w:szCs w:val="21"/>
                <w:highlight w:val="none"/>
              </w:rPr>
              <w:t>章“响应文件格式</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提供相应的《中小企业声明函》，否则评审时不予认定。任何单位和个人不得要求供应商提供《中小企业声明函》之外的中小企业身份证明文件。</w:t>
            </w:r>
          </w:p>
        </w:tc>
      </w:tr>
      <w:tr w14:paraId="265F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66A17C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p>
        </w:tc>
        <w:tc>
          <w:tcPr>
            <w:tcW w:w="816" w:type="dxa"/>
            <w:vAlign w:val="center"/>
          </w:tcPr>
          <w:p w14:paraId="0F1E114C">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36</w:t>
            </w:r>
          </w:p>
        </w:tc>
        <w:tc>
          <w:tcPr>
            <w:tcW w:w="1324" w:type="dxa"/>
            <w:vAlign w:val="center"/>
          </w:tcPr>
          <w:p w14:paraId="0F8A3D58">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监狱企业</w:t>
            </w:r>
          </w:p>
        </w:tc>
        <w:tc>
          <w:tcPr>
            <w:tcW w:w="6586" w:type="dxa"/>
            <w:vAlign w:val="center"/>
          </w:tcPr>
          <w:p w14:paraId="45601D4E">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35105FE">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6930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ACF077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23</w:t>
            </w:r>
          </w:p>
        </w:tc>
        <w:tc>
          <w:tcPr>
            <w:tcW w:w="816" w:type="dxa"/>
            <w:vAlign w:val="center"/>
          </w:tcPr>
          <w:p w14:paraId="335D9FC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37</w:t>
            </w:r>
          </w:p>
        </w:tc>
        <w:tc>
          <w:tcPr>
            <w:tcW w:w="1324" w:type="dxa"/>
            <w:vAlign w:val="center"/>
          </w:tcPr>
          <w:p w14:paraId="29C8007F">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残疾人福利性单位</w:t>
            </w:r>
          </w:p>
        </w:tc>
        <w:tc>
          <w:tcPr>
            <w:tcW w:w="6586" w:type="dxa"/>
            <w:vAlign w:val="center"/>
          </w:tcPr>
          <w:p w14:paraId="78C7C221">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37.1</w:t>
            </w:r>
            <w:r>
              <w:rPr>
                <w:rFonts w:hint="eastAsia" w:ascii="宋体" w:hAnsi="宋体" w:cs="宋体"/>
                <w:color w:val="auto"/>
                <w:kern w:val="0"/>
                <w:sz w:val="21"/>
                <w:szCs w:val="21"/>
                <w:highlight w:val="none"/>
              </w:rPr>
              <w:t xml:space="preserve"> 根据《关于促进残疾人就业政府采购政策的通知》（财库〔2017〕141号）的规定，享受政府采购支持政策的残疾人福利性单位应当同时满足以下条件：</w:t>
            </w:r>
          </w:p>
          <w:p w14:paraId="226F5C75">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（1）安置的残疾人占本单位在职职工人数的比例不低于25%（含25%），并且安置的残疾人人数不少于10人（含10人）；</w:t>
            </w:r>
          </w:p>
          <w:p w14:paraId="253AC0B5">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（2）依法与安置的每位残疾人签订了一年以上（含一年）的劳动合同或服务协议；</w:t>
            </w:r>
          </w:p>
          <w:p w14:paraId="59FFAF2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（3）为安置的每位残疾人按月足额缴纳了基本养老保险、基本医疗保险、失业保险、工伤保险和生育保险等社会保险费；</w:t>
            </w:r>
          </w:p>
          <w:p w14:paraId="40F03FD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（4）通过银行等金融机构向安置的每位残疾人，按月支付了不低于单位所在区县适用的经省级人民政府批准的月最低工资标准的工资；</w:t>
            </w:r>
          </w:p>
          <w:p w14:paraId="5BCEFE6A">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（5）提供本单位制造的货物、承担的工程或者服务（以下简称产品），或者提供其他残疾人福利性单位制造的货物（不包括使用非残疾人福利性单位注册商标的货物）。</w:t>
            </w:r>
          </w:p>
          <w:p w14:paraId="2F030F63">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w:t>
            </w:r>
            <w:r>
              <w:rPr>
                <w:rFonts w:hint="eastAsia" w:ascii="宋体" w:hAnsi="宋体" w:cs="宋体"/>
                <w:color w:val="auto"/>
                <w:spacing w:val="-4"/>
                <w:kern w:val="0"/>
                <w:sz w:val="21"/>
                <w:szCs w:val="21"/>
                <w:highlight w:val="none"/>
              </w:rPr>
              <w:t>福利性单位建立劳动关系并依法签订劳动合同或者服务协议的雇员人数。</w:t>
            </w:r>
          </w:p>
          <w:p w14:paraId="23720B81">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37.2</w:t>
            </w:r>
            <w:r>
              <w:rPr>
                <w:rFonts w:hint="eastAsia" w:ascii="宋体" w:hAnsi="宋体" w:cs="宋体"/>
                <w:color w:val="auto"/>
                <w:kern w:val="0"/>
                <w:sz w:val="21"/>
                <w:szCs w:val="21"/>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14:paraId="744B529E">
      <w:pPr>
        <w:spacing w:line="380" w:lineRule="exact"/>
        <w:ind w:firstLine="0" w:firstLineChars="0"/>
        <w:jc w:val="center"/>
        <w:rPr>
          <w:rFonts w:ascii="宋体" w:hAnsi="宋体" w:cs="宋体"/>
          <w:b/>
          <w:color w:val="auto"/>
          <w:kern w:val="0"/>
          <w:sz w:val="28"/>
          <w:szCs w:val="28"/>
          <w:highlight w:val="none"/>
        </w:rPr>
      </w:pPr>
    </w:p>
    <w:p w14:paraId="08AD6A91">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7FDDF731">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01610DB0">
      <w:pPr>
        <w:spacing w:line="38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w:t>
      </w:r>
      <w:r>
        <w:rPr>
          <w:rFonts w:hint="eastAsia" w:ascii="宋体" w:hAnsi="宋体" w:cs="宋体"/>
          <w:b/>
          <w:color w:val="auto"/>
          <w:kern w:val="0"/>
          <w:sz w:val="21"/>
          <w:szCs w:val="21"/>
          <w:highlight w:val="none"/>
          <w:lang w:eastAsia="zh-CN"/>
        </w:rPr>
        <w:t>用</w:t>
      </w:r>
      <w:r>
        <w:rPr>
          <w:rFonts w:hint="eastAsia" w:ascii="宋体" w:hAnsi="宋体" w:cs="宋体"/>
          <w:b/>
          <w:color w:val="auto"/>
          <w:kern w:val="0"/>
          <w:sz w:val="21"/>
          <w:szCs w:val="21"/>
          <w:highlight w:val="none"/>
        </w:rPr>
        <w:t>范围</w:t>
      </w:r>
    </w:p>
    <w:p w14:paraId="0356C839">
      <w:pPr>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 项目名称及项目编号：</w:t>
      </w:r>
    </w:p>
    <w:p w14:paraId="334BD76D">
      <w:pPr>
        <w:spacing w:line="38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sz w:val="21"/>
          <w:szCs w:val="24"/>
          <w:highlight w:val="none"/>
          <w:lang w:eastAsia="zh-CN"/>
        </w:rPr>
        <w:t>桂林市田家炳中学球类活动场地改造</w:t>
      </w:r>
    </w:p>
    <w:p w14:paraId="7F942FB7">
      <w:pPr>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项目编号：GLZC2026-C2-990128-YZLZ</w:t>
      </w:r>
    </w:p>
    <w:p w14:paraId="72F78C75">
      <w:pPr>
        <w:spacing w:line="380" w:lineRule="exact"/>
        <w:ind w:firstLine="435" w:firstLineChars="0"/>
        <w:rPr>
          <w:rFonts w:hint="eastAsia" w:ascii="宋体" w:hAnsi="宋体" w:eastAsia="宋体" w:cs="宋体"/>
          <w:b/>
          <w:bCs/>
          <w:color w:val="auto"/>
          <w:kern w:val="0"/>
          <w:sz w:val="32"/>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YZLGL2026-C2-023-GLZC</w:t>
      </w:r>
    </w:p>
    <w:p w14:paraId="1DD4483C">
      <w:pPr>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 本竞争性磋商文件（以下简称磋商文件）适用于本磋商项目的磋商、评审、合同履约、验收、付款等行为（</w:t>
      </w:r>
      <w:r>
        <w:rPr>
          <w:rFonts w:hint="eastAsia" w:ascii="宋体" w:hAnsi="宋体" w:cs="宋体"/>
          <w:color w:val="auto"/>
          <w:kern w:val="0"/>
          <w:sz w:val="21"/>
          <w:szCs w:val="21"/>
          <w:highlight w:val="none"/>
          <w:lang w:eastAsia="zh-CN"/>
        </w:rPr>
        <w:t>法律法规</w:t>
      </w:r>
      <w:r>
        <w:rPr>
          <w:rFonts w:hint="eastAsia" w:ascii="宋体" w:hAnsi="宋体" w:cs="宋体"/>
          <w:color w:val="auto"/>
          <w:kern w:val="0"/>
          <w:sz w:val="21"/>
          <w:szCs w:val="21"/>
          <w:highlight w:val="none"/>
        </w:rPr>
        <w:t>另有规定的，从其规定）。</w:t>
      </w:r>
    </w:p>
    <w:p w14:paraId="73E3F6A4">
      <w:pPr>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0B79F169">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2.1“采购人”是指：</w:t>
      </w:r>
      <w:r>
        <w:rPr>
          <w:rFonts w:hint="eastAsia" w:ascii="宋体" w:hAnsi="宋体" w:cs="宋体"/>
          <w:color w:val="auto"/>
          <w:sz w:val="21"/>
          <w:szCs w:val="24"/>
          <w:highlight w:val="none"/>
        </w:rPr>
        <w:t>桂林市田家炳中学。</w:t>
      </w:r>
    </w:p>
    <w:p w14:paraId="602EF81F">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2.2“采购代理机构”是指：云之龙咨询集团有限公司。</w:t>
      </w:r>
    </w:p>
    <w:p w14:paraId="04F1B932">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2.3“供应商”是指响应本文件要求，参加磋商的法人或者其他组织。如果该供应商在本次磋商中成交，即成为“</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w:t>
      </w:r>
    </w:p>
    <w:p w14:paraId="485A7746">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2.4“货物”是指各种形态和种类的物品，包括原材料、燃料、设备、产品等。</w:t>
      </w:r>
    </w:p>
    <w:p w14:paraId="519E968A">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2.5“工程”是指建设工程，包括建筑物和构筑物的新建、改建、扩建、装修、拆除、修缮等。</w:t>
      </w:r>
    </w:p>
    <w:p w14:paraId="4C020B5E">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2.6“服务”是指除货物和工程以外的其他采购对象。</w:t>
      </w:r>
    </w:p>
    <w:p w14:paraId="057AE9D2">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2.7“项目”是指供应商按竞争性磋商文件规定向采购人提供的产品和服务。</w:t>
      </w:r>
    </w:p>
    <w:p w14:paraId="5768DA81">
      <w:pPr>
        <w:adjustRightInd w:val="0"/>
        <w:snapToGrid w:val="0"/>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2.8“响应文件”是指：</w:t>
      </w:r>
      <w:r>
        <w:rPr>
          <w:rFonts w:hint="eastAsia" w:ascii="宋体" w:hAnsi="宋体" w:cs="宋体"/>
          <w:b/>
          <w:color w:val="auto"/>
          <w:kern w:val="0"/>
          <w:sz w:val="21"/>
          <w:szCs w:val="21"/>
          <w:highlight w:val="none"/>
        </w:rPr>
        <w:t>本项目实行全流程电子化采购，供应商通过广西政府采购云平台参与电子竞标。响应文件特指供应商按本磋商文件规定提交的电子响应文件（包括因特殊情况无法解密或解密失败提交的电子备份响应文件）。</w:t>
      </w:r>
    </w:p>
    <w:p w14:paraId="6C93700F">
      <w:pPr>
        <w:spacing w:line="380" w:lineRule="exact"/>
        <w:ind w:firstLine="420"/>
        <w:contextualSpacing/>
        <w:rPr>
          <w:rFonts w:ascii="宋体" w:hAnsi="宋体"/>
          <w:b/>
          <w:color w:val="auto"/>
          <w:sz w:val="21"/>
          <w:szCs w:val="21"/>
          <w:highlight w:val="none"/>
        </w:rPr>
      </w:pPr>
      <w:r>
        <w:rPr>
          <w:rFonts w:hint="eastAsia" w:ascii="宋体" w:hAnsi="宋体" w:cs="宋体"/>
          <w:color w:val="auto"/>
          <w:kern w:val="0"/>
          <w:sz w:val="21"/>
          <w:szCs w:val="21"/>
          <w:highlight w:val="none"/>
        </w:rPr>
        <w:t>2.9 实质性要求</w:t>
      </w:r>
      <w:r>
        <w:rPr>
          <w:rFonts w:hint="eastAsia" w:ascii="宋体" w:hAnsi="宋体"/>
          <w:b/>
          <w:color w:val="auto"/>
          <w:sz w:val="21"/>
          <w:szCs w:val="21"/>
          <w:highlight w:val="none"/>
        </w:rPr>
        <w:t>：“实质性要求”是指磋商文件中已经指明不满足则响应文件按无效处理的条款，或者不能负偏离的条款，或者采购需求中带“▲”的条款。实质性要求若有任意一项不满足的，响应文件按无效处理。</w:t>
      </w:r>
    </w:p>
    <w:p w14:paraId="6F3EF08C">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2.10供应商为其他组织时，本竞争性磋商文件规定的法定代表人指其他组织的负责人本人。本竞争性磋商文件所称负责人是指参加竞标的其他组织营业执照或者执业许可证等证照上载明的负责人。</w:t>
      </w:r>
    </w:p>
    <w:p w14:paraId="5C9F29DD">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6115D8A0">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3.1满足《中华人民共和国政府采购法》第二十二条规定。</w:t>
      </w:r>
    </w:p>
    <w:p w14:paraId="1E246E0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color w:val="auto"/>
          <w:sz w:val="21"/>
          <w:szCs w:val="21"/>
          <w:highlight w:val="none"/>
        </w:rPr>
        <w:t>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财库〔2014〕68号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及《关于促进残疾人就业政府采购政策的通知》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财库〔2017〕141号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规定，监狱企业、残疾人福利性单位视同小型、微型企业。</w:t>
      </w:r>
    </w:p>
    <w:p w14:paraId="3AB396AB">
      <w:pPr>
        <w:spacing w:line="400" w:lineRule="exact"/>
        <w:ind w:left="0" w:leftChars="0"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3.3本项目的特定资格要求：</w:t>
      </w:r>
    </w:p>
    <w:p w14:paraId="0A29ADE7">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供应商须具备建筑工程施工总承包三级以上（含三级）资质，同时具备有效的安全生产许可证，并在人员、设备、资金等方面具有相应的履约能力。</w:t>
      </w:r>
    </w:p>
    <w:p w14:paraId="38A41D2C">
      <w:pPr>
        <w:spacing w:line="400" w:lineRule="exact"/>
        <w:ind w:firstLine="42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1C82683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项目经理必须具备建筑工程专业二级以上（含二级）注册建造师执业资格，具备有效的安全生产考核合格证书（B类）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p>
    <w:p w14:paraId="72FB4B71">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799E9963">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B120025">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07055F8">
      <w:pPr>
        <w:tabs>
          <w:tab w:val="left" w:pos="1635"/>
        </w:tabs>
        <w:spacing w:line="38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4BD8C10F">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4.参与电子竞标的准备工作</w:t>
      </w:r>
    </w:p>
    <w:p w14:paraId="55733BAF">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4.1本项目实行全流程电子化采购，供应商通过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参与电子竞标，并应做好以下相关准备工作：①在</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color w:val="auto"/>
          <w:sz w:val="21"/>
          <w:szCs w:val="21"/>
          <w:highlight w:val="none"/>
        </w:rPr>
        <w:t>以便供应商采用CA证书对其响应文件电子签章或电子签名</w:t>
      </w:r>
      <w:r>
        <w:rPr>
          <w:rFonts w:hint="eastAsia" w:ascii="宋体" w:hAnsi="宋体" w:cs="宋体"/>
          <w:color w:val="auto"/>
          <w:kern w:val="0"/>
          <w:sz w:val="21"/>
          <w:szCs w:val="21"/>
          <w:highlight w:val="none"/>
        </w:rPr>
        <w:t>；③自备计算机和网络设备并确保能接入互联网（费用由供应商自行承担，设备确保可进行视频通话和读取</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CA证书）。因供应商未做好相关准备工作等自身原因导致无法参加本项目电子竞标或竞标失败的，造成的一切后果，由供应商自行承担。</w:t>
      </w:r>
    </w:p>
    <w:p w14:paraId="40C57D3E">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4.2电子竞标具体操作流程参考《政府采购项目电子交易管理操作指南</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供应商》（详见桂林市政府采购网—采购资讯—重要通知）；如遇平台技术问题详询95763或者0771-3381253。</w:t>
      </w:r>
    </w:p>
    <w:p w14:paraId="7362971A">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4.3不论磋商结果如何，供应商均应自行承担所有与磋商有关的全部费用。</w:t>
      </w:r>
    </w:p>
    <w:p w14:paraId="284BA9A5">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79B7F9AD">
      <w:pPr>
        <w:snapToGrid w:val="0"/>
        <w:spacing w:line="38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21F260C7">
      <w:pPr>
        <w:tabs>
          <w:tab w:val="left" w:pos="2190"/>
        </w:tabs>
        <w:spacing w:line="38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6A7780BE">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0592D9AF">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6DB5CE30">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72B3E971">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 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7B0F845D">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 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1D55EEC8">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04B6200A">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59F7C7A5">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11B2DEA2">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1613B097">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0C6A4C21">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64F73519">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7ABCF93D">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3EB28E59">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630BC977">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w:t>
      </w:r>
      <w:r>
        <w:rPr>
          <w:rFonts w:hint="eastAsia" w:ascii="宋体" w:hAnsi="宋体" w:cs="宋体"/>
          <w:color w:val="auto"/>
          <w:kern w:val="0"/>
          <w:sz w:val="21"/>
          <w:szCs w:val="21"/>
          <w:highlight w:val="none"/>
          <w:lang w:eastAsia="zh-CN"/>
        </w:rPr>
        <w:t>李贞</w:t>
      </w:r>
      <w:r>
        <w:rPr>
          <w:rFonts w:hint="eastAsia" w:ascii="宋体" w:hAnsi="宋体" w:cs="宋体"/>
          <w:color w:val="auto"/>
          <w:kern w:val="0"/>
          <w:sz w:val="21"/>
          <w:szCs w:val="21"/>
          <w:highlight w:val="none"/>
        </w:rPr>
        <w:t>，联系电话：0773-2887388、2887399。通讯地址：</w:t>
      </w:r>
      <w:r>
        <w:rPr>
          <w:rFonts w:hint="eastAsia" w:ascii="宋体" w:hAnsi="宋体" w:cs="宋体"/>
          <w:color w:val="auto"/>
          <w:kern w:val="0"/>
          <w:sz w:val="21"/>
          <w:szCs w:val="24"/>
          <w:highlight w:val="none"/>
        </w:rPr>
        <w:t>广西桂林市临桂区西城北路2号耀辉•美好家园2幢12层1号房</w:t>
      </w:r>
      <w:r>
        <w:rPr>
          <w:rFonts w:hint="eastAsia" w:ascii="宋体" w:hAnsi="宋体" w:cs="宋体"/>
          <w:color w:val="auto"/>
          <w:kern w:val="0"/>
          <w:sz w:val="21"/>
          <w:szCs w:val="21"/>
          <w:highlight w:val="none"/>
        </w:rPr>
        <w:t>云之龙咨询集团有限公司。</w:t>
      </w:r>
    </w:p>
    <w:p w14:paraId="563CD1F7">
      <w:pPr>
        <w:tabs>
          <w:tab w:val="left" w:pos="2190"/>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764FD49B">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 本项目不允许转包。</w:t>
      </w:r>
    </w:p>
    <w:p w14:paraId="6F9C4361">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 本项目不可以分包。</w:t>
      </w:r>
    </w:p>
    <w:p w14:paraId="58D1D0DB">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 特别说明</w:t>
      </w:r>
    </w:p>
    <w:p w14:paraId="04463BB4">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56D0936">
      <w:pPr>
        <w:tabs>
          <w:tab w:val="left" w:pos="163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13072587">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（2）为本采购项目提供整体设计、规范编制或者项目管理、监理、检测等服务的供应商，不得再参加本次采购活动。</w:t>
      </w:r>
    </w:p>
    <w:p w14:paraId="14375568">
      <w:pPr>
        <w:tabs>
          <w:tab w:val="left" w:pos="2190"/>
        </w:tabs>
        <w:spacing w:line="380" w:lineRule="exact"/>
        <w:ind w:firstLine="435" w:firstLineChars="0"/>
        <w:jc w:val="center"/>
        <w:rPr>
          <w:rFonts w:ascii="宋体" w:hAnsi="宋体" w:cs="宋体"/>
          <w:b/>
          <w:color w:val="auto"/>
          <w:kern w:val="0"/>
          <w:sz w:val="28"/>
          <w:szCs w:val="28"/>
          <w:highlight w:val="none"/>
        </w:rPr>
      </w:pPr>
    </w:p>
    <w:p w14:paraId="29D43473">
      <w:pPr>
        <w:tabs>
          <w:tab w:val="left" w:pos="2190"/>
        </w:tabs>
        <w:spacing w:line="38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4CECE60F">
      <w:pPr>
        <w:tabs>
          <w:tab w:val="left" w:pos="2190"/>
        </w:tabs>
        <w:spacing w:line="38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3742B5D3">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15463A78">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423DC6C4">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56FF1762">
      <w:pPr>
        <w:tabs>
          <w:tab w:val="left" w:pos="2190"/>
        </w:tabs>
        <w:spacing w:line="380" w:lineRule="exact"/>
        <w:ind w:firstLine="437"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（4）工程量清单及图纸</w:t>
      </w:r>
      <w:r>
        <w:rPr>
          <w:rFonts w:hint="eastAsia" w:ascii="宋体" w:hAnsi="宋体" w:cs="宋体"/>
          <w:color w:val="auto"/>
          <w:kern w:val="0"/>
          <w:sz w:val="21"/>
          <w:szCs w:val="21"/>
          <w:highlight w:val="none"/>
          <w:lang w:eastAsia="zh-CN"/>
        </w:rPr>
        <w:t>；</w:t>
      </w:r>
    </w:p>
    <w:p w14:paraId="1330DDB3">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（5）评审方法；</w:t>
      </w:r>
    </w:p>
    <w:p w14:paraId="54B5E05C">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606D1C6F">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（7）合同主要条款。</w:t>
      </w:r>
    </w:p>
    <w:p w14:paraId="54E8C78F">
      <w:pPr>
        <w:tabs>
          <w:tab w:val="left" w:pos="2190"/>
        </w:tabs>
        <w:spacing w:line="38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013C8EBF">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3个工作日前在本项目竞争性磋商公告发布的同一媒体上发布更正公告，不足3个工作日的，应当顺延首次响应文件提交截止时间。</w:t>
      </w:r>
    </w:p>
    <w:p w14:paraId="0B3CE80B">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3A9E9962">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716F0A18">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4BE339CC">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672D2358">
      <w:pPr>
        <w:tabs>
          <w:tab w:val="left" w:pos="2190"/>
        </w:tabs>
        <w:spacing w:line="380" w:lineRule="exact"/>
        <w:ind w:firstLine="435" w:firstLineChars="0"/>
        <w:rPr>
          <w:rFonts w:ascii="宋体" w:hAnsi="宋体" w:cs="宋体"/>
          <w:color w:val="auto"/>
          <w:kern w:val="0"/>
          <w:sz w:val="21"/>
          <w:szCs w:val="21"/>
          <w:highlight w:val="none"/>
        </w:rPr>
      </w:pPr>
    </w:p>
    <w:p w14:paraId="49B1D7CF">
      <w:pPr>
        <w:tabs>
          <w:tab w:val="left" w:pos="2190"/>
        </w:tabs>
        <w:spacing w:line="38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46B10F2B">
      <w:pPr>
        <w:tabs>
          <w:tab w:val="left" w:pos="2190"/>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119FBED7">
      <w:pPr>
        <w:tabs>
          <w:tab w:val="left" w:pos="1305"/>
        </w:tabs>
        <w:spacing w:line="38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w:t>
      </w:r>
      <w:r>
        <w:rPr>
          <w:rFonts w:hint="eastAsia" w:ascii="宋体" w:hAnsi="宋体" w:cs="宋体"/>
          <w:b/>
          <w:color w:val="auto"/>
          <w:kern w:val="0"/>
          <w:sz w:val="21"/>
          <w:szCs w:val="21"/>
          <w:highlight w:val="none"/>
          <w:lang w:eastAsia="zh-CN"/>
        </w:rPr>
        <w:t>六</w:t>
      </w:r>
      <w:r>
        <w:rPr>
          <w:rFonts w:hint="eastAsia" w:ascii="宋体" w:hAnsi="宋体" w:cs="宋体"/>
          <w:b/>
          <w:color w:val="auto"/>
          <w:kern w:val="0"/>
          <w:sz w:val="21"/>
          <w:szCs w:val="21"/>
          <w:highlight w:val="none"/>
        </w:rPr>
        <w:t>章“响应文件（格式）”】</w:t>
      </w:r>
    </w:p>
    <w:p w14:paraId="3868E5E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响应文件应分为资格证明文件、商务证明文件、技术证明文件三个部分组成：</w:t>
      </w:r>
    </w:p>
    <w:p w14:paraId="2B4846FA">
      <w:pPr>
        <w:spacing w:line="400" w:lineRule="exact"/>
        <w:ind w:firstLine="420"/>
        <w:rPr>
          <w:rFonts w:ascii="宋体" w:hAnsi="宋体" w:cs="宋体"/>
          <w:b/>
          <w:bCs/>
          <w:color w:val="auto"/>
          <w:sz w:val="21"/>
          <w:szCs w:val="21"/>
          <w:highlight w:val="none"/>
        </w:rPr>
      </w:pPr>
      <w:r>
        <w:rPr>
          <w:rFonts w:hint="eastAsia" w:ascii="宋体" w:hAnsi="宋体" w:cs="宋体"/>
          <w:color w:val="auto"/>
          <w:sz w:val="21"/>
          <w:szCs w:val="21"/>
          <w:highlight w:val="none"/>
        </w:rPr>
        <w:t>11.1.1资格证明文件</w:t>
      </w:r>
      <w:r>
        <w:rPr>
          <w:rFonts w:hint="eastAsia" w:ascii="宋体" w:hAnsi="宋体" w:cs="宋体"/>
          <w:color w:val="auto"/>
          <w:sz w:val="21"/>
          <w:szCs w:val="21"/>
          <w:highlight w:val="none"/>
          <w:lang w:eastAsia="zh-CN"/>
        </w:rPr>
        <w:t>：</w:t>
      </w:r>
    </w:p>
    <w:p w14:paraId="0ED7B4EC">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（1）</w:t>
      </w:r>
      <w:bookmarkStart w:id="46" w:name="OLE_LINK17"/>
      <w:bookmarkStart w:id="47" w:name="OLE_LINK16"/>
      <w:r>
        <w:rPr>
          <w:rFonts w:hint="eastAsia" w:ascii="宋体" w:hAnsi="宋体" w:cs="宋体"/>
          <w:bCs/>
          <w:color w:val="auto"/>
          <w:sz w:val="21"/>
          <w:szCs w:val="21"/>
          <w:highlight w:val="none"/>
        </w:rPr>
        <w:t>供应商的“磋商书”</w:t>
      </w:r>
      <w:bookmarkEnd w:id="46"/>
      <w:bookmarkEnd w:id="47"/>
      <w:r>
        <w:rPr>
          <w:rFonts w:hint="eastAsia" w:ascii="宋体" w:hAnsi="宋体" w:cs="宋体"/>
          <w:b/>
          <w:color w:val="auto"/>
          <w:sz w:val="21"/>
          <w:szCs w:val="21"/>
          <w:highlight w:val="none"/>
        </w:rPr>
        <w:t>（</w:t>
      </w:r>
      <w:bookmarkStart w:id="48" w:name="OLE_LINK18"/>
      <w:bookmarkStart w:id="49" w:name="OLE_LINK19"/>
      <w:r>
        <w:rPr>
          <w:rFonts w:hint="eastAsia" w:ascii="宋体" w:hAnsi="宋体" w:cs="宋体"/>
          <w:b/>
          <w:color w:val="auto"/>
          <w:sz w:val="21"/>
          <w:szCs w:val="21"/>
          <w:highlight w:val="none"/>
        </w:rPr>
        <w:t>必须提供</w:t>
      </w:r>
      <w:bookmarkEnd w:id="48"/>
      <w:bookmarkEnd w:id="49"/>
      <w:r>
        <w:rPr>
          <w:rFonts w:hint="eastAsia" w:ascii="宋体" w:hAnsi="宋体" w:cs="宋体"/>
          <w:b/>
          <w:color w:val="auto"/>
          <w:sz w:val="21"/>
          <w:szCs w:val="21"/>
          <w:highlight w:val="none"/>
        </w:rPr>
        <w:t>）；</w:t>
      </w:r>
    </w:p>
    <w:p w14:paraId="04447BE2">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 xml:space="preserve">（2）供应商的“参加本项目无围标串标行为的承诺函” </w:t>
      </w:r>
      <w:r>
        <w:rPr>
          <w:rFonts w:hint="eastAsia" w:ascii="宋体" w:hAnsi="宋体" w:cs="宋体"/>
          <w:b/>
          <w:color w:val="auto"/>
          <w:sz w:val="21"/>
          <w:szCs w:val="21"/>
          <w:highlight w:val="none"/>
        </w:rPr>
        <w:t>（必须提供）；</w:t>
      </w:r>
    </w:p>
    <w:p w14:paraId="52513EC7">
      <w:pPr>
        <w:tabs>
          <w:tab w:val="left" w:pos="1305"/>
        </w:tabs>
        <w:spacing w:line="38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sz w:val="21"/>
          <w:szCs w:val="21"/>
          <w:highlight w:val="none"/>
        </w:rPr>
        <w:t>供应商的法人或者其他组织营业执照等证明文件</w:t>
      </w:r>
      <w:r>
        <w:rPr>
          <w:rFonts w:hint="eastAsia" w:ascii="宋体" w:hAnsi="宋体" w:cs="宋体"/>
          <w:b/>
          <w:color w:val="auto"/>
          <w:sz w:val="21"/>
          <w:szCs w:val="21"/>
          <w:highlight w:val="none"/>
        </w:rPr>
        <w:t>（</w:t>
      </w:r>
      <w:bookmarkStart w:id="50" w:name="OLE_LINK20"/>
      <w:bookmarkStart w:id="51" w:name="OLE_LINK21"/>
      <w:r>
        <w:rPr>
          <w:rFonts w:hint="eastAsia" w:ascii="宋体" w:hAnsi="宋体" w:cs="宋体"/>
          <w:b/>
          <w:color w:val="auto"/>
          <w:sz w:val="21"/>
          <w:szCs w:val="21"/>
          <w:highlight w:val="none"/>
        </w:rPr>
        <w:t>必须提供）；</w:t>
      </w:r>
    </w:p>
    <w:p w14:paraId="11E2428B">
      <w:pPr>
        <w:tabs>
          <w:tab w:val="left" w:pos="1305"/>
        </w:tabs>
        <w:spacing w:line="38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③如供应商为企业法人的分支机构的，除应提供营业执照外，还应提供其所属的总公司授权其参加政府采购活动的授权文件或授权其独立开展经营业务活动的证明材料</w:t>
      </w:r>
      <w:bookmarkEnd w:id="50"/>
      <w:bookmarkEnd w:id="51"/>
      <w:r>
        <w:rPr>
          <w:rFonts w:hint="eastAsia" w:ascii="宋体" w:hAnsi="宋体" w:cs="宋体"/>
          <w:b/>
          <w:color w:val="auto"/>
          <w:sz w:val="21"/>
          <w:szCs w:val="21"/>
          <w:highlight w:val="none"/>
        </w:rPr>
        <w:t>。</w:t>
      </w:r>
    </w:p>
    <w:p w14:paraId="301F97B4">
      <w:pPr>
        <w:adjustRightInd w:val="0"/>
        <w:snapToGrid w:val="0"/>
        <w:spacing w:line="360" w:lineRule="exact"/>
        <w:ind w:firstLine="420"/>
        <w:jc w:val="left"/>
        <w:textAlignment w:val="center"/>
        <w:rPr>
          <w:b/>
          <w:color w:val="auto"/>
          <w:sz w:val="21"/>
          <w:szCs w:val="21"/>
          <w:highlight w:val="none"/>
        </w:rPr>
      </w:pPr>
      <w:r>
        <w:rPr>
          <w:rFonts w:hint="eastAsia"/>
          <w:color w:val="auto"/>
          <w:sz w:val="21"/>
          <w:szCs w:val="21"/>
          <w:highlight w:val="none"/>
        </w:rPr>
        <w:t>（4）供应商202</w:t>
      </w:r>
      <w:r>
        <w:rPr>
          <w:color w:val="auto"/>
          <w:sz w:val="21"/>
          <w:szCs w:val="21"/>
          <w:highlight w:val="none"/>
        </w:rPr>
        <w:t>4</w:t>
      </w:r>
      <w:r>
        <w:rPr>
          <w:rFonts w:hint="eastAsia"/>
          <w:color w:val="auto"/>
          <w:sz w:val="21"/>
          <w:szCs w:val="21"/>
          <w:highlight w:val="none"/>
        </w:rPr>
        <w:t>年度</w:t>
      </w:r>
      <w:r>
        <w:rPr>
          <w:rFonts w:hint="eastAsia"/>
          <w:color w:val="auto"/>
          <w:sz w:val="21"/>
          <w:szCs w:val="21"/>
          <w:highlight w:val="none"/>
          <w:lang w:eastAsia="zh-CN"/>
        </w:rPr>
        <w:t>或</w:t>
      </w:r>
      <w:r>
        <w:rPr>
          <w:rFonts w:hint="eastAsia"/>
          <w:color w:val="auto"/>
          <w:sz w:val="21"/>
          <w:szCs w:val="21"/>
          <w:highlight w:val="none"/>
          <w:lang w:val="en-US" w:eastAsia="zh-CN"/>
        </w:rPr>
        <w:t>2025年度</w:t>
      </w:r>
      <w:r>
        <w:rPr>
          <w:rFonts w:hint="eastAsia"/>
          <w:color w:val="auto"/>
          <w:sz w:val="21"/>
          <w:szCs w:val="21"/>
          <w:highlight w:val="none"/>
        </w:rPr>
        <w:t>的财务状况报告</w:t>
      </w:r>
      <w:r>
        <w:rPr>
          <w:rFonts w:hint="eastAsia" w:ascii="宋体" w:hAnsi="宋体" w:cs="宋体"/>
          <w:color w:val="auto"/>
          <w:kern w:val="0"/>
          <w:sz w:val="21"/>
          <w:szCs w:val="21"/>
          <w:highlight w:val="none"/>
        </w:rPr>
        <w:t>（如供应商为参加本项目当年新成立公司的，可提供公司成立之日后的财务报表）</w:t>
      </w:r>
      <w:r>
        <w:rPr>
          <w:rFonts w:hint="eastAsia"/>
          <w:color w:val="auto"/>
          <w:sz w:val="21"/>
          <w:szCs w:val="21"/>
          <w:highlight w:val="none"/>
        </w:rPr>
        <w:t>或202</w:t>
      </w:r>
      <w:r>
        <w:rPr>
          <w:rFonts w:hint="eastAsia"/>
          <w:color w:val="auto"/>
          <w:sz w:val="21"/>
          <w:szCs w:val="21"/>
          <w:highlight w:val="none"/>
          <w:lang w:val="en-US" w:eastAsia="zh-CN"/>
        </w:rPr>
        <w:t>6</w:t>
      </w:r>
      <w:r>
        <w:rPr>
          <w:rFonts w:hint="eastAsia"/>
          <w:color w:val="auto"/>
          <w:sz w:val="21"/>
          <w:szCs w:val="21"/>
          <w:highlight w:val="none"/>
        </w:rPr>
        <w:t>年以来银行出具的资信证明或202</w:t>
      </w:r>
      <w:r>
        <w:rPr>
          <w:rFonts w:hint="eastAsia"/>
          <w:color w:val="auto"/>
          <w:sz w:val="21"/>
          <w:szCs w:val="21"/>
          <w:highlight w:val="none"/>
          <w:lang w:val="en-US" w:eastAsia="zh-CN"/>
        </w:rPr>
        <w:t>6</w:t>
      </w:r>
      <w:r>
        <w:rPr>
          <w:rFonts w:hint="eastAsia"/>
          <w:color w:val="auto"/>
          <w:sz w:val="21"/>
          <w:szCs w:val="21"/>
          <w:highlight w:val="none"/>
        </w:rPr>
        <w:t>年以来中国人民银行征信中心出具的征信报告</w:t>
      </w:r>
      <w:r>
        <w:rPr>
          <w:rFonts w:hint="eastAsia"/>
          <w:b/>
          <w:color w:val="auto"/>
          <w:sz w:val="21"/>
          <w:szCs w:val="21"/>
          <w:highlight w:val="none"/>
        </w:rPr>
        <w:t>（必须提供）；</w:t>
      </w:r>
    </w:p>
    <w:p w14:paraId="470B99A0">
      <w:pPr>
        <w:adjustRightInd w:val="0"/>
        <w:snapToGrid w:val="0"/>
        <w:spacing w:line="360" w:lineRule="exact"/>
        <w:ind w:firstLine="420"/>
        <w:jc w:val="left"/>
        <w:textAlignment w:val="center"/>
        <w:rPr>
          <w:color w:val="auto"/>
          <w:sz w:val="21"/>
          <w:szCs w:val="21"/>
          <w:highlight w:val="none"/>
        </w:rPr>
      </w:pPr>
      <w:r>
        <w:rPr>
          <w:rFonts w:hint="eastAsia"/>
          <w:color w:val="auto"/>
          <w:sz w:val="21"/>
          <w:szCs w:val="21"/>
          <w:highlight w:val="none"/>
        </w:rPr>
        <w:t>（5）</w:t>
      </w:r>
      <w:bookmarkStart w:id="52" w:name="OLE_LINK22"/>
      <w:r>
        <w:rPr>
          <w:rFonts w:hint="eastAsia"/>
          <w:color w:val="auto"/>
          <w:sz w:val="21"/>
          <w:szCs w:val="21"/>
          <w:highlight w:val="none"/>
        </w:rPr>
        <w:t>供应商202</w:t>
      </w:r>
      <w:r>
        <w:rPr>
          <w:rFonts w:hint="eastAsia"/>
          <w:color w:val="auto"/>
          <w:sz w:val="21"/>
          <w:szCs w:val="21"/>
          <w:highlight w:val="none"/>
          <w:lang w:val="en-US" w:eastAsia="zh-CN"/>
        </w:rPr>
        <w:t>6</w:t>
      </w:r>
      <w:r>
        <w:rPr>
          <w:rFonts w:hint="eastAsia"/>
          <w:color w:val="auto"/>
          <w:sz w:val="21"/>
          <w:szCs w:val="21"/>
          <w:highlight w:val="none"/>
        </w:rPr>
        <w:t>年以来任意1个月依法缴纳社会保障资金的相关材料（</w:t>
      </w:r>
      <w:r>
        <w:rPr>
          <w:rFonts w:hint="eastAsia" w:ascii="宋体" w:hAnsi="宋体" w:cs="宋体"/>
          <w:color w:val="auto"/>
          <w:kern w:val="0"/>
          <w:sz w:val="21"/>
          <w:szCs w:val="21"/>
          <w:highlight w:val="none"/>
        </w:rPr>
        <w:t>供应商无缴费记录或为新成立公司，应提供由供应商所在地社保部门或税务部门出具的《依法缴纳或依法免缴社保费证明》</w:t>
      </w:r>
      <w:r>
        <w:rPr>
          <w:rFonts w:hint="eastAsia"/>
          <w:color w:val="auto"/>
          <w:sz w:val="21"/>
          <w:szCs w:val="21"/>
          <w:highlight w:val="none"/>
        </w:rPr>
        <w:t>）</w:t>
      </w:r>
      <w:bookmarkEnd w:id="52"/>
      <w:r>
        <w:rPr>
          <w:rFonts w:hint="eastAsia"/>
          <w:b/>
          <w:color w:val="auto"/>
          <w:sz w:val="21"/>
          <w:szCs w:val="21"/>
          <w:highlight w:val="none"/>
        </w:rPr>
        <w:t>（</w:t>
      </w:r>
      <w:bookmarkStart w:id="53" w:name="OLE_LINK23"/>
      <w:r>
        <w:rPr>
          <w:rFonts w:hint="eastAsia"/>
          <w:b/>
          <w:color w:val="auto"/>
          <w:sz w:val="21"/>
          <w:szCs w:val="21"/>
          <w:highlight w:val="none"/>
        </w:rPr>
        <w:t>必须提供</w:t>
      </w:r>
      <w:bookmarkEnd w:id="53"/>
      <w:r>
        <w:rPr>
          <w:rFonts w:hint="eastAsia"/>
          <w:b/>
          <w:color w:val="auto"/>
          <w:sz w:val="21"/>
          <w:szCs w:val="21"/>
          <w:highlight w:val="none"/>
        </w:rPr>
        <w:t>）；</w:t>
      </w:r>
      <w:r>
        <w:rPr>
          <w:color w:val="auto"/>
          <w:sz w:val="21"/>
          <w:szCs w:val="21"/>
          <w:highlight w:val="none"/>
        </w:rPr>
        <w:t xml:space="preserve"> </w:t>
      </w:r>
    </w:p>
    <w:p w14:paraId="231162AC">
      <w:pPr>
        <w:pStyle w:val="23"/>
        <w:spacing w:line="360" w:lineRule="exact"/>
        <w:ind w:left="0" w:right="34" w:firstLine="420" w:firstLineChars="200"/>
        <w:rPr>
          <w:color w:val="auto"/>
          <w:highlight w:val="none"/>
        </w:rPr>
      </w:pPr>
      <w:r>
        <w:rPr>
          <w:rFonts w:hint="eastAsia" w:asciiTheme="majorEastAsia" w:hAnsiTheme="majorEastAsia" w:eastAsiaTheme="majorEastAsia"/>
          <w:color w:val="auto"/>
          <w:kern w:val="2"/>
          <w:sz w:val="21"/>
          <w:szCs w:val="21"/>
          <w:highlight w:val="none"/>
        </w:rPr>
        <w:t>（6）</w:t>
      </w:r>
      <w:r>
        <w:rPr>
          <w:rFonts w:hint="eastAsia"/>
          <w:color w:val="auto"/>
          <w:kern w:val="2"/>
          <w:sz w:val="21"/>
          <w:szCs w:val="21"/>
          <w:highlight w:val="none"/>
        </w:rPr>
        <w:t>供应商202</w:t>
      </w:r>
      <w:r>
        <w:rPr>
          <w:rFonts w:hint="eastAsia"/>
          <w:color w:val="auto"/>
          <w:kern w:val="2"/>
          <w:sz w:val="21"/>
          <w:szCs w:val="21"/>
          <w:highlight w:val="none"/>
          <w:lang w:val="en-US" w:eastAsia="zh-CN"/>
        </w:rPr>
        <w:t>6</w:t>
      </w:r>
      <w:r>
        <w:rPr>
          <w:rFonts w:hint="eastAsia"/>
          <w:color w:val="auto"/>
          <w:kern w:val="2"/>
          <w:sz w:val="21"/>
          <w:szCs w:val="21"/>
          <w:highlight w:val="none"/>
        </w:rPr>
        <w:t>年以来任意1个月依法缴纳税收的相关材料</w:t>
      </w:r>
      <w:r>
        <w:rPr>
          <w:rFonts w:hint="eastAsia"/>
          <w:color w:val="auto"/>
          <w:sz w:val="21"/>
          <w:szCs w:val="21"/>
          <w:highlight w:val="none"/>
        </w:rPr>
        <w:t>（</w:t>
      </w:r>
      <w:r>
        <w:rPr>
          <w:rFonts w:hint="eastAsia" w:ascii="宋体" w:hAnsi="宋体" w:cs="宋体"/>
          <w:color w:val="auto"/>
          <w:sz w:val="21"/>
          <w:szCs w:val="21"/>
          <w:highlight w:val="none"/>
        </w:rPr>
        <w:t>供应商无纳税记录或为新成立公司，应提供由供应商所在地主管税务部门出具的《依法纳税或依法免税证明》</w:t>
      </w:r>
      <w:r>
        <w:rPr>
          <w:rFonts w:hint="eastAsia"/>
          <w:color w:val="auto"/>
          <w:sz w:val="21"/>
          <w:szCs w:val="21"/>
          <w:highlight w:val="none"/>
        </w:rPr>
        <w:t>）</w:t>
      </w:r>
      <w:r>
        <w:rPr>
          <w:rFonts w:hint="eastAsia"/>
          <w:b/>
          <w:color w:val="auto"/>
          <w:sz w:val="21"/>
          <w:szCs w:val="21"/>
          <w:highlight w:val="none"/>
        </w:rPr>
        <w:t>（必须提供）；</w:t>
      </w:r>
    </w:p>
    <w:p w14:paraId="6D032843">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（7）</w:t>
      </w:r>
      <w:bookmarkStart w:id="54" w:name="OLE_LINK24"/>
      <w:r>
        <w:rPr>
          <w:rFonts w:hint="eastAsia" w:ascii="宋体" w:hAnsi="宋体" w:cs="宋体"/>
          <w:bCs/>
          <w:color w:val="auto"/>
          <w:sz w:val="21"/>
          <w:szCs w:val="21"/>
          <w:highlight w:val="none"/>
        </w:rPr>
        <w:t>供应商的直接控股、管理关系信息表</w:t>
      </w:r>
      <w:bookmarkEnd w:id="54"/>
      <w:r>
        <w:rPr>
          <w:rFonts w:hint="eastAsia" w:ascii="宋体" w:hAnsi="宋体" w:cs="宋体"/>
          <w:b/>
          <w:color w:val="auto"/>
          <w:sz w:val="21"/>
          <w:szCs w:val="21"/>
          <w:highlight w:val="none"/>
        </w:rPr>
        <w:t>（</w:t>
      </w:r>
      <w:bookmarkStart w:id="55" w:name="OLE_LINK27"/>
      <w:bookmarkStart w:id="56" w:name="OLE_LINK26"/>
      <w:r>
        <w:rPr>
          <w:rFonts w:hint="eastAsia" w:ascii="宋体" w:hAnsi="宋体" w:cs="宋体"/>
          <w:b/>
          <w:color w:val="auto"/>
          <w:sz w:val="21"/>
          <w:szCs w:val="21"/>
          <w:highlight w:val="none"/>
        </w:rPr>
        <w:t>必须提供</w:t>
      </w:r>
      <w:bookmarkEnd w:id="55"/>
      <w:bookmarkEnd w:id="56"/>
      <w:r>
        <w:rPr>
          <w:rFonts w:hint="eastAsia" w:ascii="宋体" w:hAnsi="宋体" w:cs="宋体"/>
          <w:b/>
          <w:color w:val="auto"/>
          <w:sz w:val="21"/>
          <w:szCs w:val="21"/>
          <w:highlight w:val="none"/>
        </w:rPr>
        <w:t>）；</w:t>
      </w:r>
    </w:p>
    <w:p w14:paraId="2D2C92FE">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（8）供应商的法定代表人身份证明及法定代表人身份证正反面复印件</w:t>
      </w:r>
      <w:r>
        <w:rPr>
          <w:rFonts w:hint="eastAsia" w:ascii="宋体" w:hAnsi="宋体" w:cs="宋体"/>
          <w:b/>
          <w:color w:val="auto"/>
          <w:sz w:val="21"/>
          <w:szCs w:val="21"/>
          <w:highlight w:val="none"/>
        </w:rPr>
        <w:t>（必须提供）；</w:t>
      </w:r>
    </w:p>
    <w:p w14:paraId="220FEF78">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（9）供应商的“授权委托书”、委托代理人身份证正反面复印件</w:t>
      </w:r>
      <w:r>
        <w:rPr>
          <w:rFonts w:hint="eastAsia" w:ascii="宋体" w:hAnsi="宋体" w:cs="宋体"/>
          <w:b/>
          <w:color w:val="auto"/>
          <w:sz w:val="21"/>
          <w:szCs w:val="21"/>
          <w:highlight w:val="none"/>
        </w:rPr>
        <w:t>（委托代理时必须提供）；</w:t>
      </w:r>
    </w:p>
    <w:p w14:paraId="727E2A64">
      <w:pPr>
        <w:spacing w:line="400" w:lineRule="exact"/>
        <w:ind w:firstLine="420"/>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rPr>
        <w:t>（10）</w:t>
      </w:r>
      <w:r>
        <w:rPr>
          <w:rFonts w:hint="eastAsia" w:ascii="宋体" w:hAnsi="宋体" w:cs="宋体"/>
          <w:bCs/>
          <w:color w:val="auto"/>
          <w:sz w:val="21"/>
          <w:szCs w:val="21"/>
          <w:highlight w:val="none"/>
          <w:lang w:eastAsia="zh-CN"/>
        </w:rPr>
        <w:t>特定资格要求证明材料</w:t>
      </w:r>
      <w:r>
        <w:rPr>
          <w:rFonts w:hint="eastAsia" w:ascii="宋体" w:hAnsi="宋体" w:cs="宋体"/>
          <w:b/>
          <w:color w:val="auto"/>
          <w:sz w:val="21"/>
          <w:szCs w:val="21"/>
          <w:highlight w:val="none"/>
        </w:rPr>
        <w:t>（必须提供）</w:t>
      </w:r>
      <w:r>
        <w:rPr>
          <w:rFonts w:hint="eastAsia" w:ascii="宋体" w:hAnsi="宋体" w:cs="宋体"/>
          <w:bCs/>
          <w:color w:val="auto"/>
          <w:sz w:val="21"/>
          <w:szCs w:val="21"/>
          <w:highlight w:val="none"/>
          <w:lang w:eastAsia="zh-CN"/>
        </w:rPr>
        <w:t>：</w:t>
      </w:r>
    </w:p>
    <w:p w14:paraId="54897446">
      <w:pPr>
        <w:spacing w:line="400" w:lineRule="exact"/>
        <w:ind w:firstLine="630" w:firstLineChars="30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w:t>
      </w:r>
      <w:r>
        <w:rPr>
          <w:rFonts w:hint="eastAsia" w:ascii="宋体" w:hAnsi="宋体" w:cs="宋体"/>
          <w:color w:val="auto"/>
          <w:sz w:val="21"/>
          <w:szCs w:val="21"/>
          <w:highlight w:val="none"/>
        </w:rPr>
        <w:t>供应商具备建筑工程施工总承包三级以上（含三级）资质</w:t>
      </w:r>
      <w:r>
        <w:rPr>
          <w:rFonts w:hint="eastAsia" w:ascii="宋体" w:hAnsi="宋体" w:cs="宋体"/>
          <w:color w:val="auto"/>
          <w:sz w:val="21"/>
          <w:szCs w:val="21"/>
          <w:highlight w:val="none"/>
          <w:lang w:eastAsia="zh-CN"/>
        </w:rPr>
        <w:t>证书复印件及</w:t>
      </w:r>
      <w:r>
        <w:rPr>
          <w:rFonts w:hint="eastAsia" w:ascii="宋体" w:hAnsi="宋体" w:cs="宋体"/>
          <w:color w:val="auto"/>
          <w:sz w:val="21"/>
          <w:szCs w:val="21"/>
          <w:highlight w:val="none"/>
        </w:rPr>
        <w:t>有效的安全生产许可证</w:t>
      </w:r>
      <w:r>
        <w:rPr>
          <w:rFonts w:hint="eastAsia" w:ascii="宋体" w:hAnsi="宋体" w:cs="宋体"/>
          <w:color w:val="auto"/>
          <w:sz w:val="21"/>
          <w:szCs w:val="21"/>
          <w:highlight w:val="none"/>
          <w:lang w:eastAsia="zh-CN"/>
        </w:rPr>
        <w:t>书复印件。</w:t>
      </w:r>
    </w:p>
    <w:p w14:paraId="5B5AAA36">
      <w:pPr>
        <w:tabs>
          <w:tab w:val="left" w:pos="1635"/>
        </w:tabs>
        <w:spacing w:line="380" w:lineRule="exact"/>
        <w:ind w:firstLine="590" w:firstLineChars="281"/>
        <w:rPr>
          <w:rFonts w:hint="eastAsia" w:ascii="宋体" w:hAnsi="宋体" w:cs="宋体"/>
          <w:color w:val="auto"/>
          <w:sz w:val="21"/>
          <w:szCs w:val="21"/>
          <w:highlight w:val="none"/>
        </w:rPr>
      </w:pP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bookmarkStart w:id="57" w:name="_Hlk120612644"/>
      <w:r>
        <w:rPr>
          <w:rFonts w:hint="eastAsia" w:ascii="宋体" w:hAnsi="宋体" w:cs="宋体"/>
          <w:color w:val="auto"/>
          <w:sz w:val="21"/>
          <w:szCs w:val="21"/>
          <w:highlight w:val="none"/>
        </w:rPr>
        <w:t>供应商提供项目管理机构组成表，同时于响应文件中</w:t>
      </w:r>
      <w:r>
        <w:rPr>
          <w:rFonts w:hint="eastAsia" w:ascii="宋体" w:hAnsi="宋体" w:cs="宋体"/>
          <w:color w:val="auto"/>
          <w:sz w:val="21"/>
          <w:szCs w:val="21"/>
          <w:highlight w:val="none"/>
          <w:lang w:eastAsia="zh-CN"/>
        </w:rPr>
        <w:t>必须</w:t>
      </w:r>
      <w:r>
        <w:rPr>
          <w:rFonts w:hint="eastAsia" w:ascii="宋体" w:hAnsi="宋体" w:cs="宋体"/>
          <w:color w:val="auto"/>
          <w:sz w:val="21"/>
          <w:szCs w:val="21"/>
          <w:highlight w:val="none"/>
        </w:rPr>
        <w:t>提供：</w:t>
      </w:r>
    </w:p>
    <w:p w14:paraId="1EE290C4">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①项目经理（1人）：拟投入的项目经理具备建筑工程专业二级以上（含二级）注册建造师执业资格</w:t>
      </w:r>
      <w:r>
        <w:rPr>
          <w:rFonts w:hint="eastAsia" w:ascii="宋体" w:hAnsi="宋体" w:cs="宋体"/>
          <w:color w:val="auto"/>
          <w:sz w:val="21"/>
          <w:szCs w:val="21"/>
          <w:highlight w:val="none"/>
          <w:lang w:eastAsia="zh-CN"/>
        </w:rPr>
        <w:t>证书复印件</w:t>
      </w:r>
      <w:r>
        <w:rPr>
          <w:rFonts w:hint="eastAsia" w:ascii="宋体" w:hAnsi="宋体" w:cs="宋体"/>
          <w:color w:val="auto"/>
          <w:sz w:val="21"/>
          <w:szCs w:val="21"/>
          <w:highlight w:val="none"/>
        </w:rPr>
        <w:t>，具备有效的安全生产考核合格证书（B类）</w:t>
      </w:r>
      <w:r>
        <w:rPr>
          <w:rFonts w:hint="eastAsia" w:ascii="宋体" w:hAnsi="宋体" w:cs="宋体"/>
          <w:color w:val="auto"/>
          <w:sz w:val="21"/>
          <w:szCs w:val="21"/>
          <w:highlight w:val="none"/>
          <w:lang w:eastAsia="zh-CN"/>
        </w:rPr>
        <w:t>证书复印件及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3ADEB994">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②技术负责人（1人）：拟投入的技术负责人须具有相关专业中级及以上职称</w:t>
      </w:r>
      <w:r>
        <w:rPr>
          <w:rFonts w:hint="eastAsia" w:ascii="宋体" w:hAnsi="宋体" w:cs="宋体"/>
          <w:color w:val="auto"/>
          <w:sz w:val="21"/>
          <w:szCs w:val="21"/>
          <w:highlight w:val="none"/>
          <w:lang w:eastAsia="zh-CN"/>
        </w:rPr>
        <w:t>证复印件及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09EDE6AE">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③专职安全生产管理人员（1人）：拟投入的专职安全生产管理人员须具有相应有效的专职安全员安全生产考核合格证书（C类）</w:t>
      </w:r>
      <w:r>
        <w:rPr>
          <w:rFonts w:hint="eastAsia" w:ascii="宋体" w:hAnsi="宋体" w:cs="宋体"/>
          <w:color w:val="auto"/>
          <w:sz w:val="21"/>
          <w:szCs w:val="21"/>
          <w:highlight w:val="none"/>
          <w:lang w:eastAsia="zh-CN"/>
        </w:rPr>
        <w:t>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47A0C2B8">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④施工员、质量员、材料员（各配备1人）：拟投入的施工员、质量员、材料员须具有相应有效的施工现场专业人员职业培训合格证书</w:t>
      </w:r>
      <w:r>
        <w:rPr>
          <w:rFonts w:hint="eastAsia" w:ascii="宋体" w:hAnsi="宋体" w:cs="宋体"/>
          <w:color w:val="auto"/>
          <w:sz w:val="21"/>
          <w:szCs w:val="21"/>
          <w:highlight w:val="none"/>
          <w:lang w:eastAsia="zh-CN"/>
        </w:rPr>
        <w:t>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7AA3488A">
      <w:pPr>
        <w:spacing w:line="400" w:lineRule="exact"/>
        <w:ind w:firstLine="420"/>
        <w:rPr>
          <w:rFonts w:hint="default" w:ascii="宋体" w:hAnsi="宋体" w:cs="宋体"/>
          <w:color w:val="auto"/>
          <w:sz w:val="21"/>
          <w:szCs w:val="21"/>
          <w:highlight w:val="none"/>
          <w:lang w:val="en-US"/>
        </w:rPr>
      </w:pPr>
      <w:r>
        <w:rPr>
          <w:rFonts w:hint="eastAsia" w:ascii="宋体" w:hAnsi="宋体" w:cs="宋体"/>
          <w:color w:val="auto"/>
          <w:sz w:val="21"/>
          <w:szCs w:val="21"/>
          <w:highlight w:val="none"/>
        </w:rPr>
        <w:t>⑤供应商具有2026年以来任意1个月为以上项目经理、技术负责人、专职安全生产管理人员、施工员、质量员、材料员缴纳的社保证明材料或供应商与其签订的有效劳动合同</w:t>
      </w:r>
      <w:r>
        <w:rPr>
          <w:rFonts w:hint="eastAsia" w:ascii="宋体" w:hAnsi="宋体" w:cs="宋体"/>
          <w:color w:val="auto"/>
          <w:sz w:val="21"/>
          <w:szCs w:val="21"/>
          <w:highlight w:val="none"/>
          <w:lang w:eastAsia="zh-CN"/>
        </w:rPr>
        <w:t>复印件</w:t>
      </w:r>
      <w:bookmarkEnd w:id="57"/>
      <w:r>
        <w:rPr>
          <w:rFonts w:hint="eastAsia" w:ascii="宋体" w:hAnsi="宋体" w:cs="宋体"/>
          <w:color w:val="auto"/>
          <w:sz w:val="21"/>
          <w:szCs w:val="21"/>
          <w:highlight w:val="none"/>
          <w:lang w:eastAsia="zh-CN"/>
        </w:rPr>
        <w:t>。</w:t>
      </w:r>
    </w:p>
    <w:p w14:paraId="3A9F3B98">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供应商的“承诺函”【①在人员、设备、资金等方面具有相应的履约能力；②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lang w:val="en-US" w:eastAsia="zh-CN"/>
        </w:rPr>
        <w:t>。</w:t>
      </w:r>
    </w:p>
    <w:p w14:paraId="09BE1C80">
      <w:pPr>
        <w:spacing w:line="400" w:lineRule="exact"/>
        <w:ind w:left="120" w:leftChars="50" w:firstLine="315" w:firstLineChars="150"/>
        <w:rPr>
          <w:rFonts w:ascii="宋体" w:hAnsi="宋体" w:cs="宋体"/>
          <w:color w:val="auto"/>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w:t>
      </w:r>
      <w:r>
        <w:rPr>
          <w:rFonts w:ascii="宋体" w:hAnsi="宋体" w:cs="宋体"/>
          <w:color w:val="auto"/>
          <w:sz w:val="21"/>
          <w:szCs w:val="21"/>
          <w:highlight w:val="none"/>
        </w:rPr>
        <w:t>供应商为</w:t>
      </w:r>
      <w:r>
        <w:rPr>
          <w:rFonts w:hint="eastAsia" w:ascii="宋体" w:hAnsi="宋体" w:cs="宋体"/>
          <w:color w:val="auto"/>
          <w:sz w:val="21"/>
          <w:szCs w:val="21"/>
          <w:highlight w:val="none"/>
        </w:rPr>
        <w:t>小微</w:t>
      </w:r>
      <w:r>
        <w:rPr>
          <w:rFonts w:ascii="宋体" w:hAnsi="宋体" w:cs="宋体"/>
          <w:color w:val="auto"/>
          <w:sz w:val="21"/>
          <w:szCs w:val="21"/>
          <w:highlight w:val="none"/>
        </w:rPr>
        <w:t>企业的相关有效证明材料</w:t>
      </w:r>
      <w:r>
        <w:rPr>
          <w:rFonts w:ascii="宋体" w:hAnsi="宋体" w:cs="宋体"/>
          <w:b/>
          <w:color w:val="auto"/>
          <w:sz w:val="21"/>
          <w:szCs w:val="21"/>
          <w:highlight w:val="none"/>
        </w:rPr>
        <w:t>（必须提供）</w:t>
      </w:r>
      <w:r>
        <w:rPr>
          <w:rFonts w:ascii="宋体" w:hAnsi="宋体" w:cs="宋体"/>
          <w:color w:val="auto"/>
          <w:sz w:val="21"/>
          <w:szCs w:val="21"/>
          <w:highlight w:val="none"/>
        </w:rPr>
        <w:t>；</w:t>
      </w:r>
    </w:p>
    <w:p w14:paraId="5D580BA7">
      <w:pPr>
        <w:spacing w:line="400" w:lineRule="exact"/>
        <w:ind w:left="120" w:leftChars="50" w:firstLine="420"/>
        <w:rPr>
          <w:rFonts w:hint="eastAsia" w:ascii="宋体" w:hAnsi="宋体" w:eastAsia="宋体" w:cs="宋体"/>
          <w:bCs/>
          <w:color w:val="auto"/>
          <w:sz w:val="21"/>
          <w:szCs w:val="21"/>
          <w:highlight w:val="none"/>
          <w:lang w:eastAsia="zh-CN"/>
        </w:rPr>
      </w:pPr>
      <w:r>
        <w:rPr>
          <w:rFonts w:ascii="宋体" w:hAnsi="宋体" w:cs="宋体"/>
          <w:color w:val="auto"/>
          <w:sz w:val="21"/>
          <w:szCs w:val="21"/>
          <w:highlight w:val="none"/>
        </w:rPr>
        <w:t>注：本项目专门面向</w:t>
      </w:r>
      <w:r>
        <w:rPr>
          <w:rFonts w:hint="eastAsia" w:ascii="宋体" w:hAnsi="宋体" w:cs="宋体"/>
          <w:color w:val="auto"/>
          <w:sz w:val="21"/>
          <w:szCs w:val="21"/>
          <w:highlight w:val="none"/>
        </w:rPr>
        <w:t>小微</w:t>
      </w:r>
      <w:r>
        <w:rPr>
          <w:rFonts w:ascii="宋体" w:hAnsi="宋体" w:cs="宋体"/>
          <w:color w:val="auto"/>
          <w:sz w:val="21"/>
          <w:szCs w:val="21"/>
          <w:highlight w:val="none"/>
        </w:rPr>
        <w:t>企业采购</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供应商须满足《政府采购促进中小企业发展管理办法》</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财库〔2020〕46号</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第二条规定。监狱企业、残疾人福利</w:t>
      </w:r>
      <w:r>
        <w:rPr>
          <w:rFonts w:hint="eastAsia" w:ascii="宋体" w:hAnsi="宋体" w:cs="宋体"/>
          <w:color w:val="auto"/>
          <w:sz w:val="21"/>
          <w:szCs w:val="21"/>
          <w:highlight w:val="none"/>
          <w:lang w:eastAsia="zh-CN"/>
        </w:rPr>
        <w:t>性</w:t>
      </w:r>
      <w:r>
        <w:rPr>
          <w:rFonts w:ascii="宋体" w:hAnsi="宋体" w:cs="宋体"/>
          <w:color w:val="auto"/>
          <w:sz w:val="21"/>
          <w:szCs w:val="21"/>
          <w:highlight w:val="none"/>
        </w:rPr>
        <w:t>单位视同小型、微型企业。供应商根据自身情况，相应提供以下证明材料：</w:t>
      </w:r>
      <w:r>
        <w:rPr>
          <w:rFonts w:hint="eastAsia" w:ascii="宋体" w:hAnsi="宋体" w:cs="宋体"/>
          <w:color w:val="auto"/>
          <w:sz w:val="21"/>
          <w:szCs w:val="21"/>
          <w:highlight w:val="none"/>
        </w:rPr>
        <w:t>①</w:t>
      </w:r>
      <w:r>
        <w:rPr>
          <w:rFonts w:ascii="宋体" w:hAnsi="宋体" w:cs="宋体"/>
          <w:color w:val="auto"/>
          <w:sz w:val="21"/>
          <w:szCs w:val="21"/>
          <w:highlight w:val="none"/>
        </w:rPr>
        <w:t>供应商如为符合政策要求的</w:t>
      </w:r>
      <w:r>
        <w:rPr>
          <w:rFonts w:hint="eastAsia" w:ascii="宋体" w:hAnsi="宋体" w:cs="宋体"/>
          <w:color w:val="auto"/>
          <w:sz w:val="21"/>
          <w:szCs w:val="21"/>
          <w:highlight w:val="none"/>
        </w:rPr>
        <w:t>小微</w:t>
      </w:r>
      <w:r>
        <w:rPr>
          <w:rFonts w:ascii="宋体" w:hAnsi="宋体" w:cs="宋体"/>
          <w:color w:val="auto"/>
          <w:sz w:val="21"/>
          <w:szCs w:val="21"/>
          <w:highlight w:val="none"/>
        </w:rPr>
        <w:t>企业且承接本项目全部工程的，提供《中小企业声明函》。</w:t>
      </w:r>
      <w:r>
        <w:rPr>
          <w:rFonts w:hint="eastAsia" w:ascii="宋体" w:hAnsi="宋体" w:cs="宋体"/>
          <w:color w:val="auto"/>
          <w:sz w:val="21"/>
          <w:szCs w:val="21"/>
          <w:highlight w:val="none"/>
        </w:rPr>
        <w:t>②</w:t>
      </w:r>
      <w:r>
        <w:rPr>
          <w:rFonts w:ascii="宋体" w:hAnsi="宋体" w:cs="宋体"/>
          <w:color w:val="auto"/>
          <w:sz w:val="21"/>
          <w:szCs w:val="21"/>
          <w:highlight w:val="none"/>
        </w:rPr>
        <w:t>供应商如属于监狱企业且承接本项目全部工程的，提供由省级以上监狱管理局、戒毒管理局</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含新疆生产建设兵团</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出具的属于监狱企业的证明文件。</w:t>
      </w:r>
      <w:r>
        <w:rPr>
          <w:rFonts w:hint="eastAsia" w:ascii="宋体" w:hAnsi="宋体" w:cs="宋体"/>
          <w:color w:val="auto"/>
          <w:sz w:val="21"/>
          <w:szCs w:val="21"/>
          <w:highlight w:val="none"/>
        </w:rPr>
        <w:t>③</w:t>
      </w:r>
      <w:r>
        <w:rPr>
          <w:rFonts w:ascii="宋体" w:hAnsi="宋体" w:cs="宋体"/>
          <w:color w:val="auto"/>
          <w:sz w:val="21"/>
          <w:szCs w:val="21"/>
          <w:highlight w:val="none"/>
        </w:rPr>
        <w:t>供应商如属于符合条件的残疾人福利性单位且承接本项目全部工程的，提供《残疾人福利性单位声明函》（并对声明的真实性负责）</w:t>
      </w:r>
      <w:r>
        <w:rPr>
          <w:rFonts w:hint="eastAsia" w:ascii="宋体" w:hAnsi="宋体" w:cs="宋体"/>
          <w:bCs/>
          <w:color w:val="auto"/>
          <w:sz w:val="21"/>
          <w:szCs w:val="21"/>
          <w:highlight w:val="none"/>
          <w:lang w:eastAsia="zh-CN"/>
        </w:rPr>
        <w:t>。</w:t>
      </w:r>
    </w:p>
    <w:p w14:paraId="1748458E">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12</w:t>
      </w:r>
      <w:r>
        <w:rPr>
          <w:rFonts w:hint="eastAsia" w:ascii="宋体" w:hAnsi="宋体" w:cs="宋体"/>
          <w:bCs/>
          <w:color w:val="auto"/>
          <w:sz w:val="21"/>
          <w:szCs w:val="21"/>
          <w:highlight w:val="none"/>
        </w:rPr>
        <w:t>）供应商参加政府采购活动前3年内在经营活动中没有重大违法记录及有关信用信息的书面声明或专项信用报告</w:t>
      </w:r>
      <w:r>
        <w:rPr>
          <w:rFonts w:hint="eastAsia" w:ascii="宋体" w:hAnsi="宋体" w:cs="宋体"/>
          <w:b/>
          <w:color w:val="auto"/>
          <w:sz w:val="21"/>
          <w:szCs w:val="21"/>
          <w:highlight w:val="none"/>
        </w:rPr>
        <w:t>（</w:t>
      </w:r>
      <w:bookmarkStart w:id="58" w:name="OLE_LINK29"/>
      <w:bookmarkStart w:id="59" w:name="OLE_LINK28"/>
      <w:r>
        <w:rPr>
          <w:rFonts w:hint="eastAsia" w:ascii="宋体" w:hAnsi="宋体" w:cs="宋体"/>
          <w:b/>
          <w:color w:val="auto"/>
          <w:sz w:val="21"/>
          <w:szCs w:val="21"/>
          <w:highlight w:val="none"/>
        </w:rPr>
        <w:t>必须提供）。</w:t>
      </w:r>
    </w:p>
    <w:p w14:paraId="4AA11B32">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注：供应商为广西经营主体的，可通过信用中国</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广西</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 xml:space="preserve">网站 </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http://xygx.fgw.gxzf.gov.cn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根据注册地信用中国网站的要求获取。</w:t>
      </w:r>
    </w:p>
    <w:bookmarkEnd w:id="58"/>
    <w:bookmarkEnd w:id="59"/>
    <w:p w14:paraId="219D395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11.1.2商务证明文件</w:t>
      </w:r>
    </w:p>
    <w:p w14:paraId="27AE635A">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（1）供应商必须按要求提供“</w:t>
      </w:r>
      <w:r>
        <w:rPr>
          <w:rFonts w:hint="eastAsia" w:ascii="宋体" w:hAnsi="宋体" w:cs="宋体"/>
          <w:bCs/>
          <w:color w:val="auto"/>
          <w:sz w:val="21"/>
          <w:szCs w:val="21"/>
          <w:highlight w:val="none"/>
          <w:lang w:eastAsia="zh-CN"/>
        </w:rPr>
        <w:t>技术及商务要求响应表</w:t>
      </w:r>
      <w:r>
        <w:rPr>
          <w:rFonts w:hint="eastAsia" w:ascii="宋体" w:hAnsi="宋体" w:cs="宋体"/>
          <w:bCs/>
          <w:color w:val="auto"/>
          <w:sz w:val="21"/>
          <w:szCs w:val="21"/>
          <w:highlight w:val="none"/>
        </w:rPr>
        <w:t>”（</w:t>
      </w:r>
      <w:bookmarkStart w:id="60" w:name="OLE_LINK30"/>
      <w:r>
        <w:rPr>
          <w:rFonts w:hint="eastAsia" w:ascii="宋体" w:hAnsi="宋体" w:cs="宋体"/>
          <w:b/>
          <w:color w:val="auto"/>
          <w:sz w:val="21"/>
          <w:szCs w:val="21"/>
          <w:highlight w:val="none"/>
        </w:rPr>
        <w:t>必须提供</w:t>
      </w:r>
      <w:bookmarkEnd w:id="60"/>
      <w:r>
        <w:rPr>
          <w:rFonts w:hint="eastAsia" w:ascii="宋体" w:hAnsi="宋体" w:cs="宋体"/>
          <w:bCs/>
          <w:color w:val="auto"/>
          <w:sz w:val="21"/>
          <w:szCs w:val="21"/>
          <w:highlight w:val="none"/>
        </w:rPr>
        <w:t>）</w:t>
      </w:r>
      <w:r>
        <w:rPr>
          <w:rFonts w:hint="eastAsia" w:ascii="宋体" w:hAnsi="宋体" w:cs="宋体"/>
          <w:b/>
          <w:color w:val="auto"/>
          <w:sz w:val="21"/>
          <w:szCs w:val="21"/>
          <w:highlight w:val="none"/>
        </w:rPr>
        <w:t>；</w:t>
      </w:r>
    </w:p>
    <w:p w14:paraId="682640DF">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（2）供应商必须按格式填写“</w:t>
      </w:r>
      <w:bookmarkStart w:id="61" w:name="OLE_LINK32"/>
      <w:bookmarkStart w:id="62" w:name="OLE_LINK31"/>
      <w:r>
        <w:rPr>
          <w:rFonts w:hint="eastAsia" w:ascii="宋体" w:hAnsi="宋体" w:cs="宋体"/>
          <w:bCs/>
          <w:color w:val="auto"/>
          <w:sz w:val="21"/>
          <w:szCs w:val="21"/>
          <w:highlight w:val="none"/>
        </w:rPr>
        <w:t>工程报价汇总表</w:t>
      </w:r>
      <w:bookmarkEnd w:id="61"/>
      <w:bookmarkEnd w:id="62"/>
      <w:r>
        <w:rPr>
          <w:rFonts w:hint="eastAsia" w:ascii="宋体" w:hAnsi="宋体" w:cs="宋体"/>
          <w:bCs/>
          <w:color w:val="auto"/>
          <w:sz w:val="21"/>
          <w:szCs w:val="21"/>
          <w:highlight w:val="none"/>
        </w:rPr>
        <w:t>”</w:t>
      </w:r>
      <w:r>
        <w:rPr>
          <w:rFonts w:hint="eastAsia" w:ascii="宋体" w:hAnsi="宋体" w:cs="宋体"/>
          <w:b/>
          <w:color w:val="auto"/>
          <w:sz w:val="21"/>
          <w:szCs w:val="21"/>
          <w:highlight w:val="none"/>
        </w:rPr>
        <w:t>（必须提供）</w:t>
      </w:r>
      <w:r>
        <w:rPr>
          <w:rFonts w:hint="eastAsia" w:ascii="宋体" w:hAnsi="宋体" w:cs="宋体"/>
          <w:bCs/>
          <w:color w:val="auto"/>
          <w:sz w:val="21"/>
          <w:szCs w:val="21"/>
          <w:highlight w:val="none"/>
        </w:rPr>
        <w:t>；</w:t>
      </w:r>
    </w:p>
    <w:p w14:paraId="1E93884D">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（3）供应商必须按要求提供“工程量清单报价表”</w:t>
      </w:r>
      <w:r>
        <w:rPr>
          <w:rFonts w:hint="eastAsia" w:ascii="宋体" w:hAnsi="宋体" w:cs="宋体"/>
          <w:b/>
          <w:color w:val="auto"/>
          <w:sz w:val="21"/>
          <w:szCs w:val="21"/>
          <w:highlight w:val="none"/>
        </w:rPr>
        <w:t>（</w:t>
      </w:r>
      <w:bookmarkStart w:id="63" w:name="OLE_LINK33"/>
      <w:bookmarkStart w:id="64" w:name="OLE_LINK34"/>
      <w:r>
        <w:rPr>
          <w:rFonts w:hint="eastAsia" w:ascii="宋体" w:hAnsi="宋体" w:cs="宋体"/>
          <w:b/>
          <w:color w:val="auto"/>
          <w:sz w:val="21"/>
          <w:szCs w:val="21"/>
          <w:highlight w:val="none"/>
        </w:rPr>
        <w:t>必须提供</w:t>
      </w:r>
      <w:bookmarkEnd w:id="63"/>
      <w:bookmarkEnd w:id="64"/>
      <w:r>
        <w:rPr>
          <w:rFonts w:hint="eastAsia" w:ascii="宋体" w:hAnsi="宋体" w:cs="宋体"/>
          <w:b/>
          <w:color w:val="auto"/>
          <w:sz w:val="21"/>
          <w:szCs w:val="21"/>
          <w:highlight w:val="none"/>
        </w:rPr>
        <w:t>）；</w:t>
      </w:r>
    </w:p>
    <w:p w14:paraId="1CE0AAEC">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（4）供应商202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年1月1日以来承建或经竣工验收的类似工程</w:t>
      </w:r>
      <w:r>
        <w:rPr>
          <w:rFonts w:hint="eastAsia" w:ascii="宋体" w:hAnsi="宋体" w:cs="宋体"/>
          <w:bCs/>
          <w:color w:val="auto"/>
          <w:sz w:val="21"/>
          <w:szCs w:val="21"/>
          <w:highlight w:val="none"/>
          <w:lang w:eastAsia="zh-CN"/>
        </w:rPr>
        <w:t>业绩</w:t>
      </w:r>
      <w:r>
        <w:rPr>
          <w:rFonts w:hint="eastAsia" w:ascii="宋体" w:hAnsi="宋体" w:cs="宋体"/>
          <w:bCs/>
          <w:color w:val="auto"/>
          <w:sz w:val="21"/>
          <w:szCs w:val="21"/>
          <w:highlight w:val="none"/>
        </w:rPr>
        <w:t>的相关证明材料</w:t>
      </w:r>
      <w:r>
        <w:rPr>
          <w:rFonts w:hint="eastAsia" w:ascii="宋体" w:hAnsi="宋体" w:cs="宋体"/>
          <w:b/>
          <w:color w:val="auto"/>
          <w:sz w:val="21"/>
          <w:szCs w:val="21"/>
          <w:highlight w:val="none"/>
        </w:rPr>
        <w:t>（如有，请提供）；</w:t>
      </w:r>
    </w:p>
    <w:p w14:paraId="7209D501">
      <w:pPr>
        <w:spacing w:line="40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（5）</w:t>
      </w:r>
      <w:r>
        <w:rPr>
          <w:rFonts w:hint="eastAsia" w:ascii="宋体" w:hAnsi="宋体" w:cs="宋体"/>
          <w:color w:val="auto"/>
          <w:sz w:val="21"/>
          <w:szCs w:val="21"/>
          <w:highlight w:val="none"/>
        </w:rPr>
        <w:t>供应商相关获奖证书、认证证书等</w:t>
      </w:r>
      <w:r>
        <w:rPr>
          <w:rFonts w:hint="eastAsia" w:ascii="宋体" w:hAnsi="宋体" w:cs="宋体"/>
          <w:b/>
          <w:color w:val="auto"/>
          <w:sz w:val="21"/>
          <w:szCs w:val="21"/>
          <w:highlight w:val="none"/>
        </w:rPr>
        <w:t>（如有，请提供）；</w:t>
      </w:r>
    </w:p>
    <w:p w14:paraId="7E3D8D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（6）供应商可结合本项目的评审办法视自身情况自行提交相关证明材料</w:t>
      </w:r>
      <w:r>
        <w:rPr>
          <w:rFonts w:hint="eastAsia" w:ascii="宋体" w:hAnsi="宋体" w:cs="宋体"/>
          <w:b/>
          <w:color w:val="auto"/>
          <w:sz w:val="21"/>
          <w:szCs w:val="21"/>
          <w:highlight w:val="none"/>
        </w:rPr>
        <w:t>（如有，请提供）。</w:t>
      </w:r>
    </w:p>
    <w:p w14:paraId="1A5E2DCD">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11.1.3技术证明文件</w:t>
      </w:r>
      <w:r>
        <w:rPr>
          <w:rFonts w:hint="eastAsia" w:ascii="宋体" w:hAnsi="宋体" w:cs="宋体"/>
          <w:color w:val="auto"/>
          <w:sz w:val="21"/>
          <w:szCs w:val="21"/>
          <w:highlight w:val="none"/>
          <w:lang w:eastAsia="zh-CN"/>
        </w:rPr>
        <w:t>：</w:t>
      </w:r>
    </w:p>
    <w:p w14:paraId="2A0FD057">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（1）施工组织设计</w:t>
      </w:r>
      <w:r>
        <w:rPr>
          <w:rFonts w:hint="eastAsia" w:ascii="宋体" w:hAnsi="宋体" w:cs="宋体"/>
          <w:b/>
          <w:color w:val="auto"/>
          <w:sz w:val="21"/>
          <w:szCs w:val="21"/>
          <w:highlight w:val="none"/>
        </w:rPr>
        <w:t>（如有，请提供）</w:t>
      </w:r>
    </w:p>
    <w:p w14:paraId="3BB85C4B">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 xml:space="preserve"> </w:t>
      </w:r>
      <w:r>
        <w:rPr>
          <w:rFonts w:hint="eastAsia" w:ascii="宋体" w:hAnsi="宋体" w:cs="宋体"/>
          <w:color w:val="auto"/>
          <w:sz w:val="21"/>
          <w:szCs w:val="21"/>
          <w:highlight w:val="none"/>
        </w:rPr>
        <w:t>包括但不限于： ①主要施工方法；②关键施工技术、工艺及工程实施的重点、难点和解决方案；③确保安全生产的技术组织措施；④确保工程质量的技术组织措施；⑤确保工期的技术组织措施；⑥确保文明施工的技术组织措施；⑦拟投入的主要物资计划；⑧施工平面布置和临时设施布置；⑨劳动力安排计划；⑩项目风险预测与防范，事故应急预案。</w:t>
      </w:r>
    </w:p>
    <w:p w14:paraId="2AB9760D">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（2）供应商可结合本项目的评审办法视自身情况自行提交相关证明材料</w:t>
      </w:r>
      <w:r>
        <w:rPr>
          <w:rFonts w:hint="eastAsia" w:ascii="宋体" w:hAnsi="宋体" w:cs="宋体"/>
          <w:b/>
          <w:color w:val="auto"/>
          <w:sz w:val="21"/>
          <w:szCs w:val="21"/>
          <w:highlight w:val="none"/>
        </w:rPr>
        <w:t>（如有，请提供）。</w:t>
      </w:r>
    </w:p>
    <w:p w14:paraId="27F28B2B">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供应商提供第11.1条规定的相关证明材料必须真实有效，属于“必须提供”的材料应加盖供应商电子签章，否则，响应文件按无效处理； “第六章 响应文件（格式）”中有要求法定代表人或相应的授权委托代理人在规定位置签字（或电子签名）的，必须按要求签字（或电子签名），否则，响应文件按无效处理。</w:t>
      </w:r>
    </w:p>
    <w:p w14:paraId="1ED1BE2D">
      <w:pPr>
        <w:spacing w:line="38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11.2供应商应按竞争性磋商文件第</w:t>
      </w:r>
      <w:r>
        <w:rPr>
          <w:rFonts w:hint="eastAsia" w:ascii="宋体" w:hAnsi="宋体" w:cs="宋体"/>
          <w:color w:val="auto"/>
          <w:kern w:val="0"/>
          <w:sz w:val="21"/>
          <w:szCs w:val="20"/>
          <w:highlight w:val="none"/>
          <w:lang w:eastAsia="zh-CN"/>
        </w:rPr>
        <w:t>六</w:t>
      </w:r>
      <w:r>
        <w:rPr>
          <w:rFonts w:hint="eastAsia" w:ascii="宋体" w:hAnsi="宋体" w:cs="宋体"/>
          <w:color w:val="auto"/>
          <w:kern w:val="0"/>
          <w:sz w:val="21"/>
          <w:szCs w:val="20"/>
          <w:highlight w:val="none"/>
        </w:rPr>
        <w:t>章“响应文件（格式）”编制响应文件。</w:t>
      </w:r>
    </w:p>
    <w:p w14:paraId="6F7977BF">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21F3CB75">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20D0FEBA">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0CC8FA65">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13.磋商报价及采购预算金额</w:t>
      </w:r>
    </w:p>
    <w:p w14:paraId="153A997C">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13.1磋商报价应按磋商文件中相关附件格式填写。</w:t>
      </w:r>
    </w:p>
    <w:p w14:paraId="041EE4A5">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13.2工程量清单报价表中所报的单价和合价，以及磋商汇总表中的价格应包括施工设备、主要材料、辅助材料、铺装、垃圾清运、劳务、管理、维护、保险、利润、增值税、政策性文件规定及合同包含的所有风险、责任等各项应有费用。</w:t>
      </w:r>
    </w:p>
    <w:p w14:paraId="586C6C7E">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磋商货币：响应文件报价中的单价和合价全部采用人民币表示。</w:t>
      </w:r>
    </w:p>
    <w:p w14:paraId="528AF045">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
          <w:bCs w:val="0"/>
          <w:color w:val="auto"/>
          <w:sz w:val="21"/>
          <w:szCs w:val="21"/>
          <w:highlight w:val="none"/>
        </w:rPr>
        <w:t>13.</w:t>
      </w:r>
      <w:r>
        <w:rPr>
          <w:rFonts w:hint="eastAsia" w:ascii="宋体" w:hAnsi="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本项目预算金额（即</w:t>
      </w:r>
      <w:r>
        <w:rPr>
          <w:rFonts w:hint="eastAsia" w:ascii="宋体" w:hAnsi="宋体" w:eastAsia="宋体" w:cs="宋体"/>
          <w:b/>
          <w:bCs w:val="0"/>
          <w:color w:val="auto"/>
          <w:sz w:val="21"/>
          <w:szCs w:val="21"/>
          <w:highlight w:val="none"/>
        </w:rPr>
        <w:t>工程总造价</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及</w:t>
      </w:r>
      <w:r>
        <w:rPr>
          <w:rFonts w:hint="eastAsia" w:ascii="宋体" w:hAnsi="宋体" w:eastAsia="宋体" w:cs="宋体"/>
          <w:b/>
          <w:bCs w:val="0"/>
          <w:color w:val="auto"/>
          <w:sz w:val="21"/>
          <w:szCs w:val="21"/>
          <w:highlight w:val="none"/>
          <w:lang w:eastAsia="zh-CN"/>
        </w:rPr>
        <w:t>最高限价</w:t>
      </w:r>
      <w:r>
        <w:rPr>
          <w:rFonts w:hint="eastAsia" w:ascii="宋体" w:hAnsi="宋体" w:cs="宋体"/>
          <w:b/>
          <w:bCs w:val="0"/>
          <w:color w:val="auto"/>
          <w:sz w:val="21"/>
          <w:szCs w:val="21"/>
          <w:highlight w:val="none"/>
          <w:lang w:eastAsia="zh-CN"/>
        </w:rPr>
        <w:t>均</w:t>
      </w:r>
      <w:r>
        <w:rPr>
          <w:rFonts w:hint="eastAsia" w:ascii="宋体" w:hAnsi="宋体" w:eastAsia="宋体" w:cs="宋体"/>
          <w:b/>
          <w:bCs w:val="0"/>
          <w:color w:val="auto"/>
          <w:sz w:val="21"/>
          <w:szCs w:val="21"/>
          <w:highlight w:val="none"/>
          <w:lang w:eastAsia="zh-CN"/>
        </w:rPr>
        <w:t>为壹佰零壹万元整（¥</w:t>
      </w:r>
      <w:r>
        <w:rPr>
          <w:rFonts w:hint="eastAsia" w:ascii="宋体" w:hAnsi="宋体" w:eastAsia="宋体" w:cs="宋体"/>
          <w:b/>
          <w:bCs w:val="0"/>
          <w:color w:val="auto"/>
          <w:sz w:val="21"/>
          <w:szCs w:val="21"/>
          <w:highlight w:val="none"/>
        </w:rPr>
        <w:t>101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供应商的磋商报价不得高于本项目</w:t>
      </w:r>
      <w:r>
        <w:rPr>
          <w:rFonts w:hint="eastAsia" w:ascii="宋体" w:hAnsi="宋体" w:eastAsia="宋体" w:cs="宋体"/>
          <w:b/>
          <w:bCs w:val="0"/>
          <w:color w:val="auto"/>
          <w:sz w:val="21"/>
          <w:szCs w:val="21"/>
          <w:highlight w:val="none"/>
          <w:lang w:eastAsia="zh-CN"/>
        </w:rPr>
        <w:t>本项目预算金额（即</w:t>
      </w:r>
      <w:r>
        <w:rPr>
          <w:rFonts w:hint="eastAsia" w:ascii="宋体" w:hAnsi="宋体" w:eastAsia="宋体" w:cs="宋体"/>
          <w:b/>
          <w:bCs w:val="0"/>
          <w:color w:val="auto"/>
          <w:sz w:val="21"/>
          <w:szCs w:val="21"/>
          <w:highlight w:val="none"/>
        </w:rPr>
        <w:t>工程总造价</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及</w:t>
      </w:r>
      <w:r>
        <w:rPr>
          <w:rFonts w:hint="eastAsia" w:ascii="宋体" w:hAnsi="宋体" w:eastAsia="宋体" w:cs="宋体"/>
          <w:b/>
          <w:bCs w:val="0"/>
          <w:color w:val="auto"/>
          <w:sz w:val="21"/>
          <w:szCs w:val="21"/>
          <w:highlight w:val="none"/>
          <w:lang w:eastAsia="zh-CN"/>
        </w:rPr>
        <w:t>最高限价</w:t>
      </w:r>
      <w:r>
        <w:rPr>
          <w:rFonts w:hint="eastAsia" w:ascii="宋体" w:hAnsi="宋体" w:eastAsia="宋体" w:cs="宋体"/>
          <w:b/>
          <w:bCs w:val="0"/>
          <w:color w:val="auto"/>
          <w:sz w:val="21"/>
          <w:szCs w:val="21"/>
          <w:highlight w:val="none"/>
        </w:rPr>
        <w:t>金额，否则响应文件按无效处理。</w:t>
      </w:r>
    </w:p>
    <w:p w14:paraId="37306062">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55EE56DB">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338705CC">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5DF62EB6">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486AE085">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15.2供应商下载或获取竞争性磋商文件后，登录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，按照本磋商文件规定的响应文件格式、顺序以及</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的要求，通过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编制电子响应文件。</w:t>
      </w:r>
    </w:p>
    <w:p w14:paraId="47343771">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广西政府采购云平台</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393FBDD2">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授权委托代理人签字（或电子签名）。因响应文件字迹潦草、表达不清、内容不完整、编排混乱导致响应文件被误读、漏读，或者在按竞争性磋商文件规定的部位查找不到相关内容的，其不利后果由供应商自行承担</w:t>
      </w:r>
      <w:r>
        <w:rPr>
          <w:rFonts w:hint="eastAsia" w:ascii="宋体" w:hAnsi="宋体" w:cs="宋体"/>
          <w:color w:val="auto"/>
          <w:sz w:val="21"/>
          <w:szCs w:val="24"/>
          <w:highlight w:val="none"/>
        </w:rPr>
        <w:t>。</w:t>
      </w:r>
    </w:p>
    <w:p w14:paraId="5D61FDF9">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将予以拒收。</w:t>
      </w:r>
    </w:p>
    <w:p w14:paraId="13592DC0">
      <w:pPr>
        <w:snapToGrid w:val="0"/>
        <w:spacing w:line="38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5F3CCEA1">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15.6.1本竞争性磋商文件中描述供应商的“公章”是指根据我国对公章的管理规定，用供应商法定主体行为名称制作的印章，除本竞争性磋商文件有特殊规定外，供应商的其他形式印章均不能代替公章。</w:t>
      </w:r>
    </w:p>
    <w:p w14:paraId="3ACFD2F3">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15.6.2本竞争性磋商文件中描述供应商的“签字”是指供应商的法定代表人或者委托代理人亲自在文件规定签字处亲笔写上个人的名字的行为，私章、签字章、印鉴、影印等其他形式均不能代替亲笔签字。</w:t>
      </w:r>
    </w:p>
    <w:p w14:paraId="51DC93A9">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15.6.3本竞争性磋商文件所称的“电子签章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认可的CA认证的电子签名数据为表现形式的印章，可用于签署电子响应文件，电子签章与实物印章、电子签名与手写签名具有同等法律效力，不因其采用电子化表现形式而否定其法律效力。</w:t>
      </w:r>
    </w:p>
    <w:p w14:paraId="16199D01">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6FA8E456">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u w:val="single"/>
        </w:rPr>
        <w:t>2026年5月6日上午9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3D4CA13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在线提交。</w:t>
      </w:r>
    </w:p>
    <w:p w14:paraId="3FD0A8A5">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42E2A599">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16.4除竞争性磋商文件另有规定外，供应商所提交的响应文件不予退还。</w:t>
      </w:r>
    </w:p>
    <w:p w14:paraId="0BF7A864">
      <w:pPr>
        <w:tabs>
          <w:tab w:val="left" w:pos="1305"/>
        </w:tabs>
        <w:spacing w:line="38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3703B495">
      <w:pPr>
        <w:tabs>
          <w:tab w:val="left" w:pos="1305"/>
        </w:tabs>
        <w:spacing w:line="380" w:lineRule="exact"/>
        <w:ind w:firstLine="420"/>
        <w:rPr>
          <w:rFonts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w:t>
      </w:r>
      <w:r>
        <w:rPr>
          <w:rFonts w:hint="eastAsia" w:ascii="宋体" w:hAnsi="宋体" w:cs="宋体"/>
          <w:color w:val="auto"/>
          <w:kern w:val="0"/>
          <w:sz w:val="21"/>
          <w:szCs w:val="21"/>
          <w:highlight w:val="none"/>
          <w:lang w:eastAsia="zh-CN"/>
        </w:rPr>
        <w:t>－</w:t>
      </w:r>
      <w:r>
        <w:rPr>
          <w:rFonts w:ascii="宋体" w:hAnsi="宋体" w:cs="宋体"/>
          <w:color w:val="auto"/>
          <w:kern w:val="0"/>
          <w:sz w:val="21"/>
          <w:szCs w:val="21"/>
          <w:highlight w:val="none"/>
        </w:rPr>
        <w:t>开标评标”功能对响应文件进行解密。若供应商在上述规定的时间内无法解密或解密失败的，可以在响应文件解密截止时间后30分钟内向采购代理机构现场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采购代理机构收到电子备份响应文件后按“政府采购云平台”操作规范上传至</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hint="eastAsia" w:ascii="宋体" w:hAnsi="宋体" w:cs="宋体"/>
          <w:color w:val="auto"/>
          <w:kern w:val="0"/>
          <w:sz w:val="21"/>
          <w:szCs w:val="21"/>
          <w:highlight w:val="none"/>
        </w:rPr>
        <w:t>磋商。</w:t>
      </w:r>
    </w:p>
    <w:p w14:paraId="24339112">
      <w:pPr>
        <w:tabs>
          <w:tab w:val="left" w:pos="1305"/>
        </w:tabs>
        <w:spacing w:line="380" w:lineRule="exact"/>
        <w:ind w:firstLine="420"/>
        <w:rPr>
          <w:rFonts w:ascii="宋体" w:hAnsi="宋体" w:cs="宋体"/>
          <w:color w:val="auto"/>
          <w:kern w:val="0"/>
          <w:sz w:val="21"/>
          <w:szCs w:val="21"/>
          <w:highlight w:val="none"/>
        </w:rPr>
      </w:pPr>
    </w:p>
    <w:p w14:paraId="69512A51">
      <w:pPr>
        <w:tabs>
          <w:tab w:val="left" w:pos="1305"/>
        </w:tabs>
        <w:spacing w:line="38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69D149E7">
      <w:pPr>
        <w:tabs>
          <w:tab w:val="center" w:pos="4411"/>
          <w:tab w:val="left" w:pos="5475"/>
        </w:tabs>
        <w:spacing w:line="38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1D0D1303">
      <w:pPr>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 磋商小组组成：</w:t>
      </w:r>
    </w:p>
    <w:p w14:paraId="199F29BE">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磋商及评审组织工作由采购代理机构负责，具体磋商、评审工作由依法组建的磋商小组负责，磋商小组由采购人代表和</w:t>
      </w:r>
      <w:r>
        <w:rPr>
          <w:rFonts w:hint="eastAsia" w:ascii="宋体" w:hAnsi="宋体" w:cs="宋体"/>
          <w:color w:val="auto"/>
          <w:kern w:val="0"/>
          <w:sz w:val="21"/>
          <w:szCs w:val="21"/>
          <w:highlight w:val="none"/>
          <w:lang w:eastAsia="zh-CN"/>
        </w:rPr>
        <w:t>评审专家</w:t>
      </w:r>
      <w:r>
        <w:rPr>
          <w:rFonts w:hint="eastAsia" w:ascii="宋体" w:hAnsi="宋体" w:cs="宋体"/>
          <w:color w:val="auto"/>
          <w:kern w:val="0"/>
          <w:sz w:val="21"/>
          <w:szCs w:val="21"/>
          <w:highlight w:val="none"/>
        </w:rPr>
        <w:t>3人组成，其中评审专家人数不得少于磋商小组成员总数的2/3。</w:t>
      </w:r>
    </w:p>
    <w:p w14:paraId="0A1114BA">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 磋商时间、地点、人员：</w:t>
      </w:r>
    </w:p>
    <w:p w14:paraId="4C54C79C">
      <w:pPr>
        <w:spacing w:line="38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 磋商时间：首次响应文件提交截止时间后。</w:t>
      </w:r>
    </w:p>
    <w:p w14:paraId="6B7A93AC">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 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58800BD1">
      <w:pPr>
        <w:tabs>
          <w:tab w:val="left" w:pos="1140"/>
        </w:tabs>
        <w:spacing w:line="380" w:lineRule="exact"/>
        <w:ind w:firstLine="407" w:firstLineChars="194"/>
        <w:rPr>
          <w:rFonts w:ascii="宋体" w:hAnsi="宋体" w:cs="宋体"/>
          <w:color w:val="auto"/>
          <w:sz w:val="21"/>
          <w:szCs w:val="21"/>
          <w:highlight w:val="none"/>
        </w:rPr>
      </w:pPr>
      <w:r>
        <w:rPr>
          <w:rFonts w:hint="eastAsia" w:ascii="宋体" w:hAnsi="宋体" w:cs="宋体"/>
          <w:color w:val="auto"/>
          <w:kern w:val="0"/>
          <w:sz w:val="21"/>
          <w:szCs w:val="21"/>
          <w:highlight w:val="none"/>
        </w:rPr>
        <w:t>18.2.3 磋商参加人员：</w:t>
      </w:r>
      <w:r>
        <w:rPr>
          <w:rFonts w:hint="eastAsia" w:ascii="宋体" w:hAnsi="宋体" w:cs="宋体"/>
          <w:color w:val="auto"/>
          <w:sz w:val="21"/>
          <w:szCs w:val="21"/>
          <w:highlight w:val="none"/>
        </w:rPr>
        <w:t>供应商法定代表人或相应的委托代理人参加磋商。请供应商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43524524">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 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4633455A">
      <w:pPr>
        <w:tabs>
          <w:tab w:val="left" w:pos="1140"/>
        </w:tabs>
        <w:spacing w:line="38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37F86E47">
      <w:pPr>
        <w:tabs>
          <w:tab w:val="left" w:pos="1140"/>
        </w:tabs>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0"/>
          <w:highlight w:val="none"/>
        </w:rPr>
        <w:t xml:space="preserve">19.1 </w:t>
      </w:r>
      <w:r>
        <w:rPr>
          <w:rFonts w:hint="eastAsia" w:ascii="宋体" w:hAnsi="宋体" w:cs="宋体"/>
          <w:color w:val="auto"/>
          <w:kern w:val="0"/>
          <w:sz w:val="21"/>
          <w:szCs w:val="21"/>
          <w:highlight w:val="none"/>
        </w:rPr>
        <w:t>磋商小组必须坚持公平、公正、科学和择优的原则。</w:t>
      </w:r>
    </w:p>
    <w:p w14:paraId="50AB78CD">
      <w:pPr>
        <w:spacing w:line="38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章 评审办法”。</w:t>
      </w:r>
    </w:p>
    <w:p w14:paraId="5D463699">
      <w:pPr>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 磋商小组应按磋商文件进行评审，不得擅自更改评审办法。</w:t>
      </w:r>
    </w:p>
    <w:p w14:paraId="69A97B86">
      <w:pPr>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 在评审过程中，磋商小组任何人不得对某个供应商发表任何倾向性意见，不得向其他磋商小组成员明示或者暗示自己的评审意见。</w:t>
      </w:r>
    </w:p>
    <w:p w14:paraId="25F4ABC2">
      <w:pPr>
        <w:tabs>
          <w:tab w:val="left" w:pos="1140"/>
        </w:tabs>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366DF06B">
      <w:pPr>
        <w:tabs>
          <w:tab w:val="left" w:pos="1140"/>
        </w:tabs>
        <w:spacing w:line="38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32AD0287">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3246BDB9">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 磋商小组应当审查供应商的响应文件并作出评价；要求供应商解释或者澄清其响应文件；编写评审报告；告知采购人、采购代理机构在评审过程中发现的供应商的违法违规行为。</w:t>
      </w:r>
    </w:p>
    <w:p w14:paraId="5EE94363">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 磋商小组依据法律法规和竞争性磋商文件的规定，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77655E75">
      <w:pPr>
        <w:spacing w:line="380" w:lineRule="exact"/>
        <w:ind w:firstLine="420"/>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20.4</w:t>
      </w:r>
      <w:r>
        <w:rPr>
          <w:rFonts w:hint="eastAsia" w:ascii="宋体" w:hAnsi="宋体" w:cs="宋体"/>
          <w:b/>
          <w:bCs/>
          <w:color w:val="auto"/>
          <w:kern w:val="0"/>
          <w:sz w:val="21"/>
          <w:szCs w:val="21"/>
          <w:highlight w:val="none"/>
          <w:lang w:eastAsia="zh-CN"/>
        </w:rPr>
        <w:t>信用查询及股东查询</w:t>
      </w:r>
    </w:p>
    <w:p w14:paraId="7C82C050">
      <w:pPr>
        <w:spacing w:line="380" w:lineRule="exact"/>
        <w:ind w:firstLine="420"/>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20.4</w:t>
      </w: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lang w:eastAsia="zh-CN"/>
        </w:rPr>
        <w:t>信用查询</w:t>
      </w:r>
    </w:p>
    <w:p w14:paraId="501F5731">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磋商小组在资格审查结束前，对</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进行信用查询。</w:t>
      </w:r>
    </w:p>
    <w:p w14:paraId="5D60E357">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查询渠道：“信用中国”网站（www.creditchina.gov.cn） 、中国政府采购网（www.ccgp.gov.cn）。</w:t>
      </w:r>
    </w:p>
    <w:p w14:paraId="68FE7A10">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信用查询截止时点：资格审查结束前</w:t>
      </w:r>
    </w:p>
    <w:p w14:paraId="059DA284">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查询记录和证据留存方式：作为评审资料打印留存</w:t>
      </w:r>
    </w:p>
    <w:p w14:paraId="5C34D15B">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w:t>
      </w:r>
      <w:r>
        <w:rPr>
          <w:rFonts w:hint="eastAsia" w:ascii="宋体" w:hAnsi="宋体" w:cs="宋体"/>
          <w:color w:val="auto"/>
          <w:kern w:val="0"/>
          <w:sz w:val="21"/>
          <w:szCs w:val="21"/>
          <w:highlight w:val="none"/>
          <w:lang w:eastAsia="zh-CN"/>
        </w:rPr>
        <w:t>磋商小组</w:t>
      </w:r>
      <w:r>
        <w:rPr>
          <w:rFonts w:hint="eastAsia" w:ascii="宋体" w:hAnsi="宋体" w:cs="宋体"/>
          <w:color w:val="auto"/>
          <w:kern w:val="0"/>
          <w:sz w:val="21"/>
          <w:szCs w:val="21"/>
          <w:highlight w:val="none"/>
        </w:rPr>
        <w:t>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29A99A20">
      <w:pPr>
        <w:spacing w:line="380" w:lineRule="exact"/>
        <w:ind w:firstLine="422"/>
        <w:rPr>
          <w:rFonts w:hint="eastAsia"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20.4.2</w:t>
      </w:r>
      <w:r>
        <w:rPr>
          <w:rFonts w:hint="eastAsia" w:ascii="宋体" w:hAnsi="宋体" w:cs="宋体"/>
          <w:b/>
          <w:color w:val="auto"/>
          <w:kern w:val="0"/>
          <w:sz w:val="21"/>
          <w:szCs w:val="21"/>
          <w:highlight w:val="none"/>
        </w:rPr>
        <w:t>供应商企业股东及出资等信息</w:t>
      </w:r>
      <w:r>
        <w:rPr>
          <w:rFonts w:hint="eastAsia" w:ascii="宋体" w:hAnsi="宋体" w:cs="宋体"/>
          <w:b/>
          <w:color w:val="auto"/>
          <w:kern w:val="0"/>
          <w:sz w:val="21"/>
          <w:szCs w:val="21"/>
          <w:highlight w:val="none"/>
          <w:lang w:eastAsia="zh-CN"/>
        </w:rPr>
        <w:t>查询</w:t>
      </w:r>
    </w:p>
    <w:p w14:paraId="35CB1D5C">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磋商小组在资格审查结束前，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4C32179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20.4.</w:t>
      </w:r>
      <w:r>
        <w:rPr>
          <w:rFonts w:hint="eastAsia" w:ascii="宋体" w:hAnsi="宋体" w:cs="宋体"/>
          <w:color w:val="auto"/>
          <w:kern w:val="0"/>
          <w:sz w:val="21"/>
          <w:szCs w:val="21"/>
          <w:highlight w:val="none"/>
          <w:lang w:val="en-US" w:eastAsia="zh-CN"/>
        </w:rPr>
        <w:t>2.1</w:t>
      </w:r>
      <w:r>
        <w:rPr>
          <w:rFonts w:hint="eastAsia" w:ascii="宋体" w:hAnsi="宋体" w:cs="宋体"/>
          <w:color w:val="auto"/>
          <w:kern w:val="0"/>
          <w:sz w:val="21"/>
          <w:szCs w:val="21"/>
          <w:highlight w:val="none"/>
        </w:rPr>
        <w:t>查询渠道：《国家企业信用信息公示系统》（网址：</w:t>
      </w:r>
      <w:r>
        <w:rPr>
          <w:rFonts w:hint="eastAsia" w:ascii="宋体" w:hAnsi="Courier New"/>
          <w:color w:val="auto"/>
          <w:sz w:val="21"/>
          <w:szCs w:val="21"/>
          <w:highlight w:val="none"/>
        </w:rPr>
        <w:t>www.gsxt.gov.cn/index.html</w:t>
      </w:r>
      <w:r>
        <w:rPr>
          <w:rFonts w:hint="eastAsia" w:ascii="宋体" w:hAnsi="宋体" w:cs="宋体"/>
          <w:color w:val="auto"/>
          <w:kern w:val="0"/>
          <w:sz w:val="21"/>
          <w:szCs w:val="21"/>
          <w:highlight w:val="none"/>
        </w:rPr>
        <w:t>）</w:t>
      </w:r>
    </w:p>
    <w:p w14:paraId="38BF7BB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20.4.</w:t>
      </w:r>
      <w:r>
        <w:rPr>
          <w:rFonts w:hint="eastAsia" w:ascii="宋体" w:hAnsi="宋体" w:cs="宋体"/>
          <w:color w:val="auto"/>
          <w:kern w:val="0"/>
          <w:sz w:val="21"/>
          <w:szCs w:val="21"/>
          <w:highlight w:val="none"/>
          <w:lang w:val="en-US" w:eastAsia="zh-CN"/>
        </w:rPr>
        <w:t>2.2</w:t>
      </w:r>
      <w:r>
        <w:rPr>
          <w:rFonts w:hint="eastAsia" w:ascii="宋体" w:hAnsi="宋体" w:cs="宋体"/>
          <w:color w:val="auto"/>
          <w:kern w:val="0"/>
          <w:sz w:val="21"/>
          <w:szCs w:val="21"/>
          <w:highlight w:val="none"/>
        </w:rPr>
        <w:t>审查流程：</w:t>
      </w:r>
    </w:p>
    <w:p w14:paraId="24F99AA9">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16AEF8F3">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5191348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4A9A00DB">
      <w:pPr>
        <w:snapToGrid w:val="0"/>
        <w:spacing w:line="38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111FA029">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05500D21">
      <w:pPr>
        <w:spacing w:line="38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20.5磋商小组在对响应文件的有效性、完整性和响应程度进行审查时，可以要求供应商对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采用在线书面形式，澄清、说明或者补正应当加盖供应商电子签章，或者由法定代表人或其授权委托代理人签字（或者电子签名）。</w:t>
      </w:r>
    </w:p>
    <w:p w14:paraId="6B14625C">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080E462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磋商小组所有成员应当按已确定的磋商顺序集中与单一供应商分别进行磋商，并给予所有实质性响应竞争性磋商文件要求的供应商平等的磋商机会。</w:t>
      </w:r>
    </w:p>
    <w:p w14:paraId="26A715C6">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72FB1635">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258FE1D2">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20.6在磋商过程中，磋商小组可以根据磋商文件和磋商情况实质性变动采购需求中的技术、服务要求以及合同草案条款，但不得变动磋商文件中的其他内容。实质性变动的内容，须经采购人代表确认。</w:t>
      </w:r>
    </w:p>
    <w:p w14:paraId="1BD704CA">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以书面形式同时通知所有参加磋商的供应商。</w:t>
      </w:r>
    </w:p>
    <w:p w14:paraId="22DF8882">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供应商必须按照磋商文件的变动情况和磋商小组的要求重新提交响应文件，并由其法定代表人相应的授权委托代表签字（或电子签名）或者加盖供应商电子签章。逾时不交的，视同放弃磋商。</w:t>
      </w:r>
    </w:p>
    <w:p w14:paraId="7484B5DF">
      <w:pPr>
        <w:widowControl/>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20.7最后报价</w:t>
      </w:r>
    </w:p>
    <w:p w14:paraId="22421344">
      <w:pPr>
        <w:spacing w:line="380" w:lineRule="exact"/>
        <w:ind w:firstLine="420"/>
        <w:rPr>
          <w:rFonts w:hint="eastAsia" w:ascii="宋体" w:hAnsi="宋体" w:cs="宋体"/>
          <w:b/>
          <w:color w:val="auto"/>
          <w:sz w:val="21"/>
          <w:szCs w:val="21"/>
          <w:highlight w:val="none"/>
        </w:rPr>
      </w:pPr>
      <w:r>
        <w:rPr>
          <w:rFonts w:hint="eastAsia" w:ascii="宋体" w:hAnsi="宋体" w:cs="宋体"/>
          <w:color w:val="auto"/>
          <w:kern w:val="0"/>
          <w:sz w:val="21"/>
          <w:szCs w:val="21"/>
          <w:highlight w:val="none"/>
        </w:rPr>
        <w:t>20.7.1磋商文件能够详细列明采购标的的技术、服务要求的，磋商结束后，磋商小组应当要求所有实质响应磋商文件要求的供应商在规定时间内通过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w:t>
      </w:r>
      <w:r>
        <w:rPr>
          <w:rFonts w:hint="eastAsia" w:ascii="宋体" w:hAnsi="宋体" w:cs="宋体"/>
          <w:b/>
          <w:color w:val="auto"/>
          <w:spacing w:val="-4"/>
          <w:sz w:val="21"/>
          <w:szCs w:val="21"/>
          <w:highlight w:val="none"/>
        </w:rPr>
        <w:t>如供应商维持磋商报价不变，以原磋商报价作为供应商最后报价</w:t>
      </w:r>
      <w:r>
        <w:rPr>
          <w:rFonts w:hint="eastAsia" w:ascii="宋体" w:hAnsi="宋体" w:cs="宋体"/>
          <w:b/>
          <w:bCs/>
          <w:color w:val="auto"/>
          <w:sz w:val="21"/>
          <w:szCs w:val="21"/>
          <w:highlight w:val="none"/>
        </w:rPr>
        <w:t>；如供应商需要改变原磋商报价时，</w:t>
      </w:r>
      <w:r>
        <w:rPr>
          <w:rFonts w:hint="eastAsia" w:ascii="宋体" w:hAnsi="宋体" w:cs="宋体"/>
          <w:b/>
          <w:color w:val="auto"/>
          <w:sz w:val="21"/>
          <w:szCs w:val="21"/>
          <w:highlight w:val="none"/>
        </w:rPr>
        <w:t>供应商应采用综合单价进行工程量清单报价，不得采用总价让利或以百分比让利等形式进行报价，磋商报价格式可按《</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建设工程工程量清单计价规范</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（GB50500-2013）广西壮族自治区实施细则》工程量清单计价表格提供，供应商应预先准备好调整后的报价清单计价表</w:t>
      </w:r>
      <w:r>
        <w:rPr>
          <w:rFonts w:hint="eastAsia" w:ascii="宋体" w:hAnsi="宋体" w:cs="宋体"/>
          <w:b/>
          <w:color w:val="auto"/>
          <w:sz w:val="21"/>
          <w:szCs w:val="21"/>
          <w:highlight w:val="none"/>
          <w:lang w:eastAsia="zh-CN"/>
        </w:rPr>
        <w:t>上传</w:t>
      </w:r>
      <w:r>
        <w:rPr>
          <w:rFonts w:hint="eastAsia" w:ascii="宋体" w:hAnsi="宋体" w:cs="宋体"/>
          <w:b/>
          <w:color w:val="auto"/>
          <w:sz w:val="21"/>
          <w:szCs w:val="21"/>
          <w:highlight w:val="none"/>
        </w:rPr>
        <w:t>作为应答文件的一部分一并递交。如供应商在磋商过程中，改变原报价且未按竞争性磋商文件要求</w:t>
      </w:r>
      <w:r>
        <w:rPr>
          <w:rFonts w:hint="eastAsia" w:ascii="宋体" w:hAnsi="宋体" w:cs="宋体"/>
          <w:b/>
          <w:color w:val="auto"/>
          <w:sz w:val="21"/>
          <w:szCs w:val="21"/>
          <w:highlight w:val="none"/>
          <w:lang w:eastAsia="zh-CN"/>
        </w:rPr>
        <w:t>上传</w:t>
      </w:r>
      <w:r>
        <w:rPr>
          <w:rFonts w:hint="eastAsia" w:ascii="宋体" w:hAnsi="宋体" w:cs="宋体"/>
          <w:b/>
          <w:color w:val="auto"/>
          <w:sz w:val="21"/>
          <w:szCs w:val="21"/>
          <w:highlight w:val="none"/>
        </w:rPr>
        <w:t>调整后的报价清单计价表的，其报价不予认可，视供应商维持原磋商报价不变。</w:t>
      </w:r>
    </w:p>
    <w:p w14:paraId="261D8F2F">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异常低价响应审查</w:t>
      </w:r>
    </w:p>
    <w:p w14:paraId="570ACE7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小组在评审中发现下列情形之一的，应当启动异常低价响应审查程序：</w:t>
      </w:r>
    </w:p>
    <w:p w14:paraId="549FCDF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①响应报价低于全部通过符合性审查供应商响应报价平均值65%的，即响应报价＜全部通过符合性审查供应商响应报价平均值×65%；</w:t>
      </w:r>
    </w:p>
    <w:p w14:paraId="11ADB761">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②响应报价低于通过符合性审查的次低报价供应商响应报价65%的，即响应报价＜通过符合性审查的次低报价供应商响应报价×65%；</w:t>
      </w:r>
    </w:p>
    <w:p w14:paraId="5060C99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③响应报价低于采购项目最高限价65%的，即响应报价＜采购项目最高限价×65%；</w:t>
      </w:r>
    </w:p>
    <w:p w14:paraId="2C23BA3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小组基于专业判断，认为供应商报价过低，有可能影响产品质量或者不能诚信履约的其他情形。</w:t>
      </w:r>
    </w:p>
    <w:p w14:paraId="71ACC26C">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启动异常低价响应审查后，属于前述第①项至第④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BABAAA4">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依据专业经验，参考同类项目中标（成交）价格、类似产品市场价格水平、行业人工费用标准、国家有关部门指导行业协会发布的行业平均成本等情况，对报价合理性进行判断。相关供应商不能提供书面说明、证明材料，或者提供的书面说明、证明材料不能证明其报价合理性的，</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小组应当将其作为无效响应处理。</w:t>
      </w:r>
    </w:p>
    <w:p w14:paraId="53BDFD5D">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采购人、采购代理机构应当为</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小组在评审现场及时获取同类项目中标（成交）价格、类似产品市场价格水平、行业人工费用标准、国家有关部门指导行业协会发布的行业平均成本等相关信息资料提供便利。</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小组借助互联网等渠道查询相关信息的，应当严格遵守评审工作纪律，不得实施影响评审公正的行为。</w:t>
      </w:r>
    </w:p>
    <w:p w14:paraId="3AADC3E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异常低价响应审查的启动原因、审查意见和审查结果应当在评审报告中记录，并随供应商提供的相关书面说明及证明材料，以及</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小组有关互联网浏览、查询历史一并归档。</w:t>
      </w:r>
    </w:p>
    <w:p w14:paraId="5BE9D6D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根据财库</w:t>
      </w:r>
      <w:r>
        <w:rPr>
          <w:rFonts w:hint="eastAsia" w:ascii="宋体" w:hAnsi="宋体" w:cs="宋体"/>
          <w:color w:val="auto"/>
          <w:kern w:val="0"/>
          <w:sz w:val="21"/>
          <w:szCs w:val="21"/>
          <w:highlight w:val="none"/>
          <w:lang w:eastAsia="zh-CN"/>
        </w:rPr>
        <w:t>〔2015〕124号</w:t>
      </w:r>
      <w:r>
        <w:rPr>
          <w:rFonts w:hint="eastAsia" w:ascii="宋体" w:hAnsi="宋体" w:cs="宋体"/>
          <w:color w:val="auto"/>
          <w:kern w:val="0"/>
          <w:sz w:val="21"/>
          <w:szCs w:val="21"/>
          <w:highlight w:val="none"/>
        </w:rPr>
        <w:t>《财政部关于政府采购竞争性磋商采购方式管理暂行办法有关问题的补充通知》的规定，如采购项目为政府购买服务项目（含政府和社会资本合作项目），在采购过程中符合要求的供应商（社会资本）只有2家的，竞争性磋商采购活动可以继续进行，并要求其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在线提交最后报价；采购过程中符合要求的供应商（社会资本）只有1家的，采购人或者采购代理机构应当终止竞争性磋商采购活动，发布项目终止公告并说明原因，重新开展采购活动。</w:t>
      </w:r>
    </w:p>
    <w:p w14:paraId="34E4E13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最后报价是供应商响应文件的有效组成部分。</w:t>
      </w:r>
    </w:p>
    <w:p w14:paraId="4BA090EF">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20.8已提交响应文件的供应商，在提交最后报价之前，可以根据磋商情况书面退出磋商。</w:t>
      </w:r>
    </w:p>
    <w:p w14:paraId="69E50321">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w:t>
      </w:r>
      <w:r>
        <w:rPr>
          <w:rFonts w:hint="eastAsia" w:ascii="宋体" w:hAnsi="宋体" w:cs="宋体"/>
          <w:bCs/>
          <w:color w:val="auto"/>
          <w:sz w:val="21"/>
          <w:szCs w:val="21"/>
          <w:highlight w:val="none"/>
        </w:rPr>
        <w:t>，其最后报价不得超出采购预算</w:t>
      </w:r>
      <w:r>
        <w:rPr>
          <w:rFonts w:hint="eastAsia" w:ascii="宋体" w:hAnsi="宋体" w:cs="宋体"/>
          <w:color w:val="auto"/>
          <w:kern w:val="0"/>
          <w:sz w:val="21"/>
          <w:szCs w:val="21"/>
          <w:highlight w:val="none"/>
        </w:rPr>
        <w:t>；磋商过程中磋商文件</w:t>
      </w:r>
      <w:r>
        <w:rPr>
          <w:rFonts w:hint="eastAsia" w:ascii="宋体" w:hAnsi="宋体" w:cs="宋体"/>
          <w:color w:val="auto"/>
          <w:kern w:val="0"/>
          <w:sz w:val="21"/>
          <w:szCs w:val="21"/>
          <w:highlight w:val="none"/>
          <w:lang w:eastAsia="zh-CN"/>
        </w:rPr>
        <w:t>未做</w:t>
      </w:r>
      <w:r>
        <w:rPr>
          <w:rFonts w:hint="eastAsia" w:ascii="宋体" w:hAnsi="宋体" w:cs="宋体"/>
          <w:color w:val="auto"/>
          <w:kern w:val="0"/>
          <w:sz w:val="21"/>
          <w:szCs w:val="21"/>
          <w:highlight w:val="none"/>
        </w:rPr>
        <w:t>实质性变动的，</w:t>
      </w:r>
      <w:r>
        <w:rPr>
          <w:rFonts w:hint="eastAsia" w:ascii="宋体" w:hAnsi="宋体"/>
          <w:color w:val="auto"/>
          <w:sz w:val="21"/>
          <w:szCs w:val="21"/>
          <w:highlight w:val="none"/>
        </w:rPr>
        <w:t>最后报价不得超过首次报价</w:t>
      </w:r>
      <w:r>
        <w:rPr>
          <w:rFonts w:hint="eastAsia" w:ascii="宋体" w:hAnsi="宋体" w:cs="宋体"/>
          <w:color w:val="auto"/>
          <w:kern w:val="0"/>
          <w:sz w:val="21"/>
          <w:szCs w:val="21"/>
          <w:highlight w:val="none"/>
        </w:rPr>
        <w:t>。</w:t>
      </w:r>
    </w:p>
    <w:p w14:paraId="11B5EED2">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20.9综合比较与评价：</w:t>
      </w:r>
    </w:p>
    <w:p w14:paraId="0B979C00">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0</w:t>
      </w:r>
      <w:r>
        <w:rPr>
          <w:rFonts w:hint="eastAsia" w:ascii="宋体" w:hAnsi="宋体" w:cs="宋体"/>
          <w:color w:val="auto"/>
          <w:kern w:val="0"/>
          <w:sz w:val="21"/>
          <w:szCs w:val="21"/>
          <w:highlight w:val="none"/>
        </w:rPr>
        <w:t>.9.1 经磋商确定最终采购需求和提交最后报价的供应商后，由磋商小组采用综合评分法对提交最后报价的供应商的响应文件和最后报价进行综合评分。</w:t>
      </w:r>
    </w:p>
    <w:p w14:paraId="524857D5">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20.9.2磋商小组成员应当独立对每个供应商的响应文件进行评价，最终汇总每个供应商的得分。各供应商的得分为所有磋商小组的有效评分的算术平均数。</w:t>
      </w:r>
    </w:p>
    <w:p w14:paraId="3C5E6A2F">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20.9.3采购代理机构对评审数据进行校对、核对，对畸高、畸低的重大差异评分提示磋商小组复核或书面说明理由。</w:t>
      </w:r>
    </w:p>
    <w:p w14:paraId="0D1C64D2">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 在评审过程中出现法律法规和磋商文件均没有明确规定的情形时，由磋商小组现场协商解决，协商不一致的，由全体磋商小组投票表决，以得票率二分之一以上专家的意见为准。</w:t>
      </w:r>
    </w:p>
    <w:p w14:paraId="1554744E">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63FE87A9">
      <w:pPr>
        <w:spacing w:line="38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36A7487E">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施工组织设计分、履约能力分由高到低顺序排列并推荐成交候选供应商。</w:t>
      </w:r>
    </w:p>
    <w:p w14:paraId="4A94EB68">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（2）采购代理机构在评审结束后2个工作日内将评审报告送采购人确认。采购人应当在收到评审报告后5个工作日内，从评审报告提出的成交候选供应商中，按照排序由高到低的原则确定</w:t>
      </w:r>
      <w:r>
        <w:rPr>
          <w:rFonts w:hint="eastAsia" w:ascii="宋体" w:hAnsi="宋体" w:cs="宋体"/>
          <w:color w:val="auto"/>
          <w:kern w:val="0"/>
          <w:sz w:val="21"/>
          <w:szCs w:val="21"/>
          <w:highlight w:val="none"/>
          <w:lang w:eastAsia="zh-CN"/>
        </w:rPr>
        <w:t>成交人</w:t>
      </w:r>
      <w:r>
        <w:rPr>
          <w:rFonts w:hint="eastAsia" w:ascii="宋体" w:hAnsi="宋体" w:eastAsia="宋体" w:cs="宋体"/>
          <w:color w:val="auto"/>
          <w:kern w:val="0"/>
          <w:sz w:val="21"/>
          <w:szCs w:val="21"/>
          <w:highlight w:val="none"/>
        </w:rPr>
        <w:t>。本项目确定一名</w:t>
      </w:r>
      <w:r>
        <w:rPr>
          <w:rFonts w:hint="eastAsia" w:ascii="宋体" w:hAnsi="宋体" w:cs="宋体"/>
          <w:color w:val="auto"/>
          <w:kern w:val="0"/>
          <w:sz w:val="21"/>
          <w:szCs w:val="21"/>
          <w:highlight w:val="none"/>
          <w:lang w:eastAsia="zh-CN"/>
        </w:rPr>
        <w:t>成交人</w:t>
      </w:r>
      <w:r>
        <w:rPr>
          <w:rFonts w:hint="eastAsia" w:ascii="宋体" w:hAnsi="宋体" w:eastAsia="宋体" w:cs="宋体"/>
          <w:color w:val="auto"/>
          <w:kern w:val="0"/>
          <w:sz w:val="21"/>
          <w:szCs w:val="21"/>
          <w:highlight w:val="none"/>
        </w:rPr>
        <w:t>。</w:t>
      </w:r>
    </w:p>
    <w:p w14:paraId="4E17C242">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（3）排名第一的成交候选供应商放弃成交、拒绝或迟延签订合同、因不可抗力提出不能履行合同，或因失信行为被取消成交候选人资格的，采购人可以确定排名第二的成交候选供应商为</w:t>
      </w:r>
      <w:r>
        <w:rPr>
          <w:rFonts w:hint="eastAsia" w:ascii="宋体" w:hAnsi="宋体" w:cs="宋体"/>
          <w:color w:val="auto"/>
          <w:kern w:val="0"/>
          <w:sz w:val="21"/>
          <w:szCs w:val="21"/>
          <w:highlight w:val="none"/>
          <w:lang w:eastAsia="zh-CN"/>
        </w:rPr>
        <w:t>成交人</w:t>
      </w:r>
      <w:r>
        <w:rPr>
          <w:rFonts w:hint="eastAsia" w:ascii="宋体" w:hAnsi="宋体" w:eastAsia="宋体" w:cs="宋体"/>
          <w:color w:val="auto"/>
          <w:kern w:val="0"/>
          <w:sz w:val="21"/>
          <w:szCs w:val="21"/>
          <w:highlight w:val="none"/>
        </w:rPr>
        <w:t>。排名第二的成交候选供应商因前述规定的同样原因不能签订合同的，采购人可以确定排名第三的成交候选人为</w:t>
      </w:r>
      <w:r>
        <w:rPr>
          <w:rFonts w:hint="eastAsia" w:ascii="宋体" w:hAnsi="宋体" w:cs="宋体"/>
          <w:color w:val="auto"/>
          <w:kern w:val="0"/>
          <w:sz w:val="21"/>
          <w:szCs w:val="21"/>
          <w:highlight w:val="none"/>
          <w:lang w:eastAsia="zh-CN"/>
        </w:rPr>
        <w:t>成交人</w:t>
      </w:r>
      <w:r>
        <w:rPr>
          <w:rFonts w:hint="eastAsia" w:ascii="宋体" w:hAnsi="宋体" w:eastAsia="宋体" w:cs="宋体"/>
          <w:color w:val="auto"/>
          <w:kern w:val="0"/>
          <w:sz w:val="21"/>
          <w:szCs w:val="21"/>
          <w:highlight w:val="none"/>
        </w:rPr>
        <w:t>。以此类推。</w:t>
      </w:r>
    </w:p>
    <w:p w14:paraId="008430C7">
      <w:pPr>
        <w:widowControl/>
        <w:shd w:val="clear" w:color="auto" w:fill="FFFFFF"/>
        <w:spacing w:line="380" w:lineRule="exact"/>
        <w:ind w:firstLine="480" w:firstLineChars="0"/>
        <w:jc w:val="left"/>
        <w:rPr>
          <w:rFonts w:ascii="宋体" w:hAnsi="宋体" w:cs="宋体"/>
          <w:b/>
          <w:color w:val="auto"/>
          <w:kern w:val="0"/>
          <w:sz w:val="21"/>
          <w:szCs w:val="21"/>
          <w:highlight w:val="none"/>
        </w:rPr>
      </w:pPr>
      <w:r>
        <w:rPr>
          <w:rFonts w:hint="eastAsia" w:ascii="宋体" w:hAnsi="宋体" w:cs="宋体"/>
          <w:b/>
          <w:bCs/>
          <w:color w:val="auto"/>
          <w:kern w:val="0"/>
          <w:sz w:val="21"/>
          <w:szCs w:val="21"/>
          <w:highlight w:val="none"/>
        </w:rPr>
        <w:t>22.</w:t>
      </w:r>
      <w:r>
        <w:rPr>
          <w:rFonts w:hint="eastAsia" w:ascii="宋体" w:hAnsi="宋体" w:cs="宋体"/>
          <w:b/>
          <w:color w:val="auto"/>
          <w:kern w:val="0"/>
          <w:sz w:val="21"/>
          <w:szCs w:val="21"/>
          <w:highlight w:val="none"/>
        </w:rPr>
        <w:t>属于下列情况之一者，响应文件无效：</w:t>
      </w:r>
    </w:p>
    <w:p w14:paraId="6A4FEAC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（1）未按磋商文件规定完整提交响应文件或未按规定要求签字（或电子签名）、签章的，或未提供授权委托书（委托代理的）；</w:t>
      </w:r>
    </w:p>
    <w:p w14:paraId="16EDCB4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（2）不具备磋商文件规定的资格要求的</w:t>
      </w:r>
      <w:r>
        <w:rPr>
          <w:rFonts w:hint="eastAsia" w:ascii="宋体" w:hAnsi="宋体" w:cs="宋体"/>
          <w:color w:val="auto"/>
          <w:kern w:val="0"/>
          <w:sz w:val="21"/>
          <w:szCs w:val="24"/>
          <w:highlight w:val="none"/>
        </w:rPr>
        <w:t>；</w:t>
      </w:r>
    </w:p>
    <w:p w14:paraId="3B9B331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（3）响应文件未按磋商文件的内容和要求编制，或提供虚假材料的；</w:t>
      </w:r>
    </w:p>
    <w:p w14:paraId="4C03AEDB">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（4）响应文件有效期不能满足磋商文件要求的；</w:t>
      </w:r>
    </w:p>
    <w:p w14:paraId="4457D58F">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（5）报价超过竞争性磋商文件规定的</w:t>
      </w:r>
      <w:r>
        <w:rPr>
          <w:rFonts w:hint="eastAsia" w:ascii="宋体" w:hAnsi="宋体" w:cs="宋体"/>
          <w:color w:val="auto"/>
          <w:kern w:val="0"/>
          <w:sz w:val="21"/>
          <w:szCs w:val="21"/>
          <w:highlight w:val="none"/>
          <w:lang w:eastAsia="zh-CN"/>
        </w:rPr>
        <w:t>最高限价</w:t>
      </w:r>
      <w:r>
        <w:rPr>
          <w:rFonts w:hint="eastAsia" w:ascii="宋体" w:hAnsi="宋体" w:cs="宋体"/>
          <w:color w:val="auto"/>
          <w:kern w:val="0"/>
          <w:sz w:val="21"/>
          <w:szCs w:val="21"/>
          <w:highlight w:val="none"/>
        </w:rPr>
        <w:t>的；</w:t>
      </w:r>
    </w:p>
    <w:p w14:paraId="1B03565E">
      <w:pPr>
        <w:snapToGrid w:val="0"/>
        <w:spacing w:line="380" w:lineRule="exact"/>
        <w:ind w:firstLine="411" w:firstLineChars="196"/>
        <w:outlineLvl w:val="4"/>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工程量清单封面</w:t>
      </w:r>
      <w:r>
        <w:rPr>
          <w:rFonts w:hint="eastAsia" w:ascii="宋体" w:hAnsi="宋体" w:eastAsia="宋体" w:cs="宋体"/>
          <w:color w:val="auto"/>
          <w:kern w:val="0"/>
          <w:sz w:val="21"/>
          <w:szCs w:val="21"/>
          <w:highlight w:val="none"/>
          <w:lang w:eastAsia="zh-CN"/>
        </w:rPr>
        <w:t>未</w:t>
      </w:r>
      <w:r>
        <w:rPr>
          <w:rFonts w:hint="eastAsia" w:ascii="宋体" w:hAnsi="宋体" w:eastAsia="宋体" w:cs="宋体"/>
          <w:color w:val="auto"/>
          <w:kern w:val="0"/>
          <w:sz w:val="21"/>
          <w:szCs w:val="21"/>
          <w:highlight w:val="none"/>
        </w:rPr>
        <w:t>由编制人签字并盖专用章</w:t>
      </w:r>
      <w:r>
        <w:rPr>
          <w:rFonts w:hint="eastAsia" w:ascii="宋体" w:hAnsi="宋体" w:eastAsia="宋体" w:cs="宋体"/>
          <w:color w:val="auto"/>
          <w:kern w:val="0"/>
          <w:sz w:val="21"/>
          <w:szCs w:val="21"/>
          <w:highlight w:val="none"/>
          <w:lang w:eastAsia="zh-CN"/>
        </w:rPr>
        <w:t>的；</w:t>
      </w:r>
    </w:p>
    <w:p w14:paraId="216B6BDE">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）供应商未就本工程进行报价或者存在漏项报价；供应商未就本工程的单项内容作唯一报价；供应商未就本工程的全部内容作完整唯一总价报价；</w:t>
      </w:r>
    </w:p>
    <w:p w14:paraId="23ADB056">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）在单价合同工程中供应商采用总价优惠或以总价百分比优惠的方式进行</w:t>
      </w:r>
      <w:r>
        <w:rPr>
          <w:rFonts w:hint="eastAsia" w:ascii="宋体" w:hAnsi="宋体" w:cs="宋体"/>
          <w:color w:val="auto"/>
          <w:kern w:val="0"/>
          <w:sz w:val="21"/>
          <w:szCs w:val="21"/>
          <w:highlight w:val="none"/>
          <w:lang w:eastAsia="zh-CN"/>
        </w:rPr>
        <w:t>磋商报价</w:t>
      </w:r>
      <w:r>
        <w:rPr>
          <w:rFonts w:hint="eastAsia" w:ascii="宋体" w:hAnsi="宋体" w:eastAsia="宋体" w:cs="宋体"/>
          <w:color w:val="auto"/>
          <w:kern w:val="0"/>
          <w:sz w:val="21"/>
          <w:szCs w:val="21"/>
          <w:highlight w:val="none"/>
        </w:rPr>
        <w:t>的；</w:t>
      </w:r>
    </w:p>
    <w:p w14:paraId="3730B945">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）安全文明施工费和规费、增值税不按广西区费用定额及造价管理相关文件规定报价的（园林绿化及仿古建筑工程除外）；</w:t>
      </w:r>
    </w:p>
    <w:p w14:paraId="13A9AB56">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）供应商已标价工程量清单的项目编码（12位）、计量单位、工程量任何一处与工程量清单不一致的；</w:t>
      </w:r>
    </w:p>
    <w:p w14:paraId="02B3106D">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）供应商已标价工程量清单的项目名称或项目特征与工程量清单不一致，</w:t>
      </w: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要求澄清、说明或补正，但供应商拒绝澄清、说明或补正的；</w:t>
      </w:r>
    </w:p>
    <w:p w14:paraId="554075D3">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）设有暂估价、暂列金额的，竞标时未按工程量清单给出的暂估价总价、暂列金额总价计入竞标总报价中的；</w:t>
      </w:r>
    </w:p>
    <w:p w14:paraId="2D69C135">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13</w:t>
      </w:r>
      <w:r>
        <w:rPr>
          <w:rFonts w:hint="eastAsia" w:ascii="宋体" w:hAnsi="宋体" w:eastAsia="宋体" w:cs="宋体"/>
          <w:color w:val="auto"/>
          <w:kern w:val="0"/>
          <w:sz w:val="21"/>
          <w:szCs w:val="21"/>
          <w:highlight w:val="none"/>
        </w:rPr>
        <w:t>）供应商对工程量清单内容进行增减或对竞标范围进行调整的；</w:t>
      </w:r>
    </w:p>
    <w:p w14:paraId="59F4D2A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14</w:t>
      </w:r>
      <w:r>
        <w:rPr>
          <w:rFonts w:hint="eastAsia" w:ascii="宋体" w:hAnsi="宋体" w:cs="宋体"/>
          <w:color w:val="auto"/>
          <w:kern w:val="0"/>
          <w:sz w:val="21"/>
          <w:szCs w:val="21"/>
          <w:highlight w:val="none"/>
        </w:rPr>
        <w:t>）未满足磋商文件实质性要求的；或者响应文件有采购人不能接受的附加条件的；</w:t>
      </w:r>
    </w:p>
    <w:p w14:paraId="2041509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w:t>
      </w:r>
      <w:r>
        <w:rPr>
          <w:rFonts w:hint="eastAsia" w:ascii="宋体" w:hAnsi="宋体" w:cs="宋体"/>
          <w:color w:val="auto"/>
          <w:kern w:val="0"/>
          <w:sz w:val="21"/>
          <w:szCs w:val="20"/>
          <w:highlight w:val="none"/>
          <w:lang w:val="en-US" w:eastAsia="zh-CN"/>
        </w:rPr>
        <w:t>15</w:t>
      </w:r>
      <w:r>
        <w:rPr>
          <w:rFonts w:hint="eastAsia" w:ascii="宋体" w:hAnsi="宋体" w:cs="宋体"/>
          <w:color w:val="auto"/>
          <w:kern w:val="0"/>
          <w:sz w:val="21"/>
          <w:szCs w:val="20"/>
          <w:highlight w:val="none"/>
        </w:rPr>
        <w:t>）</w:t>
      </w:r>
      <w:r>
        <w:rPr>
          <w:rFonts w:hint="eastAsia" w:ascii="宋体" w:hAnsi="宋体" w:cs="宋体"/>
          <w:color w:val="auto"/>
          <w:kern w:val="0"/>
          <w:sz w:val="21"/>
          <w:szCs w:val="21"/>
          <w:highlight w:val="none"/>
        </w:rPr>
        <w:t>不符合</w:t>
      </w:r>
      <w:r>
        <w:rPr>
          <w:rFonts w:hint="eastAsia" w:ascii="宋体" w:hAnsi="宋体" w:cs="宋体"/>
          <w:color w:val="auto"/>
          <w:kern w:val="0"/>
          <w:sz w:val="21"/>
          <w:szCs w:val="21"/>
          <w:highlight w:val="none"/>
          <w:lang w:eastAsia="zh-CN"/>
        </w:rPr>
        <w:t>法律法规</w:t>
      </w:r>
      <w:r>
        <w:rPr>
          <w:rFonts w:hint="eastAsia" w:ascii="宋体" w:hAnsi="宋体" w:cs="宋体"/>
          <w:color w:val="auto"/>
          <w:kern w:val="0"/>
          <w:sz w:val="21"/>
          <w:szCs w:val="21"/>
          <w:highlight w:val="none"/>
        </w:rPr>
        <w:t>和磋商文件规定的其他实质性要求和条件的。</w:t>
      </w:r>
    </w:p>
    <w:p w14:paraId="04BE86FB">
      <w:pPr>
        <w:snapToGrid w:val="0"/>
        <w:spacing w:line="380" w:lineRule="exact"/>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1C4D0CE6">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52F4927E">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0BA4DBCB">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E90C36D">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22A60DC8">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576B7BAF">
      <w:pPr>
        <w:snapToGrid w:val="0"/>
        <w:spacing w:line="380" w:lineRule="exact"/>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5174D418">
      <w:pPr>
        <w:snapToGrid w:val="0"/>
        <w:spacing w:line="38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09F98FAA">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4609124C">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650FC785">
      <w:pPr>
        <w:widowControl/>
        <w:spacing w:line="38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条及法律法规规定的情形外，在采购过程中符合要求的供应商或者报价未超过采购预算的供应商不足3家的。</w:t>
      </w:r>
    </w:p>
    <w:p w14:paraId="29663852">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518B770F">
      <w:pPr>
        <w:snapToGrid w:val="0"/>
        <w:spacing w:line="38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6E63490C">
      <w:pPr>
        <w:spacing w:line="38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71F63FF3">
      <w:pPr>
        <w:snapToGrid w:val="0"/>
        <w:spacing w:line="38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 信用查询 </w:t>
      </w:r>
    </w:p>
    <w:p w14:paraId="0F00516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1A3EB2B5">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⑴查询渠道：</w:t>
      </w:r>
      <w:r>
        <w:rPr>
          <w:rFonts w:hint="eastAsia" w:ascii="宋体" w:hAnsi="宋体" w:cs="宋体"/>
          <w:color w:val="auto"/>
          <w:spacing w:val="-4"/>
          <w:kern w:val="0"/>
          <w:sz w:val="21"/>
          <w:szCs w:val="21"/>
          <w:highlight w:val="none"/>
        </w:rPr>
        <w:t>“信用中国”网站</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www.creditchina.gov.cn</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、中国政府采购网</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www.ccgp.gov.cn</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等；</w:t>
      </w:r>
    </w:p>
    <w:p w14:paraId="725A93A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⑵查询截止时间：成交通知书发出前；</w:t>
      </w:r>
    </w:p>
    <w:p w14:paraId="17DE8B7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⑶信用信息查询记录和证据留存方式：在查询网站中直接打印查询记录，打印材料作为采购活动资料保存；</w:t>
      </w:r>
    </w:p>
    <w:p w14:paraId="4F981C95">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⑷信用信息使用规则：对在“信用中国”网站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 xml:space="preserve">等渠道列入失信被执行人、重大税收违法失信主体、政府采购严重违法失信行为记录名单及其他不符合《中华人民共和国政府采购法》第二十二条规定条件的供应商，取消其成交候选人资格。    </w:t>
      </w:r>
    </w:p>
    <w:p w14:paraId="198D5241">
      <w:pPr>
        <w:spacing w:line="38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5D993E1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采购代理机构于评审结束后两个工作日内将评审报告送交采购人，采购人应当自收到评审报告五个工作日内在评审报告推荐的成交候选供应商中按顺序确定</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，采购代理机构在</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确定之日起两个工作日内发出成交通知书，并在指定媒体上公告成交信息。</w:t>
      </w:r>
    </w:p>
    <w:p w14:paraId="5AEFADDA">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27.2小微企业在政府采购活动过程中，请根据自己的真实情况出具《中小企业声明函》。采购人或采购代理机构在公告成交结果时，同时公告其《中小企业声明函》，接受社会监督。</w:t>
      </w:r>
    </w:p>
    <w:p w14:paraId="37ED788F">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27.3在发布成交公告的同时，采购代理机构向</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发出成交通知书。</w:t>
      </w:r>
    </w:p>
    <w:p w14:paraId="2C36E329">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50B5743C">
      <w:pPr>
        <w:spacing w:line="380" w:lineRule="exact"/>
        <w:ind w:left="3" w:firstLine="0" w:firstLineChars="0"/>
        <w:jc w:val="center"/>
        <w:rPr>
          <w:rFonts w:ascii="宋体" w:hAnsi="宋体" w:cs="宋体"/>
          <w:b/>
          <w:color w:val="auto"/>
          <w:kern w:val="0"/>
          <w:sz w:val="28"/>
          <w:szCs w:val="28"/>
          <w:highlight w:val="none"/>
        </w:rPr>
      </w:pPr>
    </w:p>
    <w:p w14:paraId="5C39018E">
      <w:pPr>
        <w:spacing w:line="38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11FD83AC">
      <w:pPr>
        <w:spacing w:line="38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45B12437">
      <w:pPr>
        <w:snapToGrid w:val="0"/>
        <w:spacing w:line="380" w:lineRule="exact"/>
        <w:ind w:firstLine="420"/>
        <w:outlineLvl w:val="4"/>
        <w:rPr>
          <w:rFonts w:ascii="宋体" w:hAnsi="宋体" w:cs="宋体"/>
          <w:strike/>
          <w:color w:val="auto"/>
          <w:kern w:val="0"/>
          <w:sz w:val="21"/>
          <w:szCs w:val="21"/>
          <w:highlight w:val="none"/>
        </w:rPr>
      </w:pPr>
      <w:r>
        <w:rPr>
          <w:rFonts w:hint="eastAsia" w:ascii="宋体" w:hAnsi="宋体" w:cs="宋体"/>
          <w:color w:val="auto"/>
          <w:kern w:val="0"/>
          <w:sz w:val="21"/>
          <w:szCs w:val="21"/>
          <w:highlight w:val="none"/>
        </w:rPr>
        <w:t>本项目专门面向小微企业采购，不收取履约保证金。</w:t>
      </w:r>
    </w:p>
    <w:p w14:paraId="37C73DCE">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29.签订合同</w:t>
      </w:r>
    </w:p>
    <w:p w14:paraId="719AC9EC">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 xml:space="preserve">29.1 </w:t>
      </w:r>
      <w:r>
        <w:rPr>
          <w:rFonts w:hint="eastAsia" w:ascii="宋体" w:hAnsi="宋体" w:cs="宋体"/>
          <w:color w:val="auto"/>
          <w:kern w:val="0"/>
          <w:sz w:val="21"/>
          <w:szCs w:val="21"/>
          <w:highlight w:val="none"/>
        </w:rPr>
        <w:t>签订合同时间：成交通知书发出之日起8个工作日内。供应商应按规定与采购人签订合同。</w:t>
      </w:r>
    </w:p>
    <w:p w14:paraId="5A414484">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 如</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有下列情形之一，情节严重的，由财政部门将其列入不良行为记录名单，在一至三年内禁止参加政府采购活动，并予以通报。采购代理机构可从磋商小组推荐的成交候选供应商中按顺序重新确定</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或重新组织采购。拒绝签订政府采购合同的</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不得参加对该项目重新开展的采购活动。</w:t>
      </w:r>
    </w:p>
    <w:p w14:paraId="14EE5772">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169D5B93">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2DCEE1DB">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74BB650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 政府采购合同公告：</w:t>
      </w:r>
      <w:r>
        <w:rPr>
          <w:rFonts w:hint="eastAsia" w:ascii="宋体" w:hAnsi="宋体" w:cs="宋体"/>
          <w:color w:val="auto"/>
          <w:sz w:val="21"/>
          <w:szCs w:val="21"/>
          <w:highlight w:val="none"/>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color w:val="auto"/>
          <w:kern w:val="0"/>
          <w:sz w:val="21"/>
          <w:szCs w:val="21"/>
          <w:highlight w:val="none"/>
        </w:rPr>
        <w:t>。</w:t>
      </w:r>
    </w:p>
    <w:p w14:paraId="541F888C">
      <w:pPr>
        <w:spacing w:line="240" w:lineRule="auto"/>
        <w:ind w:left="2940" w:firstLine="0" w:firstLineChars="0"/>
        <w:rPr>
          <w:color w:val="auto"/>
          <w:sz w:val="21"/>
          <w:szCs w:val="24"/>
          <w:highlight w:val="none"/>
        </w:rPr>
      </w:pPr>
    </w:p>
    <w:p w14:paraId="58C635F4">
      <w:pPr>
        <w:spacing w:line="38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4710BC57">
      <w:pPr>
        <w:spacing w:line="38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6816224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代理服务费为人民币</w:t>
      </w:r>
      <w:r>
        <w:rPr>
          <w:rFonts w:hint="eastAsia" w:ascii="宋体" w:hAnsi="宋体" w:cs="宋体"/>
          <w:color w:val="auto"/>
          <w:kern w:val="0"/>
          <w:sz w:val="21"/>
          <w:szCs w:val="21"/>
          <w:highlight w:val="none"/>
          <w:lang w:eastAsia="zh-CN"/>
        </w:rPr>
        <w:t>壹万元整（¥10000.00）</w:t>
      </w:r>
      <w:r>
        <w:rPr>
          <w:rFonts w:hint="eastAsia" w:ascii="宋体" w:hAnsi="宋体" w:cs="宋体"/>
          <w:color w:val="auto"/>
          <w:kern w:val="0"/>
          <w:sz w:val="21"/>
          <w:szCs w:val="21"/>
          <w:highlight w:val="none"/>
        </w:rPr>
        <w:t>，由</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向采购代理机构一次性支付。</w:t>
      </w:r>
    </w:p>
    <w:p w14:paraId="342D10D9">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3FEC2AA0">
      <w:pPr>
        <w:spacing w:line="400" w:lineRule="exact"/>
        <w:ind w:left="480" w:leftChars="200" w:firstLine="0" w:firstLineChars="0"/>
        <w:rPr>
          <w:rFonts w:ascii="宋体" w:hAnsi="宋体"/>
          <w:color w:val="auto"/>
          <w:sz w:val="21"/>
          <w:szCs w:val="21"/>
          <w:highlight w:val="none"/>
        </w:rPr>
      </w:pPr>
      <w:r>
        <w:rPr>
          <w:rFonts w:hint="eastAsia" w:ascii="宋体" w:hAnsi="宋体"/>
          <w:color w:val="auto"/>
          <w:sz w:val="21"/>
          <w:szCs w:val="21"/>
          <w:highlight w:val="none"/>
        </w:rPr>
        <w:t>开户名称：云之龙咨询集团有限公司桂林分公司</w:t>
      </w:r>
    </w:p>
    <w:p w14:paraId="622C1523">
      <w:pPr>
        <w:spacing w:line="400" w:lineRule="exact"/>
        <w:ind w:left="480" w:leftChars="200" w:firstLine="0" w:firstLineChars="0"/>
        <w:rPr>
          <w:rFonts w:ascii="宋体" w:hAnsi="宋体"/>
          <w:color w:val="auto"/>
          <w:sz w:val="21"/>
          <w:szCs w:val="21"/>
          <w:highlight w:val="none"/>
        </w:rPr>
      </w:pPr>
      <w:r>
        <w:rPr>
          <w:rFonts w:hint="eastAsia" w:ascii="宋体" w:hAnsi="宋体"/>
          <w:color w:val="auto"/>
          <w:sz w:val="21"/>
          <w:szCs w:val="21"/>
          <w:highlight w:val="none"/>
        </w:rPr>
        <w:t>开户银行：中信银行股份有限公司南宁</w:t>
      </w:r>
      <w:r>
        <w:rPr>
          <w:rFonts w:hint="eastAsia" w:ascii="宋体" w:hAnsi="宋体"/>
          <w:color w:val="auto"/>
          <w:sz w:val="21"/>
          <w:szCs w:val="21"/>
          <w:highlight w:val="none"/>
          <w:lang w:eastAsia="zh-CN"/>
        </w:rPr>
        <w:t>园湖</w:t>
      </w:r>
      <w:r>
        <w:rPr>
          <w:rFonts w:hint="eastAsia" w:ascii="宋体" w:hAnsi="宋体"/>
          <w:color w:val="auto"/>
          <w:sz w:val="21"/>
          <w:szCs w:val="21"/>
          <w:highlight w:val="none"/>
        </w:rPr>
        <w:t>支行</w:t>
      </w:r>
    </w:p>
    <w:p w14:paraId="5033D7D3">
      <w:pPr>
        <w:spacing w:line="400" w:lineRule="exact"/>
        <w:ind w:left="48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银行账号：8113001014300158041</w:t>
      </w:r>
    </w:p>
    <w:p w14:paraId="6FEB9A02">
      <w:pPr>
        <w:spacing w:line="3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32.广西线上“政采贷”政策详见附表4.</w:t>
      </w:r>
    </w:p>
    <w:p w14:paraId="3C802F32">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本竞争性磋商文件是根据《中华人民共和国政府采购法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政府采购竞争性磋商采购方式管理暂行办法》和政府采购管理有关规定编制，本竞争性磋商文件的解释权属于采购代理机构。</w:t>
      </w:r>
    </w:p>
    <w:p w14:paraId="1C9F5D5E">
      <w:pPr>
        <w:spacing w:line="34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    联系电话：0773-2816067</w:t>
      </w:r>
    </w:p>
    <w:p w14:paraId="28CDAE93">
      <w:pPr>
        <w:spacing w:line="4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35.中小企业</w:t>
      </w:r>
    </w:p>
    <w:p w14:paraId="75AF058E">
      <w:pPr>
        <w:spacing w:line="44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的规定，本磋商文件所称中小企业，是指在中华人民共和国境内依法设立，依据中小企业划分标准确定的中型企业、小型企业和微型企业，但与大企业的负责人为同一人，或者与大企业存在直接控股、管理关系的除外。</w:t>
      </w:r>
    </w:p>
    <w:p w14:paraId="567515B7">
      <w:pPr>
        <w:spacing w:line="44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本项目所属行业为建筑业。</w:t>
      </w:r>
    </w:p>
    <w:p w14:paraId="64CEF481">
      <w:pPr>
        <w:spacing w:line="44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86EFB2">
      <w:pPr>
        <w:pStyle w:val="23"/>
        <w:spacing w:line="440" w:lineRule="exact"/>
        <w:ind w:left="0" w:firstLine="420" w:firstLineChars="200"/>
        <w:rPr>
          <w:color w:val="auto"/>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供应商确定自身属于上述定义的小微企业时，应按第</w:t>
      </w:r>
      <w:r>
        <w:rPr>
          <w:rFonts w:hint="eastAsia" w:ascii="宋体" w:hAnsi="宋体" w:cs="宋体"/>
          <w:color w:val="auto"/>
          <w:sz w:val="21"/>
          <w:szCs w:val="21"/>
          <w:highlight w:val="none"/>
          <w:lang w:eastAsia="zh-CN"/>
        </w:rPr>
        <w:t>六</w:t>
      </w:r>
      <w:r>
        <w:rPr>
          <w:rFonts w:hint="eastAsia" w:ascii="宋体" w:hAnsi="宋体" w:cs="宋体"/>
          <w:color w:val="auto"/>
          <w:sz w:val="21"/>
          <w:szCs w:val="21"/>
          <w:highlight w:val="none"/>
        </w:rPr>
        <w:t>章“响应文件格式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提供相应的《中小企业声明函》，否则评审时不予认定。任何单位和个人不得要求供应商提供《中小企业声明函》之外的小微企业身份证明文件。</w:t>
      </w:r>
    </w:p>
    <w:p w14:paraId="3DA68304">
      <w:pPr>
        <w:spacing w:line="4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36.监狱企业</w:t>
      </w:r>
    </w:p>
    <w:p w14:paraId="37FCF3F7">
      <w:pPr>
        <w:spacing w:line="42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281774">
      <w:pPr>
        <w:pStyle w:val="23"/>
        <w:spacing w:line="420" w:lineRule="exact"/>
        <w:ind w:left="0" w:firstLine="420" w:firstLineChars="200"/>
        <w:rPr>
          <w:color w:val="auto"/>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318BD57">
      <w:pPr>
        <w:spacing w:line="42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37.残疾人福利性单位</w:t>
      </w:r>
    </w:p>
    <w:p w14:paraId="4724AAB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37.1</w:t>
      </w:r>
      <w:r>
        <w:rPr>
          <w:rFonts w:hint="eastAsia" w:ascii="宋体" w:hAnsi="宋体" w:cs="宋体"/>
          <w:color w:val="auto"/>
          <w:kern w:val="0"/>
          <w:sz w:val="21"/>
          <w:szCs w:val="21"/>
          <w:highlight w:val="none"/>
        </w:rPr>
        <w:t>根据《关于促进残疾人就业政府采购政策的通知》（财库〔2017〕141号）的规定，享受政府采购支持政策的残疾人福利性单位应当同时满足以下条件：</w:t>
      </w:r>
    </w:p>
    <w:p w14:paraId="64B60ED6">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（1）安置的残疾人占本单位在职职工人数的比例不低于25%（含25%），并且安置的残疾人人数不少于10人（含10人）；</w:t>
      </w:r>
    </w:p>
    <w:p w14:paraId="37641836">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（2）依法与安置的每位残疾人签订了一年以上（含一年）的劳动合同或服务协议；</w:t>
      </w:r>
    </w:p>
    <w:p w14:paraId="16019BBF">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（3）为安置的每位残疾人按月足额缴纳了基本养老保险、基本医疗保险、失业保险、工伤保险和生育保险等社会保险费；</w:t>
      </w:r>
    </w:p>
    <w:p w14:paraId="56C0B6D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（4）通过银行等金融机构向安置的每位残疾人，按月支付了不低于单位所在区县适用的经省级人民政府批准的月最低工资标准的工资；</w:t>
      </w:r>
    </w:p>
    <w:p w14:paraId="3A3348BF">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（5）提供本单位制造的货物、承担的工程或者服务（以下简称产品），或者提供其他残疾人福利性单位制造的货物（不包括使用非残疾人福利性单位注册商标的货物）。</w:t>
      </w:r>
    </w:p>
    <w:p w14:paraId="5C7A9DC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703C5B0">
      <w:pPr>
        <w:snapToGrid w:val="0"/>
        <w:spacing w:line="420" w:lineRule="exact"/>
        <w:ind w:firstLine="420"/>
        <w:rPr>
          <w:rFonts w:ascii="宋体" w:hAnsi="宋体" w:cs="宋体"/>
          <w:b/>
          <w:color w:val="auto"/>
          <w:szCs w:val="24"/>
          <w:highlight w:val="none"/>
        </w:rPr>
      </w:pPr>
      <w:r>
        <w:rPr>
          <w:rFonts w:hint="eastAsia" w:ascii="宋体" w:hAnsi="宋体" w:cs="宋体"/>
          <w:color w:val="auto"/>
          <w:kern w:val="0"/>
          <w:sz w:val="21"/>
          <w:szCs w:val="21"/>
          <w:highlight w:val="none"/>
          <w:lang w:val="en-US" w:eastAsia="zh-CN"/>
        </w:rPr>
        <w:t>37.2</w:t>
      </w:r>
      <w:r>
        <w:rPr>
          <w:rFonts w:hint="eastAsia" w:ascii="宋体" w:hAnsi="宋体" w:cs="宋体"/>
          <w:color w:val="auto"/>
          <w:kern w:val="0"/>
          <w:sz w:val="21"/>
          <w:szCs w:val="21"/>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6C3EE72">
      <w:pPr>
        <w:snapToGrid w:val="0"/>
        <w:spacing w:line="240" w:lineRule="auto"/>
        <w:ind w:firstLine="0" w:firstLineChars="0"/>
        <w:rPr>
          <w:rFonts w:ascii="宋体" w:hAnsi="宋体" w:cs="宋体"/>
          <w:b/>
          <w:color w:val="auto"/>
          <w:szCs w:val="24"/>
          <w:highlight w:val="none"/>
        </w:rPr>
      </w:pPr>
    </w:p>
    <w:p w14:paraId="759F4867">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7AA99213">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5655CA14">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34363FC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20388477">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bCs/>
          <w:color w:val="auto"/>
          <w:sz w:val="21"/>
          <w:szCs w:val="20"/>
          <w:highlight w:val="none"/>
          <w:u w:val="single"/>
        </w:rPr>
        <w:t xml:space="preserve">                    </w:t>
      </w:r>
    </w:p>
    <w:p w14:paraId="333E894C">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0125E7B4">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2636959F">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p>
    <w:p w14:paraId="1716B534">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5D3252F5">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6EA5790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5D1FDE0C">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2A9665AD">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66C7663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0AA9AABF">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r>
        <w:rPr>
          <w:rFonts w:hint="eastAsia" w:ascii="宋体" w:hAnsi="宋体" w:cs="宋体"/>
          <w:bCs/>
          <w:color w:val="auto"/>
          <w:sz w:val="21"/>
          <w:szCs w:val="20"/>
          <w:highlight w:val="none"/>
          <w:u w:val="single"/>
        </w:rPr>
        <w:t xml:space="preserve">                        </w:t>
      </w:r>
    </w:p>
    <w:p w14:paraId="2A08158A">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r>
        <w:rPr>
          <w:rFonts w:hint="eastAsia" w:ascii="宋体" w:hAnsi="宋体" w:cs="宋体"/>
          <w:bCs/>
          <w:color w:val="auto"/>
          <w:sz w:val="21"/>
          <w:szCs w:val="20"/>
          <w:highlight w:val="none"/>
          <w:u w:val="single"/>
        </w:rPr>
        <w:t xml:space="preserve">                        </w:t>
      </w:r>
    </w:p>
    <w:p w14:paraId="132F12CC">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0FF0D06A">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24781DBE">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2F19D47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bCs/>
          <w:color w:val="auto"/>
          <w:sz w:val="21"/>
          <w:szCs w:val="20"/>
          <w:highlight w:val="none"/>
          <w:u w:val="single"/>
        </w:rPr>
        <w:t xml:space="preserve">                        </w:t>
      </w:r>
    </w:p>
    <w:p w14:paraId="0CF7EBC4">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bCs/>
          <w:color w:val="auto"/>
          <w:sz w:val="21"/>
          <w:szCs w:val="20"/>
          <w:highlight w:val="none"/>
          <w:u w:val="single"/>
        </w:rPr>
        <w:t xml:space="preserve">                        </w:t>
      </w:r>
    </w:p>
    <w:p w14:paraId="1E1C633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bCs/>
          <w:color w:val="auto"/>
          <w:sz w:val="21"/>
          <w:szCs w:val="20"/>
          <w:highlight w:val="none"/>
          <w:u w:val="single"/>
        </w:rPr>
        <w:t xml:space="preserve">                        </w:t>
      </w:r>
    </w:p>
    <w:p w14:paraId="42172AD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r>
        <w:rPr>
          <w:rFonts w:hint="eastAsia" w:ascii="宋体" w:hAnsi="宋体" w:cs="宋体"/>
          <w:bCs/>
          <w:color w:val="auto"/>
          <w:sz w:val="21"/>
          <w:szCs w:val="20"/>
          <w:highlight w:val="none"/>
          <w:u w:val="single"/>
        </w:rPr>
        <w:t xml:space="preserve">                        </w:t>
      </w:r>
    </w:p>
    <w:p w14:paraId="0DD36F9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036CECD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04C7C18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7E588A25">
      <w:pPr>
        <w:spacing w:line="360" w:lineRule="exact"/>
        <w:ind w:left="29" w:leftChars="12" w:firstLine="308" w:firstLineChars="147"/>
        <w:rPr>
          <w:rFonts w:ascii="宋体" w:hAnsi="宋体" w:cs="宋体"/>
          <w:color w:val="auto"/>
          <w:sz w:val="21"/>
          <w:szCs w:val="21"/>
          <w:highlight w:val="none"/>
        </w:rPr>
      </w:pPr>
    </w:p>
    <w:p w14:paraId="25B8A46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3788D485">
      <w:pPr>
        <w:spacing w:line="360" w:lineRule="exact"/>
        <w:ind w:left="29" w:leftChars="12" w:firstLine="308" w:firstLineChars="147"/>
        <w:rPr>
          <w:rFonts w:ascii="宋体" w:hAnsi="宋体" w:cs="宋体"/>
          <w:color w:val="auto"/>
          <w:sz w:val="21"/>
          <w:szCs w:val="21"/>
          <w:highlight w:val="none"/>
        </w:rPr>
      </w:pPr>
    </w:p>
    <w:p w14:paraId="174DD3E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1FC5FEE3">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09CFFB0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0ADDBD4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7B2BA5C">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1EA44167">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1E6DC823">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74A3B7A2">
      <w:pPr>
        <w:spacing w:line="240" w:lineRule="auto"/>
        <w:ind w:firstLine="0" w:firstLineChars="0"/>
        <w:rPr>
          <w:color w:val="auto"/>
          <w:sz w:val="21"/>
          <w:szCs w:val="24"/>
          <w:highlight w:val="none"/>
        </w:rPr>
      </w:pPr>
    </w:p>
    <w:p w14:paraId="47C8C8A6">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附表2：</w:t>
      </w:r>
    </w:p>
    <w:p w14:paraId="7CC65973">
      <w:pPr>
        <w:spacing w:line="240" w:lineRule="auto"/>
        <w:ind w:left="2940" w:firstLine="0" w:firstLineChars="0"/>
        <w:rPr>
          <w:color w:val="auto"/>
          <w:sz w:val="21"/>
          <w:szCs w:val="24"/>
          <w:highlight w:val="none"/>
        </w:rPr>
      </w:pPr>
    </w:p>
    <w:p w14:paraId="6062861D">
      <w:pPr>
        <w:spacing w:line="460" w:lineRule="exact"/>
        <w:ind w:firstLine="0" w:firstLineChars="0"/>
        <w:jc w:val="center"/>
        <w:rPr>
          <w:rFonts w:ascii="宋体" w:hAnsi="宋体" w:cs="宋体"/>
          <w:color w:val="auto"/>
          <w:sz w:val="44"/>
          <w:szCs w:val="24"/>
          <w:highlight w:val="none"/>
        </w:rPr>
      </w:pPr>
    </w:p>
    <w:p w14:paraId="3EBFF1C2">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64AA768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A928EE1">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bCs/>
          <w:color w:val="auto"/>
          <w:sz w:val="21"/>
          <w:szCs w:val="20"/>
          <w:highlight w:val="none"/>
          <w:u w:val="single"/>
        </w:rPr>
        <w:t xml:space="preserve">                        </w:t>
      </w:r>
    </w:p>
    <w:p w14:paraId="63804C84">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4C044AAE">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bCs/>
          <w:color w:val="auto"/>
          <w:sz w:val="21"/>
          <w:szCs w:val="20"/>
          <w:highlight w:val="none"/>
          <w:u w:val="single"/>
        </w:rPr>
        <w:t xml:space="preserve">                        </w:t>
      </w:r>
    </w:p>
    <w:p w14:paraId="5BB1D02C">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F8C1574">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C1FEB71">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7F9821E4">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bCs/>
          <w:color w:val="auto"/>
          <w:sz w:val="21"/>
          <w:szCs w:val="20"/>
          <w:highlight w:val="none"/>
          <w:u w:val="single"/>
        </w:rPr>
        <w:t xml:space="preserve">                        </w:t>
      </w:r>
    </w:p>
    <w:p w14:paraId="0A5931DA">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1ADA1BC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3C68D293">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r>
        <w:rPr>
          <w:rFonts w:hint="eastAsia" w:ascii="宋体" w:hAnsi="宋体" w:cs="宋体"/>
          <w:bCs/>
          <w:color w:val="auto"/>
          <w:sz w:val="21"/>
          <w:szCs w:val="20"/>
          <w:highlight w:val="none"/>
          <w:u w:val="single"/>
        </w:rPr>
        <w:t xml:space="preserve">                        </w:t>
      </w:r>
    </w:p>
    <w:p w14:paraId="1C63221A">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22200AF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bCs/>
          <w:color w:val="auto"/>
          <w:sz w:val="21"/>
          <w:szCs w:val="20"/>
          <w:highlight w:val="none"/>
          <w:u w:val="single"/>
        </w:rPr>
        <w:t xml:space="preserve">                        </w:t>
      </w:r>
    </w:p>
    <w:p w14:paraId="4251CFE5">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57A14B13">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1C9EB4C">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1A54A2D2">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3BF70E7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0FF272E0">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632DC314">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bCs/>
          <w:color w:val="auto"/>
          <w:sz w:val="21"/>
          <w:szCs w:val="20"/>
          <w:highlight w:val="none"/>
          <w:u w:val="single"/>
        </w:rPr>
        <w:t xml:space="preserve">                          </w:t>
      </w:r>
    </w:p>
    <w:p w14:paraId="6DA1CFF2">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 xml:space="preserve">是/否 </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73B37684">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46D68CAE">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FDFCA40">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日，向提出质疑，质疑事项为：</w:t>
      </w:r>
      <w:r>
        <w:rPr>
          <w:rFonts w:hint="eastAsia" w:ascii="宋体" w:hAnsi="宋体" w:cs="宋体"/>
          <w:bCs/>
          <w:color w:val="auto"/>
          <w:sz w:val="21"/>
          <w:szCs w:val="20"/>
          <w:highlight w:val="none"/>
          <w:u w:val="single"/>
        </w:rPr>
        <w:t xml:space="preserve">                        </w:t>
      </w:r>
    </w:p>
    <w:p w14:paraId="375EC753">
      <w:pPr>
        <w:spacing w:line="400" w:lineRule="exact"/>
        <w:ind w:firstLine="0" w:firstLineChars="0"/>
        <w:rPr>
          <w:rFonts w:ascii="宋体" w:hAnsi="宋体" w:cs="宋体"/>
          <w:bCs/>
          <w:color w:val="auto"/>
          <w:sz w:val="21"/>
          <w:szCs w:val="20"/>
          <w:highlight w:val="none"/>
          <w:u w:val="single"/>
        </w:rPr>
      </w:pPr>
    </w:p>
    <w:p w14:paraId="4A119F55">
      <w:pPr>
        <w:spacing w:line="400" w:lineRule="exact"/>
        <w:ind w:firstLine="0" w:firstLineChars="0"/>
        <w:rPr>
          <w:rFonts w:ascii="宋体" w:hAnsi="宋体" w:cs="宋体"/>
          <w:bCs/>
          <w:color w:val="auto"/>
          <w:sz w:val="21"/>
          <w:szCs w:val="20"/>
          <w:highlight w:val="none"/>
          <w:u w:val="single"/>
        </w:rPr>
      </w:pPr>
    </w:p>
    <w:p w14:paraId="211A541A">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0A19233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0168D08C">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bCs/>
          <w:color w:val="auto"/>
          <w:sz w:val="21"/>
          <w:szCs w:val="20"/>
          <w:highlight w:val="none"/>
          <w:u w:val="single"/>
        </w:rPr>
        <w:t xml:space="preserve">                               </w:t>
      </w:r>
    </w:p>
    <w:p w14:paraId="2D153CFD">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bCs/>
          <w:color w:val="auto"/>
          <w:sz w:val="21"/>
          <w:szCs w:val="20"/>
          <w:highlight w:val="none"/>
          <w:u w:val="single"/>
        </w:rPr>
        <w:t xml:space="preserve">                               </w:t>
      </w:r>
    </w:p>
    <w:p w14:paraId="22D17D3F">
      <w:pPr>
        <w:spacing w:line="400" w:lineRule="exact"/>
        <w:ind w:left="29" w:leftChars="12" w:firstLine="413" w:firstLineChars="197"/>
        <w:rPr>
          <w:rFonts w:ascii="宋体" w:hAnsi="宋体" w:cs="宋体"/>
          <w:color w:val="auto"/>
          <w:sz w:val="21"/>
          <w:szCs w:val="21"/>
          <w:highlight w:val="none"/>
        </w:rPr>
      </w:pPr>
    </w:p>
    <w:p w14:paraId="59BE95DE">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bCs/>
          <w:color w:val="auto"/>
          <w:sz w:val="21"/>
          <w:szCs w:val="20"/>
          <w:highlight w:val="none"/>
          <w:u w:val="single"/>
        </w:rPr>
        <w:t xml:space="preserve">                               </w:t>
      </w:r>
    </w:p>
    <w:p w14:paraId="7F883BC6">
      <w:pPr>
        <w:spacing w:line="400" w:lineRule="exact"/>
        <w:ind w:left="29" w:leftChars="12" w:firstLine="308" w:firstLineChars="147"/>
        <w:rPr>
          <w:rFonts w:ascii="宋体" w:hAnsi="宋体" w:cs="宋体"/>
          <w:bCs/>
          <w:color w:val="auto"/>
          <w:sz w:val="21"/>
          <w:szCs w:val="20"/>
          <w:highlight w:val="none"/>
          <w:u w:val="single"/>
        </w:rPr>
      </w:pPr>
    </w:p>
    <w:p w14:paraId="286A2673">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r>
        <w:rPr>
          <w:rFonts w:hint="eastAsia" w:ascii="宋体" w:hAnsi="宋体" w:cs="宋体"/>
          <w:bCs/>
          <w:color w:val="auto"/>
          <w:sz w:val="21"/>
          <w:szCs w:val="20"/>
          <w:highlight w:val="none"/>
          <w:u w:val="single"/>
        </w:rPr>
        <w:t xml:space="preserve">                               </w:t>
      </w:r>
    </w:p>
    <w:p w14:paraId="0B51C5A6">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5B1829CD">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90875AA">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p>
    <w:p w14:paraId="6496CC94">
      <w:pPr>
        <w:spacing w:line="400" w:lineRule="exact"/>
        <w:ind w:left="29" w:leftChars="12" w:firstLine="308" w:firstLineChars="147"/>
        <w:rPr>
          <w:rFonts w:ascii="宋体" w:hAnsi="宋体" w:cs="宋体"/>
          <w:color w:val="auto"/>
          <w:sz w:val="21"/>
          <w:szCs w:val="21"/>
          <w:highlight w:val="none"/>
        </w:rPr>
      </w:pPr>
    </w:p>
    <w:p w14:paraId="08333118">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2EEF2BB4">
      <w:pPr>
        <w:spacing w:line="400" w:lineRule="exact"/>
        <w:ind w:left="29" w:leftChars="12" w:firstLine="308" w:firstLineChars="147"/>
        <w:rPr>
          <w:rFonts w:ascii="宋体" w:hAnsi="宋体" w:cs="宋体"/>
          <w:color w:val="auto"/>
          <w:sz w:val="21"/>
          <w:szCs w:val="21"/>
          <w:highlight w:val="none"/>
        </w:rPr>
      </w:pPr>
    </w:p>
    <w:p w14:paraId="286C64E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1676A20">
      <w:pPr>
        <w:spacing w:line="360" w:lineRule="exact"/>
        <w:ind w:left="29" w:leftChars="12" w:firstLine="413" w:firstLineChars="197"/>
        <w:rPr>
          <w:rFonts w:ascii="宋体" w:hAnsi="宋体" w:cs="宋体"/>
          <w:color w:val="auto"/>
          <w:sz w:val="21"/>
          <w:szCs w:val="21"/>
          <w:highlight w:val="none"/>
        </w:rPr>
      </w:pPr>
    </w:p>
    <w:p w14:paraId="575F2BA9">
      <w:pPr>
        <w:snapToGrid w:val="0"/>
        <w:spacing w:line="340" w:lineRule="exact"/>
        <w:ind w:firstLine="0" w:firstLineChars="0"/>
        <w:rPr>
          <w:rFonts w:ascii="宋体" w:hAnsi="宋体" w:cs="宋体"/>
          <w:b/>
          <w:color w:val="auto"/>
          <w:sz w:val="21"/>
          <w:szCs w:val="21"/>
          <w:highlight w:val="none"/>
        </w:rPr>
      </w:pPr>
    </w:p>
    <w:p w14:paraId="791ACAA8">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13DD8E30">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35A4845B">
      <w:pPr>
        <w:spacing w:line="340" w:lineRule="exact"/>
        <w:ind w:left="29" w:leftChars="12" w:firstLine="310" w:firstLineChars="147"/>
        <w:rPr>
          <w:rFonts w:ascii="宋体" w:hAnsi="宋体"/>
          <w:b/>
          <w:color w:val="auto"/>
          <w:sz w:val="21"/>
          <w:szCs w:val="20"/>
          <w:highlight w:val="none"/>
        </w:rPr>
      </w:pPr>
      <w:r>
        <w:rPr>
          <w:rFonts w:hint="eastAsia" w:ascii="宋体" w:hAnsi="宋体" w:cs="宋体"/>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3766463">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6FF5EED2">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8D7EBB8">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1E7ACE62">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684C4597">
      <w:pPr>
        <w:spacing w:line="340" w:lineRule="exact"/>
        <w:ind w:left="29" w:leftChars="12" w:firstLine="310" w:firstLineChars="147"/>
        <w:rPr>
          <w:rFonts w:ascii="宋体" w:hAnsi="宋体" w:cs="宋体"/>
          <w:b/>
          <w:color w:val="auto"/>
          <w:kern w:val="0"/>
          <w:sz w:val="21"/>
          <w:szCs w:val="21"/>
          <w:highlight w:val="none"/>
        </w:rPr>
      </w:pPr>
    </w:p>
    <w:p w14:paraId="51169057">
      <w:pPr>
        <w:spacing w:line="340" w:lineRule="exact"/>
        <w:ind w:left="29" w:leftChars="12" w:firstLine="310" w:firstLineChars="147"/>
        <w:rPr>
          <w:rFonts w:ascii="宋体" w:hAnsi="宋体"/>
          <w:b/>
          <w:color w:val="auto"/>
          <w:kern w:val="0"/>
          <w:sz w:val="21"/>
          <w:szCs w:val="21"/>
          <w:highlight w:val="none"/>
        </w:rPr>
      </w:pPr>
    </w:p>
    <w:p w14:paraId="69AC3551">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E864ADB">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0F272A6">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02521E6">
      <w:pPr>
        <w:spacing w:line="240" w:lineRule="auto"/>
        <w:ind w:firstLine="0" w:firstLineChars="0"/>
        <w:rPr>
          <w:rFonts w:ascii="宋体" w:hAnsi="宋体"/>
          <w:b/>
          <w:color w:val="auto"/>
          <w:kern w:val="0"/>
          <w:sz w:val="32"/>
          <w:szCs w:val="32"/>
          <w:highlight w:val="none"/>
        </w:rPr>
      </w:pPr>
    </w:p>
    <w:p w14:paraId="2B9234FF">
      <w:pPr>
        <w:spacing w:line="240" w:lineRule="auto"/>
        <w:ind w:firstLine="0" w:firstLineChars="0"/>
        <w:rPr>
          <w:rFonts w:ascii="宋体" w:hAnsi="宋体"/>
          <w:b/>
          <w:color w:val="auto"/>
          <w:kern w:val="0"/>
          <w:sz w:val="32"/>
          <w:szCs w:val="32"/>
          <w:highlight w:val="none"/>
        </w:rPr>
      </w:pPr>
    </w:p>
    <w:p w14:paraId="2307D635">
      <w:pPr>
        <w:spacing w:line="240" w:lineRule="auto"/>
        <w:ind w:firstLine="0" w:firstLineChars="0"/>
        <w:rPr>
          <w:rFonts w:ascii="宋体" w:hAnsi="宋体"/>
          <w:b/>
          <w:color w:val="auto"/>
          <w:kern w:val="0"/>
          <w:sz w:val="32"/>
          <w:szCs w:val="32"/>
          <w:highlight w:val="none"/>
        </w:rPr>
      </w:pPr>
    </w:p>
    <w:p w14:paraId="7EB1809F">
      <w:pPr>
        <w:spacing w:line="240" w:lineRule="auto"/>
        <w:ind w:firstLine="0" w:firstLineChars="0"/>
        <w:rPr>
          <w:rFonts w:ascii="宋体" w:hAnsi="宋体"/>
          <w:b/>
          <w:color w:val="auto"/>
          <w:kern w:val="0"/>
          <w:sz w:val="32"/>
          <w:szCs w:val="32"/>
          <w:highlight w:val="none"/>
        </w:rPr>
      </w:pPr>
    </w:p>
    <w:p w14:paraId="7AA05E00">
      <w:pPr>
        <w:pStyle w:val="23"/>
        <w:rPr>
          <w:color w:val="auto"/>
          <w:highlight w:val="none"/>
        </w:rPr>
      </w:pPr>
    </w:p>
    <w:p w14:paraId="75432B25">
      <w:pPr>
        <w:spacing w:line="240" w:lineRule="auto"/>
        <w:ind w:firstLine="0" w:firstLineChars="0"/>
        <w:rPr>
          <w:color w:val="auto"/>
          <w:sz w:val="21"/>
          <w:szCs w:val="24"/>
          <w:highlight w:val="none"/>
        </w:rPr>
      </w:pPr>
    </w:p>
    <w:p w14:paraId="2CDB221A">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附表3：</w:t>
      </w:r>
    </w:p>
    <w:p w14:paraId="6DB81C6E">
      <w:pPr>
        <w:spacing w:line="460" w:lineRule="exact"/>
        <w:ind w:firstLine="0" w:firstLineChars="0"/>
        <w:jc w:val="center"/>
        <w:rPr>
          <w:rFonts w:ascii="宋体" w:hAnsi="宋体" w:cs="宋体"/>
          <w:color w:val="auto"/>
          <w:sz w:val="44"/>
          <w:szCs w:val="24"/>
          <w:highlight w:val="none"/>
        </w:rPr>
      </w:pPr>
    </w:p>
    <w:p w14:paraId="4B2791C2">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桂林市政府采购项目合同验收书（格式）</w:t>
      </w:r>
    </w:p>
    <w:p w14:paraId="480FAB99">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1C36EA8B">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w:t>
      </w:r>
      <w:r>
        <w:rPr>
          <w:rFonts w:hint="eastAsia" w:ascii="宋体" w:hAnsi="宋体" w:cs="仿宋"/>
          <w:color w:val="auto"/>
          <w:kern w:val="0"/>
          <w:szCs w:val="24"/>
          <w:highlight w:val="none"/>
          <w:lang w:eastAsia="zh-CN"/>
        </w:rPr>
        <w:t>成交人</w:t>
      </w:r>
      <w:r>
        <w:rPr>
          <w:rFonts w:hint="eastAsia" w:ascii="宋体" w:hAnsi="宋体" w:cs="仿宋"/>
          <w:color w:val="auto"/>
          <w:kern w:val="0"/>
          <w:szCs w:val="24"/>
          <w:highlight w:val="none"/>
        </w:rPr>
        <w:t>（</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77AD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1D0A7CC">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3CC1F3A8">
            <w:pPr>
              <w:widowControl/>
              <w:spacing w:line="320" w:lineRule="atLeast"/>
              <w:ind w:firstLine="480" w:firstLineChars="0"/>
              <w:jc w:val="center"/>
              <w:rPr>
                <w:rFonts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5EDF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4FEA3D2B">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68396F3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名</w:t>
            </w:r>
            <w:r>
              <w:rPr>
                <w:rFonts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7E6C6D9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20B5272E">
            <w:pPr>
              <w:widowControl/>
              <w:spacing w:line="320" w:lineRule="atLeast"/>
              <w:ind w:firstLine="0"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60ACC3C9">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金</w:t>
            </w:r>
            <w:r>
              <w:rPr>
                <w:rFonts w:ascii="宋体"/>
                <w:color w:val="auto"/>
                <w:kern w:val="0"/>
                <w:sz w:val="21"/>
                <w:szCs w:val="24"/>
                <w:highlight w:val="none"/>
              </w:rPr>
              <w:t> </w:t>
            </w:r>
            <w:r>
              <w:rPr>
                <w:rFonts w:hint="eastAsia" w:ascii="宋体" w:hAnsi="宋体" w:cs="宋体"/>
                <w:color w:val="auto"/>
                <w:kern w:val="0"/>
                <w:sz w:val="21"/>
                <w:szCs w:val="24"/>
                <w:highlight w:val="none"/>
              </w:rPr>
              <w:t>额</w:t>
            </w:r>
          </w:p>
        </w:tc>
      </w:tr>
      <w:tr w14:paraId="271B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C978CB0">
            <w:pPr>
              <w:widowControl/>
              <w:spacing w:line="320" w:lineRule="atLeast"/>
              <w:ind w:firstLine="5"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6CFD0D28">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2EEB3D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5A75FFC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7BE1F90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3FF7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145844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12F03E2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258D5E5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3B6A342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7460C87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7082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0D16934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361C16F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6EA96F8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75283C3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39A462C">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882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659E0CAC">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w:t>
            </w:r>
            <w:r>
              <w:rPr>
                <w:rFonts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7B58FE1E">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019CAB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900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6FA145D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万</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元</w:t>
            </w:r>
          </w:p>
        </w:tc>
      </w:tr>
      <w:tr w14:paraId="488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4BA3681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服务期限</w:t>
            </w:r>
          </w:p>
        </w:tc>
        <w:tc>
          <w:tcPr>
            <w:tcW w:w="3240" w:type="dxa"/>
            <w:gridSpan w:val="2"/>
            <w:vAlign w:val="center"/>
          </w:tcPr>
          <w:p w14:paraId="56DCAEAA">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6B25A312">
            <w:pPr>
              <w:widowControl/>
              <w:spacing w:line="320" w:lineRule="atLeast"/>
              <w:ind w:firstLine="46"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1DEDD84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89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7E3B84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240" w:type="dxa"/>
            <w:gridSpan w:val="2"/>
            <w:vAlign w:val="center"/>
          </w:tcPr>
          <w:p w14:paraId="362110D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2D90303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160" w:type="dxa"/>
            <w:gridSpan w:val="2"/>
            <w:vAlign w:val="center"/>
          </w:tcPr>
          <w:p w14:paraId="0F97AB7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368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2B7B1938">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2C8347DF">
            <w:pPr>
              <w:widowControl/>
              <w:spacing w:line="320" w:lineRule="atLeast"/>
              <w:ind w:firstLine="0" w:firstLineChars="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w:t>
            </w:r>
            <w:r>
              <w:rPr>
                <w:rFonts w:hint="eastAsia" w:ascii="宋体" w:hAnsi="宋体"/>
                <w:color w:val="auto"/>
                <w:sz w:val="21"/>
                <w:szCs w:val="21"/>
                <w:highlight w:val="none"/>
                <w:lang w:eastAsia="zh-CN"/>
              </w:rPr>
              <w:t>成交人</w:t>
            </w:r>
            <w:r>
              <w:rPr>
                <w:rFonts w:hint="eastAsia" w:ascii="宋体" w:hAnsi="宋体"/>
                <w:color w:val="auto"/>
                <w:sz w:val="21"/>
                <w:szCs w:val="21"/>
                <w:highlight w:val="none"/>
              </w:rPr>
              <w:t>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eastAsia" w:ascii="宋体" w:hAnsi="宋体" w:cs="宋体"/>
                <w:color w:val="auto"/>
                <w:kern w:val="0"/>
                <w:sz w:val="21"/>
                <w:szCs w:val="24"/>
                <w:highlight w:val="none"/>
                <w:lang w:eastAsia="zh-CN"/>
              </w:rPr>
              <w:t>）</w:t>
            </w:r>
          </w:p>
        </w:tc>
      </w:tr>
      <w:tr w14:paraId="48A7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2CE31A4A">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1F7444E7">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4A84185A">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p>
        </w:tc>
      </w:tr>
      <w:tr w14:paraId="2A41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4A6A0083">
            <w:pPr>
              <w:widowControl/>
              <w:spacing w:line="240" w:lineRule="auto"/>
              <w:ind w:firstLine="0" w:firstLineChars="0"/>
              <w:jc w:val="left"/>
              <w:rPr>
                <w:rFonts w:ascii="宋体"/>
                <w:color w:val="auto"/>
                <w:kern w:val="0"/>
                <w:sz w:val="21"/>
                <w:szCs w:val="24"/>
                <w:highlight w:val="none"/>
              </w:rPr>
            </w:pPr>
          </w:p>
        </w:tc>
        <w:tc>
          <w:tcPr>
            <w:tcW w:w="8100" w:type="dxa"/>
            <w:gridSpan w:val="6"/>
            <w:vAlign w:val="center"/>
          </w:tcPr>
          <w:p w14:paraId="5FA281DF">
            <w:pPr>
              <w:widowControl/>
              <w:spacing w:line="320" w:lineRule="atLeast"/>
              <w:ind w:firstLine="96"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785D3182">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426F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24148643">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6940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CD1E5AF">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2B65537A">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56A9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5E38AA1F">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lang w:eastAsia="zh-CN"/>
              </w:rPr>
              <w:t>成交人</w:t>
            </w:r>
            <w:r>
              <w:rPr>
                <w:rFonts w:hint="eastAsia" w:ascii="宋体" w:hAnsi="宋体" w:cs="宋体"/>
                <w:color w:val="auto"/>
                <w:kern w:val="0"/>
                <w:sz w:val="21"/>
                <w:szCs w:val="24"/>
                <w:highlight w:val="none"/>
              </w:rPr>
              <w:t>负责人签字或盖章：</w:t>
            </w:r>
          </w:p>
          <w:p w14:paraId="3EE35A6D">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3310E868">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2AB0AB55">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47AA45A5">
      <w:pPr>
        <w:snapToGrid w:val="0"/>
        <w:spacing w:line="340" w:lineRule="exact"/>
        <w:ind w:firstLine="0" w:firstLineChars="0"/>
        <w:rPr>
          <w:rFonts w:ascii="宋体" w:hAnsi="宋体" w:cs="宋体"/>
          <w:b/>
          <w:color w:val="auto"/>
          <w:szCs w:val="24"/>
          <w:highlight w:val="none"/>
        </w:rPr>
      </w:pPr>
    </w:p>
    <w:p w14:paraId="6A3EA873">
      <w:pPr>
        <w:snapToGrid w:val="0"/>
        <w:spacing w:line="340" w:lineRule="exact"/>
        <w:ind w:firstLine="0" w:firstLineChars="0"/>
        <w:rPr>
          <w:rFonts w:ascii="宋体" w:hAnsi="宋体" w:cs="宋体"/>
          <w:b/>
          <w:color w:val="auto"/>
          <w:szCs w:val="24"/>
          <w:highlight w:val="none"/>
        </w:rPr>
      </w:pPr>
    </w:p>
    <w:p w14:paraId="00D137FF">
      <w:pPr>
        <w:snapToGrid w:val="0"/>
        <w:spacing w:line="340" w:lineRule="exact"/>
        <w:ind w:firstLine="0" w:firstLineChars="0"/>
        <w:rPr>
          <w:rFonts w:ascii="宋体" w:hAnsi="宋体" w:cs="宋体"/>
          <w:b/>
          <w:color w:val="auto"/>
          <w:szCs w:val="24"/>
          <w:highlight w:val="none"/>
        </w:rPr>
      </w:pPr>
    </w:p>
    <w:p w14:paraId="138E92AD">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附表4：</w:t>
      </w:r>
    </w:p>
    <w:p w14:paraId="5F9DBC88">
      <w:pPr>
        <w:snapToGrid w:val="0"/>
        <w:spacing w:line="340" w:lineRule="exact"/>
        <w:ind w:firstLine="0" w:firstLineChars="0"/>
        <w:rPr>
          <w:rFonts w:ascii="宋体" w:hAnsi="宋体" w:cs="宋体"/>
          <w:b/>
          <w:color w:val="auto"/>
          <w:szCs w:val="24"/>
          <w:highlight w:val="none"/>
        </w:rPr>
      </w:pPr>
    </w:p>
    <w:p w14:paraId="41568466">
      <w:pPr>
        <w:snapToGrid w:val="0"/>
        <w:spacing w:line="340" w:lineRule="exact"/>
        <w:ind w:firstLine="0" w:firstLineChars="0"/>
        <w:rPr>
          <w:rFonts w:ascii="宋体" w:hAnsi="宋体" w:cs="宋体"/>
          <w:b/>
          <w:color w:val="auto"/>
          <w:szCs w:val="24"/>
          <w:highlight w:val="none"/>
        </w:rPr>
      </w:pPr>
    </w:p>
    <w:p w14:paraId="2F221279">
      <w:pPr>
        <w:snapToGrid w:val="0"/>
        <w:spacing w:line="340" w:lineRule="exact"/>
        <w:ind w:firstLine="0" w:firstLineChars="0"/>
        <w:rPr>
          <w:rFonts w:ascii="宋体" w:hAnsi="宋体" w:cs="宋体"/>
          <w:b/>
          <w:color w:val="auto"/>
          <w:szCs w:val="24"/>
          <w:highlight w:val="none"/>
        </w:rPr>
      </w:pPr>
    </w:p>
    <w:p w14:paraId="492B887E">
      <w:pPr>
        <w:widowControl/>
        <w:spacing w:line="24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r:link="rId25" cstate="print"/>
                    <a:stretch>
                      <a:fillRect/>
                    </a:stretch>
                  </pic:blipFill>
                  <pic:spPr>
                    <a:xfrm>
                      <a:off x="0" y="0"/>
                      <a:ext cx="5826760" cy="5836285"/>
                    </a:xfrm>
                    <a:prstGeom prst="rect">
                      <a:avLst/>
                    </a:prstGeom>
                    <a:noFill/>
                    <a:ln>
                      <a:noFill/>
                    </a:ln>
                  </pic:spPr>
                </pic:pic>
              </a:graphicData>
            </a:graphic>
          </wp:inline>
        </w:drawing>
      </w:r>
    </w:p>
    <w:p w14:paraId="26203021">
      <w:pPr>
        <w:spacing w:line="360" w:lineRule="exact"/>
        <w:ind w:firstLine="643"/>
        <w:jc w:val="center"/>
        <w:rPr>
          <w:rFonts w:ascii="宋体" w:hAnsi="宋体"/>
          <w:b/>
          <w:color w:val="auto"/>
          <w:sz w:val="32"/>
          <w:szCs w:val="32"/>
          <w:highlight w:val="none"/>
        </w:rPr>
      </w:pPr>
    </w:p>
    <w:p w14:paraId="3BE31A1C">
      <w:pPr>
        <w:spacing w:line="360" w:lineRule="exact"/>
        <w:ind w:firstLine="643"/>
        <w:jc w:val="center"/>
        <w:rPr>
          <w:rFonts w:ascii="宋体" w:hAnsi="宋体"/>
          <w:b/>
          <w:color w:val="auto"/>
          <w:sz w:val="32"/>
          <w:szCs w:val="32"/>
          <w:highlight w:val="none"/>
        </w:rPr>
      </w:pPr>
    </w:p>
    <w:p w14:paraId="126D7FE3">
      <w:pPr>
        <w:spacing w:line="360" w:lineRule="exact"/>
        <w:ind w:firstLine="643"/>
        <w:jc w:val="center"/>
        <w:rPr>
          <w:rFonts w:ascii="宋体" w:hAnsi="宋体"/>
          <w:b/>
          <w:color w:val="auto"/>
          <w:sz w:val="32"/>
          <w:szCs w:val="32"/>
          <w:highlight w:val="none"/>
        </w:rPr>
      </w:pPr>
    </w:p>
    <w:p w14:paraId="0DCFE788">
      <w:pPr>
        <w:spacing w:line="360" w:lineRule="exact"/>
        <w:ind w:firstLine="643"/>
        <w:jc w:val="center"/>
        <w:rPr>
          <w:rFonts w:ascii="宋体" w:hAnsi="宋体"/>
          <w:b/>
          <w:color w:val="auto"/>
          <w:sz w:val="32"/>
          <w:szCs w:val="32"/>
          <w:highlight w:val="none"/>
        </w:rPr>
      </w:pPr>
    </w:p>
    <w:p w14:paraId="7BF20B7E">
      <w:pPr>
        <w:spacing w:line="360" w:lineRule="exact"/>
        <w:ind w:firstLine="643"/>
        <w:jc w:val="center"/>
        <w:rPr>
          <w:rFonts w:ascii="宋体" w:hAnsi="宋体"/>
          <w:b/>
          <w:color w:val="auto"/>
          <w:sz w:val="32"/>
          <w:szCs w:val="32"/>
          <w:highlight w:val="none"/>
        </w:rPr>
      </w:pPr>
    </w:p>
    <w:p w14:paraId="0FAFDEBB">
      <w:pPr>
        <w:spacing w:line="360" w:lineRule="exact"/>
        <w:ind w:firstLine="643"/>
        <w:jc w:val="center"/>
        <w:rPr>
          <w:rFonts w:ascii="宋体" w:hAnsi="宋体"/>
          <w:b/>
          <w:color w:val="auto"/>
          <w:sz w:val="32"/>
          <w:szCs w:val="32"/>
          <w:highlight w:val="none"/>
        </w:rPr>
      </w:pPr>
    </w:p>
    <w:p w14:paraId="69006C72">
      <w:pPr>
        <w:spacing w:line="360" w:lineRule="exact"/>
        <w:ind w:firstLine="643"/>
        <w:jc w:val="center"/>
        <w:rPr>
          <w:rFonts w:ascii="宋体" w:hAnsi="宋体"/>
          <w:b/>
          <w:color w:val="auto"/>
          <w:sz w:val="32"/>
          <w:szCs w:val="32"/>
          <w:highlight w:val="none"/>
        </w:rPr>
      </w:pPr>
    </w:p>
    <w:p w14:paraId="1438C025">
      <w:pPr>
        <w:spacing w:line="360" w:lineRule="exact"/>
        <w:ind w:firstLine="643"/>
        <w:jc w:val="center"/>
        <w:rPr>
          <w:rFonts w:ascii="宋体" w:hAnsi="宋体"/>
          <w:b/>
          <w:color w:val="auto"/>
          <w:sz w:val="32"/>
          <w:szCs w:val="32"/>
          <w:highlight w:val="none"/>
        </w:rPr>
      </w:pPr>
    </w:p>
    <w:p w14:paraId="7F3C9854">
      <w:pPr>
        <w:spacing w:line="360" w:lineRule="exact"/>
        <w:ind w:firstLine="643"/>
        <w:jc w:val="center"/>
        <w:rPr>
          <w:rFonts w:ascii="宋体" w:hAnsi="宋体"/>
          <w:b/>
          <w:color w:val="auto"/>
          <w:sz w:val="32"/>
          <w:szCs w:val="32"/>
          <w:highlight w:val="none"/>
        </w:rPr>
      </w:pPr>
    </w:p>
    <w:bookmarkEnd w:id="0"/>
    <w:p w14:paraId="7B22A3EE">
      <w:pPr>
        <w:pStyle w:val="26"/>
        <w:spacing w:line="340" w:lineRule="exact"/>
        <w:jc w:val="center"/>
        <w:rPr>
          <w:rFonts w:hint="eastAsia" w:hAnsi="宋体" w:cs="宋体"/>
          <w:b/>
          <w:color w:val="auto"/>
          <w:sz w:val="32"/>
          <w:szCs w:val="32"/>
          <w:highlight w:val="none"/>
        </w:rPr>
      </w:pPr>
      <w:r>
        <w:rPr>
          <w:rFonts w:hint="eastAsia" w:hAnsi="宋体" w:cs="宋体"/>
          <w:b/>
          <w:color w:val="auto"/>
          <w:sz w:val="32"/>
          <w:szCs w:val="32"/>
          <w:highlight w:val="none"/>
        </w:rPr>
        <w:t>第三章 采购需求</w:t>
      </w:r>
    </w:p>
    <w:p w14:paraId="1C86B382">
      <w:pPr>
        <w:rPr>
          <w:rFonts w:hint="eastAsia" w:ascii="宋体" w:hAnsi="宋体"/>
          <w:b/>
          <w:color w:val="auto"/>
          <w:sz w:val="21"/>
          <w:szCs w:val="21"/>
          <w:highlight w:val="none"/>
        </w:rPr>
      </w:pPr>
    </w:p>
    <w:p w14:paraId="49B71260">
      <w:pPr>
        <w:rPr>
          <w:color w:val="auto"/>
          <w:highlight w:val="none"/>
        </w:rPr>
      </w:pPr>
      <w:r>
        <w:rPr>
          <w:rFonts w:hint="eastAsia" w:ascii="宋体" w:hAnsi="宋体"/>
          <w:b/>
          <w:color w:val="auto"/>
          <w:sz w:val="21"/>
          <w:szCs w:val="21"/>
          <w:highlight w:val="none"/>
        </w:rPr>
        <w:t>“实质性要求”是指磋商文件中已经指明不满足则响应文件按无效处理的条款，或者不能负偏离的条款，或者采购需求中带“▲”的条款。实质性要求若有任意一项不满足的，响应文件按无效处理。</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3"/>
        <w:gridCol w:w="1020"/>
        <w:gridCol w:w="732"/>
        <w:gridCol w:w="182"/>
        <w:gridCol w:w="487"/>
        <w:gridCol w:w="6254"/>
      </w:tblGrid>
      <w:tr w14:paraId="10A4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6"/>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7AF7D49F">
            <w:pPr>
              <w:spacing w:line="400" w:lineRule="exact"/>
              <w:ind w:firstLine="0" w:firstLineChars="0"/>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一、采购需求一览表</w:t>
            </w:r>
          </w:p>
        </w:tc>
      </w:tr>
      <w:tr w14:paraId="71A0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2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00C2453">
            <w:pPr>
              <w:snapToGrid w:val="0"/>
              <w:spacing w:line="400" w:lineRule="exact"/>
              <w:ind w:firstLine="0" w:firstLineChars="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采购标的</w:t>
            </w:r>
          </w:p>
        </w:tc>
        <w:tc>
          <w:tcPr>
            <w:tcW w:w="732"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CDA3A67">
            <w:pPr>
              <w:spacing w:line="400" w:lineRule="exact"/>
              <w:ind w:firstLine="0" w:firstLineChars="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数量</w:t>
            </w:r>
          </w:p>
        </w:tc>
        <w:tc>
          <w:tcPr>
            <w:tcW w:w="669"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AFF4860">
            <w:pPr>
              <w:snapToGrid w:val="0"/>
              <w:spacing w:line="400" w:lineRule="exact"/>
              <w:ind w:firstLine="0" w:firstLineChars="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单位</w:t>
            </w:r>
          </w:p>
        </w:tc>
        <w:tc>
          <w:tcPr>
            <w:tcW w:w="6254"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E88653E">
            <w:pPr>
              <w:spacing w:line="400" w:lineRule="exact"/>
              <w:ind w:firstLine="0" w:firstLineChars="0"/>
              <w:jc w:val="center"/>
              <w:rPr>
                <w:rFonts w:hint="eastAsia" w:ascii="宋体" w:hAnsi="宋体" w:eastAsia="宋体" w:cs="宋体"/>
                <w:b/>
                <w:bCs/>
                <w:color w:val="auto"/>
                <w:sz w:val="21"/>
                <w:szCs w:val="21"/>
                <w:highlight w:val="none"/>
                <w:lang w:eastAsia="zh-CN"/>
              </w:rPr>
            </w:pPr>
            <w:r>
              <w:rPr>
                <w:rFonts w:hint="eastAsia" w:ascii="宋体" w:hAnsi="宋体" w:eastAsia="宋体" w:cs="Times New Roman"/>
                <w:color w:val="auto"/>
                <w:szCs w:val="24"/>
                <w:highlight w:val="none"/>
              </w:rPr>
              <w:t>▲</w:t>
            </w:r>
            <w:r>
              <w:rPr>
                <w:rFonts w:hint="eastAsia" w:ascii="宋体" w:hAnsi="宋体" w:cs="宋体"/>
                <w:b/>
                <w:bCs/>
                <w:color w:val="auto"/>
                <w:sz w:val="21"/>
                <w:szCs w:val="21"/>
                <w:highlight w:val="none"/>
                <w:lang w:eastAsia="zh-CN"/>
              </w:rPr>
              <w:t>技术要求</w:t>
            </w:r>
          </w:p>
        </w:tc>
      </w:tr>
      <w:tr w14:paraId="3C4B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2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CBCA0CB">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4"/>
                <w:highlight w:val="none"/>
                <w:lang w:eastAsia="zh-CN"/>
              </w:rPr>
              <w:t>桂林市田家炳中学球类活动场地改造</w:t>
            </w:r>
          </w:p>
        </w:tc>
        <w:tc>
          <w:tcPr>
            <w:tcW w:w="732"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B715C98">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669"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6FA0CAF">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w:t>
            </w:r>
          </w:p>
        </w:tc>
        <w:tc>
          <w:tcPr>
            <w:tcW w:w="6254"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85BEC37">
            <w:pPr>
              <w:spacing w:line="400" w:lineRule="exact"/>
              <w:ind w:firstLine="0" w:firstLine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一</w:t>
            </w:r>
            <w:r>
              <w:rPr>
                <w:rFonts w:hint="eastAsia" w:ascii="宋体" w:hAnsi="宋体" w:eastAsia="宋体" w:cs="宋体"/>
                <w:b/>
                <w:bCs/>
                <w:color w:val="auto"/>
                <w:sz w:val="21"/>
                <w:szCs w:val="21"/>
                <w:highlight w:val="none"/>
              </w:rPr>
              <w:t>）工程内容</w:t>
            </w:r>
          </w:p>
          <w:p w14:paraId="415B7B6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桂林市田家炳中学球类活动场地改造</w:t>
            </w:r>
            <w:r>
              <w:rPr>
                <w:rFonts w:hint="eastAsia" w:ascii="宋体" w:hAnsi="宋体" w:eastAsia="宋体" w:cs="宋体"/>
                <w:color w:val="auto"/>
                <w:sz w:val="21"/>
                <w:szCs w:val="21"/>
                <w:highlight w:val="none"/>
              </w:rPr>
              <w:t>1项，主要工程内容为：原</w:t>
            </w:r>
            <w:r>
              <w:rPr>
                <w:rFonts w:hint="eastAsia" w:ascii="宋体" w:hAnsi="宋体" w:cs="宋体"/>
                <w:color w:val="auto"/>
                <w:sz w:val="21"/>
                <w:szCs w:val="21"/>
                <w:highlight w:val="none"/>
                <w:lang w:val="en-US" w:eastAsia="zh-CN"/>
              </w:rPr>
              <w:t>8mm</w:t>
            </w:r>
            <w:r>
              <w:rPr>
                <w:rFonts w:hint="eastAsia" w:ascii="宋体" w:hAnsi="宋体" w:eastAsia="宋体" w:cs="宋体"/>
                <w:color w:val="auto"/>
                <w:sz w:val="21"/>
                <w:szCs w:val="21"/>
                <w:highlight w:val="none"/>
              </w:rPr>
              <w:t>厚硅PU球场拆除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新建8</w:t>
            </w:r>
            <w:r>
              <w:rPr>
                <w:rFonts w:hint="eastAsia" w:ascii="宋体" w:hAnsi="宋体" w:cs="宋体"/>
                <w:color w:val="auto"/>
                <w:sz w:val="21"/>
                <w:szCs w:val="21"/>
                <w:highlight w:val="none"/>
                <w:lang w:val="en-US" w:eastAsia="zh-CN"/>
              </w:rPr>
              <w:t>mm</w:t>
            </w:r>
            <w:r>
              <w:rPr>
                <w:rFonts w:hint="eastAsia" w:ascii="宋体" w:hAnsi="宋体" w:eastAsia="宋体" w:cs="宋体"/>
                <w:color w:val="auto"/>
                <w:sz w:val="21"/>
                <w:szCs w:val="21"/>
                <w:highlight w:val="none"/>
              </w:rPr>
              <w:t>厚硅PU球场、排水沟等项目，具体详见工程量清单及图纸。</w:t>
            </w:r>
          </w:p>
          <w:p w14:paraId="0A8FF71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2.建设地点：桂林市七星区（</w:t>
            </w:r>
            <w:r>
              <w:rPr>
                <w:rFonts w:hint="eastAsia" w:ascii="宋体" w:hAnsi="宋体" w:eastAsia="宋体" w:cs="宋体"/>
                <w:color w:val="auto"/>
                <w:sz w:val="21"/>
                <w:szCs w:val="21"/>
                <w:highlight w:val="none"/>
                <w:lang w:eastAsia="zh-CN"/>
              </w:rPr>
              <w:t>桂林市田家炳中学校园内</w:t>
            </w:r>
            <w:r>
              <w:rPr>
                <w:rFonts w:hint="eastAsia" w:ascii="宋体" w:hAnsi="宋体" w:cs="宋体"/>
                <w:color w:val="auto"/>
                <w:sz w:val="21"/>
                <w:szCs w:val="21"/>
                <w:highlight w:val="none"/>
                <w:lang w:val="en-US" w:eastAsia="zh-CN"/>
              </w:rPr>
              <w:t>）</w:t>
            </w:r>
          </w:p>
          <w:p w14:paraId="32BFC61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（二）技术标准和要求</w:t>
            </w:r>
          </w:p>
          <w:p w14:paraId="383F5B0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按国家和地方现行相关规范、标准和规程执行。</w:t>
            </w:r>
          </w:p>
          <w:p w14:paraId="28242B2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采购人将根据上述技术标准和要求进行验收，若工程完工后达不到上述技术标准和要求的，按验收不合格处理。</w:t>
            </w:r>
          </w:p>
          <w:p w14:paraId="3D8759E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.质量要求：达到国家施工验收规范合格标准。</w:t>
            </w:r>
          </w:p>
          <w:p w14:paraId="6B4AA2C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w:t>
            </w:r>
            <w:r>
              <w:rPr>
                <w:rFonts w:hint="eastAsia" w:ascii="宋体" w:hAnsi="宋体" w:cs="宋体"/>
                <w:b/>
                <w:bCs/>
                <w:color w:val="auto"/>
                <w:sz w:val="21"/>
                <w:szCs w:val="21"/>
                <w:highlight w:val="none"/>
                <w:lang w:eastAsia="zh-CN"/>
              </w:rPr>
              <w:t>三</w:t>
            </w:r>
            <w:r>
              <w:rPr>
                <w:rFonts w:hint="eastAsia" w:ascii="宋体" w:hAnsi="宋体" w:eastAsia="宋体" w:cs="宋体"/>
                <w:b/>
                <w:bCs/>
                <w:color w:val="auto"/>
                <w:sz w:val="21"/>
                <w:szCs w:val="21"/>
                <w:highlight w:val="none"/>
                <w:lang w:eastAsia="zh-CN"/>
              </w:rPr>
              <w:t>）产品技术要求</w:t>
            </w:r>
          </w:p>
          <w:p w14:paraId="22916A4D">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val="en-US" w:eastAsia="zh-CN"/>
              </w:rPr>
              <w:t>1.供应商所竞</w:t>
            </w:r>
            <w:r>
              <w:rPr>
                <w:rFonts w:hint="eastAsia" w:ascii="宋体" w:hAnsi="宋体" w:eastAsia="宋体" w:cs="宋体"/>
                <w:color w:val="auto"/>
                <w:sz w:val="21"/>
                <w:szCs w:val="21"/>
                <w:highlight w:val="none"/>
                <w:lang w:eastAsia="zh-CN"/>
              </w:rPr>
              <w:t>硅PU产品符合国家强制标准GB36246-2018《中小学合成材料面层运动场地》中关于有害物质限量、释放率和物理机械性能、气味的要求【</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6550891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2.供应商所竞硅PU弹性层、面胶、防水底漆和划线漆符合GB36246-2018《中小学合成材料面层运动场地》标准中关于非固体原料中有害物质含量的要求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25A4CFC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3.供应商所竞硅PU面层经过外力（100kg）压缩≥100天，符合GB 36246-2018《</w:t>
            </w:r>
            <w:r>
              <w:rPr>
                <w:rFonts w:hint="eastAsia" w:ascii="宋体" w:hAnsi="宋体" w:eastAsia="宋体" w:cs="宋体"/>
                <w:i w:val="0"/>
                <w:iCs w:val="0"/>
                <w:caps w:val="0"/>
                <w:color w:val="auto"/>
                <w:spacing w:val="0"/>
                <w:sz w:val="21"/>
                <w:szCs w:val="21"/>
                <w:highlight w:val="none"/>
                <w:shd w:val="clear" w:fill="FFFFFF"/>
              </w:rPr>
              <w:t>中小学合成材料面层运动场地</w:t>
            </w:r>
            <w:r>
              <w:rPr>
                <w:rFonts w:hint="eastAsia" w:ascii="宋体" w:hAnsi="宋体" w:eastAsia="宋体" w:cs="宋体"/>
                <w:color w:val="auto"/>
                <w:sz w:val="21"/>
                <w:szCs w:val="21"/>
                <w:highlight w:val="none"/>
                <w:lang w:val="en-US" w:eastAsia="zh-CN"/>
              </w:rPr>
              <w:t>》、GB/T 14833-2020</w:t>
            </w:r>
            <w:r>
              <w:rPr>
                <w:rFonts w:hint="eastAsia" w:ascii="宋体" w:hAnsi="宋体" w:cs="宋体"/>
                <w:color w:val="auto"/>
                <w:sz w:val="21"/>
                <w:szCs w:val="21"/>
                <w:highlight w:val="none"/>
                <w:lang w:val="en-US" w:eastAsia="zh-CN"/>
              </w:rPr>
              <w:t>《合成材料运动场地面层》</w:t>
            </w:r>
            <w:r>
              <w:rPr>
                <w:rFonts w:hint="eastAsia" w:ascii="宋体" w:hAnsi="宋体" w:eastAsia="宋体" w:cs="宋体"/>
                <w:color w:val="auto"/>
                <w:sz w:val="21"/>
                <w:szCs w:val="21"/>
                <w:highlight w:val="none"/>
                <w:lang w:val="en-US" w:eastAsia="zh-CN"/>
              </w:rPr>
              <w:t>和GB/T 22517.4-2017《体育场地使用要求及检验方法 第4部分：合成面层篮球场地》标准中关于现浇非渗水型（球类场地）面层</w:t>
            </w:r>
            <w:r>
              <w:rPr>
                <w:rFonts w:hint="eastAsia" w:ascii="宋体" w:hAnsi="宋体" w:cs="宋体"/>
                <w:color w:val="auto"/>
                <w:sz w:val="21"/>
                <w:szCs w:val="21"/>
                <w:highlight w:val="none"/>
                <w:lang w:val="en-US" w:eastAsia="zh-CN"/>
              </w:rPr>
              <w:t>物理机械性能</w:t>
            </w:r>
            <w:r>
              <w:rPr>
                <w:rFonts w:hint="eastAsia" w:ascii="宋体" w:hAnsi="宋体" w:eastAsia="宋体" w:cs="宋体"/>
                <w:color w:val="auto"/>
                <w:sz w:val="21"/>
                <w:szCs w:val="21"/>
                <w:highlight w:val="none"/>
                <w:lang w:val="en-US" w:eastAsia="zh-CN"/>
              </w:rPr>
              <w:t>检测要求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742E6D39">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供应商所竞硅PU须满足在湿度＞90%RH，温度28℃的条件下放置≥32天后，符合金黄色葡萄球菌和大肠杆菌的抗菌率＞99.9%，耐久试验抗细菌率＞99.9%，黑曲霉、绳状青霉、球毛壳霉、宛氏拟青霉、土曲霉、出芽短梗霉抗霉菌及其耐久性能达到0级的要求（不长，即显微镜放大50倍下观察未见生长）</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w:t>
            </w:r>
            <w:r>
              <w:rPr>
                <w:rFonts w:hint="eastAsia" w:ascii="宋体" w:hAnsi="宋体" w:eastAsia="宋体" w:cs="宋体"/>
                <w:b/>
                <w:color w:val="auto"/>
                <w:sz w:val="21"/>
                <w:szCs w:val="21"/>
                <w:highlight w:val="none"/>
                <w:lang w:eastAsia="zh-CN"/>
              </w:rPr>
              <w:t>和“</w:t>
            </w:r>
            <w:r>
              <w:rPr>
                <w:rFonts w:hint="eastAsia" w:ascii="宋体" w:hAnsi="宋体" w:eastAsia="宋体" w:cs="宋体"/>
                <w:b/>
                <w:color w:val="auto"/>
                <w:sz w:val="21"/>
                <w:szCs w:val="21"/>
                <w:highlight w:val="none"/>
                <w:lang w:val="en-US" w:eastAsia="zh-CN"/>
              </w:rPr>
              <w:t>CNAS</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b/>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14:paraId="68053D5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5.供应商所竞硅PU产品在室外自然大气环境暴露一年，满足GB 8624-2012《建筑材料及制品燃烧性能分级》标准中关于检测燃烧性能符合铺地材料燃烧性能B1（B）级</w:t>
            </w:r>
            <w:r>
              <w:rPr>
                <w:rFonts w:hint="eastAsia" w:ascii="宋体" w:hAnsi="宋体" w:cs="宋体"/>
                <w:color w:val="auto"/>
                <w:sz w:val="21"/>
                <w:szCs w:val="21"/>
                <w:highlight w:val="none"/>
                <w:lang w:val="en-US" w:eastAsia="zh-CN"/>
              </w:rPr>
              <w:t>或以上的要求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供应商于响应文件中必须提供所竞产品由具有“CMA”标志的第三方检验检测机构出具的能满足以下检测要求的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b/>
                <w:color w:val="auto"/>
                <w:sz w:val="21"/>
                <w:szCs w:val="21"/>
                <w:highlight w:val="none"/>
                <w:lang w:eastAsia="zh-CN"/>
              </w:rPr>
              <w:t>】。</w:t>
            </w:r>
          </w:p>
          <w:p w14:paraId="4752C32D">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6.供应商所竞PU产品经酸雨浸泡500h后，浸泡液对八项特定可迁移元素检测结果达到未检出的结论</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供应商于响应文件中必须提供所竞产品由具有“CMA”标志的第三方检验检测机构出具的能满足</w:t>
            </w:r>
            <w:r>
              <w:rPr>
                <w:rFonts w:hint="eastAsia" w:ascii="宋体" w:hAnsi="宋体" w:eastAsia="宋体" w:cs="宋体"/>
                <w:b/>
                <w:bCs w:val="0"/>
                <w:color w:val="auto"/>
                <w:sz w:val="21"/>
                <w:szCs w:val="21"/>
                <w:highlight w:val="none"/>
                <w:lang w:eastAsia="zh-CN"/>
              </w:rPr>
              <w:t>本项</w:t>
            </w:r>
            <w:r>
              <w:rPr>
                <w:rFonts w:hint="eastAsia" w:ascii="宋体" w:hAnsi="宋体" w:eastAsia="宋体" w:cs="宋体"/>
                <w:b/>
                <w:bCs w:val="0"/>
                <w:color w:val="auto"/>
                <w:sz w:val="21"/>
                <w:szCs w:val="21"/>
                <w:highlight w:val="none"/>
              </w:rPr>
              <w:t>要求的</w:t>
            </w:r>
            <w:r>
              <w:rPr>
                <w:rFonts w:hint="eastAsia" w:ascii="宋体" w:hAnsi="宋体" w:eastAsia="宋体" w:cs="宋体"/>
                <w:b/>
                <w:bCs w:val="0"/>
                <w:color w:val="auto"/>
                <w:sz w:val="21"/>
                <w:szCs w:val="21"/>
                <w:highlight w:val="none"/>
                <w:lang w:eastAsia="zh-CN"/>
              </w:rPr>
              <w:t>合格</w:t>
            </w:r>
            <w:r>
              <w:rPr>
                <w:rFonts w:hint="eastAsia" w:ascii="宋体" w:hAnsi="宋体" w:eastAsia="宋体" w:cs="宋体"/>
                <w:b/>
                <w:bCs w:val="0"/>
                <w:color w:val="auto"/>
                <w:sz w:val="21"/>
                <w:szCs w:val="21"/>
                <w:highlight w:val="none"/>
              </w:rPr>
              <w:t>有效检验检测报告复印件（报告可通过二维码或全国认证认可信息公共服务平台查询真伪）</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val="0"/>
                <w:bCs/>
                <w:color w:val="auto"/>
                <w:sz w:val="21"/>
                <w:szCs w:val="21"/>
                <w:highlight w:val="none"/>
                <w:lang w:eastAsia="zh-CN"/>
              </w:rPr>
              <w:t>。</w:t>
            </w:r>
          </w:p>
          <w:p w14:paraId="48B4F394">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7.非固体原料硅PU面胶依据GB/T 43565-2023《中小学合成材料面层篮球场地》和GB 36246-2018《中小学合成材料面层运动场地》标准中关于分3d、7d、14d、28d和60d的5个时间段检测有害物质释放量，总挥发性有机化合物（TVOC）≤5.0 mg/（㎡•h），甲醛≤0.1 mg/（㎡•h），苯，甲苯、二甲苯和乙苯总和均达到N.D.（即未检出）的要求</w:t>
            </w:r>
            <w:r>
              <w:rPr>
                <w:rFonts w:hint="eastAsia" w:ascii="宋体" w:hAnsi="宋体" w:eastAsia="宋体" w:cs="宋体"/>
                <w:b/>
                <w:bCs w:val="0"/>
                <w:color w:val="auto"/>
                <w:sz w:val="21"/>
                <w:szCs w:val="21"/>
                <w:highlight w:val="none"/>
                <w:lang w:val="en-US" w:eastAsia="zh-CN"/>
              </w:rPr>
              <w:t>【供应商于响应文件中必须提供所竞产品由具有“CMA”和“CNAS”标志的第三方检验检测机构出具的能满足本项要求的合格有效检验检测报告复印件（报告可通过二维码或全国认证认可信息公共服务平台查询真伪）】。</w:t>
            </w:r>
          </w:p>
          <w:p w14:paraId="0C12B06B">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8.供应商于成交后施工前向采购人提供</w:t>
            </w:r>
            <w:r>
              <w:rPr>
                <w:rFonts w:hint="eastAsia" w:ascii="宋体" w:hAnsi="宋体" w:cs="宋体"/>
                <w:b w:val="0"/>
                <w:bCs/>
                <w:color w:val="auto"/>
                <w:sz w:val="21"/>
                <w:szCs w:val="21"/>
                <w:highlight w:val="none"/>
                <w:lang w:val="en-US" w:eastAsia="zh-CN"/>
              </w:rPr>
              <w:t>上述</w:t>
            </w:r>
            <w:r>
              <w:rPr>
                <w:rFonts w:hint="eastAsia" w:ascii="宋体" w:hAnsi="宋体" w:eastAsia="宋体" w:cs="宋体"/>
                <w:b w:val="0"/>
                <w:bCs/>
                <w:color w:val="auto"/>
                <w:sz w:val="21"/>
                <w:szCs w:val="21"/>
                <w:highlight w:val="none"/>
                <w:lang w:val="en-US" w:eastAsia="zh-CN"/>
              </w:rPr>
              <w:t>符合要求的检测报告原件进行核查，否则按违约处理，采购人有权解除合同。</w:t>
            </w:r>
          </w:p>
          <w:p w14:paraId="173276DE">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（四）其他技术服务要求</w:t>
            </w:r>
          </w:p>
          <w:p w14:paraId="258EC429">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1.采购范围：根据采购人提供的图纸、工程量清单及工程管理相关要求，完成本工程施工、验收以及工程管理服务。</w:t>
            </w:r>
          </w:p>
          <w:p w14:paraId="5CD149FE">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供应商须按国家、地方、行业规定以及采购人要求的工程措施、安全措施、文明措施对项目进行工程管理，作为以施工为主的供应商施工单位对项目负总责，负责对施工的质量、进度、安全、投资控制、文明施工等进行全面协调管理。</w:t>
            </w:r>
          </w:p>
          <w:p w14:paraId="65B092A3">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color w:val="auto"/>
                <w:highlight w:val="none"/>
              </w:rPr>
            </w:pPr>
            <w:r>
              <w:rPr>
                <w:rFonts w:hint="eastAsia" w:ascii="宋体" w:hAnsi="宋体" w:eastAsia="宋体" w:cs="宋体"/>
                <w:b w:val="0"/>
                <w:bCs/>
                <w:color w:val="auto"/>
                <w:sz w:val="21"/>
                <w:szCs w:val="21"/>
                <w:highlight w:val="none"/>
                <w:lang w:val="en-US" w:eastAsia="zh-CN"/>
              </w:rPr>
              <w:t>3.采购人根据工程实施情况，有权对供应商的承包范围及内容进行适当调整，</w:t>
            </w:r>
            <w:r>
              <w:rPr>
                <w:rFonts w:hint="eastAsia" w:ascii="宋体" w:hAnsi="宋体" w:cs="宋体"/>
                <w:b w:val="0"/>
                <w:bCs/>
                <w:color w:val="auto"/>
                <w:sz w:val="21"/>
                <w:szCs w:val="21"/>
                <w:highlight w:val="none"/>
                <w:lang w:val="en-US" w:eastAsia="zh-CN"/>
              </w:rPr>
              <w:t>成交人</w:t>
            </w:r>
            <w:r>
              <w:rPr>
                <w:rFonts w:hint="eastAsia" w:ascii="宋体" w:hAnsi="宋体" w:eastAsia="宋体" w:cs="宋体"/>
                <w:b w:val="0"/>
                <w:bCs/>
                <w:color w:val="auto"/>
                <w:sz w:val="21"/>
                <w:szCs w:val="21"/>
                <w:highlight w:val="none"/>
                <w:lang w:val="en-US" w:eastAsia="zh-CN"/>
              </w:rPr>
              <w:t>无条件服从。</w:t>
            </w:r>
          </w:p>
        </w:tc>
      </w:tr>
      <w:tr w14:paraId="3F48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6"/>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F4E70C3">
            <w:pPr>
              <w:spacing w:line="400" w:lineRule="exact"/>
              <w:ind w:firstLine="0" w:firstLineChars="0"/>
              <w:jc w:val="left"/>
              <w:rPr>
                <w:rFonts w:ascii="宋体" w:hAnsi="宋体" w:cs="宋体"/>
                <w:b/>
                <w:color w:val="auto"/>
                <w:sz w:val="21"/>
                <w:szCs w:val="21"/>
                <w:highlight w:val="none"/>
              </w:rPr>
            </w:pPr>
            <w:r>
              <w:rPr>
                <w:rFonts w:hint="eastAsia" w:ascii="宋体" w:hAnsi="宋体"/>
                <w:b/>
                <w:color w:val="auto"/>
                <w:szCs w:val="21"/>
                <w:highlight w:val="none"/>
              </w:rPr>
              <w:t>▲</w:t>
            </w:r>
            <w:r>
              <w:rPr>
                <w:rFonts w:hint="eastAsia" w:ascii="宋体" w:hAnsi="宋体" w:cs="宋体"/>
                <w:b/>
                <w:color w:val="auto"/>
                <w:sz w:val="21"/>
                <w:szCs w:val="21"/>
                <w:highlight w:val="none"/>
              </w:rPr>
              <w:t>二、商务要求</w:t>
            </w:r>
          </w:p>
        </w:tc>
      </w:tr>
      <w:tr w14:paraId="5B96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2E8FB55">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（一）</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1EFEDD8C">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项目工期</w:t>
            </w:r>
          </w:p>
        </w:tc>
        <w:tc>
          <w:tcPr>
            <w:tcW w:w="6741" w:type="dxa"/>
            <w:gridSpan w:val="2"/>
            <w:tcBorders>
              <w:top w:val="single" w:color="auto" w:sz="4" w:space="0"/>
              <w:left w:val="single" w:color="auto" w:sz="4" w:space="0"/>
              <w:bottom w:val="single" w:color="auto" w:sz="4" w:space="0"/>
              <w:right w:val="single" w:color="auto" w:sz="4" w:space="0"/>
            </w:tcBorders>
            <w:vAlign w:val="center"/>
          </w:tcPr>
          <w:p w14:paraId="32860C64">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40日历天</w:t>
            </w:r>
          </w:p>
        </w:tc>
      </w:tr>
      <w:tr w14:paraId="6FB8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B1278AD">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（二）</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7EAC4941">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安全责任</w:t>
            </w:r>
          </w:p>
        </w:tc>
        <w:tc>
          <w:tcPr>
            <w:tcW w:w="6741" w:type="dxa"/>
            <w:gridSpan w:val="2"/>
            <w:tcBorders>
              <w:top w:val="single" w:color="auto" w:sz="4" w:space="0"/>
              <w:left w:val="single" w:color="auto" w:sz="4" w:space="0"/>
              <w:bottom w:val="single" w:color="auto" w:sz="4" w:space="0"/>
              <w:right w:val="single" w:color="auto" w:sz="4" w:space="0"/>
            </w:tcBorders>
            <w:vAlign w:val="center"/>
          </w:tcPr>
          <w:p w14:paraId="32833C99">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工程在运输、安装、拆除等整个工程活动期间，在工程实施地点范围内，所有安全责任均由施工方负责。</w:t>
            </w:r>
          </w:p>
        </w:tc>
      </w:tr>
      <w:tr w14:paraId="18FF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552FB0D">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（三）</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B75D101">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工程质量保修</w:t>
            </w:r>
          </w:p>
        </w:tc>
        <w:tc>
          <w:tcPr>
            <w:tcW w:w="6741" w:type="dxa"/>
            <w:gridSpan w:val="2"/>
            <w:tcBorders>
              <w:top w:val="single" w:color="auto" w:sz="4" w:space="0"/>
              <w:left w:val="single" w:color="auto" w:sz="4" w:space="0"/>
              <w:bottom w:val="single" w:color="auto" w:sz="4" w:space="0"/>
              <w:right w:val="single" w:color="auto" w:sz="4" w:space="0"/>
            </w:tcBorders>
            <w:vAlign w:val="center"/>
          </w:tcPr>
          <w:p w14:paraId="61DFDE71">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质量保修范围和内容：</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在质量保修期内，按照有关法律规定和合同约定，承担工程质量保修责任。质量保修范围</w:t>
            </w:r>
            <w:r>
              <w:rPr>
                <w:rFonts w:hint="eastAsia" w:ascii="宋体" w:hAnsi="宋体" w:eastAsia="宋体" w:cs="宋体"/>
                <w:color w:val="auto"/>
                <w:sz w:val="21"/>
                <w:szCs w:val="21"/>
                <w:highlight w:val="none"/>
                <w:lang w:eastAsia="zh-CN"/>
              </w:rPr>
              <w:t>为桂林市田家炳中学球类活动场地改造</w:t>
            </w:r>
            <w:r>
              <w:rPr>
                <w:rFonts w:hint="eastAsia" w:ascii="宋体" w:hAnsi="宋体" w:eastAsia="宋体" w:cs="宋体"/>
                <w:color w:val="auto"/>
                <w:sz w:val="21"/>
                <w:szCs w:val="21"/>
                <w:highlight w:val="none"/>
              </w:rPr>
              <w:t>中所涉及的相关工程</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包括</w:t>
            </w:r>
            <w:r>
              <w:rPr>
                <w:rFonts w:hint="eastAsia" w:ascii="宋体" w:hAnsi="宋体" w:eastAsia="宋体" w:cs="宋体"/>
                <w:color w:val="auto"/>
                <w:sz w:val="21"/>
                <w:szCs w:val="21"/>
                <w:highlight w:val="none"/>
                <w:lang w:eastAsia="zh-CN"/>
              </w:rPr>
              <w:t>但不限于</w:t>
            </w:r>
            <w:r>
              <w:rPr>
                <w:rFonts w:hint="eastAsia" w:ascii="宋体" w:hAnsi="宋体" w:eastAsia="宋体" w:cs="宋体"/>
                <w:color w:val="auto"/>
                <w:sz w:val="21"/>
                <w:szCs w:val="21"/>
                <w:highlight w:val="none"/>
              </w:rPr>
              <w:t>原8mm厚硅PU球场拆除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新建8</w:t>
            </w:r>
            <w:r>
              <w:rPr>
                <w:rFonts w:hint="eastAsia" w:ascii="宋体" w:hAnsi="宋体" w:eastAsia="宋体" w:cs="宋体"/>
                <w:color w:val="auto"/>
                <w:sz w:val="21"/>
                <w:szCs w:val="21"/>
                <w:highlight w:val="none"/>
                <w:lang w:val="en-US" w:eastAsia="zh-CN"/>
              </w:rPr>
              <w:t>mm</w:t>
            </w:r>
            <w:r>
              <w:rPr>
                <w:rFonts w:hint="eastAsia" w:ascii="宋体" w:hAnsi="宋体" w:eastAsia="宋体" w:cs="宋体"/>
                <w:color w:val="auto"/>
                <w:sz w:val="21"/>
                <w:szCs w:val="21"/>
                <w:highlight w:val="none"/>
              </w:rPr>
              <w:t>厚硅PU球场、排水沟等内容。</w:t>
            </w:r>
          </w:p>
          <w:p w14:paraId="64656F0A">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质量保修期自工程竣工验收合格之日起计算。</w:t>
            </w:r>
          </w:p>
          <w:p w14:paraId="2261B23E">
            <w:pPr>
              <w:spacing w:line="360" w:lineRule="exact"/>
              <w:ind w:firstLine="0" w:firstLineChars="0"/>
              <w:jc w:val="left"/>
              <w:rPr>
                <w:rFonts w:hAnsi="宋体" w:cs="宋体"/>
                <w:color w:val="auto"/>
                <w:sz w:val="21"/>
                <w:szCs w:val="21"/>
                <w:highlight w:val="none"/>
              </w:rPr>
            </w:pPr>
            <w:r>
              <w:rPr>
                <w:rFonts w:hint="eastAsia" w:ascii="宋体" w:hAnsi="宋体"/>
                <w:color w:val="auto"/>
                <w:sz w:val="21"/>
                <w:szCs w:val="24"/>
                <w:highlight w:val="none"/>
              </w:rPr>
              <w:t>工程质量保修期不得少于</w:t>
            </w:r>
            <w:r>
              <w:rPr>
                <w:rFonts w:hint="eastAsia" w:ascii="宋体" w:hAnsi="宋体"/>
                <w:color w:val="auto"/>
                <w:sz w:val="21"/>
                <w:szCs w:val="24"/>
                <w:highlight w:val="none"/>
                <w:lang w:val="en-US" w:eastAsia="zh-CN"/>
              </w:rPr>
              <w:t>3年</w:t>
            </w:r>
            <w:r>
              <w:rPr>
                <w:rFonts w:hint="eastAsia" w:ascii="宋体" w:hAnsi="宋体"/>
                <w:color w:val="auto"/>
                <w:sz w:val="21"/>
                <w:szCs w:val="24"/>
                <w:highlight w:val="none"/>
              </w:rPr>
              <w:t>。</w:t>
            </w:r>
          </w:p>
        </w:tc>
      </w:tr>
      <w:tr w14:paraId="6F99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74F2676">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（四）</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2834194">
            <w:pPr>
              <w:spacing w:line="36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6741" w:type="dxa"/>
            <w:gridSpan w:val="2"/>
            <w:tcBorders>
              <w:top w:val="single" w:color="auto" w:sz="4" w:space="0"/>
              <w:left w:val="single" w:color="auto" w:sz="4" w:space="0"/>
              <w:bottom w:val="single" w:color="auto" w:sz="4" w:space="0"/>
              <w:right w:val="single" w:color="auto" w:sz="4" w:space="0"/>
            </w:tcBorders>
            <w:vAlign w:val="center"/>
          </w:tcPr>
          <w:p w14:paraId="207793E6">
            <w:pPr>
              <w:spacing w:line="36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1.按照符合国家工程施工验收规范合格标准，双方到场共同验收。如采购人上级单位要求由其委派的第三方机构共同验收的，则采购人组织</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及采购人上级单位要求由其委派的第三方机构共同参与验收。</w:t>
            </w:r>
          </w:p>
          <w:p w14:paraId="26719CD2">
            <w:pPr>
              <w:spacing w:line="36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必须在供货前向采购人提供本章“采购需求一览表”中要求必须提供的检测报告原件进行核查，否则不予验收。</w:t>
            </w:r>
          </w:p>
        </w:tc>
      </w:tr>
      <w:tr w14:paraId="3268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163AD6A">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（五）</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68007307">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磋商报价</w:t>
            </w:r>
          </w:p>
        </w:tc>
        <w:tc>
          <w:tcPr>
            <w:tcW w:w="6741" w:type="dxa"/>
            <w:gridSpan w:val="2"/>
            <w:tcBorders>
              <w:top w:val="single" w:color="auto" w:sz="4" w:space="0"/>
              <w:left w:val="single" w:color="auto" w:sz="4" w:space="0"/>
              <w:bottom w:val="single" w:color="auto" w:sz="4" w:space="0"/>
              <w:right w:val="single" w:color="auto" w:sz="4" w:space="0"/>
            </w:tcBorders>
            <w:vAlign w:val="center"/>
          </w:tcPr>
          <w:p w14:paraId="7449C43C">
            <w:pPr>
              <w:spacing w:line="36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采用工程量清单报价。</w:t>
            </w:r>
          </w:p>
          <w:p w14:paraId="4CFA1E4B">
            <w:pPr>
              <w:adjustRightInd w:val="0"/>
              <w:snapToGrid w:val="0"/>
              <w:spacing w:line="360" w:lineRule="exact"/>
              <w:ind w:firstLine="0" w:firstLineChars="0"/>
              <w:rPr>
                <w:rFonts w:ascii="宋体" w:hAnsi="宋体" w:cs="Calibri"/>
                <w:color w:val="auto"/>
                <w:spacing w:val="-2"/>
                <w:kern w:val="0"/>
                <w:sz w:val="21"/>
                <w:szCs w:val="21"/>
                <w:highlight w:val="none"/>
              </w:rPr>
            </w:pPr>
            <w:r>
              <w:rPr>
                <w:rFonts w:hint="eastAsia" w:ascii="宋体" w:hAnsi="宋体" w:cs="宋体"/>
                <w:color w:val="auto"/>
                <w:sz w:val="21"/>
                <w:szCs w:val="21"/>
                <w:highlight w:val="none"/>
              </w:rPr>
              <w:t>报价要求：报价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tc>
      </w:tr>
      <w:tr w14:paraId="0249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0D905A2">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（六）</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0B9D046">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付款方式</w:t>
            </w:r>
          </w:p>
        </w:tc>
        <w:tc>
          <w:tcPr>
            <w:tcW w:w="6741" w:type="dxa"/>
            <w:gridSpan w:val="2"/>
            <w:tcBorders>
              <w:top w:val="single" w:color="auto" w:sz="4" w:space="0"/>
              <w:left w:val="single" w:color="auto" w:sz="4" w:space="0"/>
              <w:bottom w:val="single" w:color="auto" w:sz="4" w:space="0"/>
              <w:right w:val="single" w:color="auto" w:sz="4" w:space="0"/>
            </w:tcBorders>
            <w:vAlign w:val="center"/>
          </w:tcPr>
          <w:p w14:paraId="5719C987">
            <w:pPr>
              <w:spacing w:line="360" w:lineRule="exact"/>
              <w:ind w:firstLine="0" w:firstLineChars="0"/>
              <w:jc w:val="left"/>
              <w:rPr>
                <w:rFonts w:hint="eastAsia" w:cs="Calibri"/>
                <w:b w:val="0"/>
                <w:bCs/>
                <w:color w:val="auto"/>
                <w:sz w:val="21"/>
                <w:szCs w:val="21"/>
                <w:highlight w:val="none"/>
              </w:rPr>
            </w:pPr>
            <w:r>
              <w:rPr>
                <w:rFonts w:hint="eastAsia" w:cs="Calibri"/>
                <w:color w:val="auto"/>
                <w:sz w:val="21"/>
                <w:szCs w:val="21"/>
                <w:highlight w:val="none"/>
              </w:rPr>
              <w:t>本项目无预付款，</w:t>
            </w:r>
            <w:r>
              <w:rPr>
                <w:rFonts w:hint="eastAsia" w:cs="Calibri"/>
                <w:color w:val="auto"/>
                <w:sz w:val="21"/>
                <w:szCs w:val="21"/>
                <w:highlight w:val="none"/>
                <w:lang w:eastAsia="zh-CN"/>
              </w:rPr>
              <w:t>成交人施工</w:t>
            </w:r>
            <w:r>
              <w:rPr>
                <w:rFonts w:hint="eastAsia" w:cs="Calibri"/>
                <w:color w:val="auto"/>
                <w:sz w:val="21"/>
                <w:szCs w:val="21"/>
                <w:highlight w:val="none"/>
              </w:rPr>
              <w:t>完毕、验收合格，并开具全额增值税发票后，可支付合同款的80%，</w:t>
            </w:r>
            <w:r>
              <w:rPr>
                <w:rFonts w:hint="eastAsia" w:ascii="宋体" w:hAnsi="宋体" w:cs="宋体"/>
                <w:b w:val="0"/>
                <w:bCs/>
                <w:color w:val="auto"/>
                <w:sz w:val="21"/>
                <w:szCs w:val="21"/>
                <w:highlight w:val="none"/>
                <w:lang w:eastAsia="zh-CN"/>
              </w:rPr>
              <w:t>送审结算完成</w:t>
            </w:r>
            <w:r>
              <w:rPr>
                <w:rFonts w:hint="eastAsia" w:ascii="宋体" w:hAnsi="宋体" w:cs="宋体"/>
                <w:b w:val="0"/>
                <w:bCs/>
                <w:color w:val="auto"/>
                <w:sz w:val="21"/>
                <w:szCs w:val="21"/>
                <w:highlight w:val="none"/>
              </w:rPr>
              <w:t>后支付</w:t>
            </w:r>
            <w:r>
              <w:rPr>
                <w:rFonts w:hint="eastAsia" w:ascii="宋体" w:hAnsi="宋体" w:cs="宋体"/>
                <w:b w:val="0"/>
                <w:bCs/>
                <w:color w:val="auto"/>
                <w:sz w:val="21"/>
                <w:szCs w:val="21"/>
                <w:highlight w:val="none"/>
                <w:lang w:eastAsia="zh-CN"/>
              </w:rPr>
              <w:t>至结算价</w:t>
            </w:r>
            <w:r>
              <w:rPr>
                <w:rFonts w:hint="eastAsia" w:ascii="宋体" w:hAnsi="宋体" w:cs="宋体"/>
                <w:b w:val="0"/>
                <w:bCs/>
                <w:color w:val="auto"/>
                <w:sz w:val="21"/>
                <w:szCs w:val="21"/>
                <w:highlight w:val="none"/>
              </w:rPr>
              <w:t>的97%工程款，</w:t>
            </w:r>
            <w:r>
              <w:rPr>
                <w:rFonts w:hint="eastAsia" w:ascii="宋体" w:hAnsi="宋体" w:cs="宋体"/>
                <w:b w:val="0"/>
                <w:bCs/>
                <w:color w:val="auto"/>
                <w:sz w:val="21"/>
                <w:szCs w:val="21"/>
                <w:highlight w:val="none"/>
                <w:lang w:eastAsia="zh-CN"/>
              </w:rPr>
              <w:t>预留结算价</w:t>
            </w:r>
            <w:r>
              <w:rPr>
                <w:rFonts w:hint="eastAsia" w:ascii="宋体" w:hAnsi="宋体" w:cs="宋体"/>
                <w:b w:val="0"/>
                <w:bCs/>
                <w:color w:val="auto"/>
                <w:sz w:val="21"/>
                <w:szCs w:val="21"/>
                <w:highlight w:val="none"/>
              </w:rPr>
              <w:t>的3%作为</w:t>
            </w:r>
            <w:r>
              <w:rPr>
                <w:rFonts w:hint="eastAsia" w:ascii="宋体" w:hAnsi="宋体" w:cs="宋体"/>
                <w:b w:val="0"/>
                <w:bCs/>
                <w:color w:val="auto"/>
                <w:sz w:val="21"/>
                <w:szCs w:val="21"/>
                <w:highlight w:val="none"/>
                <w:lang w:eastAsia="zh-CN"/>
              </w:rPr>
              <w:t>质量保证金</w:t>
            </w:r>
            <w:r>
              <w:rPr>
                <w:rFonts w:hint="eastAsia" w:ascii="宋体" w:hAnsi="宋体" w:cs="宋体"/>
                <w:b w:val="0"/>
                <w:bCs/>
                <w:color w:val="auto"/>
                <w:sz w:val="21"/>
                <w:szCs w:val="21"/>
                <w:highlight w:val="none"/>
              </w:rPr>
              <w:t>待</w:t>
            </w:r>
            <w:r>
              <w:rPr>
                <w:rFonts w:hint="eastAsia" w:ascii="宋体" w:hAnsi="宋体" w:cs="宋体"/>
                <w:b w:val="0"/>
                <w:bCs/>
                <w:color w:val="auto"/>
                <w:sz w:val="21"/>
                <w:szCs w:val="21"/>
                <w:highlight w:val="none"/>
                <w:lang w:eastAsia="zh-CN"/>
              </w:rPr>
              <w:t>缺陷责任期</w:t>
            </w:r>
            <w:r>
              <w:rPr>
                <w:rFonts w:hint="eastAsia" w:ascii="宋体" w:hAnsi="宋体" w:cs="宋体"/>
                <w:b w:val="0"/>
                <w:bCs/>
                <w:color w:val="auto"/>
                <w:sz w:val="21"/>
                <w:szCs w:val="21"/>
                <w:highlight w:val="none"/>
              </w:rPr>
              <w:t>满后一次性支付</w:t>
            </w:r>
            <w:r>
              <w:rPr>
                <w:rFonts w:hint="eastAsia" w:ascii="宋体" w:hAnsi="宋体" w:cs="宋体"/>
                <w:b w:val="0"/>
                <w:bCs/>
                <w:color w:val="auto"/>
                <w:sz w:val="21"/>
                <w:szCs w:val="21"/>
                <w:highlight w:val="none"/>
                <w:lang w:eastAsia="zh-CN"/>
              </w:rPr>
              <w:t>（无息）</w:t>
            </w:r>
            <w:r>
              <w:rPr>
                <w:rFonts w:hint="eastAsia" w:cs="Calibri"/>
                <w:b w:val="0"/>
                <w:bCs/>
                <w:color w:val="auto"/>
                <w:sz w:val="21"/>
                <w:szCs w:val="21"/>
                <w:highlight w:val="none"/>
              </w:rPr>
              <w:t>。</w:t>
            </w:r>
          </w:p>
          <w:p w14:paraId="1416C317">
            <w:pPr>
              <w:spacing w:line="360" w:lineRule="exact"/>
              <w:ind w:firstLine="0" w:firstLineChars="0"/>
              <w:jc w:val="left"/>
              <w:rPr>
                <w:rFonts w:cs="Calibri"/>
                <w:color w:val="auto"/>
                <w:sz w:val="21"/>
                <w:szCs w:val="21"/>
                <w:highlight w:val="none"/>
              </w:rPr>
            </w:pPr>
            <w:r>
              <w:rPr>
                <w:rFonts w:hint="eastAsia" w:cs="Calibri"/>
                <w:color w:val="auto"/>
                <w:sz w:val="21"/>
                <w:szCs w:val="21"/>
                <w:highlight w:val="none"/>
              </w:rPr>
              <w:t>注：因</w:t>
            </w:r>
            <w:r>
              <w:rPr>
                <w:rFonts w:hint="eastAsia" w:cs="Calibri"/>
                <w:color w:val="auto"/>
                <w:sz w:val="21"/>
                <w:szCs w:val="21"/>
                <w:highlight w:val="none"/>
                <w:lang w:eastAsia="zh-CN"/>
              </w:rPr>
              <w:t>采购人</w:t>
            </w:r>
            <w:r>
              <w:rPr>
                <w:rFonts w:hint="eastAsia" w:cs="Calibri"/>
                <w:color w:val="auto"/>
                <w:sz w:val="21"/>
                <w:szCs w:val="21"/>
                <w:highlight w:val="none"/>
              </w:rPr>
              <w:t>支付的工程款为上级财政拨付，如上级财政未能按合同约定及时拨款至</w:t>
            </w:r>
            <w:r>
              <w:rPr>
                <w:rFonts w:hint="eastAsia" w:cs="Calibri"/>
                <w:color w:val="auto"/>
                <w:sz w:val="21"/>
                <w:szCs w:val="21"/>
                <w:highlight w:val="none"/>
                <w:lang w:eastAsia="zh-CN"/>
              </w:rPr>
              <w:t>采购人</w:t>
            </w:r>
            <w:r>
              <w:rPr>
                <w:rFonts w:hint="eastAsia" w:cs="Calibri"/>
                <w:color w:val="auto"/>
                <w:sz w:val="21"/>
                <w:szCs w:val="21"/>
                <w:highlight w:val="none"/>
              </w:rPr>
              <w:t>账户，</w:t>
            </w:r>
            <w:r>
              <w:rPr>
                <w:rFonts w:hint="eastAsia" w:cs="Calibri"/>
                <w:color w:val="auto"/>
                <w:sz w:val="21"/>
                <w:szCs w:val="21"/>
                <w:highlight w:val="none"/>
                <w:lang w:eastAsia="zh-CN"/>
              </w:rPr>
              <w:t>采购人</w:t>
            </w:r>
            <w:r>
              <w:rPr>
                <w:rFonts w:hint="eastAsia" w:cs="Calibri"/>
                <w:color w:val="auto"/>
                <w:sz w:val="21"/>
                <w:szCs w:val="21"/>
                <w:highlight w:val="none"/>
              </w:rPr>
              <w:t>付款期限则自动延期，且</w:t>
            </w:r>
            <w:r>
              <w:rPr>
                <w:rFonts w:hint="eastAsia" w:cs="Calibri"/>
                <w:color w:val="auto"/>
                <w:sz w:val="21"/>
                <w:szCs w:val="21"/>
                <w:highlight w:val="none"/>
                <w:lang w:eastAsia="zh-CN"/>
              </w:rPr>
              <w:t>采购人</w:t>
            </w:r>
            <w:r>
              <w:rPr>
                <w:rFonts w:hint="eastAsia" w:cs="Calibri"/>
                <w:color w:val="auto"/>
                <w:sz w:val="21"/>
                <w:szCs w:val="21"/>
                <w:highlight w:val="none"/>
              </w:rPr>
              <w:t>无需承担任何违约责任，付款时间更改为上级财政拨款至</w:t>
            </w:r>
            <w:r>
              <w:rPr>
                <w:rFonts w:hint="eastAsia" w:cs="Calibri"/>
                <w:color w:val="auto"/>
                <w:sz w:val="21"/>
                <w:szCs w:val="21"/>
                <w:highlight w:val="none"/>
                <w:lang w:eastAsia="zh-CN"/>
              </w:rPr>
              <w:t>采购人</w:t>
            </w:r>
            <w:r>
              <w:rPr>
                <w:rFonts w:hint="eastAsia" w:cs="Calibri"/>
                <w:color w:val="auto"/>
                <w:sz w:val="21"/>
                <w:szCs w:val="21"/>
                <w:highlight w:val="none"/>
              </w:rPr>
              <w:t>账户三日内。</w:t>
            </w:r>
          </w:p>
        </w:tc>
      </w:tr>
      <w:tr w14:paraId="794C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2021EE2">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（七）</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0667A8A9">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其他要求</w:t>
            </w:r>
          </w:p>
        </w:tc>
        <w:tc>
          <w:tcPr>
            <w:tcW w:w="6741" w:type="dxa"/>
            <w:gridSpan w:val="2"/>
            <w:tcBorders>
              <w:top w:val="single" w:color="auto" w:sz="4" w:space="0"/>
              <w:left w:val="single" w:color="auto" w:sz="4" w:space="0"/>
              <w:bottom w:val="single" w:color="auto" w:sz="4" w:space="0"/>
              <w:right w:val="single" w:color="auto" w:sz="4" w:space="0"/>
            </w:tcBorders>
            <w:vAlign w:val="center"/>
          </w:tcPr>
          <w:p w14:paraId="51BE1CBB">
            <w:pPr>
              <w:spacing w:line="360" w:lineRule="exact"/>
              <w:ind w:firstLine="0" w:firstLineChars="0"/>
              <w:jc w:val="left"/>
              <w:rPr>
                <w:rFonts w:ascii="宋体" w:hAnsi="宋体" w:cs="宋体"/>
                <w:color w:val="auto"/>
                <w:sz w:val="21"/>
                <w:szCs w:val="21"/>
                <w:highlight w:val="none"/>
              </w:rPr>
            </w:pPr>
            <w:r>
              <w:rPr>
                <w:rFonts w:ascii="宋体" w:hAnsi="宋体" w:cs="宋体"/>
                <w:color w:val="auto"/>
                <w:sz w:val="21"/>
                <w:szCs w:val="21"/>
                <w:highlight w:val="none"/>
              </w:rPr>
              <w:t>1.本项目</w:t>
            </w:r>
            <w:r>
              <w:rPr>
                <w:rFonts w:hint="eastAsia" w:ascii="宋体" w:hAnsi="宋体" w:cs="宋体"/>
                <w:color w:val="auto"/>
                <w:sz w:val="21"/>
                <w:szCs w:val="21"/>
                <w:highlight w:val="none"/>
              </w:rPr>
              <w:t>不允许转包、分包，否则采购人将终止合同。</w:t>
            </w:r>
          </w:p>
          <w:p w14:paraId="05611AC3">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供应商于成交后须</w:t>
            </w:r>
            <w:r>
              <w:rPr>
                <w:rFonts w:hint="eastAsia" w:ascii="宋体" w:hAnsi="宋体" w:cs="宋体"/>
                <w:color w:val="auto"/>
                <w:sz w:val="21"/>
                <w:szCs w:val="21"/>
                <w:highlight w:val="none"/>
              </w:rPr>
              <w:t>根据设计图纸要求</w:t>
            </w:r>
            <w:r>
              <w:rPr>
                <w:rFonts w:hint="eastAsia" w:ascii="宋体" w:hAnsi="宋体" w:cs="宋体"/>
                <w:color w:val="auto"/>
                <w:sz w:val="21"/>
                <w:szCs w:val="21"/>
                <w:highlight w:val="none"/>
                <w:lang w:eastAsia="zh-CN"/>
              </w:rPr>
              <w:t>进行施工</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可根据需要，由</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安排人员随机取样送第三方检测</w:t>
            </w:r>
            <w:r>
              <w:rPr>
                <w:rFonts w:hint="eastAsia" w:ascii="宋体" w:hAnsi="宋体" w:cs="宋体"/>
                <w:color w:val="auto"/>
                <w:sz w:val="21"/>
                <w:szCs w:val="21"/>
                <w:highlight w:val="none"/>
                <w:lang w:eastAsia="zh-CN"/>
              </w:rPr>
              <w:t>机构进行</w:t>
            </w:r>
            <w:r>
              <w:rPr>
                <w:rFonts w:hint="eastAsia" w:ascii="宋体" w:hAnsi="宋体" w:cs="宋体"/>
                <w:color w:val="auto"/>
                <w:sz w:val="21"/>
                <w:szCs w:val="21"/>
                <w:highlight w:val="none"/>
              </w:rPr>
              <w:t>检测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检测合格</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，检测费用由</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支付；如检测结果不合格，检测费用由</w:t>
            </w:r>
            <w:r>
              <w:rPr>
                <w:rFonts w:hint="eastAsia" w:ascii="宋体" w:hAnsi="宋体" w:cs="宋体"/>
                <w:color w:val="auto"/>
                <w:sz w:val="21"/>
                <w:szCs w:val="21"/>
                <w:highlight w:val="none"/>
                <w:lang w:eastAsia="zh-CN"/>
              </w:rPr>
              <w:t>成交人</w:t>
            </w:r>
            <w:r>
              <w:rPr>
                <w:rFonts w:hint="eastAsia" w:ascii="宋体" w:hAnsi="宋体" w:cs="宋体"/>
                <w:color w:val="auto"/>
                <w:sz w:val="21"/>
                <w:szCs w:val="21"/>
                <w:highlight w:val="none"/>
              </w:rPr>
              <w:t>支付且</w:t>
            </w:r>
            <w:r>
              <w:rPr>
                <w:rFonts w:hint="eastAsia" w:ascii="宋体" w:hAnsi="宋体" w:cs="宋体"/>
                <w:color w:val="auto"/>
                <w:sz w:val="21"/>
                <w:szCs w:val="21"/>
                <w:highlight w:val="none"/>
                <w:lang w:eastAsia="zh-CN"/>
              </w:rPr>
              <w:t>成交人负责</w:t>
            </w:r>
            <w:r>
              <w:rPr>
                <w:rFonts w:hint="eastAsia" w:ascii="宋体" w:hAnsi="宋体" w:cs="宋体"/>
                <w:color w:val="auto"/>
                <w:sz w:val="21"/>
                <w:szCs w:val="21"/>
                <w:highlight w:val="none"/>
              </w:rPr>
              <w:t>整改至合格为止</w:t>
            </w:r>
            <w:r>
              <w:rPr>
                <w:rFonts w:hint="eastAsia" w:ascii="宋体" w:hAnsi="宋体" w:cs="宋体"/>
                <w:color w:val="auto"/>
                <w:sz w:val="21"/>
                <w:szCs w:val="21"/>
                <w:highlight w:val="none"/>
                <w:lang w:eastAsia="zh-CN"/>
              </w:rPr>
              <w:t>，所产生的费用由成交人自行承担</w:t>
            </w:r>
            <w:r>
              <w:rPr>
                <w:rFonts w:hint="eastAsia" w:ascii="宋体" w:hAnsi="宋体" w:cs="宋体"/>
                <w:color w:val="auto"/>
                <w:sz w:val="21"/>
                <w:szCs w:val="21"/>
                <w:highlight w:val="none"/>
              </w:rPr>
              <w:t>。</w:t>
            </w:r>
          </w:p>
        </w:tc>
      </w:tr>
      <w:tr w14:paraId="5215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6"/>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274B379">
            <w:pPr>
              <w:spacing w:line="400" w:lineRule="exact"/>
              <w:ind w:firstLine="0" w:firstLineChars="0"/>
              <w:jc w:val="left"/>
              <w:rPr>
                <w:rFonts w:ascii="宋体" w:hAnsi="宋体" w:cs="宋体"/>
                <w:color w:val="auto"/>
                <w:sz w:val="21"/>
                <w:szCs w:val="21"/>
                <w:highlight w:val="none"/>
              </w:rPr>
            </w:pPr>
            <w:r>
              <w:rPr>
                <w:rFonts w:hint="eastAsia" w:ascii="宋体" w:hAnsi="宋体"/>
                <w:b/>
                <w:bCs/>
                <w:color w:val="auto"/>
                <w:szCs w:val="21"/>
                <w:highlight w:val="none"/>
              </w:rPr>
              <w:t>三、与实现项目目标相关的其他要求</w:t>
            </w:r>
          </w:p>
        </w:tc>
      </w:tr>
      <w:tr w14:paraId="0956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6"/>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9B6B705">
            <w:pPr>
              <w:keepNext w:val="0"/>
              <w:keepLines w:val="0"/>
              <w:pageBreakBefore w:val="0"/>
              <w:widowControl w:val="0"/>
              <w:tabs>
                <w:tab w:val="left" w:pos="180"/>
                <w:tab w:val="left" w:pos="1620"/>
              </w:tabs>
              <w:kinsoku/>
              <w:wordWrap/>
              <w:overflowPunct/>
              <w:topLinePunct w:val="0"/>
              <w:autoSpaceDE/>
              <w:autoSpaceDN/>
              <w:bidi w:val="0"/>
              <w:snapToGrid/>
              <w:spacing w:line="400" w:lineRule="exact"/>
              <w:ind w:firstLine="0" w:firstLineChars="0"/>
              <w:rPr>
                <w:rFonts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（一）施工组织设计要求</w:t>
            </w:r>
          </w:p>
          <w:p w14:paraId="6198097D">
            <w:pPr>
              <w:keepNext w:val="0"/>
              <w:keepLines w:val="0"/>
              <w:pageBreakBefore w:val="0"/>
              <w:widowControl w:val="0"/>
              <w:tabs>
                <w:tab w:val="left" w:pos="180"/>
                <w:tab w:val="left" w:pos="1620"/>
              </w:tabs>
              <w:kinsoku/>
              <w:wordWrap/>
              <w:overflowPunct/>
              <w:topLinePunct w:val="0"/>
              <w:autoSpaceDE/>
              <w:autoSpaceDN/>
              <w:bidi w:val="0"/>
              <w:snapToGrid/>
              <w:spacing w:line="400" w:lineRule="exact"/>
              <w:ind w:firstLine="0" w:firstLineChars="0"/>
              <w:rPr>
                <w:rFonts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 xml:space="preserve">   供应商根据图纸、工程量清单，于响应文件中提供施工组织设计（包括但不限于：</w:t>
            </w:r>
            <w:r>
              <w:rPr>
                <w:rFonts w:hint="eastAsia" w:ascii="宋体" w:hAnsi="宋体" w:cs="宋体"/>
                <w:color w:val="auto"/>
                <w:sz w:val="21"/>
                <w:szCs w:val="21"/>
                <w:highlight w:val="none"/>
              </w:rPr>
              <w:t>①主要施工方法；②关键施工技术、工艺及工程实施的重点、难点和解决方案；③确保安全生产的技术组织措施；④确保工程质量的技术组织措施；⑤确保工期的技术组织措施；⑥确保文明施工的技术组织措施；⑦拟投入的主要物资计划；⑧施工平面布置和临时设施布置；⑨劳动力安排计划；⑩项目风险预测与防范，事故应急预案</w:t>
            </w:r>
            <w:r>
              <w:rPr>
                <w:rFonts w:hint="eastAsia" w:cs="宋体" w:asciiTheme="majorEastAsia" w:hAnsiTheme="majorEastAsia" w:eastAsiaTheme="majorEastAsia"/>
                <w:color w:val="auto"/>
                <w:sz w:val="21"/>
                <w:szCs w:val="21"/>
                <w:highlight w:val="none"/>
              </w:rPr>
              <w:t>）。</w:t>
            </w:r>
          </w:p>
          <w:p w14:paraId="20B0F5FA">
            <w:pPr>
              <w:pStyle w:val="23"/>
              <w:keepNext w:val="0"/>
              <w:keepLines w:val="0"/>
              <w:pageBreakBefore w:val="0"/>
              <w:widowControl w:val="0"/>
              <w:kinsoku/>
              <w:wordWrap/>
              <w:overflowPunct/>
              <w:topLinePunct w:val="0"/>
              <w:autoSpaceDE/>
              <w:autoSpaceDN/>
              <w:bidi w:val="0"/>
              <w:snapToGrid/>
              <w:spacing w:line="400" w:lineRule="exact"/>
              <w:ind w:left="0"/>
              <w:rPr>
                <w:rFonts w:ascii="宋体" w:hAnsi="宋体" w:cs="宋体"/>
                <w:bCs/>
                <w:color w:val="auto"/>
                <w:sz w:val="21"/>
                <w:szCs w:val="21"/>
                <w:highlight w:val="none"/>
              </w:rPr>
            </w:pPr>
            <w:r>
              <w:rPr>
                <w:rFonts w:hint="eastAsia" w:ascii="宋体" w:hAnsi="宋体" w:cs="宋体"/>
                <w:bCs/>
                <w:color w:val="auto"/>
                <w:sz w:val="21"/>
                <w:szCs w:val="21"/>
                <w:highlight w:val="none"/>
              </w:rPr>
              <w:t>（二）履约能力</w:t>
            </w:r>
          </w:p>
          <w:p w14:paraId="3FD92B12">
            <w:pPr>
              <w:pStyle w:val="23"/>
              <w:keepNext w:val="0"/>
              <w:keepLines w:val="0"/>
              <w:pageBreakBefore w:val="0"/>
              <w:widowControl w:val="0"/>
              <w:kinsoku/>
              <w:wordWrap/>
              <w:overflowPunct/>
              <w:topLinePunct w:val="0"/>
              <w:autoSpaceDE/>
              <w:autoSpaceDN/>
              <w:bidi w:val="0"/>
              <w:snapToGrid/>
              <w:spacing w:line="400" w:lineRule="exact"/>
              <w:ind w:left="0" w:firstLine="420" w:firstLineChars="200"/>
              <w:rPr>
                <w:rFonts w:ascii="宋体" w:hAnsi="宋体" w:cs="宋体"/>
                <w:color w:val="auto"/>
                <w:sz w:val="21"/>
                <w:szCs w:val="21"/>
                <w:highlight w:val="none"/>
              </w:rPr>
            </w:pPr>
            <w:r>
              <w:rPr>
                <w:rFonts w:hint="eastAsia" w:ascii="宋体" w:hAnsi="宋体" w:cs="宋体"/>
                <w:bCs/>
                <w:color w:val="auto"/>
                <w:sz w:val="21"/>
                <w:szCs w:val="21"/>
                <w:highlight w:val="none"/>
              </w:rPr>
              <w:t>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年1月1日以来承建或经竣工验收的类似工程</w:t>
            </w:r>
            <w:r>
              <w:rPr>
                <w:rFonts w:hint="eastAsia" w:ascii="宋体" w:hAnsi="宋体" w:cs="宋体"/>
                <w:bCs/>
                <w:color w:val="auto"/>
                <w:sz w:val="21"/>
                <w:szCs w:val="21"/>
                <w:highlight w:val="none"/>
                <w:lang w:eastAsia="zh-CN"/>
              </w:rPr>
              <w:t>业绩（类似工程是指运动场地工程施工或建筑工程施工项目）</w:t>
            </w:r>
            <w:r>
              <w:rPr>
                <w:rFonts w:hint="eastAsia" w:ascii="宋体" w:hAnsi="宋体" w:cs="宋体"/>
                <w:bCs/>
                <w:color w:val="auto"/>
                <w:sz w:val="21"/>
                <w:szCs w:val="21"/>
                <w:highlight w:val="none"/>
              </w:rPr>
              <w:t>。</w:t>
            </w:r>
          </w:p>
        </w:tc>
      </w:tr>
    </w:tbl>
    <w:p w14:paraId="4B2F69E0">
      <w:pPr>
        <w:ind w:firstLine="480"/>
        <w:rPr>
          <w:color w:val="auto"/>
          <w:highlight w:val="none"/>
        </w:rPr>
      </w:pPr>
    </w:p>
    <w:p w14:paraId="74FD8379">
      <w:pPr>
        <w:widowControl/>
        <w:spacing w:line="240" w:lineRule="auto"/>
        <w:ind w:firstLine="0" w:firstLineChars="0"/>
        <w:jc w:val="left"/>
        <w:rPr>
          <w:rFonts w:hAnsi="宋体" w:cs="宋体"/>
          <w:b/>
          <w:color w:val="auto"/>
          <w:sz w:val="32"/>
          <w:szCs w:val="32"/>
          <w:highlight w:val="none"/>
          <w:lang w:val="en-GB"/>
        </w:rPr>
      </w:pPr>
      <w:r>
        <w:rPr>
          <w:rFonts w:hAnsi="宋体" w:cs="宋体"/>
          <w:b/>
          <w:color w:val="auto"/>
          <w:sz w:val="32"/>
          <w:szCs w:val="32"/>
          <w:highlight w:val="none"/>
        </w:rPr>
        <w:br w:type="page"/>
      </w:r>
    </w:p>
    <w:p w14:paraId="3CA9B5A3">
      <w:pPr>
        <w:spacing w:line="240" w:lineRule="auto"/>
        <w:ind w:firstLine="0" w:firstLineChars="0"/>
        <w:jc w:val="center"/>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rPr>
        <w:t>第</w:t>
      </w:r>
      <w:r>
        <w:rPr>
          <w:rFonts w:hint="eastAsia" w:ascii="宋体" w:hAnsi="宋体" w:cs="宋体"/>
          <w:b/>
          <w:bCs/>
          <w:color w:val="auto"/>
          <w:sz w:val="28"/>
          <w:szCs w:val="28"/>
          <w:highlight w:val="none"/>
          <w:lang w:eastAsia="zh-CN"/>
        </w:rPr>
        <w:t>四</w:t>
      </w:r>
      <w:r>
        <w:rPr>
          <w:rFonts w:hint="eastAsia" w:ascii="宋体" w:hAnsi="宋体" w:eastAsia="宋体" w:cs="宋体"/>
          <w:b/>
          <w:bCs/>
          <w:color w:val="auto"/>
          <w:sz w:val="28"/>
          <w:szCs w:val="28"/>
          <w:highlight w:val="none"/>
        </w:rPr>
        <w:t>章 工程量清单</w:t>
      </w:r>
      <w:r>
        <w:rPr>
          <w:rFonts w:hint="eastAsia" w:ascii="宋体" w:hAnsi="宋体" w:eastAsia="宋体" w:cs="宋体"/>
          <w:b/>
          <w:bCs/>
          <w:color w:val="auto"/>
          <w:sz w:val="28"/>
          <w:szCs w:val="28"/>
          <w:highlight w:val="none"/>
          <w:lang w:eastAsia="zh-CN"/>
        </w:rPr>
        <w:t>及图纸</w:t>
      </w:r>
    </w:p>
    <w:p w14:paraId="7873C233">
      <w:pPr>
        <w:ind w:firstLine="480"/>
        <w:rPr>
          <w:color w:val="auto"/>
          <w:highlight w:val="none"/>
        </w:rPr>
      </w:pPr>
    </w:p>
    <w:p w14:paraId="65D993F8">
      <w:pPr>
        <w:pStyle w:val="26"/>
        <w:spacing w:line="440" w:lineRule="exact"/>
        <w:rPr>
          <w:rFonts w:hint="default" w:hAnsi="宋体" w:eastAsia="宋体" w:cs="宋体"/>
          <w:b/>
          <w:color w:val="auto"/>
          <w:highlight w:val="none"/>
          <w:lang w:val="en-US" w:eastAsia="zh-CN"/>
        </w:rPr>
      </w:pPr>
      <w:r>
        <w:rPr>
          <w:rFonts w:hint="eastAsia" w:hAnsi="宋体" w:cs="宋体"/>
          <w:b/>
          <w:color w:val="auto"/>
          <w:highlight w:val="none"/>
          <w:lang w:val="en-US" w:eastAsia="zh-CN"/>
        </w:rPr>
        <w:t>Ⅰ、工程量清单（另附）</w:t>
      </w:r>
    </w:p>
    <w:p w14:paraId="0BEE27E0">
      <w:pPr>
        <w:pStyle w:val="26"/>
        <w:spacing w:line="440" w:lineRule="exact"/>
        <w:rPr>
          <w:rFonts w:hAnsi="宋体" w:cs="宋体"/>
          <w:color w:val="auto"/>
          <w:kern w:val="21"/>
          <w:sz w:val="21"/>
          <w:highlight w:val="none"/>
        </w:rPr>
      </w:pPr>
      <w:r>
        <w:rPr>
          <w:rFonts w:hint="eastAsia" w:hAnsi="宋体" w:cs="宋体"/>
          <w:b/>
          <w:color w:val="auto"/>
          <w:highlight w:val="none"/>
        </w:rPr>
        <w:t>一</w:t>
      </w:r>
      <w:r>
        <w:rPr>
          <w:rFonts w:hint="eastAsia" w:hAnsi="宋体" w:cs="宋体"/>
          <w:b/>
          <w:color w:val="auto"/>
          <w:sz w:val="21"/>
          <w:highlight w:val="none"/>
        </w:rPr>
        <w:t>、工程量清单</w:t>
      </w:r>
      <w:r>
        <w:rPr>
          <w:rFonts w:hint="eastAsia" w:hAnsi="宋体" w:cs="宋体"/>
          <w:b/>
          <w:color w:val="auto"/>
          <w:sz w:val="21"/>
          <w:highlight w:val="none"/>
          <w:lang w:eastAsia="zh-CN"/>
        </w:rPr>
        <w:t>编制</w:t>
      </w:r>
      <w:r>
        <w:rPr>
          <w:rFonts w:hint="eastAsia" w:hAnsi="宋体" w:cs="宋体"/>
          <w:b/>
          <w:color w:val="auto"/>
          <w:sz w:val="21"/>
          <w:highlight w:val="none"/>
        </w:rPr>
        <w:t>说明</w:t>
      </w:r>
      <w:r>
        <w:rPr>
          <w:rFonts w:hint="eastAsia" w:hAnsi="宋体" w:cs="宋体"/>
          <w:color w:val="auto"/>
          <w:kern w:val="21"/>
          <w:sz w:val="21"/>
          <w:highlight w:val="none"/>
        </w:rPr>
        <w:t>：</w:t>
      </w:r>
    </w:p>
    <w:p w14:paraId="4A7C6DE7">
      <w:pPr>
        <w:pStyle w:val="26"/>
        <w:spacing w:line="440" w:lineRule="exact"/>
        <w:ind w:firstLine="420"/>
        <w:rPr>
          <w:rFonts w:hAnsi="宋体" w:cs="宋体"/>
          <w:color w:val="auto"/>
          <w:kern w:val="21"/>
          <w:sz w:val="21"/>
          <w:highlight w:val="none"/>
        </w:rPr>
      </w:pPr>
      <w:r>
        <w:rPr>
          <w:rFonts w:hint="eastAsia" w:hAnsi="宋体" w:cs="宋体"/>
          <w:color w:val="auto"/>
          <w:kern w:val="21"/>
          <w:sz w:val="21"/>
          <w:highlight w:val="none"/>
        </w:rPr>
        <w:t>1.工程量清单所列的工程数量为采购时的工程量，仅作为报价的共同基础，不作为最终结算与支付的依据。实际支付应按磋商</w:t>
      </w:r>
      <w:r>
        <w:rPr>
          <w:rFonts w:hint="eastAsia" w:hAnsi="宋体" w:cs="宋体"/>
          <w:color w:val="auto"/>
          <w:kern w:val="21"/>
          <w:sz w:val="21"/>
          <w:highlight w:val="none"/>
          <w:lang w:eastAsia="zh-CN"/>
        </w:rPr>
        <w:t>文件</w:t>
      </w:r>
      <w:r>
        <w:rPr>
          <w:rFonts w:hint="eastAsia" w:hAnsi="宋体" w:cs="宋体"/>
          <w:color w:val="auto"/>
          <w:kern w:val="21"/>
          <w:sz w:val="21"/>
          <w:highlight w:val="none"/>
        </w:rPr>
        <w:t>中“合同条款”有关规定执行。</w:t>
      </w:r>
    </w:p>
    <w:p w14:paraId="2291133B">
      <w:pPr>
        <w:pStyle w:val="26"/>
        <w:spacing w:line="440" w:lineRule="exact"/>
        <w:ind w:firstLine="420"/>
        <w:rPr>
          <w:rFonts w:hAnsi="宋体" w:cs="宋体"/>
          <w:color w:val="auto"/>
          <w:sz w:val="21"/>
          <w:highlight w:val="none"/>
        </w:rPr>
      </w:pPr>
      <w:r>
        <w:rPr>
          <w:rFonts w:hint="eastAsia" w:hAnsi="宋体" w:cs="宋体"/>
          <w:color w:val="auto"/>
          <w:kern w:val="21"/>
          <w:sz w:val="21"/>
          <w:highlight w:val="none"/>
        </w:rPr>
        <w:t>2.</w:t>
      </w:r>
      <w:r>
        <w:rPr>
          <w:rFonts w:hint="eastAsia" w:hAnsi="宋体" w:cs="宋体"/>
          <w:color w:val="auto"/>
          <w:sz w:val="21"/>
          <w:highlight w:val="none"/>
        </w:rPr>
        <w:t>本工程计价及结算参考依据：</w:t>
      </w:r>
    </w:p>
    <w:p w14:paraId="329B8FE2">
      <w:pPr>
        <w:pStyle w:val="26"/>
        <w:spacing w:line="440" w:lineRule="exact"/>
        <w:ind w:firstLine="420"/>
        <w:rPr>
          <w:rFonts w:hAnsi="宋体" w:cs="宋体"/>
          <w:color w:val="auto"/>
          <w:sz w:val="21"/>
          <w:highlight w:val="none"/>
        </w:rPr>
      </w:pPr>
      <w:r>
        <w:rPr>
          <w:rFonts w:hint="eastAsia" w:hAnsi="宋体" w:cs="宋体"/>
          <w:color w:val="auto"/>
          <w:sz w:val="21"/>
          <w:highlight w:val="none"/>
        </w:rPr>
        <w:t>（1）《建设工程工程量清单计价规范》（GB50500-2013）及广西壮族自治区实施细则；</w:t>
      </w:r>
    </w:p>
    <w:p w14:paraId="14EB9597">
      <w:pPr>
        <w:pStyle w:val="26"/>
        <w:spacing w:line="440" w:lineRule="exact"/>
        <w:ind w:firstLine="420"/>
        <w:rPr>
          <w:rFonts w:hAnsi="宋体" w:cs="宋体"/>
          <w:color w:val="auto"/>
          <w:sz w:val="21"/>
          <w:highlight w:val="none"/>
        </w:rPr>
      </w:pPr>
      <w:r>
        <w:rPr>
          <w:rFonts w:hint="eastAsia" w:hAnsi="宋体" w:cs="宋体"/>
          <w:color w:val="auto"/>
          <w:sz w:val="21"/>
          <w:highlight w:val="none"/>
        </w:rPr>
        <w:t>（2）《建设工程工程量计算规范》（GB50854～50862-2013）及广西壮族自治区实施细则（修订本）；</w:t>
      </w:r>
    </w:p>
    <w:p w14:paraId="24483EE4">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3</w:t>
      </w:r>
      <w:r>
        <w:rPr>
          <w:rFonts w:hint="eastAsia" w:hAnsi="宋体" w:cs="宋体"/>
          <w:color w:val="auto"/>
          <w:sz w:val="21"/>
          <w:highlight w:val="none"/>
        </w:rPr>
        <w:t>）2022年《广西壮族自治区市政工程工程消耗量定额》及配套费用定额</w:t>
      </w:r>
      <w:r>
        <w:rPr>
          <w:rFonts w:hint="eastAsia" w:hAnsi="宋体" w:cs="宋体"/>
          <w:color w:val="auto"/>
          <w:sz w:val="21"/>
          <w:highlight w:val="none"/>
          <w:lang w:eastAsia="zh-CN"/>
        </w:rPr>
        <w:t>；</w:t>
      </w:r>
    </w:p>
    <w:p w14:paraId="05D09D3E">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4</w:t>
      </w:r>
      <w:r>
        <w:rPr>
          <w:rFonts w:hint="eastAsia" w:hAnsi="宋体" w:cs="宋体"/>
          <w:color w:val="auto"/>
          <w:sz w:val="21"/>
          <w:highlight w:val="none"/>
        </w:rPr>
        <w:t>）《自治区住房城乡建设厅关于颁布2016年</w:t>
      </w:r>
      <w:r>
        <w:rPr>
          <w:rFonts w:hint="eastAsia" w:hAnsi="宋体" w:cs="宋体"/>
          <w:color w:val="auto"/>
          <w:sz w:val="21"/>
          <w:highlight w:val="none"/>
          <w:lang w:eastAsia="zh-CN"/>
        </w:rPr>
        <w:t>〈</w:t>
      </w:r>
      <w:r>
        <w:rPr>
          <w:rFonts w:hint="eastAsia" w:hAnsi="宋体" w:cs="宋体"/>
          <w:color w:val="auto"/>
          <w:sz w:val="21"/>
          <w:highlight w:val="none"/>
        </w:rPr>
        <w:t>广西壮族自治区建设工程费用定额</w:t>
      </w:r>
      <w:r>
        <w:rPr>
          <w:rFonts w:hint="eastAsia" w:hAnsi="宋体" w:cs="宋体"/>
          <w:color w:val="auto"/>
          <w:sz w:val="21"/>
          <w:highlight w:val="none"/>
          <w:lang w:eastAsia="zh-CN"/>
        </w:rPr>
        <w:t>〉的通知》（</w:t>
      </w:r>
      <w:r>
        <w:rPr>
          <w:rFonts w:hint="eastAsia" w:hAnsi="宋体" w:cs="宋体"/>
          <w:color w:val="auto"/>
          <w:sz w:val="21"/>
          <w:highlight w:val="none"/>
        </w:rPr>
        <w:t>桂建标</w:t>
      </w:r>
      <w:r>
        <w:rPr>
          <w:rFonts w:hint="eastAsia" w:hAnsi="宋体" w:cs="宋体"/>
          <w:color w:val="auto"/>
          <w:sz w:val="21"/>
          <w:highlight w:val="none"/>
          <w:lang w:eastAsia="zh-CN"/>
        </w:rPr>
        <w:t>〔2016〕16号）；</w:t>
      </w:r>
    </w:p>
    <w:p w14:paraId="5A1CB7F2">
      <w:pPr>
        <w:pStyle w:val="26"/>
        <w:spacing w:line="440" w:lineRule="exact"/>
        <w:ind w:firstLine="420"/>
        <w:rPr>
          <w:rFonts w:hint="eastAsia" w:hAnsi="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5</w:t>
      </w:r>
      <w:r>
        <w:rPr>
          <w:rFonts w:hint="eastAsia" w:hAnsi="宋体" w:cs="宋体"/>
          <w:color w:val="auto"/>
          <w:sz w:val="21"/>
          <w:highlight w:val="none"/>
        </w:rPr>
        <w:t>）《自治区住房城乡建设厅关于建筑业实施营业税改增值税后广西壮族自治区建设工程计价依据调整的通知》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〔2016〕17号）；</w:t>
      </w:r>
    </w:p>
    <w:p w14:paraId="29BA0CA5">
      <w:pPr>
        <w:pStyle w:val="26"/>
        <w:spacing w:line="440" w:lineRule="exact"/>
        <w:ind w:firstLine="420"/>
        <w:rPr>
          <w:rFonts w:hint="eastAsia" w:hAnsi="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6</w:t>
      </w:r>
      <w:r>
        <w:rPr>
          <w:rFonts w:hint="eastAsia" w:hAnsi="宋体" w:cs="宋体"/>
          <w:color w:val="auto"/>
          <w:sz w:val="21"/>
          <w:highlight w:val="none"/>
        </w:rPr>
        <w:t>）《关于调整建设工程定额人工费及有关费率的通知》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〔2023〕7号</w:t>
      </w:r>
      <w:r>
        <w:rPr>
          <w:rFonts w:hint="eastAsia" w:hAnsi="宋体" w:cs="宋体"/>
          <w:color w:val="auto"/>
          <w:sz w:val="21"/>
          <w:highlight w:val="none"/>
        </w:rPr>
        <w:t>文</w:t>
      </w:r>
      <w:r>
        <w:rPr>
          <w:rFonts w:hint="eastAsia" w:hAnsi="宋体" w:cs="宋体"/>
          <w:color w:val="auto"/>
          <w:sz w:val="21"/>
          <w:highlight w:val="none"/>
          <w:lang w:eastAsia="zh-CN"/>
        </w:rPr>
        <w:t>）；</w:t>
      </w:r>
    </w:p>
    <w:p w14:paraId="647425AD">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7</w:t>
      </w:r>
      <w:r>
        <w:rPr>
          <w:rFonts w:hint="eastAsia" w:hAnsi="宋体" w:cs="宋体"/>
          <w:color w:val="auto"/>
          <w:sz w:val="21"/>
          <w:highlight w:val="none"/>
        </w:rPr>
        <w:t>）《自治区住房城乡建设厅关于调整建设工程计价增值税税率的通知》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〔2019〕12号）；</w:t>
      </w:r>
    </w:p>
    <w:p w14:paraId="06D59DC4">
      <w:pPr>
        <w:pStyle w:val="26"/>
        <w:spacing w:line="440" w:lineRule="exact"/>
        <w:ind w:firstLine="420"/>
        <w:rPr>
          <w:rFonts w:hAnsi="宋体" w:cs="宋体"/>
          <w:color w:val="auto"/>
          <w:kern w:val="21"/>
          <w:sz w:val="21"/>
          <w:highlight w:val="none"/>
        </w:rPr>
      </w:pPr>
      <w:r>
        <w:rPr>
          <w:rFonts w:hint="eastAsia" w:hAnsi="宋体" w:cs="宋体"/>
          <w:color w:val="auto"/>
          <w:sz w:val="21"/>
          <w:highlight w:val="none"/>
        </w:rPr>
        <w:t>（8）工程的材料价格依据202</w:t>
      </w:r>
      <w:r>
        <w:rPr>
          <w:rFonts w:hint="eastAsia" w:hAnsi="宋体" w:cs="宋体"/>
          <w:color w:val="auto"/>
          <w:sz w:val="21"/>
          <w:highlight w:val="none"/>
          <w:lang w:val="en-US" w:eastAsia="zh-CN"/>
        </w:rPr>
        <w:t>6</w:t>
      </w:r>
      <w:r>
        <w:rPr>
          <w:rFonts w:hint="eastAsia" w:hAnsi="宋体" w:cs="宋体"/>
          <w:color w:val="auto"/>
          <w:sz w:val="21"/>
          <w:highlight w:val="none"/>
        </w:rPr>
        <w:t>年《桂林市建设工程造价信息》桂林市第</w:t>
      </w:r>
      <w:r>
        <w:rPr>
          <w:rFonts w:hint="eastAsia" w:hAnsi="宋体" w:cs="宋体"/>
          <w:color w:val="auto"/>
          <w:sz w:val="21"/>
          <w:highlight w:val="none"/>
          <w:lang w:val="en-US" w:eastAsia="zh-CN"/>
        </w:rPr>
        <w:t>2</w:t>
      </w:r>
      <w:r>
        <w:rPr>
          <w:rFonts w:hint="eastAsia" w:hAnsi="宋体" w:cs="宋体"/>
          <w:color w:val="auto"/>
          <w:sz w:val="21"/>
          <w:highlight w:val="none"/>
        </w:rPr>
        <w:t>期，信息价上没有的材料价按市场询价</w:t>
      </w:r>
      <w:r>
        <w:rPr>
          <w:rFonts w:hint="eastAsia" w:hAnsi="宋体" w:cs="宋体"/>
          <w:color w:val="auto"/>
          <w:kern w:val="21"/>
          <w:sz w:val="21"/>
          <w:highlight w:val="none"/>
        </w:rPr>
        <w:t>。</w:t>
      </w:r>
    </w:p>
    <w:p w14:paraId="4C120F17">
      <w:pPr>
        <w:pStyle w:val="26"/>
        <w:spacing w:line="440" w:lineRule="exact"/>
        <w:rPr>
          <w:rFonts w:hAnsi="宋体" w:cs="宋体"/>
          <w:b/>
          <w:color w:val="auto"/>
          <w:sz w:val="21"/>
          <w:highlight w:val="none"/>
        </w:rPr>
      </w:pPr>
      <w:r>
        <w:rPr>
          <w:rFonts w:hint="eastAsia" w:hAnsi="宋体" w:cs="宋体"/>
          <w:b/>
          <w:color w:val="auto"/>
          <w:sz w:val="21"/>
          <w:highlight w:val="none"/>
        </w:rPr>
        <w:t>二、磋商报价说明</w:t>
      </w:r>
    </w:p>
    <w:p w14:paraId="1FC84B19">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1.供应商应依据磋商文件、工程量清单以及《计价规范</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02272C17">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供应商应按磋商文件提供的工程量清单计算工程项目的综合单价和合价。工程量清单中的每一项均需计算填写综合单价和合价，供应商没有填写综合单价和合价的项目将不予支付，并认为此项费用已包括在工程量清单的其他综合单价和合价中。供应商在工程量清单中多报的细目或单价、合价或总额价发包人将不予支持。</w:t>
      </w:r>
    </w:p>
    <w:p w14:paraId="3661EB63">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3.供应商应对磋商文件中工程量清单所列的各项内容和要求作实质性响应。</w:t>
      </w:r>
    </w:p>
    <w:p w14:paraId="6FA9AB87">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4.供应商报价依据：本工程磋商文件、工程量清单、发包人提供的有关的计价文件。</w:t>
      </w:r>
    </w:p>
    <w:p w14:paraId="59B70184">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5.磋商价格采用方式：本工程报价采用工程量清单报价方式。</w:t>
      </w:r>
    </w:p>
    <w:p w14:paraId="0E996DFC">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6.分部分项工程量清单部分：报价单位所填写的综合单价在合同实施期间不因市场变化因素而变化，成交综合单价即为结算综合单价，其在合同实施期间，由于施工方法的修正、变更而引起的费用增加，由</w:t>
      </w:r>
      <w:r>
        <w:rPr>
          <w:rFonts w:hint="eastAsia" w:ascii="宋体" w:hAnsi="宋体" w:cs="宋体"/>
          <w:b w:val="0"/>
          <w:bCs/>
          <w:color w:val="auto"/>
          <w:sz w:val="21"/>
          <w:szCs w:val="21"/>
          <w:highlight w:val="none"/>
          <w:lang w:val="en-US" w:eastAsia="zh-CN"/>
        </w:rPr>
        <w:t>成交人</w:t>
      </w:r>
      <w:r>
        <w:rPr>
          <w:rFonts w:hint="eastAsia" w:ascii="宋体" w:hAnsi="宋体" w:eastAsia="宋体" w:cs="宋体"/>
          <w:b w:val="0"/>
          <w:bCs/>
          <w:color w:val="auto"/>
          <w:sz w:val="21"/>
          <w:szCs w:val="21"/>
          <w:highlight w:val="none"/>
          <w:lang w:val="en-US" w:eastAsia="zh-CN"/>
        </w:rPr>
        <w:t>自理，不另追加费用，合价在合同实施期间以监理工程师及业主代表认可的，按技术规范要求完成的实际工程数量为计算依据，供应商在计算报价时可考虑一定的风险系数。</w:t>
      </w:r>
    </w:p>
    <w:p w14:paraId="2C858325">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本工程合同实施期间，因不可预见因素或设计及发包人要求所发生的工程量增减（由变更签证产生），按其实际发生的发包人代表签证确认，其结算综合单价的确定按合同条款规定计算，其最终结算价格以采购人审核后的价格为准。</w:t>
      </w:r>
    </w:p>
    <w:p w14:paraId="4AF67C8E">
      <w:pPr>
        <w:tabs>
          <w:tab w:val="left" w:pos="210"/>
        </w:tabs>
        <w:spacing w:line="440" w:lineRule="exact"/>
        <w:ind w:firstLine="422"/>
        <w:jc w:val="left"/>
        <w:rPr>
          <w:rFonts w:hint="eastAsia" w:ascii="宋体" w:hAnsi="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8.供应商应按工程量清单填报价格。项目编码（12位）、项目名称、项目特征、计量单位、工程量必须与工程量清单一致，供应商不得对工程量清单项目进行增减调整。</w:t>
      </w:r>
    </w:p>
    <w:p w14:paraId="6D30F0F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9.综合单价中应包含磋商文件中划分的应由供应商承担的风险范围及其费用。</w:t>
      </w:r>
    </w:p>
    <w:p w14:paraId="71107208">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分部分项工程项目和单价措施项目，应根据磋商文件和工程量清单项目中的特征描述确定综合单价计算。如出现工程量清单特征描述与设计图纸不符时，供应商应以工程量清单的项目特征描述为准，确定磋商报价的综合单价。</w:t>
      </w:r>
    </w:p>
    <w:p w14:paraId="67990DF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11.总价措施项目的金额应根据磋商文件及竞标时拟定的施工组织设计或施工方案，按计价规范的规定自主确定。但安全文明施工费按国家、省级或行业建设主管部门的有关规定执行，作为不竞争费用单列。</w:t>
      </w:r>
    </w:p>
    <w:p w14:paraId="13A0C19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12.其他项目费应按下列规定报价：</w:t>
      </w:r>
    </w:p>
    <w:p w14:paraId="1BC13BC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（1）暂列金额应按工程量清单中列出的金额填写；</w:t>
      </w:r>
    </w:p>
    <w:p w14:paraId="742E9E3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（2）材料、工程设备暂估价应按工程量清单中列出的单价计入综合单价；</w:t>
      </w:r>
    </w:p>
    <w:p w14:paraId="11F6D35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（3）专业工程暂估价应按工程量清单中列出的金额填写；</w:t>
      </w:r>
    </w:p>
    <w:p w14:paraId="762A504A">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（4）安全生产责任保险费暂估价应按工程量清单中列出的金额填写；</w:t>
      </w:r>
    </w:p>
    <w:p w14:paraId="439BFAB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（5）计日工应按工程量清单中列出的项目和估算数量，自主确定综合单价并计算计日工总额；计日工单价均不含规费和税金。</w:t>
      </w:r>
    </w:p>
    <w:p w14:paraId="6ADC6E18">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13. 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FAB46D4">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14. 磋商总价应当与分部分项工程费、措施项目费、其他项目费和规费、增值税的合计金额一致。</w:t>
      </w:r>
    </w:p>
    <w:p w14:paraId="4D99A9D2">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未尽事宜详见本工程工程量清单以及现行《计价规范》等有关规定执行。</w:t>
      </w:r>
    </w:p>
    <w:p w14:paraId="51D0FCED">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附的工程量清单及相关说明为准。</w:t>
      </w:r>
    </w:p>
    <w:p w14:paraId="7B9F14BB">
      <w:pPr>
        <w:tabs>
          <w:tab w:val="left" w:pos="210"/>
        </w:tabs>
        <w:spacing w:line="44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lang w:val="en-US" w:eastAsia="zh-CN"/>
        </w:rPr>
        <w:t>15</w:t>
      </w:r>
      <w:r>
        <w:rPr>
          <w:rFonts w:hint="eastAsia" w:ascii="宋体" w:hAnsi="宋体" w:cs="宋体"/>
          <w:b/>
          <w:color w:val="auto"/>
          <w:sz w:val="21"/>
          <w:szCs w:val="21"/>
          <w:highlight w:val="none"/>
        </w:rPr>
        <w:t>.工程量清单封面须由编制人签字并盖专用章，否则响应文件按无效处理。</w:t>
      </w:r>
    </w:p>
    <w:p w14:paraId="20EB44F8">
      <w:pPr>
        <w:tabs>
          <w:tab w:val="left" w:pos="210"/>
        </w:tabs>
        <w:spacing w:line="44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w:t>
      </w:r>
      <w:r>
        <w:rPr>
          <w:rFonts w:hint="eastAsia" w:ascii="宋体" w:hAnsi="宋体" w:eastAsia="宋体" w:cs="宋体"/>
          <w:b/>
          <w:color w:val="auto"/>
          <w:sz w:val="21"/>
          <w:szCs w:val="21"/>
          <w:highlight w:val="none"/>
        </w:rPr>
        <w:t>本项目预算金额及最高限价</w:t>
      </w:r>
    </w:p>
    <w:p w14:paraId="2A75CEA4">
      <w:pPr>
        <w:tabs>
          <w:tab w:val="left" w:pos="210"/>
        </w:tabs>
        <w:spacing w:line="440" w:lineRule="exact"/>
        <w:ind w:firstLine="422"/>
        <w:jc w:val="left"/>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本项目预算金额（即</w:t>
      </w:r>
      <w:r>
        <w:rPr>
          <w:rFonts w:hint="eastAsia" w:ascii="宋体" w:hAnsi="宋体" w:eastAsia="宋体" w:cs="宋体"/>
          <w:b/>
          <w:bCs w:val="0"/>
          <w:color w:val="auto"/>
          <w:sz w:val="21"/>
          <w:szCs w:val="21"/>
          <w:highlight w:val="none"/>
        </w:rPr>
        <w:t>工程总造价</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及</w:t>
      </w:r>
      <w:r>
        <w:rPr>
          <w:rFonts w:hint="eastAsia" w:ascii="宋体" w:hAnsi="宋体" w:eastAsia="宋体" w:cs="宋体"/>
          <w:b/>
          <w:bCs w:val="0"/>
          <w:color w:val="auto"/>
          <w:sz w:val="21"/>
          <w:szCs w:val="21"/>
          <w:highlight w:val="none"/>
          <w:lang w:eastAsia="zh-CN"/>
        </w:rPr>
        <w:t>最高限价</w:t>
      </w:r>
      <w:r>
        <w:rPr>
          <w:rFonts w:hint="eastAsia" w:ascii="宋体" w:hAnsi="宋体" w:cs="宋体"/>
          <w:b/>
          <w:bCs w:val="0"/>
          <w:color w:val="auto"/>
          <w:sz w:val="21"/>
          <w:szCs w:val="21"/>
          <w:highlight w:val="none"/>
          <w:lang w:eastAsia="zh-CN"/>
        </w:rPr>
        <w:t>均</w:t>
      </w:r>
      <w:r>
        <w:rPr>
          <w:rFonts w:hint="eastAsia" w:ascii="宋体" w:hAnsi="宋体" w:eastAsia="宋体" w:cs="宋体"/>
          <w:b/>
          <w:bCs w:val="0"/>
          <w:color w:val="auto"/>
          <w:sz w:val="21"/>
          <w:szCs w:val="21"/>
          <w:highlight w:val="none"/>
          <w:lang w:eastAsia="zh-CN"/>
        </w:rPr>
        <w:t>为壹佰零壹万元整（¥</w:t>
      </w:r>
      <w:r>
        <w:rPr>
          <w:rFonts w:hint="eastAsia" w:ascii="宋体" w:hAnsi="宋体" w:eastAsia="宋体" w:cs="宋体"/>
          <w:b/>
          <w:bCs w:val="0"/>
          <w:color w:val="auto"/>
          <w:sz w:val="21"/>
          <w:szCs w:val="21"/>
          <w:highlight w:val="none"/>
        </w:rPr>
        <w:t>101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
          <w:bCs w:val="0"/>
          <w:color w:val="auto"/>
          <w:sz w:val="21"/>
          <w:szCs w:val="21"/>
          <w:highlight w:val="none"/>
        </w:rPr>
        <w:t>供应商的磋商报价不得高于本项目</w:t>
      </w:r>
      <w:r>
        <w:rPr>
          <w:rFonts w:hint="eastAsia" w:ascii="宋体" w:hAnsi="宋体" w:eastAsia="宋体" w:cs="宋体"/>
          <w:b/>
          <w:bCs w:val="0"/>
          <w:color w:val="auto"/>
          <w:sz w:val="21"/>
          <w:szCs w:val="21"/>
          <w:highlight w:val="none"/>
          <w:lang w:eastAsia="zh-CN"/>
        </w:rPr>
        <w:t>本项目预算金额（即</w:t>
      </w:r>
      <w:r>
        <w:rPr>
          <w:rFonts w:hint="eastAsia" w:ascii="宋体" w:hAnsi="宋体" w:eastAsia="宋体" w:cs="宋体"/>
          <w:b/>
          <w:bCs w:val="0"/>
          <w:color w:val="auto"/>
          <w:sz w:val="21"/>
          <w:szCs w:val="21"/>
          <w:highlight w:val="none"/>
        </w:rPr>
        <w:t>工程总造价</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及</w:t>
      </w:r>
      <w:r>
        <w:rPr>
          <w:rFonts w:hint="eastAsia" w:ascii="宋体" w:hAnsi="宋体" w:eastAsia="宋体" w:cs="宋体"/>
          <w:b/>
          <w:bCs w:val="0"/>
          <w:color w:val="auto"/>
          <w:sz w:val="21"/>
          <w:szCs w:val="21"/>
          <w:highlight w:val="none"/>
          <w:lang w:eastAsia="zh-CN"/>
        </w:rPr>
        <w:t>最高限价</w:t>
      </w:r>
      <w:r>
        <w:rPr>
          <w:rFonts w:hint="eastAsia" w:ascii="宋体" w:hAnsi="宋体" w:eastAsia="宋体" w:cs="宋体"/>
          <w:b/>
          <w:bCs w:val="0"/>
          <w:color w:val="auto"/>
          <w:sz w:val="21"/>
          <w:szCs w:val="21"/>
          <w:highlight w:val="none"/>
        </w:rPr>
        <w:t>金额，否则响应文件按无效处理。</w:t>
      </w:r>
    </w:p>
    <w:p w14:paraId="086B38E7">
      <w:pPr>
        <w:tabs>
          <w:tab w:val="left" w:pos="210"/>
        </w:tabs>
        <w:spacing w:line="440" w:lineRule="exact"/>
        <w:ind w:firstLine="422"/>
        <w:jc w:val="left"/>
        <w:rPr>
          <w:rFonts w:hint="eastAsia" w:ascii="宋体" w:hAnsi="宋体" w:cs="宋体"/>
          <w:b/>
          <w:color w:val="auto"/>
          <w:sz w:val="21"/>
          <w:szCs w:val="21"/>
          <w:highlight w:val="none"/>
        </w:rPr>
      </w:pPr>
      <w:r>
        <w:rPr>
          <w:rFonts w:hint="eastAsia" w:hAnsi="宋体" w:cs="宋体"/>
          <w:b/>
          <w:color w:val="auto"/>
          <w:highlight w:val="none"/>
          <w:lang w:val="en-US" w:eastAsia="zh-CN"/>
        </w:rPr>
        <w:t>Ⅱ、图纸（另附）</w:t>
      </w:r>
    </w:p>
    <w:p w14:paraId="06643DF6">
      <w:pPr>
        <w:pStyle w:val="23"/>
        <w:rPr>
          <w:rFonts w:ascii="宋体" w:hAnsi="宋体" w:cs="宋体"/>
          <w:b/>
          <w:color w:val="auto"/>
          <w:sz w:val="21"/>
          <w:szCs w:val="21"/>
          <w:highlight w:val="none"/>
        </w:rPr>
      </w:pPr>
    </w:p>
    <w:p w14:paraId="4EA9C562">
      <w:pPr>
        <w:spacing w:line="380" w:lineRule="exact"/>
        <w:ind w:firstLine="420"/>
        <w:rPr>
          <w:rFonts w:ascii="宋体" w:hAnsi="宋体" w:cs="宋体"/>
          <w:color w:val="auto"/>
          <w:sz w:val="21"/>
          <w:szCs w:val="21"/>
          <w:highlight w:val="none"/>
        </w:rPr>
      </w:pPr>
    </w:p>
    <w:p w14:paraId="62061139">
      <w:pPr>
        <w:adjustRightInd w:val="0"/>
        <w:snapToGrid w:val="0"/>
        <w:spacing w:line="400" w:lineRule="exact"/>
        <w:ind w:firstLine="643"/>
        <w:jc w:val="center"/>
        <w:rPr>
          <w:rFonts w:ascii="宋体" w:hAnsi="宋体" w:cs="宋体"/>
          <w:b/>
          <w:color w:val="auto"/>
          <w:kern w:val="0"/>
          <w:sz w:val="32"/>
          <w:highlight w:val="none"/>
        </w:rPr>
      </w:pPr>
    </w:p>
    <w:p w14:paraId="1DCFA2A2">
      <w:pPr>
        <w:adjustRightInd w:val="0"/>
        <w:snapToGrid w:val="0"/>
        <w:spacing w:line="400" w:lineRule="exact"/>
        <w:ind w:firstLine="643"/>
        <w:jc w:val="center"/>
        <w:rPr>
          <w:rFonts w:ascii="宋体" w:hAnsi="宋体" w:cs="宋体"/>
          <w:b/>
          <w:color w:val="auto"/>
          <w:kern w:val="0"/>
          <w:sz w:val="32"/>
          <w:highlight w:val="none"/>
        </w:rPr>
      </w:pPr>
    </w:p>
    <w:p w14:paraId="419EDC0C">
      <w:pPr>
        <w:adjustRightInd w:val="0"/>
        <w:snapToGrid w:val="0"/>
        <w:spacing w:line="400" w:lineRule="exact"/>
        <w:ind w:firstLine="643"/>
        <w:jc w:val="center"/>
        <w:rPr>
          <w:rFonts w:ascii="宋体" w:hAnsi="宋体" w:cs="宋体"/>
          <w:b/>
          <w:color w:val="auto"/>
          <w:kern w:val="0"/>
          <w:sz w:val="32"/>
          <w:highlight w:val="none"/>
        </w:rPr>
      </w:pPr>
    </w:p>
    <w:p w14:paraId="066C7EDF">
      <w:pPr>
        <w:adjustRightInd w:val="0"/>
        <w:snapToGrid w:val="0"/>
        <w:spacing w:line="400" w:lineRule="exact"/>
        <w:ind w:firstLine="643"/>
        <w:jc w:val="center"/>
        <w:rPr>
          <w:rFonts w:ascii="宋体" w:hAnsi="宋体" w:cs="宋体"/>
          <w:b/>
          <w:color w:val="auto"/>
          <w:kern w:val="0"/>
          <w:sz w:val="32"/>
          <w:highlight w:val="none"/>
        </w:rPr>
      </w:pPr>
    </w:p>
    <w:p w14:paraId="0B4BE192">
      <w:pPr>
        <w:pStyle w:val="23"/>
        <w:rPr>
          <w:rFonts w:ascii="宋体" w:hAnsi="宋体" w:cs="宋体"/>
          <w:b/>
          <w:color w:val="auto"/>
          <w:sz w:val="32"/>
          <w:highlight w:val="none"/>
        </w:rPr>
      </w:pPr>
    </w:p>
    <w:p w14:paraId="52D577EF">
      <w:pPr>
        <w:pStyle w:val="23"/>
        <w:rPr>
          <w:rFonts w:ascii="宋体" w:hAnsi="宋体" w:cs="宋体"/>
          <w:b/>
          <w:color w:val="auto"/>
          <w:sz w:val="32"/>
          <w:highlight w:val="none"/>
        </w:rPr>
      </w:pPr>
    </w:p>
    <w:p w14:paraId="6266EBE1">
      <w:pPr>
        <w:pStyle w:val="23"/>
        <w:rPr>
          <w:rFonts w:ascii="宋体" w:hAnsi="宋体" w:cs="宋体"/>
          <w:b/>
          <w:color w:val="auto"/>
          <w:sz w:val="32"/>
          <w:highlight w:val="none"/>
        </w:rPr>
      </w:pPr>
    </w:p>
    <w:p w14:paraId="217411B3">
      <w:pPr>
        <w:pStyle w:val="23"/>
        <w:rPr>
          <w:rFonts w:ascii="宋体" w:hAnsi="宋体" w:cs="宋体"/>
          <w:b/>
          <w:color w:val="auto"/>
          <w:sz w:val="32"/>
          <w:highlight w:val="none"/>
        </w:rPr>
      </w:pPr>
    </w:p>
    <w:p w14:paraId="7CD7B646">
      <w:pPr>
        <w:pStyle w:val="23"/>
        <w:rPr>
          <w:rFonts w:ascii="宋体" w:hAnsi="宋体" w:cs="宋体"/>
          <w:b/>
          <w:color w:val="auto"/>
          <w:sz w:val="32"/>
          <w:highlight w:val="none"/>
        </w:rPr>
      </w:pPr>
    </w:p>
    <w:p w14:paraId="7A7888BF">
      <w:pPr>
        <w:pStyle w:val="23"/>
        <w:rPr>
          <w:rFonts w:ascii="宋体" w:hAnsi="宋体" w:cs="宋体"/>
          <w:b/>
          <w:color w:val="auto"/>
          <w:sz w:val="32"/>
          <w:highlight w:val="none"/>
        </w:rPr>
      </w:pPr>
    </w:p>
    <w:p w14:paraId="7D23082F">
      <w:pPr>
        <w:pStyle w:val="23"/>
        <w:rPr>
          <w:rFonts w:ascii="宋体" w:hAnsi="宋体" w:cs="宋体"/>
          <w:b/>
          <w:color w:val="auto"/>
          <w:sz w:val="32"/>
          <w:highlight w:val="none"/>
        </w:rPr>
      </w:pPr>
    </w:p>
    <w:p w14:paraId="43FDFC91">
      <w:pPr>
        <w:pStyle w:val="23"/>
        <w:rPr>
          <w:rFonts w:ascii="宋体" w:hAnsi="宋体" w:cs="宋体"/>
          <w:b/>
          <w:color w:val="auto"/>
          <w:sz w:val="32"/>
          <w:highlight w:val="none"/>
        </w:rPr>
      </w:pPr>
    </w:p>
    <w:p w14:paraId="01CF2C82">
      <w:pPr>
        <w:pStyle w:val="23"/>
        <w:rPr>
          <w:rFonts w:ascii="宋体" w:hAnsi="宋体" w:cs="宋体"/>
          <w:b/>
          <w:color w:val="auto"/>
          <w:sz w:val="32"/>
          <w:highlight w:val="none"/>
        </w:rPr>
      </w:pPr>
    </w:p>
    <w:p w14:paraId="03EB24F0">
      <w:pPr>
        <w:pStyle w:val="23"/>
        <w:rPr>
          <w:rFonts w:ascii="宋体" w:hAnsi="宋体" w:cs="宋体"/>
          <w:b/>
          <w:color w:val="auto"/>
          <w:sz w:val="32"/>
          <w:highlight w:val="none"/>
        </w:rPr>
      </w:pPr>
    </w:p>
    <w:p w14:paraId="6EF4B705">
      <w:pPr>
        <w:pStyle w:val="23"/>
        <w:rPr>
          <w:rFonts w:ascii="宋体" w:hAnsi="宋体" w:cs="宋体"/>
          <w:b/>
          <w:color w:val="auto"/>
          <w:sz w:val="32"/>
          <w:highlight w:val="none"/>
        </w:rPr>
      </w:pPr>
    </w:p>
    <w:p w14:paraId="3D1E359D">
      <w:pPr>
        <w:pStyle w:val="23"/>
        <w:rPr>
          <w:rFonts w:ascii="宋体" w:hAnsi="宋体" w:cs="宋体"/>
          <w:b/>
          <w:color w:val="auto"/>
          <w:sz w:val="32"/>
          <w:highlight w:val="none"/>
        </w:rPr>
      </w:pPr>
    </w:p>
    <w:p w14:paraId="4AFBADDD">
      <w:pPr>
        <w:pStyle w:val="23"/>
        <w:rPr>
          <w:rFonts w:ascii="宋体" w:hAnsi="宋体" w:cs="宋体"/>
          <w:b/>
          <w:color w:val="auto"/>
          <w:sz w:val="32"/>
          <w:highlight w:val="none"/>
        </w:rPr>
      </w:pPr>
    </w:p>
    <w:p w14:paraId="3449CB5B">
      <w:pPr>
        <w:pStyle w:val="23"/>
        <w:rPr>
          <w:rFonts w:ascii="宋体" w:hAnsi="宋体" w:cs="宋体"/>
          <w:b/>
          <w:color w:val="auto"/>
          <w:sz w:val="32"/>
          <w:highlight w:val="none"/>
        </w:rPr>
      </w:pPr>
    </w:p>
    <w:p w14:paraId="0E0B3442">
      <w:pPr>
        <w:pStyle w:val="23"/>
        <w:rPr>
          <w:rFonts w:ascii="宋体" w:hAnsi="宋体" w:cs="宋体"/>
          <w:b/>
          <w:color w:val="auto"/>
          <w:sz w:val="32"/>
          <w:highlight w:val="none"/>
        </w:rPr>
      </w:pPr>
    </w:p>
    <w:p w14:paraId="5EE0856B">
      <w:pPr>
        <w:pStyle w:val="23"/>
        <w:rPr>
          <w:rFonts w:ascii="宋体" w:hAnsi="宋体" w:cs="宋体"/>
          <w:b/>
          <w:color w:val="auto"/>
          <w:sz w:val="32"/>
          <w:highlight w:val="none"/>
        </w:rPr>
      </w:pPr>
    </w:p>
    <w:p w14:paraId="666B319C">
      <w:pPr>
        <w:pStyle w:val="23"/>
        <w:rPr>
          <w:rFonts w:ascii="宋体" w:hAnsi="宋体" w:cs="宋体"/>
          <w:b/>
          <w:color w:val="auto"/>
          <w:sz w:val="32"/>
          <w:highlight w:val="none"/>
        </w:rPr>
      </w:pPr>
    </w:p>
    <w:p w14:paraId="395B2269">
      <w:pPr>
        <w:widowControl/>
        <w:spacing w:line="240" w:lineRule="auto"/>
        <w:ind w:firstLine="0" w:firstLineChars="0"/>
        <w:jc w:val="left"/>
        <w:rPr>
          <w:rFonts w:ascii="宋体" w:hAnsi="宋体" w:cs="宋体"/>
          <w:b/>
          <w:color w:val="auto"/>
          <w:kern w:val="0"/>
          <w:sz w:val="32"/>
          <w:szCs w:val="20"/>
          <w:highlight w:val="none"/>
        </w:rPr>
      </w:pPr>
      <w:r>
        <w:rPr>
          <w:rFonts w:ascii="宋体" w:hAnsi="宋体" w:cs="宋体"/>
          <w:b/>
          <w:color w:val="auto"/>
          <w:sz w:val="32"/>
          <w:highlight w:val="none"/>
        </w:rPr>
        <w:br w:type="page"/>
      </w:r>
    </w:p>
    <w:p w14:paraId="6154A87A">
      <w:pPr>
        <w:adjustRightInd w:val="0"/>
        <w:snapToGrid w:val="0"/>
        <w:spacing w:line="400" w:lineRule="exact"/>
        <w:ind w:firstLine="643"/>
        <w:jc w:val="center"/>
        <w:rPr>
          <w:rFonts w:ascii="宋体" w:hAnsi="宋体" w:cs="宋体"/>
          <w:b/>
          <w:color w:val="auto"/>
          <w:kern w:val="0"/>
          <w:sz w:val="32"/>
          <w:szCs w:val="32"/>
          <w:highlight w:val="none"/>
        </w:rPr>
      </w:pPr>
      <w:r>
        <w:rPr>
          <w:rFonts w:hint="eastAsia" w:ascii="宋体" w:hAnsi="宋体" w:cs="宋体"/>
          <w:b/>
          <w:color w:val="auto"/>
          <w:kern w:val="0"/>
          <w:sz w:val="32"/>
          <w:highlight w:val="none"/>
        </w:rPr>
        <w:t xml:space="preserve">第五章  </w:t>
      </w:r>
      <w:r>
        <w:rPr>
          <w:rFonts w:hint="eastAsia" w:ascii="宋体" w:hAnsi="宋体" w:cs="宋体"/>
          <w:b/>
          <w:color w:val="auto"/>
          <w:kern w:val="0"/>
          <w:sz w:val="32"/>
          <w:szCs w:val="32"/>
          <w:highlight w:val="none"/>
        </w:rPr>
        <w:t>评审办法</w:t>
      </w:r>
    </w:p>
    <w:p w14:paraId="07D031F5">
      <w:pPr>
        <w:keepNext w:val="0"/>
        <w:keepLines w:val="0"/>
        <w:pageBreakBefore w:val="0"/>
        <w:widowControl w:val="0"/>
        <w:kinsoku/>
        <w:wordWrap/>
        <w:overflowPunct/>
        <w:topLinePunct w:val="0"/>
        <w:autoSpaceDE/>
        <w:autoSpaceDN/>
        <w:bidi w:val="0"/>
        <w:spacing w:line="400" w:lineRule="exact"/>
        <w:ind w:firstLine="413" w:firstLineChars="196"/>
        <w:textAlignment w:val="auto"/>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59192B1E">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1.评审依据：磋商小组以竞争性磋商文件和响应文件为评审依据，对供应商的报价、</w:t>
      </w:r>
      <w:r>
        <w:rPr>
          <w:rFonts w:hint="eastAsia" w:ascii="宋体" w:hAnsi="宋体" w:cs="宋体"/>
          <w:color w:val="auto"/>
          <w:sz w:val="21"/>
          <w:szCs w:val="21"/>
          <w:highlight w:val="none"/>
        </w:rPr>
        <w:t>施工组织设计、</w:t>
      </w:r>
      <w:r>
        <w:rPr>
          <w:rFonts w:hint="eastAsia" w:ascii="宋体" w:hAnsi="宋体" w:cs="宋体"/>
          <w:color w:val="auto"/>
          <w:kern w:val="0"/>
          <w:sz w:val="21"/>
          <w:szCs w:val="20"/>
          <w:highlight w:val="none"/>
        </w:rPr>
        <w:t>履约能力等方面内容按百分制打分。</w:t>
      </w:r>
    </w:p>
    <w:p w14:paraId="3597F0B2">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20F9AB7E">
      <w:pPr>
        <w:keepNext w:val="0"/>
        <w:keepLines w:val="0"/>
        <w:pageBreakBefore w:val="0"/>
        <w:widowControl w:val="0"/>
        <w:kinsoku/>
        <w:wordWrap/>
        <w:overflowPunct/>
        <w:topLinePunct w:val="0"/>
        <w:autoSpaceDE/>
        <w:autoSpaceDN/>
        <w:bidi w:val="0"/>
        <w:adjustRightInd w:val="0"/>
        <w:snapToGrid w:val="0"/>
        <w:spacing w:line="400" w:lineRule="exact"/>
        <w:ind w:left="240" w:leftChars="100" w:firstLine="210" w:firstLineChars="10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2534B78C">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ascii="宋体" w:hAnsi="宋体" w:cs="宋体"/>
          <w:b/>
          <w:bCs/>
          <w:color w:val="auto"/>
          <w:kern w:val="0"/>
          <w:sz w:val="21"/>
          <w:szCs w:val="20"/>
          <w:highlight w:val="none"/>
        </w:rPr>
      </w:pPr>
    </w:p>
    <w:p w14:paraId="7272473B">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25238651">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5EE489D8">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w:t>
      </w:r>
      <w:r>
        <w:rPr>
          <w:rFonts w:hint="eastAsia" w:ascii="宋体" w:hAnsi="宋体" w:cs="宋体"/>
          <w:bCs/>
          <w:color w:val="auto"/>
          <w:kern w:val="0"/>
          <w:sz w:val="21"/>
          <w:szCs w:val="20"/>
          <w:highlight w:val="none"/>
          <w:lang w:eastAsia="zh-CN"/>
        </w:rPr>
        <w:t>两位</w:t>
      </w:r>
      <w:r>
        <w:rPr>
          <w:rFonts w:hint="eastAsia" w:ascii="宋体" w:hAnsi="宋体" w:cs="宋体"/>
          <w:bCs/>
          <w:color w:val="auto"/>
          <w:kern w:val="0"/>
          <w:sz w:val="21"/>
          <w:szCs w:val="20"/>
          <w:highlight w:val="none"/>
        </w:rPr>
        <w:t>）</w:t>
      </w:r>
    </w:p>
    <w:tbl>
      <w:tblPr>
        <w:tblStyle w:val="48"/>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68"/>
        <w:gridCol w:w="7398"/>
      </w:tblGrid>
      <w:tr w14:paraId="7835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00891B0F">
            <w:pPr>
              <w:adjustRightInd w:val="0"/>
              <w:snapToGrid w:val="0"/>
              <w:spacing w:line="360" w:lineRule="exact"/>
              <w:ind w:firstLine="0" w:firstLineChars="0"/>
              <w:jc w:val="center"/>
              <w:textAlignment w:val="baseline"/>
              <w:rPr>
                <w:rFonts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1268" w:type="dxa"/>
            <w:tcBorders>
              <w:top w:val="single" w:color="auto" w:sz="4" w:space="0"/>
              <w:left w:val="single" w:color="auto" w:sz="4" w:space="0"/>
              <w:bottom w:val="single" w:color="auto" w:sz="4" w:space="0"/>
              <w:right w:val="single" w:color="auto" w:sz="4" w:space="0"/>
            </w:tcBorders>
            <w:noWrap/>
            <w:vAlign w:val="center"/>
          </w:tcPr>
          <w:p w14:paraId="26DFBE08">
            <w:pPr>
              <w:adjustRightInd w:val="0"/>
              <w:snapToGrid w:val="0"/>
              <w:spacing w:line="360" w:lineRule="exact"/>
              <w:ind w:firstLine="0" w:firstLineChars="0"/>
              <w:jc w:val="center"/>
              <w:textAlignment w:val="baseline"/>
              <w:rPr>
                <w:rFonts w:ascii="宋体" w:hAnsi="宋体" w:cs="宋体"/>
                <w:color w:val="auto"/>
                <w:sz w:val="21"/>
                <w:szCs w:val="21"/>
                <w:highlight w:val="none"/>
              </w:rPr>
            </w:pPr>
            <w:r>
              <w:rPr>
                <w:rFonts w:hint="eastAsia" w:ascii="宋体" w:hAnsi="宋体" w:cs="宋体"/>
                <w:b/>
                <w:color w:val="auto"/>
                <w:sz w:val="21"/>
                <w:szCs w:val="21"/>
                <w:highlight w:val="none"/>
              </w:rPr>
              <w:t>评审因素</w:t>
            </w:r>
          </w:p>
        </w:tc>
        <w:tc>
          <w:tcPr>
            <w:tcW w:w="7398" w:type="dxa"/>
            <w:tcBorders>
              <w:top w:val="single" w:color="auto" w:sz="4" w:space="0"/>
              <w:left w:val="single" w:color="auto" w:sz="4" w:space="0"/>
              <w:bottom w:val="single" w:color="auto" w:sz="4" w:space="0"/>
              <w:right w:val="single" w:color="auto" w:sz="4" w:space="0"/>
            </w:tcBorders>
            <w:noWrap/>
            <w:vAlign w:val="center"/>
          </w:tcPr>
          <w:p w14:paraId="7089F97E">
            <w:pPr>
              <w:adjustRightInd w:val="0"/>
              <w:snapToGrid w:val="0"/>
              <w:spacing w:line="360" w:lineRule="exact"/>
              <w:ind w:firstLine="0" w:firstLineChars="0"/>
              <w:jc w:val="center"/>
              <w:textAlignment w:val="baseline"/>
              <w:rPr>
                <w:rFonts w:ascii="宋体" w:hAnsi="宋体" w:cs="宋体"/>
                <w:b/>
                <w:color w:val="auto"/>
                <w:sz w:val="21"/>
                <w:szCs w:val="21"/>
                <w:highlight w:val="none"/>
              </w:rPr>
            </w:pPr>
            <w:r>
              <w:rPr>
                <w:rFonts w:hint="eastAsia" w:ascii="宋体" w:hAnsi="宋体" w:cs="宋体"/>
                <w:b/>
                <w:color w:val="auto"/>
                <w:sz w:val="21"/>
                <w:szCs w:val="21"/>
                <w:highlight w:val="none"/>
              </w:rPr>
              <w:t>评标标准</w:t>
            </w:r>
          </w:p>
        </w:tc>
      </w:tr>
      <w:tr w14:paraId="3A02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309D1EF3">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1</w:t>
            </w:r>
          </w:p>
        </w:tc>
        <w:tc>
          <w:tcPr>
            <w:tcW w:w="1268" w:type="dxa"/>
            <w:tcBorders>
              <w:top w:val="single" w:color="auto" w:sz="4" w:space="0"/>
              <w:left w:val="single" w:color="auto" w:sz="4" w:space="0"/>
              <w:bottom w:val="single" w:color="auto" w:sz="4" w:space="0"/>
              <w:right w:val="single" w:color="auto" w:sz="4" w:space="0"/>
            </w:tcBorders>
            <w:noWrap/>
            <w:vAlign w:val="center"/>
          </w:tcPr>
          <w:p w14:paraId="16B90B19">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价格分（满分</w:t>
            </w:r>
            <w:r>
              <w:rPr>
                <w:rFonts w:ascii="宋体" w:hAnsi="宋体" w:cs="宋体"/>
                <w:b/>
                <w:color w:val="auto"/>
                <w:sz w:val="21"/>
                <w:szCs w:val="21"/>
                <w:highlight w:val="none"/>
              </w:rPr>
              <w:t>3</w:t>
            </w:r>
            <w:r>
              <w:rPr>
                <w:rFonts w:hint="eastAsia" w:ascii="宋体" w:hAnsi="宋体" w:cs="宋体"/>
                <w:b/>
                <w:color w:val="auto"/>
                <w:sz w:val="21"/>
                <w:szCs w:val="21"/>
                <w:highlight w:val="none"/>
              </w:rPr>
              <w:t>0分）</w:t>
            </w:r>
          </w:p>
        </w:tc>
        <w:tc>
          <w:tcPr>
            <w:tcW w:w="7398" w:type="dxa"/>
            <w:tcBorders>
              <w:top w:val="single" w:color="auto" w:sz="4" w:space="0"/>
              <w:left w:val="single" w:color="auto" w:sz="4" w:space="0"/>
              <w:bottom w:val="single" w:color="auto" w:sz="4" w:space="0"/>
              <w:right w:val="single" w:color="auto" w:sz="4" w:space="0"/>
            </w:tcBorders>
            <w:noWrap/>
            <w:vAlign w:val="center"/>
          </w:tcPr>
          <w:p w14:paraId="53EB881C">
            <w:pPr>
              <w:pStyle w:val="26"/>
              <w:keepNext w:val="0"/>
              <w:keepLines w:val="0"/>
              <w:pageBreakBefore w:val="0"/>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（1）以进入综合评分环节的最低的最后报价为基准价，基准价报价得分为</w:t>
            </w:r>
            <w:r>
              <w:rPr>
                <w:rFonts w:ascii="宋体" w:hAnsi="宋体" w:cs="宋体"/>
                <w:color w:val="auto"/>
                <w:sz w:val="21"/>
                <w:szCs w:val="21"/>
                <w:highlight w:val="none"/>
                <w:lang w:val="en-US"/>
              </w:rPr>
              <w:t>3</w:t>
            </w:r>
            <w:r>
              <w:rPr>
                <w:rFonts w:hint="eastAsia" w:ascii="宋体" w:hAnsi="宋体" w:cs="宋体"/>
                <w:color w:val="auto"/>
                <w:sz w:val="21"/>
                <w:szCs w:val="21"/>
                <w:highlight w:val="none"/>
                <w:lang w:val="en-US"/>
              </w:rPr>
              <w:t>0</w:t>
            </w:r>
            <w:r>
              <w:rPr>
                <w:rFonts w:hint="eastAsia" w:ascii="宋体" w:hAnsi="宋体" w:cs="宋体"/>
                <w:color w:val="auto"/>
                <w:sz w:val="21"/>
                <w:szCs w:val="21"/>
                <w:highlight w:val="none"/>
              </w:rPr>
              <w:t>分。</w:t>
            </w:r>
          </w:p>
          <w:p w14:paraId="0DD185B3">
            <w:pPr>
              <w:pStyle w:val="26"/>
              <w:keepNext w:val="0"/>
              <w:keepLines w:val="0"/>
              <w:pageBreakBefore w:val="0"/>
              <w:kinsoku/>
              <w:wordWrap/>
              <w:overflowPunct/>
              <w:topLinePunct w:val="0"/>
              <w:autoSpaceDE/>
              <w:autoSpaceDN/>
              <w:bidi w:val="0"/>
              <w:adjustRightInd/>
              <w:snapToGrid/>
              <w:spacing w:line="400" w:lineRule="exact"/>
              <w:textAlignment w:val="auto"/>
              <w:rPr>
                <w:rFonts w:ascii="宋体" w:hAnsi="宋体" w:cs="宋体"/>
                <w:b/>
                <w:color w:val="auto"/>
                <w:sz w:val="21"/>
                <w:szCs w:val="21"/>
                <w:highlight w:val="none"/>
              </w:rPr>
            </w:pPr>
            <w:r>
              <w:rPr>
                <w:rFonts w:hint="eastAsia" w:ascii="宋体" w:hAnsi="宋体" w:cs="宋体"/>
                <w:color w:val="auto"/>
                <w:sz w:val="21"/>
                <w:szCs w:val="21"/>
                <w:highlight w:val="none"/>
              </w:rPr>
              <w:t>（2）供应商磋商报价得分=（磋商基准价/供应商的最后报价）×</w:t>
            </w:r>
            <w:r>
              <w:rPr>
                <w:rFonts w:ascii="宋体" w:hAnsi="宋体" w:cs="宋体"/>
                <w:color w:val="auto"/>
                <w:sz w:val="21"/>
                <w:szCs w:val="21"/>
                <w:highlight w:val="none"/>
                <w:lang w:val="en-US"/>
              </w:rPr>
              <w:t>3</w:t>
            </w:r>
            <w:r>
              <w:rPr>
                <w:rFonts w:hint="eastAsia" w:ascii="宋体" w:hAnsi="宋体" w:cs="宋体"/>
                <w:color w:val="auto"/>
                <w:sz w:val="21"/>
                <w:szCs w:val="21"/>
                <w:highlight w:val="none"/>
                <w:lang w:val="en-US"/>
              </w:rPr>
              <w:t>0</w:t>
            </w:r>
            <w:r>
              <w:rPr>
                <w:rFonts w:hint="eastAsia" w:ascii="宋体" w:hAnsi="宋体" w:cs="宋体"/>
                <w:color w:val="auto"/>
                <w:sz w:val="21"/>
                <w:szCs w:val="21"/>
                <w:highlight w:val="none"/>
              </w:rPr>
              <w:t>分。</w:t>
            </w:r>
          </w:p>
        </w:tc>
      </w:tr>
      <w:tr w14:paraId="16C5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59" w:type="dxa"/>
            <w:tcBorders>
              <w:top w:val="single" w:color="auto" w:sz="4" w:space="0"/>
              <w:left w:val="single" w:color="auto" w:sz="4" w:space="0"/>
              <w:right w:val="single" w:color="auto" w:sz="4" w:space="0"/>
            </w:tcBorders>
            <w:noWrap/>
            <w:vAlign w:val="center"/>
          </w:tcPr>
          <w:p w14:paraId="1815786E">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2</w:t>
            </w:r>
          </w:p>
        </w:tc>
        <w:tc>
          <w:tcPr>
            <w:tcW w:w="1268" w:type="dxa"/>
            <w:tcBorders>
              <w:top w:val="single" w:color="auto" w:sz="4" w:space="0"/>
              <w:left w:val="single" w:color="auto" w:sz="4" w:space="0"/>
              <w:bottom w:val="single" w:color="auto" w:sz="4" w:space="0"/>
              <w:right w:val="single" w:color="auto" w:sz="4" w:space="0"/>
            </w:tcBorders>
            <w:noWrap/>
            <w:vAlign w:val="center"/>
          </w:tcPr>
          <w:p w14:paraId="0AB9C784">
            <w:pPr>
              <w:pStyle w:val="43"/>
              <w:widowControl w:val="0"/>
              <w:adjustRightInd w:val="0"/>
              <w:snapToGrid w:val="0"/>
              <w:spacing w:before="0" w:beforeAutospacing="0" w:after="0" w:afterAutospacing="0" w:line="360" w:lineRule="exact"/>
              <w:jc w:val="center"/>
              <w:rPr>
                <w:b/>
                <w:color w:val="auto"/>
                <w:kern w:val="2"/>
                <w:sz w:val="21"/>
                <w:szCs w:val="21"/>
                <w:highlight w:val="none"/>
              </w:rPr>
            </w:pPr>
            <w:r>
              <w:rPr>
                <w:rFonts w:hint="eastAsia"/>
                <w:b/>
                <w:color w:val="auto"/>
                <w:sz w:val="21"/>
                <w:szCs w:val="21"/>
                <w:highlight w:val="none"/>
              </w:rPr>
              <w:t>施工组织设计分（满分</w:t>
            </w:r>
            <w:r>
              <w:rPr>
                <w:b/>
                <w:color w:val="auto"/>
                <w:sz w:val="21"/>
                <w:szCs w:val="21"/>
                <w:highlight w:val="none"/>
              </w:rPr>
              <w:t>6</w:t>
            </w:r>
            <w:r>
              <w:rPr>
                <w:rFonts w:hint="eastAsia"/>
                <w:b/>
                <w:color w:val="auto"/>
                <w:sz w:val="21"/>
                <w:szCs w:val="21"/>
                <w:highlight w:val="none"/>
              </w:rPr>
              <w:t>0分）</w:t>
            </w:r>
          </w:p>
        </w:tc>
        <w:tc>
          <w:tcPr>
            <w:tcW w:w="7398" w:type="dxa"/>
            <w:tcBorders>
              <w:top w:val="single" w:color="auto" w:sz="4" w:space="0"/>
              <w:left w:val="single" w:color="auto" w:sz="4" w:space="0"/>
              <w:bottom w:val="single" w:color="auto" w:sz="4" w:space="0"/>
              <w:right w:val="single" w:color="auto" w:sz="4" w:space="0"/>
            </w:tcBorders>
            <w:noWrap/>
            <w:vAlign w:val="center"/>
          </w:tcPr>
          <w:p w14:paraId="1427C53C">
            <w:pPr>
              <w:pStyle w:val="26"/>
              <w:keepNext w:val="0"/>
              <w:keepLines w:val="0"/>
              <w:pageBreakBefore w:val="0"/>
              <w:widowControl/>
              <w:kinsoku/>
              <w:wordWrap/>
              <w:overflowPunct/>
              <w:topLinePunct w:val="0"/>
              <w:autoSpaceDE/>
              <w:autoSpaceDN/>
              <w:bidi w:val="0"/>
              <w:adjustRightInd/>
              <w:snapToGrid/>
              <w:spacing w:line="400" w:lineRule="exact"/>
              <w:textAlignment w:val="auto"/>
              <w:outlineLvl w:val="0"/>
              <w:rPr>
                <w:rFonts w:ascii="宋体" w:hAnsi="宋体" w:cs="宋体"/>
                <w:color w:val="auto"/>
                <w:sz w:val="21"/>
                <w:szCs w:val="21"/>
                <w:highlight w:val="none"/>
                <w:shd w:val="clear" w:color="auto" w:fill="FFFFFF"/>
              </w:rPr>
            </w:pPr>
            <w:bookmarkStart w:id="65" w:name="_Toc255483985"/>
            <w:r>
              <w:rPr>
                <w:rFonts w:hint="eastAsia" w:ascii="宋体" w:hAnsi="宋体" w:cs="宋体"/>
                <w:b/>
                <w:color w:val="auto"/>
                <w:sz w:val="21"/>
                <w:szCs w:val="21"/>
                <w:highlight w:val="none"/>
                <w:shd w:val="clear" w:color="auto" w:fill="FFFFFF"/>
              </w:rPr>
              <w:t>（1）主要施工方法分（1</w:t>
            </w:r>
            <w:r>
              <w:rPr>
                <w:rFonts w:ascii="宋体" w:hAnsi="宋体" w:cs="宋体"/>
                <w:b/>
                <w:color w:val="auto"/>
                <w:sz w:val="21"/>
                <w:szCs w:val="21"/>
                <w:highlight w:val="none"/>
                <w:shd w:val="clear" w:color="auto" w:fill="FFFFFF"/>
              </w:rPr>
              <w:t>0</w:t>
            </w:r>
            <w:r>
              <w:rPr>
                <w:rFonts w:hint="eastAsia" w:ascii="宋体" w:hAnsi="宋体" w:cs="宋体"/>
                <w:b/>
                <w:color w:val="auto"/>
                <w:sz w:val="21"/>
                <w:szCs w:val="21"/>
                <w:highlight w:val="none"/>
                <w:shd w:val="clear" w:color="auto" w:fill="FFFFFF"/>
              </w:rPr>
              <w:t>分</w:t>
            </w:r>
            <w:bookmarkEnd w:id="65"/>
            <w:bookmarkStart w:id="66" w:name="_Toc255483992"/>
            <w:r>
              <w:rPr>
                <w:rFonts w:hint="eastAsia" w:ascii="宋体" w:hAnsi="宋体" w:cs="宋体"/>
                <w:b/>
                <w:color w:val="auto"/>
                <w:sz w:val="21"/>
                <w:szCs w:val="21"/>
                <w:highlight w:val="none"/>
                <w:shd w:val="clear" w:color="auto" w:fill="FFFFFF"/>
              </w:rPr>
              <w:t xml:space="preserve">）      </w:t>
            </w:r>
          </w:p>
          <w:p w14:paraId="54C63DB3">
            <w:pPr>
              <w:pStyle w:val="26"/>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评委根据供应商提供的施工组织设计中“主要施工方法”内容进行独立评审并打分：</w:t>
            </w:r>
          </w:p>
          <w:p w14:paraId="5439F0F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rPr>
              <w:t>1</w:t>
            </w:r>
            <w:r>
              <w:rPr>
                <w:rFonts w:ascii="宋体" w:hAnsi="宋体" w:cs="宋体"/>
                <w:color w:val="auto"/>
                <w:sz w:val="21"/>
                <w:szCs w:val="21"/>
                <w:highlight w:val="none"/>
                <w:lang w:val="en-US"/>
              </w:rPr>
              <w:t>0</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w:t>
            </w:r>
            <w:r>
              <w:rPr>
                <w:rFonts w:hint="eastAsia" w:ascii="宋体" w:hAnsi="宋体" w:cs="宋体"/>
                <w:color w:val="auto"/>
                <w:sz w:val="21"/>
                <w:szCs w:val="21"/>
                <w:highlight w:val="none"/>
                <w:lang w:eastAsia="zh-CN"/>
              </w:rPr>
              <w:t>优于项目需求</w:t>
            </w:r>
            <w:r>
              <w:rPr>
                <w:rFonts w:hint="eastAsia" w:ascii="宋体" w:hAnsi="宋体" w:cs="宋体"/>
                <w:color w:val="auto"/>
                <w:sz w:val="21"/>
                <w:szCs w:val="21"/>
                <w:highlight w:val="none"/>
              </w:rPr>
              <w:t>，有详尽</w:t>
            </w:r>
            <w:r>
              <w:rPr>
                <w:rFonts w:hint="eastAsia" w:ascii="宋体" w:hAnsi="宋体" w:cs="宋体"/>
                <w:color w:val="auto"/>
                <w:sz w:val="21"/>
                <w:szCs w:val="21"/>
                <w:highlight w:val="none"/>
                <w:lang w:eastAsia="zh-CN"/>
              </w:rPr>
              <w:t>且完善</w:t>
            </w:r>
            <w:r>
              <w:rPr>
                <w:rFonts w:hint="eastAsia" w:ascii="宋体" w:hAnsi="宋体" w:cs="宋体"/>
                <w:color w:val="auto"/>
                <w:sz w:val="21"/>
                <w:szCs w:val="21"/>
                <w:highlight w:val="none"/>
              </w:rPr>
              <w:t>的施工技术方案，工艺方法合理可行，能有效</w:t>
            </w:r>
            <w:r>
              <w:rPr>
                <w:rFonts w:hint="eastAsia" w:ascii="宋体" w:hAnsi="宋体" w:cs="宋体"/>
                <w:color w:val="auto"/>
                <w:sz w:val="21"/>
                <w:szCs w:val="21"/>
                <w:highlight w:val="none"/>
                <w:lang w:eastAsia="zh-CN"/>
              </w:rPr>
              <w:t>地</w:t>
            </w:r>
            <w:r>
              <w:rPr>
                <w:rFonts w:hint="eastAsia" w:ascii="宋体" w:hAnsi="宋体" w:cs="宋体"/>
                <w:color w:val="auto"/>
                <w:sz w:val="21"/>
                <w:szCs w:val="21"/>
                <w:highlight w:val="none"/>
              </w:rPr>
              <w:t>指导具体施工并确保安全；</w:t>
            </w:r>
          </w:p>
          <w:p w14:paraId="77DF951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ascii="宋体" w:hAnsi="宋体" w:cs="宋体"/>
                <w:color w:val="auto"/>
                <w:sz w:val="21"/>
                <w:szCs w:val="21"/>
                <w:highlight w:val="none"/>
                <w:lang w:val="en-US"/>
              </w:rPr>
              <w:t>7</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）：各主要分部施工方法符合</w:t>
            </w:r>
            <w:r>
              <w:rPr>
                <w:rFonts w:hint="eastAsia" w:ascii="宋体" w:hAnsi="宋体" w:cs="宋体"/>
                <w:color w:val="auto"/>
                <w:sz w:val="21"/>
                <w:szCs w:val="21"/>
                <w:highlight w:val="none"/>
                <w:lang w:eastAsia="zh-CN"/>
              </w:rPr>
              <w:t>项目需求</w:t>
            </w:r>
            <w:r>
              <w:rPr>
                <w:rFonts w:hint="eastAsia" w:ascii="宋体" w:hAnsi="宋体" w:cs="宋体"/>
                <w:color w:val="auto"/>
                <w:sz w:val="21"/>
                <w:szCs w:val="21"/>
                <w:highlight w:val="none"/>
              </w:rPr>
              <w:t>，有具体</w:t>
            </w:r>
            <w:r>
              <w:rPr>
                <w:rFonts w:hint="eastAsia" w:ascii="宋体" w:hAnsi="宋体" w:cs="宋体"/>
                <w:color w:val="auto"/>
                <w:sz w:val="21"/>
                <w:szCs w:val="21"/>
                <w:highlight w:val="none"/>
                <w:lang w:eastAsia="zh-CN"/>
              </w:rPr>
              <w:t>完整</w:t>
            </w:r>
            <w:r>
              <w:rPr>
                <w:rFonts w:hint="eastAsia" w:ascii="宋体" w:hAnsi="宋体" w:cs="宋体"/>
                <w:color w:val="auto"/>
                <w:sz w:val="21"/>
                <w:szCs w:val="21"/>
                <w:highlight w:val="none"/>
              </w:rPr>
              <w:t>的施工技术方案，工艺方法合理可行，能指导具体施工并确保安全；</w:t>
            </w:r>
          </w:p>
          <w:p w14:paraId="00561A9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rPr>
              <w:t>4分</w:t>
            </w:r>
            <w:r>
              <w:rPr>
                <w:rFonts w:hint="eastAsia" w:ascii="宋体" w:hAnsi="宋体" w:cs="宋体"/>
                <w:color w:val="auto"/>
                <w:sz w:val="21"/>
                <w:szCs w:val="21"/>
                <w:highlight w:val="none"/>
              </w:rPr>
              <w:t>）：各主要分部施工方法能满足项目需求，有施工技术方案，能指导具体施工并确保安全；</w:t>
            </w:r>
          </w:p>
          <w:p w14:paraId="0247425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rPr>
              <w:t>1分</w:t>
            </w:r>
            <w:r>
              <w:rPr>
                <w:rFonts w:hint="eastAsia" w:ascii="宋体" w:hAnsi="宋体" w:cs="宋体"/>
                <w:color w:val="auto"/>
                <w:sz w:val="21"/>
                <w:szCs w:val="21"/>
                <w:highlight w:val="none"/>
              </w:rPr>
              <w:t>）：各主要分部施工方法不能指导具体施工并确保安全。</w:t>
            </w:r>
          </w:p>
          <w:bookmarkEnd w:id="66"/>
          <w:p w14:paraId="02C8C686">
            <w:pPr>
              <w:pStyle w:val="26"/>
              <w:keepNext w:val="0"/>
              <w:keepLines w:val="0"/>
              <w:pageBreakBefore w:val="0"/>
              <w:widowControl/>
              <w:kinsoku/>
              <w:wordWrap/>
              <w:overflowPunct/>
              <w:topLinePunct w:val="0"/>
              <w:autoSpaceDE/>
              <w:autoSpaceDN/>
              <w:bidi w:val="0"/>
              <w:adjustRightInd/>
              <w:snapToGrid/>
              <w:spacing w:line="400" w:lineRule="exact"/>
              <w:textAlignment w:val="auto"/>
              <w:outlineLvl w:val="0"/>
              <w:rPr>
                <w:rFonts w:ascii="宋体" w:hAnsi="宋体" w:cs="宋体"/>
                <w:color w:val="auto"/>
                <w:sz w:val="21"/>
                <w:szCs w:val="21"/>
                <w:highlight w:val="none"/>
              </w:rPr>
            </w:pPr>
            <w:r>
              <w:rPr>
                <w:rFonts w:hint="eastAsia" w:ascii="宋体" w:hAnsi="宋体" w:cs="宋体"/>
                <w:b/>
                <w:bCs/>
                <w:color w:val="auto"/>
                <w:sz w:val="21"/>
                <w:szCs w:val="21"/>
                <w:highlight w:val="none"/>
              </w:rPr>
              <w:t>（</w:t>
            </w:r>
            <w:r>
              <w:rPr>
                <w:rFonts w:hint="eastAsia" w:ascii="宋体" w:hAnsi="宋体" w:cs="宋体"/>
                <w:b/>
                <w:color w:val="auto"/>
                <w:sz w:val="21"/>
                <w:szCs w:val="21"/>
                <w:highlight w:val="none"/>
              </w:rPr>
              <w:t>2）关键施工技术、工艺及工程实施的重点、难点和解决方案分（</w:t>
            </w:r>
            <w:r>
              <w:rPr>
                <w:rFonts w:ascii="宋体" w:hAnsi="宋体" w:cs="宋体"/>
                <w:b/>
                <w:color w:val="auto"/>
                <w:sz w:val="21"/>
                <w:szCs w:val="21"/>
                <w:highlight w:val="none"/>
                <w:lang w:val="en-US"/>
              </w:rPr>
              <w:t>8</w:t>
            </w:r>
            <w:r>
              <w:rPr>
                <w:rFonts w:hint="eastAsia" w:ascii="宋体" w:hAnsi="宋体" w:cs="宋体"/>
                <w:b/>
                <w:color w:val="auto"/>
                <w:sz w:val="21"/>
                <w:szCs w:val="21"/>
                <w:highlight w:val="none"/>
              </w:rPr>
              <w:t>分）</w:t>
            </w:r>
            <w:bookmarkStart w:id="67" w:name="_Toc255483989"/>
          </w:p>
          <w:bookmarkEnd w:id="67"/>
          <w:p w14:paraId="6B74A608">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评委根据供应商提供的施工组织设计中“关键施工技术、工艺及工程实施的重点、难点和解决方案”内容进行独立评审并打分：</w:t>
            </w:r>
          </w:p>
          <w:p w14:paraId="7512770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ascii="宋体" w:hAnsi="宋体" w:cs="宋体"/>
                <w:color w:val="auto"/>
                <w:sz w:val="21"/>
                <w:szCs w:val="21"/>
                <w:highlight w:val="none"/>
                <w:lang w:val="en-US"/>
              </w:rPr>
              <w:t>8</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）：对项目关键技术、工艺有深入的表达，对重点、难点有</w:t>
            </w:r>
            <w:r>
              <w:rPr>
                <w:rFonts w:hint="eastAsia" w:ascii="宋体" w:hAnsi="宋体" w:cs="宋体"/>
                <w:color w:val="auto"/>
                <w:sz w:val="21"/>
                <w:szCs w:val="21"/>
                <w:highlight w:val="none"/>
                <w:lang w:eastAsia="zh-CN"/>
              </w:rPr>
              <w:t>切实可行</w:t>
            </w:r>
            <w:r>
              <w:rPr>
                <w:rFonts w:hint="eastAsia" w:ascii="宋体" w:hAnsi="宋体" w:cs="宋体"/>
                <w:color w:val="auto"/>
                <w:sz w:val="21"/>
                <w:szCs w:val="21"/>
                <w:highlight w:val="none"/>
              </w:rPr>
              <w:t>的施工措施</w:t>
            </w:r>
            <w:r>
              <w:rPr>
                <w:rFonts w:hint="eastAsia" w:ascii="宋体" w:hAnsi="宋体" w:cs="宋体"/>
                <w:color w:val="auto"/>
                <w:sz w:val="21"/>
                <w:szCs w:val="21"/>
                <w:highlight w:val="none"/>
                <w:lang w:eastAsia="zh-CN"/>
              </w:rPr>
              <w:t>及</w:t>
            </w:r>
            <w:r>
              <w:rPr>
                <w:rFonts w:hint="eastAsia" w:ascii="宋体" w:hAnsi="宋体" w:cs="宋体"/>
                <w:color w:val="auto"/>
                <w:sz w:val="21"/>
                <w:szCs w:val="21"/>
                <w:highlight w:val="none"/>
              </w:rPr>
              <w:t>安全措施，解决方案完</w:t>
            </w:r>
            <w:r>
              <w:rPr>
                <w:rFonts w:hint="eastAsia" w:ascii="宋体" w:hAnsi="宋体" w:cs="宋体"/>
                <w:color w:val="auto"/>
                <w:sz w:val="21"/>
                <w:szCs w:val="21"/>
                <w:highlight w:val="none"/>
                <w:lang w:eastAsia="zh-CN"/>
              </w:rPr>
              <w:t>善</w:t>
            </w:r>
            <w:r>
              <w:rPr>
                <w:rFonts w:hint="eastAsia" w:ascii="宋体" w:hAnsi="宋体" w:cs="宋体"/>
                <w:color w:val="auto"/>
                <w:sz w:val="21"/>
                <w:szCs w:val="21"/>
                <w:highlight w:val="none"/>
              </w:rPr>
              <w:t>、经济、安全、切实可行，措施得力。</w:t>
            </w:r>
          </w:p>
          <w:p w14:paraId="606D4259">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rPr>
              <w:t>6分</w:t>
            </w:r>
            <w:r>
              <w:rPr>
                <w:rFonts w:hint="eastAsia" w:ascii="宋体" w:hAnsi="宋体" w:cs="宋体"/>
                <w:color w:val="auto"/>
                <w:sz w:val="21"/>
                <w:szCs w:val="21"/>
                <w:highlight w:val="none"/>
              </w:rPr>
              <w:t>）：对项目关键技术、工艺有深入的表达，对重点、难点有合理的建议，解决方案经济、安全。</w:t>
            </w:r>
          </w:p>
          <w:p w14:paraId="5A97457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ascii="宋体" w:hAnsi="宋体" w:cs="宋体"/>
                <w:color w:val="auto"/>
                <w:sz w:val="21"/>
                <w:szCs w:val="21"/>
                <w:highlight w:val="none"/>
                <w:lang w:val="en-US"/>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）：对项目关键技术有了解</w:t>
            </w:r>
            <w:r>
              <w:rPr>
                <w:rFonts w:hint="eastAsia" w:ascii="宋体" w:hAnsi="宋体" w:cs="宋体"/>
                <w:color w:val="auto"/>
                <w:sz w:val="21"/>
                <w:szCs w:val="21"/>
                <w:highlight w:val="none"/>
                <w:lang w:eastAsia="zh-CN"/>
              </w:rPr>
              <w:t>不深入</w:t>
            </w:r>
            <w:r>
              <w:rPr>
                <w:rFonts w:hint="eastAsia" w:ascii="宋体" w:hAnsi="宋体" w:cs="宋体"/>
                <w:color w:val="auto"/>
                <w:sz w:val="21"/>
                <w:szCs w:val="21"/>
                <w:highlight w:val="none"/>
              </w:rPr>
              <w:t>，对重点、难点有建议，解决方案</w:t>
            </w:r>
            <w:r>
              <w:rPr>
                <w:rFonts w:hint="eastAsia" w:ascii="宋体" w:hAnsi="宋体" w:cs="宋体"/>
                <w:color w:val="auto"/>
                <w:sz w:val="21"/>
                <w:szCs w:val="21"/>
                <w:highlight w:val="none"/>
                <w:lang w:eastAsia="zh-CN"/>
              </w:rPr>
              <w:t>缺乏</w:t>
            </w:r>
            <w:r>
              <w:rPr>
                <w:rFonts w:hint="eastAsia" w:ascii="宋体" w:hAnsi="宋体" w:cs="宋体"/>
                <w:color w:val="auto"/>
                <w:sz w:val="21"/>
                <w:szCs w:val="21"/>
                <w:highlight w:val="none"/>
              </w:rPr>
              <w:t>可行</w:t>
            </w:r>
            <w:r>
              <w:rPr>
                <w:rFonts w:hint="eastAsia" w:ascii="宋体" w:hAnsi="宋体" w:cs="宋体"/>
                <w:color w:val="auto"/>
                <w:sz w:val="21"/>
                <w:szCs w:val="21"/>
                <w:highlight w:val="none"/>
                <w:lang w:eastAsia="zh-CN"/>
              </w:rPr>
              <w:t>性</w:t>
            </w:r>
            <w:r>
              <w:rPr>
                <w:rFonts w:hint="eastAsia" w:ascii="宋体" w:hAnsi="宋体" w:cs="宋体"/>
                <w:color w:val="auto"/>
                <w:sz w:val="21"/>
                <w:szCs w:val="21"/>
                <w:highlight w:val="none"/>
              </w:rPr>
              <w:t>。</w:t>
            </w:r>
          </w:p>
          <w:p w14:paraId="784FFC94">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pacing w:val="-4"/>
                <w:sz w:val="21"/>
                <w:szCs w:val="21"/>
                <w:highlight w:val="none"/>
              </w:rPr>
            </w:pPr>
            <w:r>
              <w:rPr>
                <w:rFonts w:hint="eastAsia" w:ascii="宋体" w:hAnsi="宋体" w:cs="宋体"/>
                <w:color w:val="auto"/>
                <w:sz w:val="21"/>
                <w:szCs w:val="21"/>
                <w:highlight w:val="none"/>
              </w:rPr>
              <w:t>四档（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pacing w:val="-4"/>
                <w:sz w:val="21"/>
                <w:szCs w:val="21"/>
                <w:highlight w:val="none"/>
              </w:rPr>
              <w:t>对项目关键技术有表述，对重点、难点有建议，解决方案不可行。</w:t>
            </w:r>
          </w:p>
          <w:p w14:paraId="2F99B5A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（3）确保安全生产的技术组织措施分 （</w:t>
            </w:r>
            <w:r>
              <w:rPr>
                <w:rFonts w:ascii="宋体" w:hAnsi="宋体" w:cs="宋体"/>
                <w:b/>
                <w:color w:val="auto"/>
                <w:sz w:val="21"/>
                <w:szCs w:val="21"/>
                <w:highlight w:val="none"/>
              </w:rPr>
              <w:t>8</w:t>
            </w:r>
            <w:r>
              <w:rPr>
                <w:rFonts w:hint="eastAsia" w:ascii="宋体" w:hAnsi="宋体" w:cs="宋体"/>
                <w:b/>
                <w:color w:val="auto"/>
                <w:sz w:val="21"/>
                <w:szCs w:val="21"/>
                <w:highlight w:val="none"/>
              </w:rPr>
              <w:t xml:space="preserve">分）  </w:t>
            </w:r>
          </w:p>
          <w:p w14:paraId="36D97858">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评委根据供应商提供的施工组织设计中“确保安全生产的技术组织措施”内容进行独立评审并打分：</w:t>
            </w:r>
          </w:p>
          <w:p w14:paraId="4FEA8AC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ascii="宋体" w:hAnsi="宋体" w:cs="宋体"/>
                <w:color w:val="auto"/>
                <w:sz w:val="21"/>
                <w:szCs w:val="21"/>
                <w:highlight w:val="none"/>
                <w:lang w:val="en-US"/>
              </w:rPr>
              <w:t>8</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具有专门的安全管理人员和制度，项目人员配备合理，制度健全、完善，各道工序安全技术措施</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针对性，</w:t>
            </w:r>
            <w:r>
              <w:rPr>
                <w:rFonts w:hint="eastAsia" w:ascii="宋体" w:hAnsi="宋体" w:cs="宋体"/>
                <w:color w:val="auto"/>
                <w:sz w:val="21"/>
                <w:szCs w:val="21"/>
                <w:highlight w:val="none"/>
                <w:lang w:val="en-US" w:eastAsia="zh-CN"/>
              </w:rPr>
              <w:t>满足</w:t>
            </w:r>
            <w:r>
              <w:rPr>
                <w:rFonts w:hint="eastAsia" w:ascii="宋体" w:hAnsi="宋体" w:cs="宋体"/>
                <w:color w:val="auto"/>
                <w:sz w:val="21"/>
                <w:szCs w:val="21"/>
                <w:highlight w:val="none"/>
                <w:lang w:val="en-US"/>
              </w:rPr>
              <w:t>实际且</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社会治安安全措施得力、</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p>
          <w:p w14:paraId="73DBDB9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rPr>
              <w:t>6分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具有专门的安全管理人员和制度，项目人员配备合理，制度健全，各道工序安全技术措施</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针对性，符合实际且满足有关安全技术标准要求。现场防火、应急救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p>
          <w:p w14:paraId="54836EF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ascii="宋体" w:hAnsi="宋体" w:cs="宋体"/>
                <w:color w:val="auto"/>
                <w:sz w:val="21"/>
                <w:szCs w:val="21"/>
                <w:highlight w:val="none"/>
                <w:lang w:val="en-US"/>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具有专门的安全管理人员和制度，项目人员配备制度、各道工序安全技术措施</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针对性，满足有关安全技术标准要求。现场防火、应急救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w:t>
            </w:r>
            <w:r>
              <w:rPr>
                <w:rFonts w:hint="eastAsia" w:ascii="宋体" w:hAnsi="宋体" w:cs="宋体"/>
                <w:color w:val="auto"/>
                <w:sz w:val="21"/>
                <w:szCs w:val="21"/>
                <w:highlight w:val="none"/>
                <w:lang w:val="en-US" w:eastAsia="zh-CN"/>
              </w:rPr>
              <w:t>安全措施缺乏</w:t>
            </w:r>
            <w:r>
              <w:rPr>
                <w:rFonts w:hint="eastAsia" w:ascii="宋体" w:hAnsi="宋体" w:cs="宋体"/>
                <w:color w:val="auto"/>
                <w:sz w:val="21"/>
                <w:szCs w:val="21"/>
                <w:highlight w:val="none"/>
                <w:lang w:val="en-US"/>
              </w:rPr>
              <w:t>针对性。</w:t>
            </w:r>
          </w:p>
          <w:p w14:paraId="5144EE8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具有安全管理人员和制度，项目人员配备</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合理，制度、各道工序安全技术措施</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针对性，不符合实际。现场防火、应急救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w:t>
            </w:r>
          </w:p>
          <w:p w14:paraId="5C802B27">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（4）确保工程质量的技术组织措施分 （</w:t>
            </w:r>
            <w:r>
              <w:rPr>
                <w:rFonts w:ascii="宋体" w:hAnsi="宋体" w:cs="宋体"/>
                <w:b/>
                <w:color w:val="auto"/>
                <w:sz w:val="21"/>
                <w:szCs w:val="21"/>
                <w:highlight w:val="none"/>
              </w:rPr>
              <w:t>8</w:t>
            </w:r>
            <w:r>
              <w:rPr>
                <w:rFonts w:hint="eastAsia" w:ascii="宋体" w:hAnsi="宋体" w:cs="宋体"/>
                <w:b/>
                <w:color w:val="auto"/>
                <w:sz w:val="21"/>
                <w:szCs w:val="21"/>
                <w:highlight w:val="none"/>
              </w:rPr>
              <w:t xml:space="preserve">分）  </w:t>
            </w:r>
          </w:p>
          <w:p w14:paraId="3C045D25">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w:t>
            </w:r>
            <w:r>
              <w:rPr>
                <w:rFonts w:hint="eastAsia" w:ascii="宋体" w:hAnsi="宋体" w:cs="宋体"/>
                <w:color w:val="auto"/>
                <w:sz w:val="21"/>
                <w:szCs w:val="21"/>
                <w:highlight w:val="none"/>
                <w:lang w:val="en-US"/>
              </w:rPr>
              <w:t>确保工程质量的技术组织措施</w:t>
            </w:r>
            <w:r>
              <w:rPr>
                <w:rFonts w:hint="eastAsia" w:ascii="宋体" w:hAnsi="宋体" w:cs="宋体"/>
                <w:color w:val="auto"/>
                <w:sz w:val="21"/>
                <w:szCs w:val="21"/>
                <w:highlight w:val="none"/>
              </w:rPr>
              <w:t>”内容进行独立评审并打分：</w:t>
            </w:r>
          </w:p>
          <w:p w14:paraId="0E763673">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ascii="宋体" w:hAnsi="宋体" w:cs="宋体"/>
                <w:color w:val="auto"/>
                <w:sz w:val="21"/>
                <w:szCs w:val="21"/>
                <w:highlight w:val="none"/>
                <w:lang w:val="en-US"/>
              </w:rPr>
              <w:t>8</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：有专门的质量技术管理班子和制度，人员配备合理</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制度健全。主要工序具有强有力的质量技术保证措施和手段，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，能有效保证技术质量，达到承诺的质量标准</w:t>
            </w:r>
            <w:r>
              <w:rPr>
                <w:rFonts w:hint="eastAsia" w:ascii="宋体" w:hAnsi="宋体" w:cs="宋体"/>
                <w:color w:val="auto"/>
                <w:sz w:val="21"/>
                <w:szCs w:val="21"/>
                <w:highlight w:val="none"/>
                <w:lang w:val="en-US" w:eastAsia="zh-CN"/>
              </w:rPr>
              <w:t>且优于项目需求</w:t>
            </w:r>
            <w:r>
              <w:rPr>
                <w:rFonts w:hint="eastAsia" w:ascii="宋体" w:hAnsi="宋体" w:cs="宋体"/>
                <w:color w:val="auto"/>
                <w:sz w:val="21"/>
                <w:szCs w:val="21"/>
                <w:highlight w:val="none"/>
                <w:lang w:val="en-US"/>
              </w:rPr>
              <w:t>。</w:t>
            </w:r>
          </w:p>
          <w:p w14:paraId="6813A3B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rPr>
              <w:t>6分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：有专门的质量技术管理班子和制度，人员配备合理，制度健全。主要工序有质量技术保证措施和手段，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体系完整，保证技术质量，达到承诺的质量标准。</w:t>
            </w:r>
          </w:p>
          <w:p w14:paraId="547D217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ascii="宋体" w:hAnsi="宋体" w:cs="宋体"/>
                <w:color w:val="auto"/>
                <w:sz w:val="21"/>
                <w:szCs w:val="21"/>
                <w:highlight w:val="none"/>
                <w:lang w:val="en-US"/>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：有质量技术管理班子和制度，人员配备</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合理性，制度完善性欠缺。主要工序有质量技术保证措施和手段，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w:t>
            </w:r>
            <w:r>
              <w:rPr>
                <w:rFonts w:hint="eastAsia" w:ascii="宋体" w:hAnsi="宋体" w:cs="宋体"/>
                <w:color w:val="auto"/>
                <w:sz w:val="21"/>
                <w:szCs w:val="21"/>
                <w:highlight w:val="none"/>
                <w:lang w:val="en-US" w:eastAsia="zh-CN"/>
              </w:rPr>
              <w:t>能</w:t>
            </w:r>
            <w:r>
              <w:rPr>
                <w:rFonts w:hint="eastAsia" w:ascii="宋体" w:hAnsi="宋体" w:cs="宋体"/>
                <w:color w:val="auto"/>
                <w:sz w:val="21"/>
                <w:szCs w:val="21"/>
                <w:highlight w:val="none"/>
                <w:lang w:val="en-US"/>
              </w:rPr>
              <w:t>保证技术质量，达到承诺的质量标准。</w:t>
            </w:r>
          </w:p>
          <w:p w14:paraId="5F7A891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：有质量技术管理班子和制度，人员配备</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合理，制度</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完善。主要工序无质量技术保证措施和手段，</w:t>
            </w:r>
            <w:r>
              <w:rPr>
                <w:rFonts w:hint="eastAsia" w:ascii="宋体" w:hAnsi="宋体" w:cs="宋体"/>
                <w:color w:val="auto"/>
                <w:sz w:val="21"/>
                <w:szCs w:val="21"/>
                <w:highlight w:val="none"/>
                <w:lang w:val="en-US" w:eastAsia="zh-CN"/>
              </w:rPr>
              <w:t>质</w:t>
            </w:r>
            <w:r>
              <w:rPr>
                <w:rFonts w:hint="eastAsia" w:ascii="宋体" w:hAnsi="宋体" w:cs="宋体"/>
                <w:color w:val="auto"/>
                <w:sz w:val="21"/>
                <w:szCs w:val="21"/>
                <w:highlight w:val="none"/>
                <w:lang w:val="en-US"/>
              </w:rPr>
              <w:t>控体系完整性差，不能保证技术质量。</w:t>
            </w:r>
          </w:p>
          <w:p w14:paraId="7AEAC2B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（5）确保工期的技术组织措施分 （</w:t>
            </w:r>
            <w:r>
              <w:rPr>
                <w:rFonts w:ascii="宋体" w:hAnsi="宋体" w:cs="宋体"/>
                <w:b/>
                <w:color w:val="auto"/>
                <w:sz w:val="21"/>
                <w:szCs w:val="21"/>
                <w:highlight w:val="none"/>
              </w:rPr>
              <w:t>5</w:t>
            </w:r>
            <w:r>
              <w:rPr>
                <w:rFonts w:hint="eastAsia" w:ascii="宋体" w:hAnsi="宋体" w:cs="宋体"/>
                <w:b/>
                <w:color w:val="auto"/>
                <w:sz w:val="21"/>
                <w:szCs w:val="21"/>
                <w:highlight w:val="none"/>
              </w:rPr>
              <w:t xml:space="preserve">分）  </w:t>
            </w:r>
          </w:p>
          <w:p w14:paraId="1B3C2A77">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评委根据供应商提供的施工组织设计中“确保工期的技术组织措施”内容进行独立评审并打分：</w:t>
            </w:r>
          </w:p>
          <w:p w14:paraId="6E35DE2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ascii="宋体" w:hAnsi="宋体" w:cs="宋体"/>
                <w:color w:val="auto"/>
                <w:sz w:val="21"/>
                <w:szCs w:val="21"/>
                <w:highlight w:val="none"/>
                <w:lang w:val="en-US"/>
              </w:rPr>
              <w:t>5</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：在施工工艺、施工方法、材料选用、劳动力安排、技术等方面有保证工期的具体措施且措施得当。有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的控制工期的施工进度计划。具有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施工总进度表或施工网络图，各项计划图表编制完善，安排合理</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本项目施工实际要求。</w:t>
            </w:r>
          </w:p>
          <w:p w14:paraId="2399B1C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rPr>
              <w:t>4分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的控制工期的施工进度计划。具有</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的施工总进度表或施工网络图，各项计划图表编制</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，符合本项目施工实际要求。</w:t>
            </w:r>
          </w:p>
          <w:p w14:paraId="5A46E1B5">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：在施工工艺、施工方法、材料选用、劳动力安排、技术等方面有保证工期的措施、有控制工期的施工进度计划</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可行性，各项计划图表编制、安排符合本项目施工实际要求。</w:t>
            </w:r>
          </w:p>
          <w:p w14:paraId="6C4DCD98">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：在施工工艺、施工方法、材料选用、劳动力安排、技术等方面有保证工期的措施、有控制工期的施工进度计划，但</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针对性，各项计划图表编制</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完善。</w:t>
            </w:r>
          </w:p>
          <w:p w14:paraId="7FD52F2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（6）确保文明施工的技术组织措施分 （</w:t>
            </w:r>
            <w:r>
              <w:rPr>
                <w:rFonts w:ascii="宋体" w:hAnsi="宋体" w:cs="宋体"/>
                <w:b/>
                <w:color w:val="auto"/>
                <w:sz w:val="21"/>
                <w:szCs w:val="21"/>
                <w:highlight w:val="none"/>
              </w:rPr>
              <w:t>5</w:t>
            </w:r>
            <w:r>
              <w:rPr>
                <w:rFonts w:hint="eastAsia" w:ascii="宋体" w:hAnsi="宋体" w:cs="宋体"/>
                <w:b/>
                <w:color w:val="auto"/>
                <w:sz w:val="21"/>
                <w:szCs w:val="21"/>
                <w:highlight w:val="none"/>
              </w:rPr>
              <w:t xml:space="preserve">分）  </w:t>
            </w:r>
          </w:p>
          <w:p w14:paraId="30801EB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评委根据供应商提供的施工组织设计中“确保文明施工的技术组织措施”内容进行</w:t>
            </w:r>
            <w:r>
              <w:rPr>
                <w:rFonts w:hint="eastAsia" w:ascii="宋体" w:hAnsi="宋体" w:cs="宋体"/>
                <w:color w:val="auto"/>
                <w:sz w:val="21"/>
                <w:szCs w:val="21"/>
                <w:highlight w:val="none"/>
                <w:lang w:val="en-US"/>
              </w:rPr>
              <w:t>独立评审并打分：</w:t>
            </w:r>
          </w:p>
          <w:p w14:paraId="3E279AC4">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ascii="宋体" w:hAnsi="宋体" w:cs="宋体"/>
                <w:color w:val="auto"/>
                <w:sz w:val="21"/>
                <w:szCs w:val="21"/>
                <w:highlight w:val="none"/>
                <w:lang w:val="en-US"/>
              </w:rPr>
              <w:t>5</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合格标准并符合《广西壮族自治区建筑工程文明施工导则》要求。各项措施</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、具体、有效</w:t>
            </w:r>
            <w:r>
              <w:rPr>
                <w:rFonts w:hint="eastAsia" w:ascii="宋体" w:hAnsi="宋体" w:cs="宋体"/>
                <w:color w:val="auto"/>
                <w:sz w:val="21"/>
                <w:szCs w:val="21"/>
                <w:highlight w:val="none"/>
                <w:lang w:val="en-US" w:eastAsia="zh-CN"/>
              </w:rPr>
              <w:t>、具有针对性</w:t>
            </w:r>
            <w:r>
              <w:rPr>
                <w:rFonts w:hint="eastAsia" w:ascii="宋体" w:hAnsi="宋体" w:cs="宋体"/>
                <w:color w:val="auto"/>
                <w:sz w:val="21"/>
                <w:szCs w:val="21"/>
                <w:highlight w:val="none"/>
                <w:lang w:val="en-US"/>
              </w:rPr>
              <w:t>。有具体实现现场文明施工目标的承诺。</w:t>
            </w:r>
          </w:p>
          <w:p w14:paraId="106918D6">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rPr>
              <w:t>4分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：针对本工程项目特点，具有现场文明施工、环境保护措施，且措施内容达到《建筑施工安全检查标准》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合格标准并符合《广西壮族自治区建筑工程文明施工导则》要求。各项措施</w:t>
            </w:r>
            <w:r>
              <w:rPr>
                <w:rFonts w:hint="eastAsia" w:ascii="宋体" w:hAnsi="宋体" w:cs="宋体"/>
                <w:color w:val="auto"/>
                <w:sz w:val="21"/>
                <w:szCs w:val="21"/>
                <w:highlight w:val="none"/>
                <w:lang w:val="en-US" w:eastAsia="zh-CN"/>
              </w:rPr>
              <w:t>具有针对性</w:t>
            </w:r>
            <w:r>
              <w:rPr>
                <w:rFonts w:hint="eastAsia" w:ascii="宋体" w:hAnsi="宋体" w:cs="宋体"/>
                <w:color w:val="auto"/>
                <w:sz w:val="21"/>
                <w:szCs w:val="21"/>
                <w:highlight w:val="none"/>
                <w:lang w:val="en-US"/>
              </w:rPr>
              <w:t>。有实现现场文明施工目标的承诺。</w:t>
            </w:r>
          </w:p>
          <w:p w14:paraId="2AEA9619">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：针对本工程项目特点，具有现场文明施工、环境保护措施，且措施内容达到《建筑施工安全检查标准》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合格标准符合《广西壮族自治区建筑工程文明施工导则》要求。</w:t>
            </w:r>
          </w:p>
          <w:p w14:paraId="048CF415">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现场文明施工、环境保护措施。</w:t>
            </w:r>
          </w:p>
          <w:p w14:paraId="2E7C898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 xml:space="preserve">（7）拟投入的主要物资计划分 （5分）  </w:t>
            </w:r>
          </w:p>
          <w:p w14:paraId="7AB5710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评委根据供应商提供的施工组织设计中“拟投入的主要物资计划”内容进行独立评审并打分：</w:t>
            </w:r>
          </w:p>
          <w:p w14:paraId="1DBD5FE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rPr>
              <w:t>5分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的组织计划且计划周密，数量、选型配置、进场时间安排合理，</w:t>
            </w:r>
            <w:r>
              <w:rPr>
                <w:rFonts w:hint="eastAsia" w:ascii="宋体" w:hAnsi="宋体" w:cs="宋体"/>
                <w:color w:val="auto"/>
                <w:sz w:val="21"/>
                <w:szCs w:val="21"/>
                <w:highlight w:val="none"/>
                <w:lang w:val="en-US" w:eastAsia="zh-CN"/>
              </w:rPr>
              <w:t>有针对性，切实可行，优于</w:t>
            </w:r>
            <w:r>
              <w:rPr>
                <w:rFonts w:hint="eastAsia" w:ascii="宋体" w:hAnsi="宋体" w:cs="宋体"/>
                <w:color w:val="auto"/>
                <w:sz w:val="21"/>
                <w:szCs w:val="21"/>
                <w:highlight w:val="none"/>
                <w:lang w:val="en-US"/>
              </w:rPr>
              <w:t>施工需要。</w:t>
            </w:r>
          </w:p>
          <w:p w14:paraId="0515C6D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ascii="宋体" w:hAnsi="宋体" w:cs="宋体"/>
                <w:color w:val="auto"/>
                <w:sz w:val="21"/>
                <w:szCs w:val="21"/>
                <w:highlight w:val="none"/>
                <w:lang w:val="en-US"/>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的组织计划，数量、选型配置、进场时间安排合理，</w:t>
            </w:r>
            <w:r>
              <w:rPr>
                <w:rFonts w:hint="eastAsia" w:ascii="宋体" w:hAnsi="宋体" w:cs="宋体"/>
                <w:color w:val="auto"/>
                <w:sz w:val="21"/>
                <w:szCs w:val="21"/>
                <w:highlight w:val="none"/>
                <w:lang w:val="en-US" w:eastAsia="zh-CN"/>
              </w:rPr>
              <w:t>有针对性，</w:t>
            </w:r>
            <w:r>
              <w:rPr>
                <w:rFonts w:hint="eastAsia" w:ascii="宋体" w:hAnsi="宋体" w:cs="宋体"/>
                <w:color w:val="auto"/>
                <w:sz w:val="21"/>
                <w:szCs w:val="21"/>
                <w:highlight w:val="none"/>
                <w:lang w:val="en-US"/>
              </w:rPr>
              <w:t>满足施工需要。</w:t>
            </w:r>
          </w:p>
          <w:p w14:paraId="2F7AD5D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：投入的施工材料有组织计划</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针对性，数量、选型配置、进场时间安排满足施工需要。</w:t>
            </w:r>
          </w:p>
          <w:p w14:paraId="166B675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：投入的施工材料的组织计划，数量、选型配置、进场时间安排不合理，不能满足施工需要。</w:t>
            </w:r>
          </w:p>
          <w:p w14:paraId="316919BA">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（8）施工平面布置和临时设施布置分 （</w:t>
            </w:r>
            <w:r>
              <w:rPr>
                <w:rFonts w:ascii="宋体" w:hAnsi="宋体" w:cs="宋体"/>
                <w:b/>
                <w:color w:val="auto"/>
                <w:sz w:val="21"/>
                <w:szCs w:val="21"/>
                <w:highlight w:val="none"/>
              </w:rPr>
              <w:t>3</w:t>
            </w:r>
            <w:r>
              <w:rPr>
                <w:rFonts w:hint="eastAsia" w:ascii="宋体" w:hAnsi="宋体" w:cs="宋体"/>
                <w:b/>
                <w:color w:val="auto"/>
                <w:sz w:val="21"/>
                <w:szCs w:val="21"/>
                <w:highlight w:val="none"/>
              </w:rPr>
              <w:t xml:space="preserve">分） </w:t>
            </w:r>
            <w:r>
              <w:rPr>
                <w:rFonts w:hint="eastAsia" w:ascii="宋体" w:hAnsi="宋体" w:cs="宋体"/>
                <w:color w:val="auto"/>
                <w:sz w:val="21"/>
                <w:szCs w:val="21"/>
                <w:highlight w:val="none"/>
              </w:rPr>
              <w:t xml:space="preserve"> </w:t>
            </w:r>
          </w:p>
          <w:p w14:paraId="280CBE3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评委根据供应商提供的施工组织设计中“施工平面布置和临时设施布置”内容进行独立评审并打分：</w:t>
            </w:r>
          </w:p>
          <w:p w14:paraId="0BEA7FC1">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一档（</w:t>
            </w:r>
            <w:r>
              <w:rPr>
                <w:rFonts w:ascii="宋体" w:hAnsi="宋体" w:cs="宋体"/>
                <w:color w:val="auto"/>
                <w:sz w:val="21"/>
                <w:szCs w:val="21"/>
                <w:highlight w:val="none"/>
                <w:lang w:val="en-US"/>
              </w:rPr>
              <w:t>3</w:t>
            </w:r>
            <w:r>
              <w:rPr>
                <w:rFonts w:hint="eastAsia" w:ascii="宋体" w:hAnsi="宋体" w:cs="宋体"/>
                <w:color w:val="auto"/>
                <w:sz w:val="21"/>
                <w:szCs w:val="21"/>
                <w:highlight w:val="none"/>
                <w:lang w:val="en-US"/>
              </w:rPr>
              <w:t>分）：总体布置有针对性、合理，</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施工需要，符合安全、文明生产要求。</w:t>
            </w:r>
          </w:p>
          <w:p w14:paraId="3E33C9E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二档（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分）：总体布置合理，满足施工需要。</w:t>
            </w:r>
          </w:p>
          <w:p w14:paraId="63D69FD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三档（1分）：总体布置不</w:t>
            </w:r>
            <w:r>
              <w:rPr>
                <w:rFonts w:hint="eastAsia" w:ascii="宋体" w:hAnsi="宋体" w:cs="宋体"/>
                <w:color w:val="auto"/>
                <w:sz w:val="21"/>
                <w:szCs w:val="21"/>
                <w:highlight w:val="none"/>
                <w:lang w:val="en-US" w:eastAsia="zh-CN"/>
              </w:rPr>
              <w:t>合理</w:t>
            </w:r>
            <w:r>
              <w:rPr>
                <w:rFonts w:hint="eastAsia" w:ascii="宋体" w:hAnsi="宋体" w:cs="宋体"/>
                <w:color w:val="auto"/>
                <w:sz w:val="21"/>
                <w:szCs w:val="21"/>
                <w:highlight w:val="none"/>
                <w:lang w:val="en-US"/>
              </w:rPr>
              <w:t>、无针对性。</w:t>
            </w:r>
          </w:p>
          <w:p w14:paraId="3BBF59B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
                <w:color w:val="auto"/>
                <w:sz w:val="21"/>
                <w:szCs w:val="21"/>
                <w:highlight w:val="none"/>
              </w:rPr>
            </w:pPr>
            <w:bookmarkStart w:id="68" w:name="OLE_LINK35"/>
            <w:r>
              <w:rPr>
                <w:rFonts w:hint="eastAsia" w:ascii="宋体" w:hAnsi="宋体" w:cs="宋体"/>
                <w:b/>
                <w:color w:val="auto"/>
                <w:sz w:val="21"/>
                <w:szCs w:val="21"/>
                <w:highlight w:val="none"/>
              </w:rPr>
              <w:t xml:space="preserve">（9）劳动力安排计划分 （5分）  </w:t>
            </w:r>
          </w:p>
          <w:p w14:paraId="36E1B46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评委根据供应商提供的施工组织设</w:t>
            </w:r>
            <w:r>
              <w:rPr>
                <w:rFonts w:hint="eastAsia" w:ascii="宋体" w:hAnsi="宋体" w:cs="宋体"/>
                <w:color w:val="auto"/>
                <w:sz w:val="21"/>
                <w:szCs w:val="21"/>
                <w:highlight w:val="none"/>
              </w:rPr>
              <w:t>计</w:t>
            </w:r>
            <w:r>
              <w:rPr>
                <w:rFonts w:hint="eastAsia" w:ascii="宋体" w:hAnsi="宋体" w:cs="宋体"/>
                <w:bCs/>
                <w:color w:val="auto"/>
                <w:sz w:val="21"/>
                <w:szCs w:val="21"/>
                <w:highlight w:val="none"/>
              </w:rPr>
              <w:t>中“劳动力安排计划”内容</w:t>
            </w:r>
            <w:r>
              <w:rPr>
                <w:rFonts w:hint="eastAsia" w:ascii="宋体" w:hAnsi="宋体" w:cs="宋体"/>
                <w:color w:val="auto"/>
                <w:sz w:val="21"/>
                <w:szCs w:val="21"/>
                <w:highlight w:val="none"/>
              </w:rPr>
              <w:t>进行独立评审并打分：</w:t>
            </w:r>
          </w:p>
          <w:p w14:paraId="0BD35F2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bCs/>
                <w:color w:val="auto"/>
                <w:sz w:val="21"/>
                <w:szCs w:val="21"/>
                <w:highlight w:val="none"/>
              </w:rPr>
              <w:t>（5分）：各主要施工工序有详细周密的劳动力安排计划，各工种劳动力安排计划</w:t>
            </w:r>
            <w:r>
              <w:rPr>
                <w:rFonts w:hint="eastAsia" w:ascii="宋体" w:hAnsi="宋体" w:cs="宋体"/>
                <w:bCs/>
                <w:color w:val="auto"/>
                <w:sz w:val="21"/>
                <w:szCs w:val="21"/>
                <w:highlight w:val="none"/>
                <w:lang w:eastAsia="zh-CN"/>
              </w:rPr>
              <w:t>完善</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有</w:t>
            </w:r>
            <w:r>
              <w:rPr>
                <w:rFonts w:hint="eastAsia" w:ascii="宋体" w:hAnsi="宋体" w:cs="宋体"/>
                <w:bCs/>
                <w:color w:val="auto"/>
                <w:sz w:val="21"/>
                <w:szCs w:val="21"/>
                <w:highlight w:val="none"/>
              </w:rPr>
              <w:t>针对性，劳动力投入合理、准确，</w:t>
            </w:r>
            <w:r>
              <w:rPr>
                <w:rFonts w:hint="eastAsia" w:ascii="宋体" w:hAnsi="宋体" w:cs="宋体"/>
                <w:bCs/>
                <w:color w:val="auto"/>
                <w:sz w:val="21"/>
                <w:szCs w:val="21"/>
                <w:highlight w:val="none"/>
                <w:lang w:eastAsia="zh-CN"/>
              </w:rPr>
              <w:t>优于</w:t>
            </w:r>
            <w:r>
              <w:rPr>
                <w:rFonts w:hint="eastAsia" w:ascii="宋体" w:hAnsi="宋体" w:cs="宋体"/>
                <w:bCs/>
                <w:color w:val="auto"/>
                <w:sz w:val="21"/>
                <w:szCs w:val="21"/>
                <w:highlight w:val="none"/>
              </w:rPr>
              <w:t>施工需要。</w:t>
            </w:r>
          </w:p>
          <w:p w14:paraId="46F59BA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二档（4分）：各主要施工工序有</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周密的劳动力安排计划，各工种劳动力安排计划</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、有针对性，劳动力投入合理、准确，满足施工需要。</w:t>
            </w:r>
          </w:p>
          <w:p w14:paraId="5760482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三档（</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分）：各主要施工工序的劳动力安排计划，各工种劳动力安排计划</w:t>
            </w:r>
            <w:r>
              <w:rPr>
                <w:rFonts w:hint="eastAsia" w:ascii="宋体" w:hAnsi="宋体" w:cs="宋体"/>
                <w:bCs/>
                <w:color w:val="auto"/>
                <w:sz w:val="21"/>
                <w:szCs w:val="21"/>
                <w:highlight w:val="none"/>
                <w:lang w:eastAsia="zh-CN"/>
              </w:rPr>
              <w:t>缺乏</w:t>
            </w:r>
            <w:r>
              <w:rPr>
                <w:rFonts w:hint="eastAsia" w:ascii="宋体" w:hAnsi="宋体" w:cs="宋体"/>
                <w:bCs/>
                <w:color w:val="auto"/>
                <w:sz w:val="21"/>
                <w:szCs w:val="21"/>
                <w:highlight w:val="none"/>
              </w:rPr>
              <w:t>针对性，劳动力投入</w:t>
            </w:r>
            <w:r>
              <w:rPr>
                <w:rFonts w:hint="eastAsia" w:ascii="宋体" w:hAnsi="宋体" w:cs="宋体"/>
                <w:bCs/>
                <w:color w:val="auto"/>
                <w:sz w:val="21"/>
                <w:szCs w:val="21"/>
                <w:highlight w:val="none"/>
                <w:lang w:eastAsia="zh-CN"/>
              </w:rPr>
              <w:t>缺乏</w:t>
            </w:r>
            <w:r>
              <w:rPr>
                <w:rFonts w:hint="eastAsia" w:ascii="宋体" w:hAnsi="宋体" w:cs="宋体"/>
                <w:bCs/>
                <w:color w:val="auto"/>
                <w:sz w:val="21"/>
                <w:szCs w:val="21"/>
                <w:highlight w:val="none"/>
              </w:rPr>
              <w:t>合理性、准确性，满足施工需要。</w:t>
            </w:r>
          </w:p>
          <w:p w14:paraId="23BBEF4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四档（</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分）：各主要施工工序的劳动力安排计划、各工种劳动力安排计划</w:t>
            </w:r>
            <w:r>
              <w:rPr>
                <w:rFonts w:hint="eastAsia" w:ascii="宋体" w:hAnsi="宋体" w:cs="宋体"/>
                <w:bCs/>
                <w:color w:val="auto"/>
                <w:sz w:val="21"/>
                <w:szCs w:val="21"/>
                <w:highlight w:val="none"/>
                <w:lang w:eastAsia="zh-CN"/>
              </w:rPr>
              <w:t>无</w:t>
            </w:r>
            <w:r>
              <w:rPr>
                <w:rFonts w:hint="eastAsia" w:ascii="宋体" w:hAnsi="宋体" w:cs="宋体"/>
                <w:bCs/>
                <w:color w:val="auto"/>
                <w:sz w:val="21"/>
                <w:szCs w:val="21"/>
                <w:highlight w:val="none"/>
              </w:rPr>
              <w:t>针对性。</w:t>
            </w:r>
            <w:bookmarkEnd w:id="68"/>
          </w:p>
          <w:p w14:paraId="7BD6859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
                <w:color w:val="auto"/>
                <w:sz w:val="21"/>
                <w:szCs w:val="21"/>
                <w:highlight w:val="none"/>
              </w:rPr>
            </w:pPr>
            <w:bookmarkStart w:id="69" w:name="OLE_LINK36"/>
            <w:r>
              <w:rPr>
                <w:rFonts w:hint="eastAsia" w:ascii="宋体" w:hAnsi="宋体" w:cs="宋体"/>
                <w:b/>
                <w:color w:val="auto"/>
                <w:sz w:val="21"/>
                <w:szCs w:val="21"/>
                <w:highlight w:val="none"/>
              </w:rPr>
              <w:t>（10）项目风险预测与防范，事故应急预案分 （</w:t>
            </w:r>
            <w:r>
              <w:rPr>
                <w:rFonts w:ascii="宋体" w:hAnsi="宋体" w:cs="宋体"/>
                <w:b/>
                <w:color w:val="auto"/>
                <w:sz w:val="21"/>
                <w:szCs w:val="21"/>
                <w:highlight w:val="none"/>
              </w:rPr>
              <w:t>3</w:t>
            </w:r>
            <w:r>
              <w:rPr>
                <w:rFonts w:hint="eastAsia" w:ascii="宋体" w:hAnsi="宋体" w:cs="宋体"/>
                <w:b/>
                <w:color w:val="auto"/>
                <w:sz w:val="21"/>
                <w:szCs w:val="21"/>
                <w:highlight w:val="none"/>
              </w:rPr>
              <w:t xml:space="preserve">分）  </w:t>
            </w:r>
          </w:p>
          <w:p w14:paraId="6FCF46F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评委根据供应商提供的施工组织设计中“项目风险预测与防范，事故应急预案”内容进行独立评审并打分：</w:t>
            </w:r>
          </w:p>
          <w:p w14:paraId="7DE3825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一档（</w:t>
            </w:r>
            <w:r>
              <w:rPr>
                <w:rFonts w:ascii="宋体" w:hAnsi="宋体" w:cs="宋体"/>
                <w:bCs/>
                <w:color w:val="auto"/>
                <w:sz w:val="21"/>
                <w:szCs w:val="21"/>
                <w:highlight w:val="none"/>
              </w:rPr>
              <w:t>3</w:t>
            </w:r>
            <w:r>
              <w:rPr>
                <w:rFonts w:hint="eastAsia" w:ascii="宋体" w:hAnsi="宋体" w:cs="宋体"/>
                <w:bCs/>
                <w:color w:val="auto"/>
                <w:sz w:val="21"/>
                <w:szCs w:val="21"/>
                <w:highlight w:val="none"/>
              </w:rPr>
              <w:t>分）：项目风险预测与防范、事故应急预案</w:t>
            </w:r>
            <w:r>
              <w:rPr>
                <w:rFonts w:hint="eastAsia" w:ascii="宋体" w:hAnsi="宋体" w:cs="宋体"/>
                <w:bCs/>
                <w:color w:val="auto"/>
                <w:sz w:val="21"/>
                <w:szCs w:val="21"/>
                <w:highlight w:val="none"/>
                <w:lang w:eastAsia="zh-CN"/>
              </w:rPr>
              <w:t>完善、切实</w:t>
            </w:r>
            <w:r>
              <w:rPr>
                <w:rFonts w:hint="eastAsia" w:ascii="宋体" w:hAnsi="宋体" w:cs="宋体"/>
                <w:bCs/>
                <w:color w:val="auto"/>
                <w:sz w:val="21"/>
                <w:szCs w:val="21"/>
                <w:highlight w:val="none"/>
              </w:rPr>
              <w:t>合理、</w:t>
            </w:r>
            <w:r>
              <w:rPr>
                <w:rFonts w:hint="eastAsia" w:ascii="宋体" w:hAnsi="宋体" w:cs="宋体"/>
                <w:bCs/>
                <w:color w:val="auto"/>
                <w:sz w:val="21"/>
                <w:szCs w:val="21"/>
                <w:highlight w:val="none"/>
                <w:lang w:eastAsia="zh-CN"/>
              </w:rPr>
              <w:t>具有</w:t>
            </w:r>
            <w:r>
              <w:rPr>
                <w:rFonts w:hint="eastAsia" w:ascii="宋体" w:hAnsi="宋体" w:cs="宋体"/>
                <w:bCs/>
                <w:color w:val="auto"/>
                <w:sz w:val="21"/>
                <w:szCs w:val="21"/>
                <w:highlight w:val="none"/>
              </w:rPr>
              <w:t>针对性</w:t>
            </w:r>
            <w:r>
              <w:rPr>
                <w:rFonts w:hint="eastAsia" w:ascii="宋体" w:hAnsi="宋体" w:cs="宋体"/>
                <w:bCs/>
                <w:color w:val="auto"/>
                <w:sz w:val="21"/>
                <w:szCs w:val="21"/>
                <w:highlight w:val="none"/>
                <w:lang w:eastAsia="zh-CN"/>
              </w:rPr>
              <w:t>，优于施工需要</w:t>
            </w:r>
            <w:r>
              <w:rPr>
                <w:rFonts w:hint="eastAsia" w:ascii="宋体" w:hAnsi="宋体" w:cs="宋体"/>
                <w:bCs/>
                <w:color w:val="auto"/>
                <w:sz w:val="21"/>
                <w:szCs w:val="21"/>
                <w:highlight w:val="none"/>
              </w:rPr>
              <w:t>。</w:t>
            </w:r>
          </w:p>
          <w:p w14:paraId="1C0D595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二档（2分）：项目风险预测与防范，事故应急预案完整、可行，</w:t>
            </w:r>
            <w:r>
              <w:rPr>
                <w:rFonts w:hint="eastAsia" w:ascii="宋体" w:hAnsi="宋体" w:cs="宋体"/>
                <w:bCs/>
                <w:color w:val="auto"/>
                <w:sz w:val="21"/>
                <w:szCs w:val="21"/>
                <w:highlight w:val="none"/>
                <w:lang w:eastAsia="zh-CN"/>
              </w:rPr>
              <w:t>具有针对性，满足施工需要</w:t>
            </w:r>
            <w:r>
              <w:rPr>
                <w:rFonts w:hint="eastAsia" w:ascii="宋体" w:hAnsi="宋体" w:cs="宋体"/>
                <w:bCs/>
                <w:color w:val="auto"/>
                <w:sz w:val="21"/>
                <w:szCs w:val="21"/>
                <w:highlight w:val="none"/>
              </w:rPr>
              <w:t>。</w:t>
            </w:r>
          </w:p>
          <w:p w14:paraId="47294EE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三档（1分）：项目风险预测与防范、事故应急预案不</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、无针对性。</w:t>
            </w:r>
            <w:bookmarkEnd w:id="69"/>
          </w:p>
        </w:tc>
      </w:tr>
      <w:tr w14:paraId="2B4B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35701F95">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3</w:t>
            </w:r>
          </w:p>
        </w:tc>
        <w:tc>
          <w:tcPr>
            <w:tcW w:w="1268" w:type="dxa"/>
            <w:tcBorders>
              <w:top w:val="single" w:color="auto" w:sz="4" w:space="0"/>
              <w:left w:val="single" w:color="auto" w:sz="4" w:space="0"/>
              <w:bottom w:val="single" w:color="auto" w:sz="4" w:space="0"/>
              <w:right w:val="single" w:color="auto" w:sz="4" w:space="0"/>
            </w:tcBorders>
            <w:noWrap/>
            <w:tcMar>
              <w:left w:w="57" w:type="dxa"/>
              <w:right w:w="57" w:type="dxa"/>
            </w:tcMar>
            <w:vAlign w:val="center"/>
          </w:tcPr>
          <w:p w14:paraId="297862A9">
            <w:pPr>
              <w:adjustRightInd w:val="0"/>
              <w:snapToGrid w:val="0"/>
              <w:spacing w:line="360" w:lineRule="exact"/>
              <w:ind w:firstLine="0" w:firstLineChars="0"/>
              <w:jc w:val="center"/>
              <w:rPr>
                <w:rFonts w:ascii="宋体" w:hAnsi="宋体" w:cs="宋体"/>
                <w:b/>
                <w:color w:val="auto"/>
                <w:sz w:val="21"/>
                <w:szCs w:val="21"/>
                <w:highlight w:val="none"/>
              </w:rPr>
            </w:pPr>
            <w:bookmarkStart w:id="70" w:name="OLE_LINK37"/>
            <w:bookmarkStart w:id="71" w:name="OLE_LINK38"/>
            <w:r>
              <w:rPr>
                <w:rFonts w:hint="eastAsia" w:ascii="宋体" w:hAnsi="宋体" w:cs="宋体"/>
                <w:b/>
                <w:color w:val="auto"/>
                <w:sz w:val="21"/>
                <w:szCs w:val="21"/>
                <w:highlight w:val="none"/>
              </w:rPr>
              <w:t>履约能力分（满分10  分）</w:t>
            </w:r>
            <w:bookmarkEnd w:id="70"/>
            <w:bookmarkEnd w:id="71"/>
          </w:p>
        </w:tc>
        <w:tc>
          <w:tcPr>
            <w:tcW w:w="7398" w:type="dxa"/>
            <w:tcBorders>
              <w:top w:val="single" w:color="auto" w:sz="4" w:space="0"/>
              <w:left w:val="single" w:color="auto" w:sz="4" w:space="0"/>
              <w:bottom w:val="single" w:color="auto" w:sz="4" w:space="0"/>
              <w:right w:val="single" w:color="auto" w:sz="4" w:space="0"/>
            </w:tcBorders>
            <w:noWrap/>
            <w:vAlign w:val="center"/>
          </w:tcPr>
          <w:p w14:paraId="0A6DA47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年1月1日以来承建或经竣工验收的类似工程</w:t>
            </w:r>
            <w:r>
              <w:rPr>
                <w:rFonts w:hint="eastAsia" w:ascii="宋体" w:hAnsi="宋体" w:cs="宋体"/>
                <w:bCs/>
                <w:color w:val="auto"/>
                <w:sz w:val="21"/>
                <w:szCs w:val="21"/>
                <w:highlight w:val="none"/>
                <w:lang w:eastAsia="zh-CN"/>
              </w:rPr>
              <w:t>业绩的（类似工程是指运动场地工程施工或建筑工程施工项目）</w:t>
            </w:r>
            <w:r>
              <w:rPr>
                <w:rFonts w:hint="eastAsia" w:ascii="宋体" w:hAnsi="宋体" w:cs="宋体"/>
                <w:bCs/>
                <w:color w:val="auto"/>
                <w:sz w:val="21"/>
                <w:szCs w:val="21"/>
                <w:highlight w:val="none"/>
              </w:rPr>
              <w:t>，每提供1个得2分，最多得10分【供应商于响应文件中提供</w:t>
            </w:r>
            <w:r>
              <w:rPr>
                <w:rFonts w:hint="eastAsia" w:cs="宋体" w:asciiTheme="majorEastAsia" w:hAnsiTheme="majorEastAsia" w:eastAsiaTheme="majorEastAsia"/>
                <w:color w:val="auto"/>
                <w:sz w:val="21"/>
                <w:highlight w:val="none"/>
              </w:rPr>
              <w:t>中标（成交）通知书或合同协议书扫描件或经竣工验收的</w:t>
            </w:r>
            <w:r>
              <w:rPr>
                <w:rFonts w:hint="eastAsia" w:ascii="宋体" w:hAnsi="宋体" w:cs="宋体"/>
                <w:bCs/>
                <w:color w:val="auto"/>
                <w:sz w:val="21"/>
                <w:szCs w:val="21"/>
                <w:highlight w:val="none"/>
              </w:rPr>
              <w:t>相关有效证明材料，并加盖供应商电子签章</w:t>
            </w:r>
            <w:r>
              <w:rPr>
                <w:rFonts w:hint="eastAsia" w:ascii="宋体" w:hAnsi="宋体" w:cs="宋体"/>
                <w:bCs/>
                <w:color w:val="auto"/>
                <w:sz w:val="21"/>
                <w:szCs w:val="21"/>
                <w:highlight w:val="none"/>
                <w:lang w:eastAsia="zh-CN"/>
              </w:rPr>
              <w:t>，否则不予认可</w:t>
            </w:r>
            <w:r>
              <w:rPr>
                <w:rFonts w:hint="eastAsia" w:ascii="宋体" w:hAnsi="宋体" w:cs="宋体"/>
                <w:bCs/>
                <w:color w:val="auto"/>
                <w:sz w:val="21"/>
                <w:szCs w:val="21"/>
                <w:highlight w:val="none"/>
              </w:rPr>
              <w:t>】。</w:t>
            </w:r>
          </w:p>
        </w:tc>
      </w:tr>
      <w:tr w14:paraId="5A1B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425" w:type="dxa"/>
            <w:gridSpan w:val="3"/>
            <w:tcBorders>
              <w:top w:val="single" w:color="auto" w:sz="4" w:space="0"/>
              <w:left w:val="single" w:color="auto" w:sz="4" w:space="0"/>
              <w:bottom w:val="single" w:color="auto" w:sz="4" w:space="0"/>
              <w:right w:val="single" w:color="auto" w:sz="4" w:space="0"/>
            </w:tcBorders>
            <w:noWrap/>
            <w:vAlign w:val="center"/>
          </w:tcPr>
          <w:p w14:paraId="044159B8">
            <w:pPr>
              <w:pStyle w:val="43"/>
              <w:widowControl w:val="0"/>
              <w:adjustRightInd w:val="0"/>
              <w:snapToGrid w:val="0"/>
              <w:spacing w:before="0" w:beforeAutospacing="0" w:after="0" w:afterAutospacing="0" w:line="320" w:lineRule="exact"/>
              <w:jc w:val="both"/>
              <w:rPr>
                <w:bCs/>
                <w:color w:val="auto"/>
                <w:kern w:val="2"/>
                <w:sz w:val="21"/>
                <w:szCs w:val="21"/>
                <w:highlight w:val="none"/>
              </w:rPr>
            </w:pPr>
            <w:r>
              <w:rPr>
                <w:rFonts w:hint="eastAsia" w:asciiTheme="majorEastAsia" w:hAnsiTheme="majorEastAsia" w:eastAsiaTheme="majorEastAsia"/>
                <w:color w:val="auto"/>
                <w:kern w:val="2"/>
                <w:sz w:val="21"/>
                <w:highlight w:val="none"/>
              </w:rPr>
              <w:t>总得分为以上各项评审因素得分合计</w:t>
            </w:r>
            <w:r>
              <w:rPr>
                <w:rFonts w:hint="eastAsia" w:asciiTheme="majorEastAsia" w:hAnsiTheme="majorEastAsia" w:eastAsiaTheme="majorEastAsia"/>
                <w:color w:val="auto"/>
                <w:kern w:val="2"/>
                <w:sz w:val="21"/>
                <w:highlight w:val="none"/>
                <w:lang w:eastAsia="zh-CN"/>
              </w:rPr>
              <w:t>。</w:t>
            </w:r>
          </w:p>
        </w:tc>
      </w:tr>
    </w:tbl>
    <w:p w14:paraId="7116BF77">
      <w:pPr>
        <w:keepNext w:val="0"/>
        <w:keepLines w:val="0"/>
        <w:pageBreakBefore w:val="0"/>
        <w:widowControl w:val="0"/>
        <w:kinsoku/>
        <w:wordWrap/>
        <w:overflowPunct/>
        <w:topLinePunct w:val="0"/>
        <w:autoSpaceDE/>
        <w:autoSpaceDN/>
        <w:bidi w:val="0"/>
        <w:adjustRightInd/>
        <w:snapToGrid/>
        <w:spacing w:line="420" w:lineRule="exact"/>
        <w:ind w:firstLine="527" w:firstLineChars="250"/>
        <w:jc w:val="left"/>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10BC32F7">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施工组织设计分、履约能力分由高到低顺序排列并推荐成交候选供应商。</w:t>
      </w:r>
    </w:p>
    <w:p w14:paraId="1EFBF597">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ascii="宋体" w:hAnsi="宋体" w:cs="宋体"/>
          <w:color w:val="auto"/>
          <w:kern w:val="0"/>
          <w:sz w:val="21"/>
          <w:szCs w:val="21"/>
          <w:highlight w:val="none"/>
        </w:rPr>
        <w:t>采购代理机构在评审结束后2个工作日内将评审报告送采购人确认。采购人应当在收到评审报告后5个工作日内，从评审报告提出的成交候选供应商中，按照排序由高到低的原则确定</w:t>
      </w:r>
      <w:r>
        <w:rPr>
          <w:rFonts w:hint="eastAsia" w:ascii="宋体" w:hAnsi="宋体" w:cs="宋体"/>
          <w:color w:val="auto"/>
          <w:kern w:val="0"/>
          <w:sz w:val="21"/>
          <w:szCs w:val="21"/>
          <w:highlight w:val="none"/>
          <w:lang w:eastAsia="zh-CN"/>
        </w:rPr>
        <w:t>成交人</w:t>
      </w:r>
      <w:r>
        <w:rPr>
          <w:rFonts w:ascii="宋体" w:hAnsi="宋体" w:cs="宋体"/>
          <w:color w:val="auto"/>
          <w:kern w:val="0"/>
          <w:sz w:val="21"/>
          <w:szCs w:val="21"/>
          <w:highlight w:val="none"/>
        </w:rPr>
        <w:t>。</w:t>
      </w:r>
      <w:r>
        <w:rPr>
          <w:rFonts w:hint="eastAsia" w:ascii="宋体" w:hAnsi="宋体" w:cs="宋体"/>
          <w:color w:val="auto"/>
          <w:kern w:val="0"/>
          <w:sz w:val="21"/>
          <w:szCs w:val="21"/>
          <w:highlight w:val="none"/>
        </w:rPr>
        <w:t>本项目确定一名</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w:t>
      </w:r>
    </w:p>
    <w:p w14:paraId="43095CC0">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cols w:space="720" w:num="1"/>
          <w:titlePg/>
          <w:docGrid w:linePitch="331" w:charSpace="0"/>
        </w:sectPr>
      </w:pPr>
      <w:r>
        <w:rPr>
          <w:rFonts w:hint="eastAsia" w:ascii="宋体" w:hAnsi="宋体" w:cs="宋体"/>
          <w:color w:val="auto"/>
          <w:kern w:val="0"/>
          <w:sz w:val="21"/>
          <w:szCs w:val="21"/>
          <w:highlight w:val="none"/>
        </w:rPr>
        <w:t>（3）排名第一的成交候选供应商放弃成交、拒绝或迟延签订合同、因不可抗力提出不能履行合同，或因失信行为被取消成交候选人资格的，采购人可以确定排名第二的成交候选供应商为</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。排名第二的成交候选供应商因前述规定的同样原因不能签订合同的，采购人可以确定排名第三的成交候选人为</w:t>
      </w:r>
      <w:r>
        <w:rPr>
          <w:rFonts w:hint="eastAsia" w:ascii="宋体" w:hAnsi="宋体" w:cs="宋体"/>
          <w:color w:val="auto"/>
          <w:kern w:val="0"/>
          <w:sz w:val="21"/>
          <w:szCs w:val="21"/>
          <w:highlight w:val="none"/>
          <w:lang w:eastAsia="zh-CN"/>
        </w:rPr>
        <w:t>成交人</w:t>
      </w:r>
      <w:r>
        <w:rPr>
          <w:rFonts w:hint="eastAsia" w:ascii="宋体" w:hAnsi="宋体" w:cs="宋体"/>
          <w:color w:val="auto"/>
          <w:kern w:val="0"/>
          <w:sz w:val="21"/>
          <w:szCs w:val="21"/>
          <w:highlight w:val="none"/>
        </w:rPr>
        <w:t>。以此类推。</w:t>
      </w:r>
    </w:p>
    <w:p w14:paraId="54CE40C9">
      <w:pPr>
        <w:pStyle w:val="23"/>
        <w:rPr>
          <w:rFonts w:ascii="宋体" w:hAnsi="宋体" w:cs="宋体"/>
          <w:b/>
          <w:color w:val="auto"/>
          <w:sz w:val="32"/>
          <w:szCs w:val="32"/>
          <w:highlight w:val="none"/>
        </w:rPr>
      </w:pPr>
      <w:bookmarkStart w:id="72" w:name="_Toc82016593"/>
    </w:p>
    <w:p w14:paraId="07985257">
      <w:pPr>
        <w:pStyle w:val="23"/>
        <w:rPr>
          <w:rFonts w:ascii="宋体" w:hAnsi="宋体" w:cs="宋体"/>
          <w:b/>
          <w:color w:val="auto"/>
          <w:sz w:val="32"/>
          <w:szCs w:val="32"/>
          <w:highlight w:val="none"/>
        </w:rPr>
      </w:pPr>
    </w:p>
    <w:p w14:paraId="799B759F">
      <w:pPr>
        <w:spacing w:line="440" w:lineRule="atLeast"/>
        <w:ind w:firstLine="0" w:firstLineChars="0"/>
        <w:jc w:val="center"/>
        <w:outlineLvl w:val="1"/>
        <w:rPr>
          <w:rFonts w:ascii="宋体" w:hAnsi="宋体" w:cs="宋体"/>
          <w:b/>
          <w:color w:val="auto"/>
          <w:kern w:val="0"/>
          <w:sz w:val="32"/>
          <w:szCs w:val="32"/>
          <w:highlight w:val="none"/>
        </w:rPr>
      </w:pPr>
    </w:p>
    <w:p w14:paraId="5BFC406F">
      <w:pPr>
        <w:spacing w:line="440" w:lineRule="atLeast"/>
        <w:ind w:firstLine="0" w:firstLineChars="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第六章  响应文件（格式）</w:t>
      </w:r>
      <w:bookmarkEnd w:id="72"/>
    </w:p>
    <w:p w14:paraId="7740BCE9">
      <w:pPr>
        <w:pStyle w:val="23"/>
        <w:rPr>
          <w:color w:val="auto"/>
          <w:highlight w:val="none"/>
        </w:rPr>
      </w:pPr>
    </w:p>
    <w:p w14:paraId="099C27A4">
      <w:pPr>
        <w:spacing w:line="240" w:lineRule="auto"/>
        <w:ind w:firstLine="0" w:firstLineChars="0"/>
        <w:rPr>
          <w:rFonts w:ascii="宋体" w:hAnsi="宋体" w:cs="宋体"/>
          <w:b/>
          <w:color w:val="auto"/>
          <w:kern w:val="0"/>
          <w:sz w:val="32"/>
          <w:szCs w:val="32"/>
          <w:highlight w:val="none"/>
        </w:rPr>
      </w:pPr>
    </w:p>
    <w:p w14:paraId="46A96EC2">
      <w:pPr>
        <w:spacing w:line="240" w:lineRule="atLeast"/>
        <w:ind w:firstLine="643"/>
        <w:jc w:val="center"/>
        <w:rPr>
          <w:rFonts w:ascii="宋体" w:hAnsi="宋体" w:cs="宋体"/>
          <w:b/>
          <w:color w:val="auto"/>
          <w:sz w:val="32"/>
          <w:szCs w:val="32"/>
          <w:highlight w:val="none"/>
        </w:rPr>
      </w:pPr>
    </w:p>
    <w:p w14:paraId="6D0ADA72">
      <w:pPr>
        <w:spacing w:line="240" w:lineRule="atLeas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 xml:space="preserve">响 应 文 件 </w:t>
      </w:r>
      <w:r>
        <w:rPr>
          <w:rFonts w:hint="eastAsia" w:ascii="宋体" w:hAnsi="宋体" w:cs="宋体"/>
          <w:b/>
          <w:color w:val="auto"/>
          <w:sz w:val="32"/>
          <w:szCs w:val="32"/>
          <w:highlight w:val="none"/>
          <w:lang w:eastAsia="zh-CN"/>
        </w:rPr>
        <w:t>（</w:t>
      </w:r>
      <w:r>
        <w:rPr>
          <w:rFonts w:hint="eastAsia" w:ascii="宋体" w:hAnsi="宋体" w:cs="宋体"/>
          <w:b/>
          <w:color w:val="auto"/>
          <w:sz w:val="32"/>
          <w:szCs w:val="32"/>
          <w:highlight w:val="none"/>
        </w:rPr>
        <w:t>封面</w:t>
      </w:r>
      <w:r>
        <w:rPr>
          <w:rFonts w:hint="eastAsia" w:ascii="宋体" w:hAnsi="宋体" w:cs="宋体"/>
          <w:b/>
          <w:color w:val="auto"/>
          <w:sz w:val="32"/>
          <w:szCs w:val="32"/>
          <w:highlight w:val="none"/>
          <w:lang w:eastAsia="zh-CN"/>
        </w:rPr>
        <w:t>）</w:t>
      </w:r>
    </w:p>
    <w:p w14:paraId="546B3CAD">
      <w:pPr>
        <w:ind w:firstLine="480"/>
        <w:jc w:val="center"/>
        <w:rPr>
          <w:rFonts w:ascii="宋体" w:hAnsi="宋体" w:cs="宋体"/>
          <w:color w:val="auto"/>
          <w:szCs w:val="21"/>
          <w:highlight w:val="none"/>
        </w:rPr>
      </w:pPr>
    </w:p>
    <w:p w14:paraId="31039D07">
      <w:pPr>
        <w:ind w:firstLine="480"/>
        <w:jc w:val="center"/>
        <w:rPr>
          <w:rFonts w:ascii="宋体" w:hAnsi="宋体" w:cs="宋体"/>
          <w:color w:val="auto"/>
          <w:szCs w:val="21"/>
          <w:highlight w:val="none"/>
        </w:rPr>
      </w:pPr>
    </w:p>
    <w:p w14:paraId="72ABE9C2">
      <w:pPr>
        <w:ind w:firstLine="480"/>
        <w:jc w:val="center"/>
        <w:rPr>
          <w:rFonts w:ascii="宋体" w:hAnsi="宋体" w:cs="宋体"/>
          <w:color w:val="auto"/>
          <w:szCs w:val="21"/>
          <w:highlight w:val="none"/>
        </w:rPr>
      </w:pPr>
    </w:p>
    <w:p w14:paraId="4833BDF9">
      <w:pPr>
        <w:spacing w:line="560" w:lineRule="exact"/>
        <w:ind w:firstLine="480"/>
        <w:jc w:val="left"/>
        <w:rPr>
          <w:rFonts w:ascii="宋体" w:hAnsi="宋体" w:cs="宋体"/>
          <w:color w:val="auto"/>
          <w:szCs w:val="21"/>
          <w:highlight w:val="none"/>
          <w:u w:val="single"/>
        </w:rPr>
      </w:pPr>
      <w:r>
        <w:rPr>
          <w:rFonts w:hint="eastAsia" w:ascii="宋体" w:hAnsi="宋体" w:cs="宋体"/>
          <w:color w:val="auto"/>
          <w:szCs w:val="21"/>
          <w:highlight w:val="none"/>
        </w:rPr>
        <w:t>采购项目编号：</w:t>
      </w:r>
      <w:r>
        <w:rPr>
          <w:rFonts w:hint="eastAsia" w:ascii="宋体" w:hAnsi="宋体" w:cs="宋体"/>
          <w:color w:val="auto"/>
          <w:szCs w:val="21"/>
          <w:highlight w:val="none"/>
          <w:u w:val="single"/>
        </w:rPr>
        <w:t xml:space="preserve">                       </w:t>
      </w:r>
    </w:p>
    <w:p w14:paraId="040BD519">
      <w:pPr>
        <w:tabs>
          <w:tab w:val="left" w:pos="3240"/>
        </w:tabs>
        <w:spacing w:line="560" w:lineRule="exact"/>
        <w:ind w:firstLine="480"/>
        <w:jc w:val="left"/>
        <w:rPr>
          <w:rFonts w:ascii="宋体" w:hAnsi="宋体" w:cs="宋体"/>
          <w:color w:val="auto"/>
          <w:szCs w:val="21"/>
          <w:highlight w:val="none"/>
          <w:u w:val="single"/>
        </w:rPr>
      </w:pPr>
      <w:r>
        <w:rPr>
          <w:rFonts w:hint="eastAsia" w:ascii="宋体" w:hAnsi="宋体" w:cs="宋体"/>
          <w:color w:val="auto"/>
          <w:szCs w:val="21"/>
          <w:highlight w:val="none"/>
        </w:rPr>
        <w:t>采购项目名称：</w:t>
      </w:r>
      <w:r>
        <w:rPr>
          <w:rFonts w:hint="eastAsia" w:ascii="宋体" w:hAnsi="宋体" w:cs="宋体"/>
          <w:color w:val="auto"/>
          <w:szCs w:val="21"/>
          <w:highlight w:val="none"/>
          <w:u w:val="single"/>
        </w:rPr>
        <w:t xml:space="preserve">                       </w:t>
      </w:r>
    </w:p>
    <w:p w14:paraId="54FAD92D">
      <w:pPr>
        <w:tabs>
          <w:tab w:val="left" w:pos="2625"/>
        </w:tabs>
        <w:ind w:firstLine="480"/>
        <w:jc w:val="center"/>
        <w:rPr>
          <w:rFonts w:ascii="宋体" w:hAnsi="宋体" w:cs="宋体"/>
          <w:color w:val="auto"/>
          <w:szCs w:val="21"/>
          <w:highlight w:val="none"/>
        </w:rPr>
      </w:pPr>
    </w:p>
    <w:p w14:paraId="366A7CEC">
      <w:pPr>
        <w:tabs>
          <w:tab w:val="left" w:pos="2625"/>
        </w:tabs>
        <w:ind w:firstLine="480"/>
        <w:jc w:val="center"/>
        <w:rPr>
          <w:rFonts w:ascii="宋体" w:hAnsi="宋体" w:cs="宋体"/>
          <w:color w:val="auto"/>
          <w:szCs w:val="21"/>
          <w:highlight w:val="none"/>
        </w:rPr>
      </w:pPr>
    </w:p>
    <w:p w14:paraId="2E4740F4">
      <w:pPr>
        <w:ind w:firstLine="480"/>
        <w:jc w:val="center"/>
        <w:rPr>
          <w:rFonts w:ascii="宋体" w:hAnsi="宋体" w:cs="宋体"/>
          <w:color w:val="auto"/>
          <w:szCs w:val="21"/>
          <w:highlight w:val="none"/>
        </w:rPr>
      </w:pPr>
      <w:r>
        <w:rPr>
          <w:rFonts w:hint="eastAsia" w:ascii="宋体" w:hAnsi="宋体" w:cs="宋体"/>
          <w:color w:val="auto"/>
          <w:szCs w:val="21"/>
          <w:highlight w:val="none"/>
        </w:rPr>
        <w:t xml:space="preserve">                                        （供应商名称）</w:t>
      </w:r>
    </w:p>
    <w:p w14:paraId="7E939499">
      <w:pPr>
        <w:ind w:firstLine="6000" w:firstLineChars="2500"/>
        <w:rPr>
          <w:rFonts w:ascii="宋体" w:hAnsi="宋体" w:cs="宋体"/>
          <w:color w:val="auto"/>
          <w:szCs w:val="21"/>
          <w:highlight w:val="none"/>
        </w:rPr>
      </w:pPr>
      <w:r>
        <w:rPr>
          <w:rFonts w:hint="eastAsia" w:ascii="宋体" w:hAnsi="宋体" w:cs="宋体"/>
          <w:color w:val="auto"/>
          <w:szCs w:val="21"/>
          <w:highlight w:val="none"/>
        </w:rPr>
        <w:t>年    月    日</w:t>
      </w:r>
    </w:p>
    <w:p w14:paraId="7EB8A81D">
      <w:pPr>
        <w:snapToGrid w:val="0"/>
        <w:spacing w:before="120" w:beforeLines="50" w:after="50" w:line="240" w:lineRule="auto"/>
        <w:ind w:firstLine="360" w:firstLineChars="150"/>
        <w:rPr>
          <w:rFonts w:ascii="宋体" w:hAnsi="宋体"/>
          <w:bCs/>
          <w:color w:val="auto"/>
          <w:kern w:val="0"/>
          <w:szCs w:val="24"/>
          <w:highlight w:val="none"/>
        </w:rPr>
      </w:pPr>
    </w:p>
    <w:p w14:paraId="0D166E87">
      <w:pPr>
        <w:snapToGrid w:val="0"/>
        <w:spacing w:before="120" w:beforeLines="50" w:after="50" w:line="240" w:lineRule="auto"/>
        <w:ind w:firstLine="360" w:firstLineChars="150"/>
        <w:rPr>
          <w:rFonts w:ascii="宋体" w:hAnsi="宋体"/>
          <w:bCs/>
          <w:color w:val="auto"/>
          <w:kern w:val="0"/>
          <w:szCs w:val="24"/>
          <w:highlight w:val="none"/>
        </w:rPr>
      </w:pPr>
    </w:p>
    <w:p w14:paraId="309AEC9D">
      <w:pPr>
        <w:spacing w:line="440" w:lineRule="atLeast"/>
        <w:ind w:firstLine="0" w:firstLineChars="0"/>
        <w:rPr>
          <w:rFonts w:ascii="宋体" w:hAnsi="宋体"/>
          <w:b/>
          <w:color w:val="auto"/>
          <w:kern w:val="0"/>
          <w:sz w:val="32"/>
          <w:szCs w:val="32"/>
          <w:highlight w:val="none"/>
        </w:rPr>
      </w:pPr>
    </w:p>
    <w:p w14:paraId="42740605">
      <w:pPr>
        <w:spacing w:line="440" w:lineRule="atLeast"/>
        <w:ind w:firstLine="0" w:firstLineChars="0"/>
        <w:rPr>
          <w:rFonts w:ascii="宋体" w:hAnsi="宋体"/>
          <w:b/>
          <w:color w:val="auto"/>
          <w:kern w:val="0"/>
          <w:sz w:val="32"/>
          <w:szCs w:val="32"/>
          <w:highlight w:val="none"/>
        </w:rPr>
      </w:pPr>
    </w:p>
    <w:p w14:paraId="7817D67D">
      <w:pPr>
        <w:spacing w:line="440" w:lineRule="atLeast"/>
        <w:ind w:firstLine="0" w:firstLineChars="0"/>
        <w:rPr>
          <w:rFonts w:ascii="宋体" w:hAnsi="宋体"/>
          <w:b/>
          <w:color w:val="auto"/>
          <w:kern w:val="0"/>
          <w:sz w:val="32"/>
          <w:szCs w:val="32"/>
          <w:highlight w:val="none"/>
        </w:rPr>
      </w:pPr>
    </w:p>
    <w:p w14:paraId="458C7019">
      <w:pPr>
        <w:spacing w:line="440" w:lineRule="atLeast"/>
        <w:ind w:firstLine="0" w:firstLineChars="0"/>
        <w:rPr>
          <w:rFonts w:ascii="宋体" w:hAnsi="宋体"/>
          <w:b/>
          <w:color w:val="auto"/>
          <w:kern w:val="0"/>
          <w:sz w:val="32"/>
          <w:szCs w:val="32"/>
          <w:highlight w:val="none"/>
        </w:rPr>
      </w:pPr>
    </w:p>
    <w:p w14:paraId="37B53E22">
      <w:pPr>
        <w:pStyle w:val="23"/>
        <w:rPr>
          <w:rFonts w:ascii="宋体" w:hAnsi="宋体"/>
          <w:b/>
          <w:color w:val="auto"/>
          <w:sz w:val="32"/>
          <w:szCs w:val="32"/>
          <w:highlight w:val="none"/>
        </w:rPr>
      </w:pPr>
    </w:p>
    <w:p w14:paraId="3F1D6A08">
      <w:pPr>
        <w:pStyle w:val="23"/>
        <w:rPr>
          <w:rFonts w:ascii="宋体" w:hAnsi="宋体"/>
          <w:b/>
          <w:color w:val="auto"/>
          <w:sz w:val="32"/>
          <w:szCs w:val="32"/>
          <w:highlight w:val="none"/>
        </w:rPr>
      </w:pPr>
    </w:p>
    <w:p w14:paraId="667979EA">
      <w:pPr>
        <w:pStyle w:val="23"/>
        <w:rPr>
          <w:rFonts w:ascii="宋体" w:hAnsi="宋体"/>
          <w:b/>
          <w:color w:val="auto"/>
          <w:sz w:val="32"/>
          <w:szCs w:val="32"/>
          <w:highlight w:val="none"/>
        </w:rPr>
      </w:pPr>
    </w:p>
    <w:p w14:paraId="5D46EB02">
      <w:pPr>
        <w:pStyle w:val="23"/>
        <w:rPr>
          <w:rFonts w:ascii="宋体" w:hAnsi="宋体"/>
          <w:b/>
          <w:color w:val="auto"/>
          <w:sz w:val="32"/>
          <w:szCs w:val="32"/>
          <w:highlight w:val="none"/>
        </w:rPr>
      </w:pPr>
    </w:p>
    <w:p w14:paraId="04B2A63D">
      <w:pPr>
        <w:pStyle w:val="23"/>
        <w:rPr>
          <w:rFonts w:ascii="宋体" w:hAnsi="宋体"/>
          <w:b/>
          <w:color w:val="auto"/>
          <w:sz w:val="32"/>
          <w:szCs w:val="32"/>
          <w:highlight w:val="none"/>
        </w:rPr>
      </w:pPr>
    </w:p>
    <w:p w14:paraId="54A024F6">
      <w:pPr>
        <w:pStyle w:val="23"/>
        <w:rPr>
          <w:rFonts w:ascii="宋体" w:hAnsi="宋体"/>
          <w:b/>
          <w:color w:val="auto"/>
          <w:sz w:val="32"/>
          <w:szCs w:val="32"/>
          <w:highlight w:val="none"/>
        </w:rPr>
      </w:pPr>
    </w:p>
    <w:p w14:paraId="1EB6D10E">
      <w:pPr>
        <w:spacing w:line="440" w:lineRule="atLeast"/>
        <w:ind w:firstLine="0" w:firstLineChars="0"/>
        <w:rPr>
          <w:rFonts w:ascii="宋体" w:hAnsi="宋体"/>
          <w:b/>
          <w:color w:val="auto"/>
          <w:kern w:val="0"/>
          <w:sz w:val="32"/>
          <w:szCs w:val="32"/>
          <w:highlight w:val="none"/>
        </w:rPr>
      </w:pPr>
    </w:p>
    <w:p w14:paraId="667EB7D6">
      <w:pPr>
        <w:pStyle w:val="23"/>
        <w:rPr>
          <w:color w:val="auto"/>
          <w:highlight w:val="none"/>
        </w:rPr>
      </w:pPr>
    </w:p>
    <w:p w14:paraId="0B16A034">
      <w:pPr>
        <w:spacing w:line="300" w:lineRule="auto"/>
        <w:ind w:firstLine="562"/>
        <w:rPr>
          <w:rFonts w:hint="eastAsia" w:ascii="宋体" w:hAnsi="宋体" w:cs="宋体"/>
          <w:b/>
          <w:color w:val="auto"/>
          <w:sz w:val="28"/>
          <w:szCs w:val="28"/>
          <w:highlight w:val="none"/>
        </w:rPr>
      </w:pPr>
    </w:p>
    <w:p w14:paraId="265F7DF6">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1.资格证明文件</w:t>
      </w:r>
    </w:p>
    <w:p w14:paraId="38700B7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（1）供应商的“磋商书”（必须提供）</w:t>
      </w:r>
    </w:p>
    <w:p w14:paraId="3D7426C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（2）供应商的“参加本项目无围标串标行为的承诺函” （必须提供）</w:t>
      </w:r>
    </w:p>
    <w:p w14:paraId="2BFF63C6">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（3）</w:t>
      </w:r>
      <w:r>
        <w:rPr>
          <w:rFonts w:hint="eastAsia" w:ascii="宋体" w:hAnsi="宋体" w:cs="宋体"/>
          <w:b/>
          <w:color w:val="auto"/>
          <w:sz w:val="21"/>
          <w:szCs w:val="21"/>
          <w:highlight w:val="none"/>
        </w:rPr>
        <w:t>供应商的法人或者其他组织营业执照等证明文件（必须提供）</w:t>
      </w:r>
    </w:p>
    <w:p w14:paraId="7FA37C77">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4</w:t>
      </w:r>
      <w:r>
        <w:rPr>
          <w:rFonts w:hint="eastAsia" w:ascii="宋体" w:hAnsi="宋体" w:cs="宋体"/>
          <w:b/>
          <w:color w:val="auto"/>
          <w:sz w:val="21"/>
          <w:szCs w:val="21"/>
          <w:highlight w:val="none"/>
        </w:rPr>
        <w:t>）供应商2024年度或2025年度的财务状况报告（如供应商为参加本项目当年新成立公司的，可提供公司成立之日后的财务报表）或2026年以来银行出具的资信证明或2026年以来中国人民银行征信中心出具的征信报告（必须提供）</w:t>
      </w:r>
    </w:p>
    <w:p w14:paraId="3DEAE3C2">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5</w:t>
      </w:r>
      <w:r>
        <w:rPr>
          <w:rFonts w:hint="eastAsia" w:ascii="宋体" w:hAnsi="宋体" w:cs="宋体"/>
          <w:b/>
          <w:color w:val="auto"/>
          <w:sz w:val="21"/>
          <w:szCs w:val="21"/>
          <w:highlight w:val="none"/>
        </w:rPr>
        <w:t>）供应商</w:t>
      </w:r>
      <w:r>
        <w:rPr>
          <w:rFonts w:ascii="宋体" w:hAnsi="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年以来任意</w:t>
      </w:r>
      <w:r>
        <w:rPr>
          <w:rFonts w:ascii="宋体" w:hAnsi="宋体" w:cs="宋体"/>
          <w:b/>
          <w:color w:val="auto"/>
          <w:sz w:val="21"/>
          <w:szCs w:val="21"/>
          <w:highlight w:val="none"/>
        </w:rPr>
        <w:t>1</w:t>
      </w:r>
      <w:r>
        <w:rPr>
          <w:rFonts w:hint="eastAsia" w:ascii="宋体" w:hAnsi="宋体" w:cs="宋体"/>
          <w:b/>
          <w:color w:val="auto"/>
          <w:sz w:val="21"/>
          <w:szCs w:val="21"/>
          <w:highlight w:val="none"/>
        </w:rPr>
        <w:t>个月依法缴纳社会保障资金的相关材料（供应商无缴费记录或为新成立公司，应提供由供应商所在地社保部门或税务部门出具的《依法缴纳或依法免缴社保费证明》）（必须提供）</w:t>
      </w:r>
      <w:r>
        <w:rPr>
          <w:rFonts w:ascii="宋体" w:hAnsi="宋体" w:cs="宋体"/>
          <w:b/>
          <w:color w:val="auto"/>
          <w:sz w:val="21"/>
          <w:szCs w:val="21"/>
          <w:highlight w:val="none"/>
        </w:rPr>
        <w:t xml:space="preserve"> </w:t>
      </w:r>
    </w:p>
    <w:p w14:paraId="77304D22">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（6）供应商</w:t>
      </w:r>
      <w:r>
        <w:rPr>
          <w:rFonts w:ascii="宋体" w:hAnsi="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年以来任意</w:t>
      </w:r>
      <w:r>
        <w:rPr>
          <w:rFonts w:ascii="宋体" w:hAnsi="宋体" w:cs="宋体"/>
          <w:b/>
          <w:color w:val="auto"/>
          <w:sz w:val="21"/>
          <w:szCs w:val="21"/>
          <w:highlight w:val="none"/>
        </w:rPr>
        <w:t>1</w:t>
      </w:r>
      <w:r>
        <w:rPr>
          <w:rFonts w:hint="eastAsia" w:ascii="宋体" w:hAnsi="宋体" w:cs="宋体"/>
          <w:b/>
          <w:color w:val="auto"/>
          <w:sz w:val="21"/>
          <w:szCs w:val="21"/>
          <w:highlight w:val="none"/>
        </w:rPr>
        <w:t>个月依法缴纳税收的相关材料（供应商无纳税记录或为新成立公司，应提供由供应商所在地主管税务部门出具的《依法纳税或依法免税证明》）（必须提供）</w:t>
      </w:r>
    </w:p>
    <w:p w14:paraId="130C1262">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（7）供应商的直接控股、管理关系信息表</w:t>
      </w:r>
      <w:r>
        <w:rPr>
          <w:rFonts w:hint="eastAsia" w:ascii="宋体" w:hAnsi="宋体" w:cs="宋体"/>
          <w:b/>
          <w:color w:val="auto"/>
          <w:sz w:val="21"/>
          <w:szCs w:val="21"/>
          <w:highlight w:val="none"/>
        </w:rPr>
        <w:t>（必须提供）</w:t>
      </w:r>
    </w:p>
    <w:p w14:paraId="5129E4F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（8）供应商的法定代表人身份证明及法定代表人身份证正反面复印件</w:t>
      </w:r>
      <w:r>
        <w:rPr>
          <w:rFonts w:hint="eastAsia" w:ascii="宋体" w:hAnsi="宋体" w:cs="宋体"/>
          <w:b/>
          <w:color w:val="auto"/>
          <w:sz w:val="21"/>
          <w:szCs w:val="21"/>
          <w:highlight w:val="none"/>
        </w:rPr>
        <w:t>（必须提供）</w:t>
      </w:r>
    </w:p>
    <w:p w14:paraId="4F4277E7">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（9）供应商的“授权委托书”、委托代理人身份证正反面复印件</w:t>
      </w:r>
      <w:r>
        <w:rPr>
          <w:rFonts w:hint="eastAsia" w:ascii="宋体" w:hAnsi="宋体" w:cs="宋体"/>
          <w:b/>
          <w:color w:val="auto"/>
          <w:sz w:val="21"/>
          <w:szCs w:val="21"/>
          <w:highlight w:val="none"/>
        </w:rPr>
        <w:t>（委托代理时必须提供）</w:t>
      </w:r>
    </w:p>
    <w:p w14:paraId="43FEC96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（10）</w:t>
      </w:r>
      <w:r>
        <w:rPr>
          <w:rFonts w:hint="eastAsia" w:ascii="宋体" w:hAnsi="宋体" w:cs="宋体"/>
          <w:b/>
          <w:bCs/>
          <w:color w:val="auto"/>
          <w:sz w:val="21"/>
          <w:szCs w:val="21"/>
          <w:highlight w:val="none"/>
          <w:lang w:eastAsia="zh-CN"/>
        </w:rPr>
        <w:t>特定资格要求证明材料</w:t>
      </w:r>
      <w:r>
        <w:rPr>
          <w:rFonts w:hint="eastAsia" w:ascii="宋体" w:hAnsi="宋体" w:cs="宋体"/>
          <w:b/>
          <w:bCs/>
          <w:color w:val="auto"/>
          <w:sz w:val="21"/>
          <w:szCs w:val="21"/>
          <w:highlight w:val="none"/>
        </w:rPr>
        <w:t>（必须提供）</w:t>
      </w:r>
    </w:p>
    <w:p w14:paraId="77BAE69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color w:val="auto"/>
          <w:sz w:val="21"/>
          <w:szCs w:val="21"/>
          <w:highlight w:val="none"/>
          <w:lang w:val="en-US" w:eastAsia="zh-CN"/>
        </w:rPr>
        <w:t>1</w:t>
      </w:r>
      <w:r>
        <w:rPr>
          <w:rFonts w:hint="eastAsia" w:ascii="宋体" w:hAnsi="宋体" w:cs="宋体"/>
          <w:b/>
          <w:color w:val="auto"/>
          <w:sz w:val="21"/>
          <w:szCs w:val="21"/>
          <w:highlight w:val="none"/>
        </w:rPr>
        <w:t>）</w:t>
      </w:r>
      <w:r>
        <w:rPr>
          <w:rFonts w:ascii="宋体" w:hAnsi="宋体" w:cs="宋体"/>
          <w:b/>
          <w:color w:val="auto"/>
          <w:sz w:val="21"/>
          <w:szCs w:val="21"/>
          <w:highlight w:val="none"/>
        </w:rPr>
        <w:t>供应商为</w:t>
      </w:r>
      <w:r>
        <w:rPr>
          <w:rFonts w:hint="eastAsia" w:ascii="宋体" w:hAnsi="宋体" w:cs="宋体"/>
          <w:b/>
          <w:color w:val="auto"/>
          <w:sz w:val="21"/>
          <w:szCs w:val="21"/>
          <w:highlight w:val="none"/>
        </w:rPr>
        <w:t>小微</w:t>
      </w:r>
      <w:r>
        <w:rPr>
          <w:rFonts w:ascii="宋体" w:hAnsi="宋体" w:cs="宋体"/>
          <w:b/>
          <w:color w:val="auto"/>
          <w:sz w:val="21"/>
          <w:szCs w:val="21"/>
          <w:highlight w:val="none"/>
        </w:rPr>
        <w:t>企业的相关有效证明材料（必须提供）</w:t>
      </w:r>
    </w:p>
    <w:p w14:paraId="05ECEF5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color w:val="auto"/>
          <w:sz w:val="21"/>
          <w:szCs w:val="21"/>
          <w:highlight w:val="none"/>
          <w:lang w:val="en-US" w:eastAsia="zh-CN"/>
        </w:rPr>
        <w:t>2</w:t>
      </w:r>
      <w:r>
        <w:rPr>
          <w:rFonts w:hint="eastAsia" w:ascii="宋体" w:hAnsi="宋体" w:cs="宋体"/>
          <w:b/>
          <w:color w:val="auto"/>
          <w:sz w:val="21"/>
          <w:szCs w:val="21"/>
          <w:highlight w:val="none"/>
        </w:rPr>
        <w:t>）供应商参加政府采购活动前3年内在经营活动中没有重大违法记录及有关信用信息的书面声明或专项信用报告（必须提供）</w:t>
      </w:r>
    </w:p>
    <w:p w14:paraId="6DA74422">
      <w:pPr>
        <w:spacing w:line="240" w:lineRule="auto"/>
        <w:ind w:firstLine="0" w:firstLineChars="0"/>
        <w:rPr>
          <w:rFonts w:ascii="宋体" w:hAnsi="宋体" w:cs="宋体"/>
          <w:b/>
          <w:color w:val="auto"/>
          <w:sz w:val="28"/>
          <w:szCs w:val="28"/>
          <w:highlight w:val="none"/>
        </w:rPr>
      </w:pPr>
      <w:r>
        <w:rPr>
          <w:rFonts w:hint="eastAsia"/>
          <w:b/>
          <w:color w:val="auto"/>
          <w:kern w:val="0"/>
          <w:sz w:val="32"/>
          <w:szCs w:val="32"/>
          <w:highlight w:val="none"/>
        </w:rPr>
        <w:br w:type="page"/>
      </w:r>
      <w:r>
        <w:rPr>
          <w:rFonts w:hint="eastAsia" w:ascii="宋体" w:hAnsi="宋体" w:cs="宋体"/>
          <w:b/>
          <w:color w:val="auto"/>
          <w:sz w:val="28"/>
          <w:szCs w:val="28"/>
          <w:highlight w:val="none"/>
        </w:rPr>
        <w:t>（1）供应商的“磋商书”（必须提供）</w:t>
      </w:r>
    </w:p>
    <w:p w14:paraId="44EDB088">
      <w:p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6D9A25B3">
      <w:pPr>
        <w:spacing w:line="300" w:lineRule="auto"/>
        <w:ind w:firstLine="2891" w:firstLineChars="900"/>
        <w:rPr>
          <w:rFonts w:ascii="宋体" w:hAnsi="宋体" w:cs="宋体"/>
          <w:b/>
          <w:color w:val="auto"/>
          <w:sz w:val="32"/>
          <w:szCs w:val="32"/>
          <w:highlight w:val="none"/>
        </w:rPr>
      </w:pPr>
      <w:r>
        <w:rPr>
          <w:rFonts w:hint="eastAsia" w:ascii="宋体" w:hAnsi="宋体" w:cs="宋体"/>
          <w:b/>
          <w:color w:val="auto"/>
          <w:sz w:val="32"/>
          <w:szCs w:val="32"/>
          <w:highlight w:val="none"/>
        </w:rPr>
        <w:t>磋  商  书（格式）</w:t>
      </w:r>
    </w:p>
    <w:p w14:paraId="4DA52B21">
      <w:pPr>
        <w:pStyle w:val="26"/>
        <w:spacing w:line="400" w:lineRule="exact"/>
        <w:rPr>
          <w:rFonts w:hAnsi="宋体" w:cs="宋体"/>
          <w:color w:val="auto"/>
          <w:sz w:val="21"/>
          <w:highlight w:val="none"/>
        </w:rPr>
      </w:pPr>
      <w:r>
        <w:rPr>
          <w:rFonts w:hint="eastAsia" w:hAnsi="宋体" w:cs="宋体"/>
          <w:color w:val="auto"/>
          <w:sz w:val="21"/>
          <w:highlight w:val="none"/>
          <w:u w:val="single"/>
        </w:rPr>
        <w:t>云之龙咨询集团有限公司</w:t>
      </w:r>
      <w:r>
        <w:rPr>
          <w:rFonts w:hint="eastAsia" w:hAnsi="宋体" w:cs="宋体"/>
          <w:color w:val="auto"/>
          <w:sz w:val="21"/>
          <w:highlight w:val="none"/>
        </w:rPr>
        <w:t>：</w:t>
      </w:r>
    </w:p>
    <w:p w14:paraId="5474686E">
      <w:pPr>
        <w:pStyle w:val="26"/>
        <w:spacing w:line="400" w:lineRule="exact"/>
        <w:ind w:firstLine="480"/>
        <w:rPr>
          <w:rFonts w:hAnsi="宋体" w:cs="宋体"/>
          <w:color w:val="auto"/>
          <w:sz w:val="21"/>
          <w:highlight w:val="none"/>
        </w:rPr>
      </w:pPr>
      <w:r>
        <w:rPr>
          <w:rFonts w:hint="eastAsia" w:hAnsi="宋体" w:cs="宋体"/>
          <w:color w:val="auto"/>
          <w:sz w:val="21"/>
          <w:highlight w:val="none"/>
        </w:rPr>
        <w:t>依据贵方</w:t>
      </w:r>
      <w:r>
        <w:rPr>
          <w:rFonts w:hint="eastAsia" w:hAnsi="宋体" w:cs="宋体"/>
          <w:color w:val="auto"/>
          <w:sz w:val="21"/>
          <w:highlight w:val="none"/>
          <w:u w:val="single"/>
        </w:rPr>
        <w:t xml:space="preserve">               </w:t>
      </w:r>
      <w:r>
        <w:rPr>
          <w:rFonts w:hint="eastAsia" w:hAnsi="宋体" w:cs="宋体"/>
          <w:color w:val="auto"/>
          <w:sz w:val="21"/>
          <w:highlight w:val="none"/>
        </w:rPr>
        <w:t>项目（采购项目名称及项目编号）采购的磋商邀请，我方</w:t>
      </w:r>
      <w:r>
        <w:rPr>
          <w:rFonts w:hint="eastAsia" w:hAnsi="宋体" w:cs="宋体"/>
          <w:color w:val="auto"/>
          <w:sz w:val="21"/>
          <w:highlight w:val="none"/>
          <w:u w:val="single"/>
        </w:rPr>
        <w:t>（姓名和职务）</w:t>
      </w:r>
      <w:r>
        <w:rPr>
          <w:rFonts w:hint="eastAsia" w:hAnsi="宋体" w:cs="宋体"/>
          <w:color w:val="auto"/>
          <w:sz w:val="21"/>
          <w:highlight w:val="none"/>
        </w:rPr>
        <w:t>经正式授权并代表供应商</w:t>
      </w:r>
      <w:r>
        <w:rPr>
          <w:rFonts w:hint="eastAsia" w:hAnsi="宋体" w:cs="宋体"/>
          <w:color w:val="auto"/>
          <w:sz w:val="21"/>
          <w:highlight w:val="none"/>
          <w:u w:val="single"/>
        </w:rPr>
        <w:t xml:space="preserve">             （</w:t>
      </w:r>
      <w:r>
        <w:rPr>
          <w:rFonts w:hint="eastAsia" w:hAnsi="宋体" w:cs="宋体"/>
          <w:color w:val="auto"/>
          <w:sz w:val="21"/>
          <w:highlight w:val="none"/>
        </w:rPr>
        <w:t>供应商名称、地址）提交响应文件。</w:t>
      </w:r>
    </w:p>
    <w:p w14:paraId="10D71CD4">
      <w:pPr>
        <w:pStyle w:val="26"/>
        <w:spacing w:line="400" w:lineRule="exact"/>
        <w:rPr>
          <w:rFonts w:hAnsi="宋体" w:cs="宋体"/>
          <w:color w:val="auto"/>
          <w:sz w:val="21"/>
          <w:highlight w:val="none"/>
        </w:rPr>
      </w:pPr>
      <w:r>
        <w:rPr>
          <w:rFonts w:hint="eastAsia" w:hAnsi="宋体" w:cs="宋体"/>
          <w:color w:val="auto"/>
          <w:sz w:val="21"/>
          <w:highlight w:val="none"/>
        </w:rPr>
        <w:t>在此，签字代表宣布同意如下：</w:t>
      </w:r>
    </w:p>
    <w:p w14:paraId="2779B4D4">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1. 将按竞争性磋商文件的约定履行合同责任和义务。</w:t>
      </w:r>
    </w:p>
    <w:p w14:paraId="031AEB42">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2. 已详细审查全部竞争性磋商文件，包括</w:t>
      </w:r>
      <w:r>
        <w:rPr>
          <w:rFonts w:hint="eastAsia" w:cs="宋体" w:asciiTheme="majorEastAsia" w:hAnsiTheme="majorEastAsia" w:eastAsiaTheme="majorEastAsia"/>
          <w:color w:val="auto"/>
          <w:sz w:val="21"/>
          <w:highlight w:val="none"/>
          <w:u w:val="single"/>
        </w:rPr>
        <w:t>（补遗文件）（如有）</w:t>
      </w:r>
      <w:r>
        <w:rPr>
          <w:rFonts w:hint="eastAsia" w:cs="宋体" w:asciiTheme="majorEastAsia" w:hAnsiTheme="majorEastAsia" w:eastAsiaTheme="majorEastAsia"/>
          <w:color w:val="auto"/>
          <w:sz w:val="21"/>
          <w:highlight w:val="none"/>
        </w:rPr>
        <w:t>；将自行承担因对全部竞争性磋商文件（补遗文件）（如有）理解不正确或误解而产生的相应后果；我们完全理解并同意放弃对这方面有不明及误解的权利。</w:t>
      </w:r>
    </w:p>
    <w:p w14:paraId="3ABFE5F8">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3. 本项目响应文件有效期：</w:t>
      </w:r>
      <w:r>
        <w:rPr>
          <w:rFonts w:cs="宋体" w:asciiTheme="majorEastAsia" w:hAnsiTheme="majorEastAsia" w:eastAsiaTheme="majorEastAsia"/>
          <w:color w:val="auto"/>
          <w:sz w:val="21"/>
          <w:highlight w:val="none"/>
          <w:lang w:val="en-US"/>
        </w:rPr>
        <w:t>90</w:t>
      </w:r>
      <w:r>
        <w:rPr>
          <w:rFonts w:hint="eastAsia" w:cs="宋体" w:asciiTheme="majorEastAsia" w:hAnsiTheme="majorEastAsia" w:eastAsiaTheme="majorEastAsia"/>
          <w:color w:val="auto"/>
          <w:sz w:val="21"/>
          <w:highlight w:val="none"/>
        </w:rPr>
        <w:t>天，有效期不足的响应文件将被拒绝。</w:t>
      </w:r>
    </w:p>
    <w:p w14:paraId="6EE62E44">
      <w:pPr>
        <w:pStyle w:val="26"/>
        <w:spacing w:line="400" w:lineRule="exact"/>
        <w:rPr>
          <w:rFonts w:hAnsi="宋体" w:cs="宋体"/>
          <w:color w:val="auto"/>
          <w:sz w:val="21"/>
          <w:highlight w:val="none"/>
        </w:rPr>
      </w:pPr>
      <w:r>
        <w:rPr>
          <w:rFonts w:hint="eastAsia" w:cs="宋体" w:asciiTheme="majorEastAsia" w:hAnsiTheme="majorEastAsia" w:eastAsiaTheme="majorEastAsia"/>
          <w:color w:val="auto"/>
          <w:sz w:val="21"/>
          <w:highlight w:val="none"/>
        </w:rPr>
        <w:t>4. 同</w:t>
      </w:r>
      <w:r>
        <w:rPr>
          <w:rFonts w:hint="eastAsia" w:hAnsi="宋体" w:cs="宋体"/>
          <w:color w:val="auto"/>
          <w:sz w:val="21"/>
          <w:highlight w:val="none"/>
        </w:rPr>
        <w:t>意提供按照贵方可能要求的与其磋商有关的一切数据或资料。</w:t>
      </w:r>
    </w:p>
    <w:p w14:paraId="0F89C903">
      <w:pPr>
        <w:spacing w:line="400" w:lineRule="exact"/>
        <w:ind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33F1378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我方承诺，若我方成交，保证在获取成交通知书前按本项目磋商文件的规定及标准向贵单位一次性足额支付代理服务费。代理服务费发票我方选择开具：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w:t>
      </w:r>
    </w:p>
    <w:p w14:paraId="47ED16A8">
      <w:pPr>
        <w:pStyle w:val="26"/>
        <w:spacing w:line="400" w:lineRule="exact"/>
        <w:rPr>
          <w:rFonts w:hAnsi="宋体" w:cs="宋体"/>
          <w:color w:val="auto"/>
          <w:sz w:val="21"/>
          <w:highlight w:val="none"/>
          <w:u w:val="single"/>
        </w:rPr>
      </w:pPr>
      <w:r>
        <w:rPr>
          <w:rFonts w:hint="eastAsia" w:hAnsi="宋体" w:cs="宋体"/>
          <w:color w:val="auto"/>
          <w:sz w:val="21"/>
          <w:highlight w:val="none"/>
        </w:rPr>
        <w:t xml:space="preserve">6. 与本磋商有关的一切正式往来信函请寄：                       </w:t>
      </w:r>
    </w:p>
    <w:p w14:paraId="6D8AFD3A">
      <w:pPr>
        <w:pStyle w:val="26"/>
        <w:spacing w:line="400" w:lineRule="exact"/>
        <w:ind w:left="120" w:leftChars="50" w:firstLine="420" w:firstLineChars="200"/>
        <w:rPr>
          <w:rFonts w:hAnsi="宋体" w:cs="宋体"/>
          <w:color w:val="auto"/>
          <w:sz w:val="21"/>
          <w:highlight w:val="none"/>
          <w:u w:val="single"/>
        </w:rPr>
      </w:pPr>
      <w:r>
        <w:rPr>
          <w:rFonts w:hint="eastAsia" w:hAnsi="宋体" w:cs="宋体"/>
          <w:color w:val="auto"/>
          <w:sz w:val="21"/>
          <w:highlight w:val="none"/>
        </w:rPr>
        <w:t>地址：</w:t>
      </w:r>
      <w:r>
        <w:rPr>
          <w:rFonts w:hint="eastAsia" w:hAnsi="宋体" w:cs="宋体"/>
          <w:color w:val="auto"/>
          <w:sz w:val="21"/>
          <w:highlight w:val="none"/>
          <w:u w:val="single"/>
        </w:rPr>
        <w:t xml:space="preserve">                                   </w:t>
      </w:r>
    </w:p>
    <w:p w14:paraId="08217DE1">
      <w:pPr>
        <w:pStyle w:val="26"/>
        <w:spacing w:line="400" w:lineRule="exact"/>
        <w:ind w:left="840" w:hanging="420"/>
        <w:rPr>
          <w:rFonts w:hAnsi="宋体" w:cs="宋体"/>
          <w:color w:val="auto"/>
          <w:sz w:val="21"/>
          <w:highlight w:val="none"/>
        </w:rPr>
      </w:pPr>
      <w:r>
        <w:rPr>
          <w:rFonts w:hint="eastAsia" w:hAnsi="宋体" w:cs="宋体"/>
          <w:color w:val="auto"/>
          <w:sz w:val="21"/>
          <w:highlight w:val="none"/>
        </w:rPr>
        <w:t xml:space="preserve"> 邮编：</w:t>
      </w:r>
      <w:r>
        <w:rPr>
          <w:rFonts w:hint="eastAsia" w:hAnsi="宋体" w:cs="宋体"/>
          <w:color w:val="auto"/>
          <w:sz w:val="21"/>
          <w:highlight w:val="none"/>
          <w:u w:val="single"/>
        </w:rPr>
        <w:t xml:space="preserve">              </w:t>
      </w:r>
      <w:r>
        <w:rPr>
          <w:rFonts w:hint="eastAsia" w:hAnsi="宋体" w:cs="宋体"/>
          <w:color w:val="auto"/>
          <w:sz w:val="21"/>
          <w:highlight w:val="none"/>
        </w:rPr>
        <w:t xml:space="preserve">  邮箱：</w:t>
      </w:r>
      <w:r>
        <w:rPr>
          <w:rFonts w:hint="eastAsia" w:hAnsi="宋体" w:cs="宋体"/>
          <w:color w:val="auto"/>
          <w:sz w:val="21"/>
          <w:highlight w:val="none"/>
          <w:u w:val="single"/>
        </w:rPr>
        <w:t xml:space="preserve">              </w:t>
      </w:r>
    </w:p>
    <w:p w14:paraId="07E6D21F">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办公电话：</w:t>
      </w:r>
      <w:r>
        <w:rPr>
          <w:rFonts w:hint="eastAsia" w:hAnsi="宋体" w:cs="宋体"/>
          <w:color w:val="auto"/>
          <w:sz w:val="21"/>
          <w:highlight w:val="none"/>
          <w:u w:val="single"/>
        </w:rPr>
        <w:t xml:space="preserve">                </w:t>
      </w:r>
      <w:r>
        <w:rPr>
          <w:rFonts w:hint="eastAsia" w:hAnsi="宋体" w:cs="宋体"/>
          <w:color w:val="auto"/>
          <w:sz w:val="21"/>
          <w:highlight w:val="none"/>
        </w:rPr>
        <w:t xml:space="preserve">   传真：</w:t>
      </w:r>
      <w:r>
        <w:rPr>
          <w:rFonts w:hint="eastAsia" w:hAnsi="宋体" w:cs="宋体"/>
          <w:color w:val="auto"/>
          <w:sz w:val="21"/>
          <w:highlight w:val="none"/>
          <w:u w:val="single"/>
        </w:rPr>
        <w:t xml:space="preserve">              </w:t>
      </w:r>
      <w:r>
        <w:rPr>
          <w:rFonts w:hint="eastAsia" w:hAnsi="宋体" w:cs="宋体"/>
          <w:color w:val="auto"/>
          <w:sz w:val="21"/>
          <w:highlight w:val="none"/>
        </w:rPr>
        <w:t xml:space="preserve">   </w:t>
      </w:r>
    </w:p>
    <w:p w14:paraId="3D179746">
      <w:pPr>
        <w:pStyle w:val="26"/>
        <w:spacing w:line="400" w:lineRule="exact"/>
        <w:ind w:firstLine="420"/>
        <w:rPr>
          <w:rFonts w:hAnsi="宋体" w:cs="宋体"/>
          <w:color w:val="auto"/>
          <w:sz w:val="21"/>
          <w:highlight w:val="none"/>
          <w:u w:val="single"/>
        </w:rPr>
      </w:pPr>
      <w:r>
        <w:rPr>
          <w:rFonts w:hint="eastAsia" w:hAnsi="宋体" w:cs="宋体"/>
          <w:color w:val="auto"/>
          <w:sz w:val="21"/>
          <w:highlight w:val="none"/>
        </w:rPr>
        <w:t xml:space="preserve"> 委托代理人联系电话：</w:t>
      </w:r>
      <w:r>
        <w:rPr>
          <w:rFonts w:hint="eastAsia" w:hAnsi="宋体" w:cs="宋体"/>
          <w:color w:val="auto"/>
          <w:sz w:val="21"/>
          <w:highlight w:val="none"/>
          <w:u w:val="single"/>
        </w:rPr>
        <w:t xml:space="preserve">                       </w:t>
      </w:r>
    </w:p>
    <w:p w14:paraId="4D13321E">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开户名称：</w:t>
      </w:r>
      <w:r>
        <w:rPr>
          <w:rFonts w:hint="eastAsia" w:hAnsi="宋体" w:cs="宋体"/>
          <w:color w:val="auto"/>
          <w:sz w:val="21"/>
          <w:highlight w:val="none"/>
          <w:u w:val="single"/>
        </w:rPr>
        <w:t xml:space="preserve">                                         </w:t>
      </w:r>
    </w:p>
    <w:p w14:paraId="747692FE">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u w:val="single"/>
        </w:rPr>
        <w:t xml:space="preserve">                                　       </w:t>
      </w:r>
    </w:p>
    <w:p w14:paraId="03F22246">
      <w:pPr>
        <w:pStyle w:val="26"/>
        <w:spacing w:line="400" w:lineRule="exact"/>
        <w:ind w:firstLine="525" w:firstLineChars="250"/>
        <w:rPr>
          <w:rFonts w:hAnsi="宋体" w:cs="宋体"/>
          <w:color w:val="auto"/>
          <w:sz w:val="21"/>
          <w:highlight w:val="none"/>
          <w:u w:val="single"/>
        </w:rPr>
      </w:pPr>
      <w:r>
        <w:rPr>
          <w:rFonts w:hint="eastAsia" w:hAnsi="宋体" w:cs="宋体"/>
          <w:color w:val="auto"/>
          <w:sz w:val="21"/>
          <w:highlight w:val="none"/>
        </w:rPr>
        <w:t>账号：</w:t>
      </w:r>
      <w:r>
        <w:rPr>
          <w:rFonts w:hint="eastAsia" w:hAnsi="宋体" w:cs="宋体"/>
          <w:color w:val="auto"/>
          <w:sz w:val="21"/>
          <w:highlight w:val="none"/>
          <w:u w:val="single"/>
        </w:rPr>
        <w:t xml:space="preserve">                               </w:t>
      </w:r>
    </w:p>
    <w:p w14:paraId="7B197E9D">
      <w:pPr>
        <w:pStyle w:val="26"/>
        <w:spacing w:line="400" w:lineRule="exact"/>
        <w:ind w:firstLine="1995" w:firstLineChars="950"/>
        <w:rPr>
          <w:rFonts w:hAnsi="宋体" w:cs="宋体"/>
          <w:color w:val="auto"/>
          <w:sz w:val="21"/>
          <w:highlight w:val="none"/>
          <w:u w:val="single"/>
        </w:rPr>
      </w:pPr>
      <w:r>
        <w:rPr>
          <w:rFonts w:hint="eastAsia" w:hAnsi="宋体" w:cs="宋体"/>
          <w:color w:val="auto"/>
          <w:sz w:val="21"/>
          <w:highlight w:val="none"/>
        </w:rPr>
        <w:t>法定代表人或委托代理人签字（或电子签名）：</w:t>
      </w:r>
      <w:r>
        <w:rPr>
          <w:rFonts w:hint="eastAsia" w:hAnsi="宋体" w:cs="宋体"/>
          <w:color w:val="auto"/>
          <w:sz w:val="21"/>
          <w:highlight w:val="none"/>
          <w:u w:val="single"/>
        </w:rPr>
        <w:t xml:space="preserve">                       </w:t>
      </w:r>
    </w:p>
    <w:p w14:paraId="1C1B4D2A">
      <w:pPr>
        <w:pStyle w:val="26"/>
        <w:spacing w:line="400" w:lineRule="exact"/>
        <w:ind w:firstLine="4305" w:firstLineChars="2050"/>
        <w:rPr>
          <w:rFonts w:hAnsi="宋体" w:cs="宋体"/>
          <w:color w:val="auto"/>
          <w:sz w:val="21"/>
          <w:highlight w:val="none"/>
        </w:rPr>
      </w:pPr>
      <w:r>
        <w:rPr>
          <w:rFonts w:hint="eastAsia" w:hAnsi="宋体" w:cs="宋体"/>
          <w:color w:val="auto"/>
          <w:sz w:val="21"/>
          <w:highlight w:val="none"/>
        </w:rPr>
        <w:t>供应商（电子签章）：</w:t>
      </w:r>
    </w:p>
    <w:p w14:paraId="5E6C0F1C">
      <w:pPr>
        <w:pStyle w:val="26"/>
        <w:spacing w:line="440" w:lineRule="exact"/>
        <w:ind w:firstLine="5880" w:firstLineChars="2800"/>
        <w:rPr>
          <w:rFonts w:hAnsi="宋体" w:cs="宋体"/>
          <w:color w:val="auto"/>
          <w:sz w:val="21"/>
          <w:highlight w:val="none"/>
          <w:u w:val="single"/>
        </w:rPr>
      </w:pPr>
      <w:r>
        <w:rPr>
          <w:rFonts w:hint="eastAsia" w:hAnsi="宋体" w:cs="宋体"/>
          <w:color w:val="auto"/>
          <w:sz w:val="21"/>
          <w:highlight w:val="none"/>
        </w:rPr>
        <w:t>日期：</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w:t>
      </w:r>
    </w:p>
    <w:p w14:paraId="728C909E">
      <w:pPr>
        <w:pStyle w:val="26"/>
        <w:spacing w:line="440" w:lineRule="exact"/>
        <w:ind w:firstLine="840"/>
        <w:rPr>
          <w:rFonts w:hAnsi="宋体" w:cs="宋体"/>
          <w:color w:val="auto"/>
          <w:sz w:val="21"/>
          <w:highlight w:val="none"/>
        </w:rPr>
      </w:pPr>
      <w:r>
        <w:rPr>
          <w:rFonts w:hint="eastAsia" w:hAnsi="宋体" w:cs="宋体"/>
          <w:color w:val="auto"/>
          <w:sz w:val="21"/>
          <w:highlight w:val="none"/>
        </w:rPr>
        <w:t xml:space="preserve">                        </w:t>
      </w:r>
    </w:p>
    <w:p w14:paraId="1594E95F">
      <w:pPr>
        <w:tabs>
          <w:tab w:val="left" w:pos="1305"/>
          <w:tab w:val="left" w:pos="1560"/>
        </w:tabs>
        <w:spacing w:line="360" w:lineRule="exact"/>
        <w:ind w:firstLine="527" w:firstLineChars="250"/>
        <w:rPr>
          <w:rFonts w:ascii="宋体" w:hAnsi="宋体" w:cs="宋体"/>
          <w:b/>
          <w:color w:val="auto"/>
          <w:sz w:val="21"/>
          <w:szCs w:val="21"/>
          <w:highlight w:val="none"/>
        </w:rPr>
      </w:pPr>
      <w:r>
        <w:rPr>
          <w:rFonts w:hint="eastAsia" w:ascii="宋体" w:hAnsi="宋体" w:cs="宋体"/>
          <w:b/>
          <w:color w:val="auto"/>
          <w:sz w:val="21"/>
          <w:szCs w:val="21"/>
          <w:highlight w:val="none"/>
        </w:rPr>
        <w:t>注：供应商必须按本磋商书（格式）要求注明清楚联系方式（包括地址、邮编、邮箱、电话等），从而确保成交结果等相关信息能及时通知到位。</w:t>
      </w:r>
    </w:p>
    <w:p w14:paraId="0CC9B19D">
      <w:pPr>
        <w:pStyle w:val="23"/>
        <w:rPr>
          <w:rFonts w:ascii="宋体" w:hAnsi="宋体" w:cs="宋体"/>
          <w:b/>
          <w:color w:val="auto"/>
          <w:sz w:val="21"/>
          <w:szCs w:val="21"/>
          <w:highlight w:val="none"/>
        </w:rPr>
      </w:pPr>
    </w:p>
    <w:p w14:paraId="30AF8E2E">
      <w:pPr>
        <w:pStyle w:val="23"/>
        <w:rPr>
          <w:rFonts w:ascii="宋体" w:hAnsi="宋体" w:cs="宋体"/>
          <w:b/>
          <w:color w:val="auto"/>
          <w:sz w:val="21"/>
          <w:szCs w:val="21"/>
          <w:highlight w:val="none"/>
        </w:rPr>
      </w:pPr>
    </w:p>
    <w:p w14:paraId="59EE52C0">
      <w:pPr>
        <w:widowControl/>
        <w:spacing w:line="240" w:lineRule="auto"/>
        <w:ind w:firstLine="0" w:firstLineChars="0"/>
        <w:jc w:val="left"/>
        <w:rPr>
          <w:rFonts w:ascii="宋体" w:hAnsi="宋体" w:cs="宋体"/>
          <w:b/>
          <w:color w:val="auto"/>
          <w:kern w:val="0"/>
          <w:sz w:val="21"/>
          <w:szCs w:val="21"/>
          <w:highlight w:val="none"/>
        </w:rPr>
      </w:pPr>
      <w:r>
        <w:rPr>
          <w:rFonts w:ascii="宋体" w:hAnsi="宋体" w:cs="宋体"/>
          <w:b/>
          <w:color w:val="auto"/>
          <w:sz w:val="21"/>
          <w:szCs w:val="21"/>
          <w:highlight w:val="none"/>
        </w:rPr>
        <w:br w:type="page"/>
      </w:r>
    </w:p>
    <w:p w14:paraId="46F2857D">
      <w:pPr>
        <w:spacing w:line="380" w:lineRule="exact"/>
        <w:ind w:firstLine="0" w:firstLineChars="0"/>
        <w:rPr>
          <w:rFonts w:ascii="宋体" w:hAnsi="宋体" w:cs="宋体"/>
          <w:color w:val="auto"/>
          <w:sz w:val="28"/>
          <w:szCs w:val="28"/>
          <w:highlight w:val="none"/>
        </w:rPr>
      </w:pPr>
      <w:r>
        <w:rPr>
          <w:rFonts w:hint="eastAsia" w:ascii="宋体" w:hAnsi="宋体" w:cs="宋体"/>
          <w:b/>
          <w:color w:val="auto"/>
          <w:sz w:val="28"/>
          <w:szCs w:val="28"/>
          <w:highlight w:val="none"/>
        </w:rPr>
        <w:t>（2）供应商的“参加本项目无围标串标行为的承诺函”（必须提供）</w:t>
      </w:r>
    </w:p>
    <w:p w14:paraId="60F7DFF4">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205781CA">
      <w:pPr>
        <w:spacing w:line="380" w:lineRule="exact"/>
        <w:ind w:firstLine="1124" w:firstLineChars="400"/>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供应商参加本项目无围标串标行为的承诺函（格式）</w:t>
      </w:r>
    </w:p>
    <w:p w14:paraId="581AD64F">
      <w:pPr>
        <w:snapToGrid w:val="0"/>
        <w:spacing w:before="50" w:after="120" w:afterLines="50"/>
        <w:ind w:firstLine="562"/>
        <w:jc w:val="center"/>
        <w:rPr>
          <w:rFonts w:ascii="宋体" w:hAnsi="宋体" w:cs="宋体"/>
          <w:b/>
          <w:color w:val="auto"/>
          <w:sz w:val="28"/>
          <w:szCs w:val="28"/>
          <w:highlight w:val="none"/>
        </w:rPr>
      </w:pPr>
    </w:p>
    <w:p w14:paraId="189C69D2">
      <w:pPr>
        <w:snapToGrid w:val="0"/>
        <w:spacing w:before="120" w:beforeLines="50" w:after="50" w:line="36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一、我公司承诺无下列相互串通磋商的情形：</w:t>
      </w:r>
    </w:p>
    <w:p w14:paraId="43945DF4">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1.不同供应商的响应文件由同一单位或者个人编制；或不同供应商报名的IP地址一致；</w:t>
      </w:r>
    </w:p>
    <w:p w14:paraId="2DE52A1D">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2.不同供应商委托同一单位或者个人办理竞标事宜；</w:t>
      </w:r>
    </w:p>
    <w:p w14:paraId="4B8D7785">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3.不同的供应商的响应文件载明的项目管理员为同一个人；</w:t>
      </w:r>
    </w:p>
    <w:p w14:paraId="0D2F131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4.不同供应商的响应文件异常一致或报价呈规律性差异；</w:t>
      </w:r>
    </w:p>
    <w:p w14:paraId="61FD2BA8">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5.不同供应商的响应文件相互混装；</w:t>
      </w:r>
    </w:p>
    <w:p w14:paraId="4880A9F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6.不同供应商的磋商保证金从同一单位或者个人账户转出。</w:t>
      </w:r>
    </w:p>
    <w:p w14:paraId="0B064693">
      <w:pPr>
        <w:snapToGrid w:val="0"/>
        <w:spacing w:before="120" w:beforeLines="50" w:after="50" w:line="360" w:lineRule="exact"/>
        <w:ind w:firstLine="422"/>
        <w:jc w:val="left"/>
        <w:rPr>
          <w:rFonts w:ascii="宋体" w:hAnsi="宋体" w:cs="宋体"/>
          <w:color w:val="auto"/>
          <w:sz w:val="21"/>
          <w:szCs w:val="21"/>
          <w:highlight w:val="none"/>
        </w:rPr>
      </w:pPr>
      <w:r>
        <w:rPr>
          <w:rFonts w:hint="eastAsia" w:ascii="宋体" w:hAnsi="宋体" w:cs="宋体"/>
          <w:b/>
          <w:color w:val="auto"/>
          <w:sz w:val="21"/>
          <w:szCs w:val="21"/>
          <w:highlight w:val="none"/>
        </w:rPr>
        <w:t>二、我公司承诺无下列恶意串通的情形：</w:t>
      </w:r>
    </w:p>
    <w:p w14:paraId="0ACE2BF4">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1.供应商直接或者间接从采购人或者采购代理机构处获得其他供应商的相关信息并修改其响应文件：</w:t>
      </w:r>
    </w:p>
    <w:p w14:paraId="2278EC1C">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2.供应商按照采购人或者采购代理机构的授意撤换、修改响应文件；</w:t>
      </w:r>
    </w:p>
    <w:p w14:paraId="1406B80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3.供应商之间协商报价、技术方案等响应文件的实质性内容；</w:t>
      </w:r>
    </w:p>
    <w:p w14:paraId="60CFA84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4.属于同一集团、协会、商会等组织成员的供应商按照该组织要求协同参加采购活动；</w:t>
      </w:r>
    </w:p>
    <w:p w14:paraId="1978B385">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5.供应商之间事先约定一致抬高或者压低报价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或者在采购项目中事先约定轮流以高价位或者低价位成交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或者事先约定由某一特定供应商成交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然后再参加磋商；</w:t>
      </w:r>
    </w:p>
    <w:p w14:paraId="468BC078">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6.供应商之间商定部分供应商放弃参加采购活动或者放弃成交；</w:t>
      </w:r>
    </w:p>
    <w:p w14:paraId="7A639C8C">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7.供应商与采购人或者采购代理机构之间、供应商相互之间，为谋求特定供应商成交或者排斥其他供应商的其他串通行为。</w:t>
      </w:r>
    </w:p>
    <w:p w14:paraId="5A79A8B5">
      <w:pPr>
        <w:snapToGrid w:val="0"/>
        <w:spacing w:before="120" w:beforeLines="50" w:after="50"/>
        <w:ind w:firstLine="413" w:firstLineChars="196"/>
        <w:jc w:val="left"/>
        <w:rPr>
          <w:rFonts w:ascii="宋体" w:hAnsi="宋体" w:cs="宋体"/>
          <w:b/>
          <w:color w:val="auto"/>
          <w:sz w:val="21"/>
          <w:szCs w:val="21"/>
          <w:highlight w:val="none"/>
        </w:rPr>
      </w:pPr>
      <w:r>
        <w:rPr>
          <w:rFonts w:hint="eastAsia" w:ascii="宋体" w:hAnsi="宋体" w:cs="宋体"/>
          <w:b/>
          <w:color w:val="auto"/>
          <w:sz w:val="21"/>
          <w:szCs w:val="21"/>
          <w:highlight w:val="none"/>
        </w:rPr>
        <w:t>以上情形一经核查属实，我方愿意承担一切后果，并不再寻求任何旨在减轻或免除法律责任的辩解。</w:t>
      </w:r>
    </w:p>
    <w:p w14:paraId="084A1FB8">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1EAF81E7">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4E174D43">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6EFBF514">
      <w:pPr>
        <w:spacing w:line="380" w:lineRule="exact"/>
        <w:ind w:firstLine="0" w:firstLineChars="0"/>
        <w:rPr>
          <w:rFonts w:ascii="宋体" w:hAnsi="宋体" w:cs="宋体"/>
          <w:b/>
          <w:color w:val="auto"/>
          <w:sz w:val="28"/>
          <w:szCs w:val="28"/>
          <w:highlight w:val="none"/>
        </w:rPr>
      </w:pPr>
    </w:p>
    <w:p w14:paraId="52F5F621">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40F01F30">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（3）供应商的法人或者其他组织营业执照等证明文件（必须提供）</w:t>
      </w:r>
    </w:p>
    <w:p w14:paraId="56E94E0D">
      <w:pPr>
        <w:tabs>
          <w:tab w:val="left" w:pos="1305"/>
        </w:tabs>
        <w:spacing w:line="38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③如供应商为企业法人的分支机构的，除应提供营业执照外，还应提供其所属的总公司授权其参加政府采购活动的授权文件或授权其独立开展经营业务活动的证明材料。</w:t>
      </w:r>
    </w:p>
    <w:p w14:paraId="4F642BDA">
      <w:pPr>
        <w:spacing w:line="240" w:lineRule="auto"/>
        <w:ind w:firstLine="0" w:firstLineChars="0"/>
        <w:jc w:val="center"/>
        <w:rPr>
          <w:rFonts w:ascii="宋体" w:hAnsi="宋体" w:cs="宋体"/>
          <w:b/>
          <w:color w:val="auto"/>
          <w:sz w:val="28"/>
          <w:szCs w:val="28"/>
          <w:highlight w:val="none"/>
        </w:rPr>
      </w:pPr>
    </w:p>
    <w:p w14:paraId="50F32FF2">
      <w:pPr>
        <w:spacing w:line="240" w:lineRule="auto"/>
        <w:ind w:firstLine="0" w:firstLineChars="0"/>
        <w:jc w:val="center"/>
        <w:rPr>
          <w:rFonts w:ascii="宋体" w:hAnsi="宋体" w:cs="宋体"/>
          <w:b/>
          <w:color w:val="auto"/>
          <w:sz w:val="28"/>
          <w:szCs w:val="28"/>
          <w:highlight w:val="none"/>
        </w:rPr>
      </w:pPr>
      <w:r>
        <w:rPr>
          <w:rFonts w:ascii="宋体" w:hAnsi="宋体" w:cs="宋体"/>
          <w:b/>
          <w:color w:val="auto"/>
          <w:sz w:val="28"/>
          <w:szCs w:val="28"/>
          <w:highlight w:val="none"/>
        </w:rPr>
        <w:t>总公司法人授权书</w:t>
      </w:r>
      <w:r>
        <w:rPr>
          <w:rFonts w:hint="eastAsia" w:ascii="宋体" w:hAnsi="宋体" w:cs="宋体"/>
          <w:b/>
          <w:color w:val="auto"/>
          <w:sz w:val="28"/>
          <w:szCs w:val="28"/>
          <w:highlight w:val="none"/>
        </w:rPr>
        <w:t>（分公司参与磋商时必须提供）</w:t>
      </w:r>
    </w:p>
    <w:p w14:paraId="1C834A62">
      <w:pPr>
        <w:spacing w:line="240" w:lineRule="auto"/>
        <w:ind w:firstLine="803" w:firstLineChars="250"/>
        <w:jc w:val="center"/>
        <w:rPr>
          <w:rFonts w:ascii="宋体" w:hAnsi="Courier New"/>
          <w:b/>
          <w:color w:val="auto"/>
          <w:sz w:val="32"/>
          <w:szCs w:val="20"/>
          <w:highlight w:val="none"/>
        </w:rPr>
      </w:pPr>
      <w:r>
        <w:rPr>
          <w:rFonts w:hint="eastAsia" w:ascii="宋体" w:hAnsi="Courier New"/>
          <w:b/>
          <w:color w:val="auto"/>
          <w:sz w:val="32"/>
          <w:szCs w:val="20"/>
          <w:highlight w:val="none"/>
        </w:rPr>
        <w:t>授权书（格式）</w:t>
      </w:r>
    </w:p>
    <w:p w14:paraId="73C9418E">
      <w:pPr>
        <w:spacing w:line="400" w:lineRule="exact"/>
        <w:ind w:firstLine="0" w:firstLineChars="0"/>
        <w:rPr>
          <w:rFonts w:ascii="宋体" w:hAnsi="Courier New"/>
          <w:b/>
          <w:color w:val="auto"/>
          <w:sz w:val="32"/>
          <w:szCs w:val="32"/>
          <w:highlight w:val="none"/>
        </w:rPr>
      </w:pPr>
    </w:p>
    <w:p w14:paraId="0AE4C805">
      <w:pPr>
        <w:spacing w:line="400" w:lineRule="exact"/>
        <w:ind w:firstLine="0" w:firstLineChars="0"/>
        <w:rPr>
          <w:color w:val="auto"/>
          <w:sz w:val="21"/>
          <w:szCs w:val="24"/>
          <w:highlight w:val="none"/>
        </w:rPr>
      </w:pPr>
      <w:r>
        <w:rPr>
          <w:rFonts w:hint="eastAsia" w:ascii="宋体" w:hAnsi="宋体"/>
          <w:color w:val="auto"/>
          <w:sz w:val="21"/>
          <w:szCs w:val="21"/>
          <w:highlight w:val="none"/>
        </w:rPr>
        <w:t>致：</w:t>
      </w:r>
      <w:r>
        <w:rPr>
          <w:rFonts w:hint="eastAsia"/>
          <w:color w:val="auto"/>
          <w:sz w:val="21"/>
          <w:szCs w:val="24"/>
          <w:highlight w:val="none"/>
          <w:u w:val="single"/>
        </w:rPr>
        <w:t>云之龙咨询集团有限公司</w:t>
      </w:r>
    </w:p>
    <w:p w14:paraId="05DA1CCB">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我公司授权</w:t>
      </w:r>
      <w:r>
        <w:rPr>
          <w:rFonts w:hint="eastAsia" w:ascii="宋体" w:hAnsi="Courier New"/>
          <w:color w:val="auto"/>
          <w:sz w:val="21"/>
          <w:szCs w:val="21"/>
          <w:highlight w:val="none"/>
          <w:u w:val="single"/>
        </w:rPr>
        <w:t xml:space="preserve">    （供应商名称，即分公司名称）    </w:t>
      </w:r>
      <w:r>
        <w:rPr>
          <w:rFonts w:hint="eastAsia" w:ascii="宋体" w:hAnsi="Courier New"/>
          <w:color w:val="auto"/>
          <w:sz w:val="21"/>
          <w:szCs w:val="21"/>
          <w:highlight w:val="none"/>
        </w:rPr>
        <w:t>参加</w:t>
      </w:r>
      <w:r>
        <w:rPr>
          <w:rFonts w:hint="eastAsia" w:ascii="宋体" w:hAnsi="Courier New"/>
          <w:color w:val="auto"/>
          <w:sz w:val="21"/>
          <w:szCs w:val="21"/>
          <w:highlight w:val="none"/>
          <w:u w:val="single"/>
        </w:rPr>
        <w:t xml:space="preserve">       项目名称（项目编号：     ）</w:t>
      </w:r>
      <w:r>
        <w:rPr>
          <w:rFonts w:hint="eastAsia" w:ascii="宋体" w:hAnsi="Courier New"/>
          <w:color w:val="auto"/>
          <w:sz w:val="21"/>
          <w:szCs w:val="21"/>
          <w:highlight w:val="none"/>
        </w:rPr>
        <w:t>的磋商活动，其权限如下</w:t>
      </w:r>
      <w:r>
        <w:rPr>
          <w:rFonts w:hint="eastAsia" w:ascii="宋体" w:hAnsi="Courier New"/>
          <w:color w:val="auto"/>
          <w:sz w:val="21"/>
          <w:szCs w:val="21"/>
          <w:highlight w:val="none"/>
          <w:lang w:eastAsia="zh-CN"/>
        </w:rPr>
        <w:t>：</w:t>
      </w:r>
    </w:p>
    <w:p w14:paraId="1B8F5B55">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一、提交保证金，接收退回的保证金（如有）。</w:t>
      </w:r>
    </w:p>
    <w:p w14:paraId="65AF9F92">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二、提交响应文件（含补充、修改文件</w:t>
      </w:r>
      <w:r>
        <w:rPr>
          <w:rFonts w:hint="eastAsia" w:ascii="宋体" w:hAnsi="Courier New"/>
          <w:color w:val="auto"/>
          <w:sz w:val="21"/>
          <w:szCs w:val="21"/>
          <w:highlight w:val="none"/>
          <w:lang w:eastAsia="zh-CN"/>
        </w:rPr>
        <w:t>）</w:t>
      </w:r>
      <w:r>
        <w:rPr>
          <w:rFonts w:hint="eastAsia" w:ascii="宋体" w:hAnsi="Courier New"/>
          <w:color w:val="auto"/>
          <w:sz w:val="21"/>
          <w:szCs w:val="21"/>
          <w:highlight w:val="none"/>
        </w:rPr>
        <w:t>，或者撤回已提交的响应文件（含补充、修改文件</w:t>
      </w:r>
      <w:r>
        <w:rPr>
          <w:rFonts w:hint="eastAsia" w:ascii="宋体" w:hAnsi="Courier New"/>
          <w:color w:val="auto"/>
          <w:sz w:val="21"/>
          <w:szCs w:val="21"/>
          <w:highlight w:val="none"/>
          <w:lang w:eastAsia="zh-CN"/>
        </w:rPr>
        <w:t>）</w:t>
      </w:r>
      <w:r>
        <w:rPr>
          <w:rFonts w:hint="eastAsia" w:ascii="宋体" w:hAnsi="Courier New"/>
          <w:color w:val="auto"/>
          <w:sz w:val="21"/>
          <w:szCs w:val="21"/>
          <w:highlight w:val="none"/>
        </w:rPr>
        <w:t>，或者接收退回的响应文件。</w:t>
      </w:r>
    </w:p>
    <w:p w14:paraId="1D89A01F">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三、依法参加磋商等活动，答复磋商小组提出的澄清等。</w:t>
      </w:r>
    </w:p>
    <w:p w14:paraId="43D0974F">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四、提出事先由委托人确认的异议、投诉，并接收异议、投诉答复。</w:t>
      </w:r>
    </w:p>
    <w:p w14:paraId="34498791">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五、接收采购人或采购代理机构发出的有关本项目相关的公告、文书等。</w:t>
      </w:r>
    </w:p>
    <w:p w14:paraId="03E2A5AA">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lang w:eastAsia="zh-CN"/>
        </w:rPr>
        <w:t>六</w:t>
      </w:r>
      <w:r>
        <w:rPr>
          <w:rFonts w:hint="eastAsia" w:ascii="宋体" w:hAnsi="Courier New"/>
          <w:color w:val="auto"/>
          <w:sz w:val="21"/>
          <w:szCs w:val="21"/>
          <w:highlight w:val="none"/>
        </w:rPr>
        <w:t>、交纳代理服务费，办理成交手续，参加采购合同磋商和签约。</w:t>
      </w:r>
    </w:p>
    <w:p w14:paraId="28FA1206">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lang w:eastAsia="zh-CN"/>
        </w:rPr>
        <w:t>七</w:t>
      </w:r>
      <w:r>
        <w:rPr>
          <w:rFonts w:hint="eastAsia" w:ascii="宋体" w:hAnsi="Courier New"/>
          <w:color w:val="auto"/>
          <w:sz w:val="21"/>
          <w:szCs w:val="21"/>
          <w:highlight w:val="none"/>
        </w:rPr>
        <w:t>、进行合同履约、参加验收、提供服务等。</w:t>
      </w:r>
    </w:p>
    <w:p w14:paraId="1C922A8D">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被授权单位无转委托权。</w:t>
      </w:r>
    </w:p>
    <w:p w14:paraId="2E7729CE">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本授权书自签发之日起生效，有效期180天。如被授权方成交，则本授权书的有效期自签发之日起生效至项目合同履行完毕结束。</w:t>
      </w:r>
      <w:r>
        <w:rPr>
          <w:rFonts w:ascii="宋体" w:hAnsi="Courier New"/>
          <w:color w:val="auto"/>
          <w:sz w:val="21"/>
          <w:szCs w:val="20"/>
          <w:highlight w:val="none"/>
        </w:rPr>
        <w:t>项目执行过程中所发生的一切后果，由我公司承担相应的法律责任。</w:t>
      </w:r>
    </w:p>
    <w:p w14:paraId="2C8BA1B9">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特此授权。</w:t>
      </w:r>
    </w:p>
    <w:p w14:paraId="03C8008A">
      <w:pPr>
        <w:spacing w:line="400" w:lineRule="exact"/>
        <w:ind w:firstLine="420"/>
        <w:rPr>
          <w:rFonts w:ascii="宋体" w:hAnsi="Courier New"/>
          <w:color w:val="auto"/>
          <w:sz w:val="21"/>
          <w:szCs w:val="20"/>
          <w:highlight w:val="none"/>
        </w:rPr>
      </w:pPr>
    </w:p>
    <w:p w14:paraId="2AC968CE">
      <w:pPr>
        <w:widowControl/>
        <w:snapToGrid w:val="0"/>
        <w:spacing w:line="360" w:lineRule="exact"/>
        <w:ind w:firstLine="3780" w:firstLineChars="1800"/>
        <w:textAlignment w:val="baseline"/>
        <w:rPr>
          <w:rFonts w:ascii="宋体" w:hAnsi="Courier New"/>
          <w:color w:val="auto"/>
          <w:kern w:val="0"/>
          <w:sz w:val="20"/>
          <w:szCs w:val="20"/>
          <w:highlight w:val="none"/>
        </w:rPr>
      </w:pPr>
      <w:r>
        <w:rPr>
          <w:rFonts w:hint="eastAsia" w:ascii="宋体" w:hAnsi="Courier New"/>
          <w:color w:val="auto"/>
          <w:kern w:val="0"/>
          <w:sz w:val="21"/>
          <w:szCs w:val="20"/>
          <w:highlight w:val="none"/>
        </w:rPr>
        <w:t>授权人</w:t>
      </w:r>
      <w:r>
        <w:rPr>
          <w:rFonts w:ascii="宋体" w:hAnsi="宋体"/>
          <w:color w:val="auto"/>
          <w:kern w:val="0"/>
          <w:sz w:val="20"/>
          <w:highlight w:val="none"/>
        </w:rPr>
        <w:t>（公章）：</w:t>
      </w:r>
      <w:r>
        <w:rPr>
          <w:rFonts w:hint="eastAsia" w:ascii="宋体" w:hAnsi="Courier New"/>
          <w:color w:val="auto"/>
          <w:kern w:val="0"/>
          <w:sz w:val="20"/>
          <w:szCs w:val="20"/>
          <w:highlight w:val="none"/>
        </w:rPr>
        <w:t>____________</w:t>
      </w:r>
    </w:p>
    <w:p w14:paraId="0BC662EF">
      <w:pPr>
        <w:widowControl/>
        <w:snapToGrid w:val="0"/>
        <w:spacing w:line="360" w:lineRule="exact"/>
        <w:ind w:firstLine="420" w:firstLineChars="0"/>
        <w:textAlignment w:val="baseline"/>
        <w:rPr>
          <w:rFonts w:ascii="宋体" w:hAnsi="Courier New"/>
          <w:color w:val="auto"/>
          <w:kern w:val="0"/>
          <w:sz w:val="20"/>
          <w:szCs w:val="20"/>
          <w:highlight w:val="none"/>
        </w:rPr>
      </w:pPr>
    </w:p>
    <w:p w14:paraId="54CE11DC">
      <w:pPr>
        <w:widowControl/>
        <w:snapToGrid w:val="0"/>
        <w:spacing w:line="360" w:lineRule="exact"/>
        <w:ind w:firstLine="420" w:firstLineChars="0"/>
        <w:textAlignment w:val="baseline"/>
        <w:rPr>
          <w:rFonts w:ascii="宋体" w:hAnsi="Courier New"/>
          <w:color w:val="auto"/>
          <w:kern w:val="0"/>
          <w:sz w:val="20"/>
          <w:szCs w:val="20"/>
          <w:highlight w:val="none"/>
        </w:rPr>
      </w:pPr>
      <w:r>
        <w:rPr>
          <w:rFonts w:hint="eastAsia" w:ascii="宋体" w:hAnsi="Courier New"/>
          <w:color w:val="auto"/>
          <w:kern w:val="0"/>
          <w:sz w:val="20"/>
          <w:szCs w:val="20"/>
          <w:highlight w:val="none"/>
        </w:rPr>
        <w:t xml:space="preserve">                                              日期：______年____月____日</w:t>
      </w:r>
    </w:p>
    <w:p w14:paraId="0090171E">
      <w:pPr>
        <w:pStyle w:val="23"/>
        <w:rPr>
          <w:color w:val="auto"/>
          <w:highlight w:val="none"/>
        </w:rPr>
      </w:pPr>
    </w:p>
    <w:p w14:paraId="32D3867B">
      <w:pPr>
        <w:pStyle w:val="23"/>
        <w:rPr>
          <w:color w:val="auto"/>
          <w:highlight w:val="none"/>
        </w:rPr>
      </w:pPr>
    </w:p>
    <w:p w14:paraId="77DAF971">
      <w:pPr>
        <w:pStyle w:val="23"/>
        <w:rPr>
          <w:color w:val="auto"/>
          <w:highlight w:val="none"/>
        </w:rPr>
      </w:pPr>
    </w:p>
    <w:p w14:paraId="26A06AD0">
      <w:pPr>
        <w:pStyle w:val="23"/>
        <w:rPr>
          <w:color w:val="auto"/>
          <w:highlight w:val="none"/>
        </w:rPr>
      </w:pPr>
    </w:p>
    <w:p w14:paraId="77EB89EC">
      <w:pPr>
        <w:pStyle w:val="23"/>
        <w:rPr>
          <w:color w:val="auto"/>
          <w:highlight w:val="none"/>
        </w:rPr>
      </w:pPr>
    </w:p>
    <w:p w14:paraId="732E6814">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ascii="宋体" w:hAnsi="宋体" w:cs="宋体"/>
          <w:b/>
          <w:color w:val="auto"/>
          <w:sz w:val="28"/>
          <w:szCs w:val="28"/>
          <w:highlight w:val="none"/>
        </w:rPr>
        <w:t>4</w:t>
      </w:r>
      <w:r>
        <w:rPr>
          <w:rFonts w:hint="eastAsia" w:ascii="宋体" w:hAnsi="宋体" w:cs="宋体"/>
          <w:b/>
          <w:color w:val="auto"/>
          <w:sz w:val="28"/>
          <w:szCs w:val="28"/>
          <w:highlight w:val="none"/>
        </w:rPr>
        <w:t>）供应商2024年度或2025年度的财务状况报告（如供应商为参加本项目当年新成立公司的，可提供公司成立之日后的财务报表）或2026年以来银行出具的资信证明或2026年以来中国人民银行征信中心出具的征信报告（必须提供）</w:t>
      </w:r>
    </w:p>
    <w:p w14:paraId="565BC226">
      <w:pPr>
        <w:spacing w:line="380" w:lineRule="exact"/>
        <w:ind w:firstLine="0" w:firstLineChars="0"/>
        <w:rPr>
          <w:rFonts w:ascii="宋体" w:hAnsi="宋体" w:cs="宋体"/>
          <w:b/>
          <w:color w:val="auto"/>
          <w:sz w:val="28"/>
          <w:szCs w:val="28"/>
          <w:highlight w:val="none"/>
        </w:rPr>
      </w:pPr>
    </w:p>
    <w:p w14:paraId="19340173">
      <w:pPr>
        <w:pStyle w:val="23"/>
        <w:rPr>
          <w:color w:val="auto"/>
          <w:highlight w:val="none"/>
        </w:rPr>
      </w:pPr>
    </w:p>
    <w:p w14:paraId="7B2863DA">
      <w:pPr>
        <w:pStyle w:val="23"/>
        <w:rPr>
          <w:color w:val="auto"/>
          <w:highlight w:val="none"/>
        </w:rPr>
      </w:pPr>
    </w:p>
    <w:p w14:paraId="578BA28C">
      <w:pPr>
        <w:spacing w:line="380" w:lineRule="exact"/>
        <w:ind w:firstLine="0" w:firstLineChars="0"/>
        <w:rPr>
          <w:rFonts w:ascii="宋体" w:hAnsi="宋体" w:cs="宋体"/>
          <w:b/>
          <w:color w:val="auto"/>
          <w:sz w:val="28"/>
          <w:szCs w:val="28"/>
          <w:highlight w:val="none"/>
        </w:rPr>
      </w:pPr>
    </w:p>
    <w:p w14:paraId="22E7B48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ascii="宋体" w:hAnsi="宋体" w:cs="宋体"/>
          <w:b/>
          <w:color w:val="auto"/>
          <w:sz w:val="28"/>
          <w:szCs w:val="28"/>
          <w:highlight w:val="none"/>
        </w:rPr>
        <w:t>5</w:t>
      </w:r>
      <w:r>
        <w:rPr>
          <w:rFonts w:hint="eastAsia" w:ascii="宋体" w:hAnsi="宋体" w:cs="宋体"/>
          <w:b/>
          <w:color w:val="auto"/>
          <w:sz w:val="28"/>
          <w:szCs w:val="28"/>
          <w:highlight w:val="none"/>
        </w:rPr>
        <w:t>）供应商</w:t>
      </w:r>
      <w:r>
        <w:rPr>
          <w:rFonts w:ascii="宋体" w:hAnsi="宋体" w:cs="宋体"/>
          <w:b/>
          <w:color w:val="auto"/>
          <w:sz w:val="28"/>
          <w:szCs w:val="28"/>
          <w:highlight w:val="none"/>
        </w:rPr>
        <w:t>202</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年以来任意</w:t>
      </w:r>
      <w:r>
        <w:rPr>
          <w:rFonts w:ascii="宋体" w:hAnsi="宋体" w:cs="宋体"/>
          <w:b/>
          <w:color w:val="auto"/>
          <w:sz w:val="28"/>
          <w:szCs w:val="28"/>
          <w:highlight w:val="none"/>
        </w:rPr>
        <w:t>1</w:t>
      </w:r>
      <w:r>
        <w:rPr>
          <w:rFonts w:hint="eastAsia" w:ascii="宋体" w:hAnsi="宋体" w:cs="宋体"/>
          <w:b/>
          <w:color w:val="auto"/>
          <w:sz w:val="28"/>
          <w:szCs w:val="28"/>
          <w:highlight w:val="none"/>
        </w:rPr>
        <w:t>个月依法缴纳社会保障资金的相关材料（供应商无缴费记录或为新成立公司，应提供由供应商所在地社保部门或税务部门出具的《依法缴纳或依法免缴社保费证明》）（必须提供）</w:t>
      </w:r>
    </w:p>
    <w:p w14:paraId="2E06109D">
      <w:pPr>
        <w:spacing w:line="380" w:lineRule="exact"/>
        <w:ind w:firstLine="0" w:firstLineChars="0"/>
        <w:rPr>
          <w:rFonts w:ascii="宋体" w:hAnsi="宋体" w:cs="宋体"/>
          <w:b/>
          <w:color w:val="auto"/>
          <w:sz w:val="28"/>
          <w:szCs w:val="28"/>
          <w:highlight w:val="none"/>
        </w:rPr>
      </w:pPr>
    </w:p>
    <w:p w14:paraId="39B821E4">
      <w:pPr>
        <w:spacing w:line="380" w:lineRule="exact"/>
        <w:ind w:firstLine="0" w:firstLineChars="0"/>
        <w:rPr>
          <w:rFonts w:ascii="宋体" w:hAnsi="宋体" w:cs="宋体"/>
          <w:b/>
          <w:color w:val="auto"/>
          <w:sz w:val="28"/>
          <w:szCs w:val="28"/>
          <w:highlight w:val="none"/>
        </w:rPr>
      </w:pPr>
    </w:p>
    <w:p w14:paraId="67F8ECE9">
      <w:pPr>
        <w:pStyle w:val="23"/>
        <w:rPr>
          <w:color w:val="auto"/>
          <w:highlight w:val="none"/>
        </w:rPr>
      </w:pPr>
    </w:p>
    <w:p w14:paraId="53A5929E">
      <w:pPr>
        <w:pStyle w:val="23"/>
        <w:rPr>
          <w:color w:val="auto"/>
          <w:highlight w:val="none"/>
        </w:rPr>
      </w:pPr>
    </w:p>
    <w:p w14:paraId="11F6876D">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（6）供应商</w:t>
      </w:r>
      <w:r>
        <w:rPr>
          <w:rFonts w:ascii="宋体" w:hAnsi="宋体" w:cs="宋体"/>
          <w:b/>
          <w:color w:val="auto"/>
          <w:sz w:val="28"/>
          <w:szCs w:val="28"/>
          <w:highlight w:val="none"/>
        </w:rPr>
        <w:t>202</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年以来任意</w:t>
      </w:r>
      <w:r>
        <w:rPr>
          <w:rFonts w:ascii="宋体" w:hAnsi="宋体" w:cs="宋体"/>
          <w:b/>
          <w:color w:val="auto"/>
          <w:sz w:val="28"/>
          <w:szCs w:val="28"/>
          <w:highlight w:val="none"/>
        </w:rPr>
        <w:t>1</w:t>
      </w:r>
      <w:r>
        <w:rPr>
          <w:rFonts w:hint="eastAsia" w:ascii="宋体" w:hAnsi="宋体" w:cs="宋体"/>
          <w:b/>
          <w:color w:val="auto"/>
          <w:sz w:val="28"/>
          <w:szCs w:val="28"/>
          <w:highlight w:val="none"/>
        </w:rPr>
        <w:t>个月依法缴纳税收的相关材料（供应商无纳税记录或为新成立公司，应提供由供应商所在地主管税务部门出具的《依法纳税或依法免税证明》）（必须提供）</w:t>
      </w:r>
    </w:p>
    <w:p w14:paraId="39B613C6">
      <w:pPr>
        <w:spacing w:line="380" w:lineRule="exact"/>
        <w:ind w:firstLine="0" w:firstLineChars="0"/>
        <w:rPr>
          <w:rFonts w:ascii="宋体" w:hAnsi="宋体" w:cs="宋体"/>
          <w:b/>
          <w:color w:val="auto"/>
          <w:sz w:val="28"/>
          <w:szCs w:val="28"/>
          <w:highlight w:val="none"/>
        </w:rPr>
      </w:pPr>
    </w:p>
    <w:p w14:paraId="19216F18">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32AFAF3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（7）供应商的直接控股、管理关系信息表（必须提供）</w:t>
      </w:r>
    </w:p>
    <w:p w14:paraId="18E2372A">
      <w:pPr>
        <w:spacing w:line="320" w:lineRule="exact"/>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396AF9BC">
      <w:pPr>
        <w:spacing w:line="300" w:lineRule="exact"/>
        <w:ind w:firstLine="562"/>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供应商直接控股、管理关系信息表（格式）</w:t>
      </w:r>
    </w:p>
    <w:p w14:paraId="57FB72F8">
      <w:pPr>
        <w:spacing w:line="300" w:lineRule="exact"/>
        <w:ind w:firstLine="562"/>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供应商直接控股股东信息表</w:t>
      </w:r>
    </w:p>
    <w:tbl>
      <w:tblPr>
        <w:tblStyle w:val="48"/>
        <w:tblW w:w="9617" w:type="dxa"/>
        <w:tblInd w:w="0" w:type="dxa"/>
        <w:shd w:val="clear" w:color="auto" w:fill="FBFBFB"/>
        <w:tblLayout w:type="fixed"/>
        <w:tblCellMar>
          <w:top w:w="0" w:type="dxa"/>
          <w:left w:w="0" w:type="dxa"/>
          <w:bottom w:w="0" w:type="dxa"/>
          <w:right w:w="0" w:type="dxa"/>
        </w:tblCellMar>
      </w:tblPr>
      <w:tblGrid>
        <w:gridCol w:w="839"/>
        <w:gridCol w:w="2303"/>
        <w:gridCol w:w="1257"/>
        <w:gridCol w:w="3780"/>
        <w:gridCol w:w="1438"/>
      </w:tblGrid>
      <w:tr w14:paraId="0CC7ADD5">
        <w:tblPrEx>
          <w:shd w:val="clear" w:color="auto" w:fill="FBFBFB"/>
          <w:tblCellMar>
            <w:top w:w="0" w:type="dxa"/>
            <w:left w:w="0" w:type="dxa"/>
            <w:bottom w:w="0" w:type="dxa"/>
            <w:right w:w="0" w:type="dxa"/>
          </w:tblCellMar>
        </w:tblPrEx>
        <w:trPr>
          <w:trHeight w:val="564" w:hRule="atLeast"/>
          <w:tblHeader/>
        </w:trPr>
        <w:tc>
          <w:tcPr>
            <w:tcW w:w="83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64766D7B">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2303"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E52FC46">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直接控股股东名称</w:t>
            </w:r>
          </w:p>
        </w:tc>
        <w:tc>
          <w:tcPr>
            <w:tcW w:w="125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A4D52F">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出资比例</w:t>
            </w:r>
          </w:p>
        </w:tc>
        <w:tc>
          <w:tcPr>
            <w:tcW w:w="3780"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E93380E">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身份证号码或统一社会信用代码</w:t>
            </w:r>
          </w:p>
        </w:tc>
        <w:tc>
          <w:tcPr>
            <w:tcW w:w="143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DA2B9B">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备注</w:t>
            </w:r>
          </w:p>
        </w:tc>
      </w:tr>
      <w:tr w14:paraId="64DF1BFD">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6473A8">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FB5E57A">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0312CF3">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9961F86">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F4428D4">
            <w:pPr>
              <w:widowControl/>
              <w:spacing w:line="340" w:lineRule="exact"/>
              <w:ind w:firstLine="480"/>
              <w:jc w:val="center"/>
              <w:rPr>
                <w:rFonts w:ascii="宋体" w:hAnsi="宋体" w:cs="宋体"/>
                <w:color w:val="auto"/>
                <w:kern w:val="0"/>
                <w:highlight w:val="none"/>
              </w:rPr>
            </w:pPr>
          </w:p>
        </w:tc>
      </w:tr>
      <w:tr w14:paraId="5235ED3C">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E41A3FB">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3CC3AE">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12BA87B">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2EB27FC">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269DC52">
            <w:pPr>
              <w:widowControl/>
              <w:spacing w:line="340" w:lineRule="exact"/>
              <w:ind w:firstLine="480"/>
              <w:jc w:val="center"/>
              <w:rPr>
                <w:rFonts w:ascii="宋体" w:hAnsi="宋体" w:cs="宋体"/>
                <w:color w:val="auto"/>
                <w:kern w:val="0"/>
                <w:highlight w:val="none"/>
              </w:rPr>
            </w:pPr>
          </w:p>
        </w:tc>
      </w:tr>
      <w:tr w14:paraId="62D6788D">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DB0084">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1AFD378">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15084D3">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047182">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A8386C8">
            <w:pPr>
              <w:widowControl/>
              <w:spacing w:line="340" w:lineRule="exact"/>
              <w:ind w:firstLine="480"/>
              <w:jc w:val="center"/>
              <w:rPr>
                <w:rFonts w:ascii="宋体" w:hAnsi="宋体" w:cs="宋体"/>
                <w:color w:val="auto"/>
                <w:kern w:val="0"/>
                <w:highlight w:val="none"/>
              </w:rPr>
            </w:pPr>
          </w:p>
        </w:tc>
      </w:tr>
      <w:tr w14:paraId="771D080E">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8DBA784">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B65B2D">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7D4C096">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ED226C">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F4E3A3C">
            <w:pPr>
              <w:widowControl/>
              <w:spacing w:line="340" w:lineRule="exact"/>
              <w:ind w:firstLine="480"/>
              <w:jc w:val="center"/>
              <w:rPr>
                <w:rFonts w:ascii="宋体" w:hAnsi="宋体" w:cs="宋体"/>
                <w:color w:val="auto"/>
                <w:kern w:val="0"/>
                <w:highlight w:val="none"/>
              </w:rPr>
            </w:pPr>
          </w:p>
        </w:tc>
      </w:tr>
    </w:tbl>
    <w:p w14:paraId="2FCAEF75">
      <w:pPr>
        <w:snapToGrid w:val="0"/>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注：</w:t>
      </w:r>
    </w:p>
    <w:p w14:paraId="17512469">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的决议产生重大影响的股东。2.本表所指的控股关系仅限于直接控股关系，不包括间接的控股关系。公司实际控制人与公司之间的关系不属于本表所指的直接控股关系。</w:t>
      </w:r>
    </w:p>
    <w:p w14:paraId="1EEE9FDF">
      <w:pPr>
        <w:snapToGrid w:val="0"/>
        <w:spacing w:line="34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4377EBAE">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6A99387E">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3192227">
      <w:pPr>
        <w:spacing w:line="340" w:lineRule="exact"/>
        <w:ind w:firstLine="562"/>
        <w:jc w:val="center"/>
        <w:outlineLvl w:val="1"/>
        <w:rPr>
          <w:rFonts w:ascii="宋体" w:hAnsi="宋体" w:cs="宋体"/>
          <w:b/>
          <w:color w:val="auto"/>
          <w:sz w:val="28"/>
          <w:szCs w:val="28"/>
          <w:highlight w:val="none"/>
        </w:rPr>
      </w:pPr>
    </w:p>
    <w:p w14:paraId="463FE69E">
      <w:pPr>
        <w:spacing w:line="340" w:lineRule="exact"/>
        <w:ind w:firstLine="2249" w:firstLineChars="800"/>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供应商直接管理关系信息表</w:t>
      </w:r>
    </w:p>
    <w:tbl>
      <w:tblPr>
        <w:tblStyle w:val="48"/>
        <w:tblW w:w="9623" w:type="dxa"/>
        <w:tblInd w:w="0" w:type="dxa"/>
        <w:shd w:val="clear" w:color="auto" w:fill="FBFBFB"/>
        <w:tblLayout w:type="fixed"/>
        <w:tblCellMar>
          <w:top w:w="0" w:type="dxa"/>
          <w:left w:w="0" w:type="dxa"/>
          <w:bottom w:w="0" w:type="dxa"/>
          <w:right w:w="0" w:type="dxa"/>
        </w:tblCellMar>
      </w:tblPr>
      <w:tblGrid>
        <w:gridCol w:w="779"/>
        <w:gridCol w:w="2281"/>
        <w:gridCol w:w="2837"/>
        <w:gridCol w:w="3726"/>
      </w:tblGrid>
      <w:tr w14:paraId="7B80208A">
        <w:tblPrEx>
          <w:shd w:val="clear" w:color="auto" w:fill="FBFBFB"/>
          <w:tblCellMar>
            <w:top w:w="0" w:type="dxa"/>
            <w:left w:w="0" w:type="dxa"/>
            <w:bottom w:w="0" w:type="dxa"/>
            <w:right w:w="0" w:type="dxa"/>
          </w:tblCellMar>
        </w:tblPrEx>
        <w:trPr>
          <w:trHeight w:val="581" w:hRule="atLeast"/>
          <w:tblHeader/>
        </w:trPr>
        <w:tc>
          <w:tcPr>
            <w:tcW w:w="77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1C7F1AEF">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2281"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53390D01">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直接管理关系单位名称</w:t>
            </w:r>
          </w:p>
        </w:tc>
        <w:tc>
          <w:tcPr>
            <w:tcW w:w="283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EB4B275">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统一社会信用代码</w:t>
            </w:r>
          </w:p>
        </w:tc>
        <w:tc>
          <w:tcPr>
            <w:tcW w:w="3726"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52F1D35">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备注</w:t>
            </w:r>
          </w:p>
        </w:tc>
      </w:tr>
      <w:tr w14:paraId="1346A9E4">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6D475D">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457B717">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417D463">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13B8412">
            <w:pPr>
              <w:widowControl/>
              <w:spacing w:line="340" w:lineRule="exact"/>
              <w:ind w:firstLine="480"/>
              <w:jc w:val="center"/>
              <w:rPr>
                <w:rFonts w:ascii="宋体" w:hAnsi="宋体" w:cs="宋体"/>
                <w:color w:val="auto"/>
                <w:kern w:val="0"/>
                <w:highlight w:val="none"/>
              </w:rPr>
            </w:pPr>
          </w:p>
        </w:tc>
      </w:tr>
      <w:tr w14:paraId="12C3AC58">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8F05357">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6B9FD55">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8387FB8">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A888783">
            <w:pPr>
              <w:widowControl/>
              <w:spacing w:line="340" w:lineRule="exact"/>
              <w:ind w:firstLine="480"/>
              <w:jc w:val="center"/>
              <w:rPr>
                <w:rFonts w:ascii="宋体" w:hAnsi="宋体" w:cs="宋体"/>
                <w:color w:val="auto"/>
                <w:kern w:val="0"/>
                <w:highlight w:val="none"/>
              </w:rPr>
            </w:pPr>
          </w:p>
        </w:tc>
      </w:tr>
      <w:tr w14:paraId="2842D98B">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7B77A31">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4D79BEA">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E85526C">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BB7E117">
            <w:pPr>
              <w:widowControl/>
              <w:spacing w:line="340" w:lineRule="exact"/>
              <w:ind w:firstLine="480"/>
              <w:jc w:val="center"/>
              <w:rPr>
                <w:rFonts w:ascii="宋体" w:hAnsi="宋体" w:cs="宋体"/>
                <w:color w:val="auto"/>
                <w:kern w:val="0"/>
                <w:highlight w:val="none"/>
              </w:rPr>
            </w:pPr>
          </w:p>
        </w:tc>
      </w:tr>
      <w:tr w14:paraId="7219F7CB">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7A06717">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F9F9CAB">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94A389E">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F6ADFD6">
            <w:pPr>
              <w:widowControl/>
              <w:spacing w:line="340" w:lineRule="exact"/>
              <w:ind w:firstLine="480"/>
              <w:jc w:val="center"/>
              <w:rPr>
                <w:rFonts w:ascii="宋体" w:hAnsi="宋体" w:cs="宋体"/>
                <w:color w:val="auto"/>
                <w:kern w:val="0"/>
                <w:highlight w:val="none"/>
              </w:rPr>
            </w:pPr>
          </w:p>
        </w:tc>
      </w:tr>
    </w:tbl>
    <w:p w14:paraId="69442C0B">
      <w:pPr>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注：</w:t>
      </w:r>
    </w:p>
    <w:p w14:paraId="775A813A">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1.管理关系：是指不具有出资持股关系的其他单位之间存在的管理与被管理关系，如一些上下级关系的事业单位和团体组织。2.本表所指的管理关系仅限于直接管理关系，不包括间接的管理关系。</w:t>
      </w:r>
    </w:p>
    <w:p w14:paraId="661C891A">
      <w:pPr>
        <w:snapToGrid w:val="0"/>
        <w:spacing w:line="34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6FC48E2C">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1"/>
          <w:highlight w:val="none"/>
        </w:rPr>
        <w:t>：</w:t>
      </w:r>
    </w:p>
    <w:p w14:paraId="628F251E">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日          期：</w:t>
      </w:r>
    </w:p>
    <w:p w14:paraId="288FE8E9">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（8）供应商的法定代表人身份证明及法定代表人身份证正反面复印件（必须提供）</w:t>
      </w:r>
    </w:p>
    <w:p w14:paraId="33E6F389">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3E198DC9">
      <w:pPr>
        <w:snapToGrid w:val="0"/>
        <w:spacing w:before="120" w:beforeLines="50" w:after="50" w:line="320" w:lineRule="exac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法定代表人身份证明（格式）</w:t>
      </w:r>
    </w:p>
    <w:p w14:paraId="756128A4">
      <w:pPr>
        <w:spacing w:line="500" w:lineRule="exact"/>
        <w:ind w:left="540" w:firstLine="480"/>
        <w:rPr>
          <w:rFonts w:ascii="宋体" w:hAnsi="宋体" w:cs="宋体"/>
          <w:color w:val="auto"/>
          <w:szCs w:val="21"/>
          <w:highlight w:val="none"/>
        </w:rPr>
      </w:pPr>
    </w:p>
    <w:p w14:paraId="2B610681">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供 应 商：</w:t>
      </w:r>
      <w:r>
        <w:rPr>
          <w:rFonts w:hint="eastAsia" w:ascii="宋体" w:hAnsi="宋体" w:cs="宋体"/>
          <w:color w:val="auto"/>
          <w:szCs w:val="21"/>
          <w:highlight w:val="none"/>
          <w:u w:val="single"/>
        </w:rPr>
        <w:t xml:space="preserve">                                                        </w:t>
      </w:r>
    </w:p>
    <w:p w14:paraId="44433E22">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p>
    <w:p w14:paraId="62B36BD3">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83C76D0">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2A6D863">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14:paraId="35C82B1A">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      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5B2A55D1">
      <w:pPr>
        <w:spacing w:line="500" w:lineRule="exact"/>
        <w:ind w:firstLine="0" w:firstLineChars="0"/>
        <w:rPr>
          <w:rFonts w:ascii="宋体" w:hAnsi="宋体" w:cs="宋体"/>
          <w:color w:val="auto"/>
          <w:szCs w:val="21"/>
          <w:highlight w:val="none"/>
          <w:u w:val="single"/>
        </w:rPr>
      </w:pPr>
      <w:r>
        <w:rPr>
          <w:rFonts w:hint="eastAsia" w:ascii="宋体" w:hAnsi="宋体" w:cs="宋体"/>
          <w:color w:val="auto"/>
          <w:szCs w:val="21"/>
          <w:highlight w:val="none"/>
        </w:rPr>
        <w:t>年    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022B16CF">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4A16BB8C">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（供应商名称）的法定代表人。</w:t>
      </w:r>
    </w:p>
    <w:p w14:paraId="6525B41D">
      <w:pPr>
        <w:spacing w:line="500" w:lineRule="exact"/>
        <w:ind w:left="540" w:firstLine="480"/>
        <w:rPr>
          <w:rFonts w:ascii="宋体" w:hAnsi="宋体" w:cs="宋体"/>
          <w:color w:val="auto"/>
          <w:szCs w:val="21"/>
          <w:highlight w:val="none"/>
        </w:rPr>
      </w:pPr>
      <w:r>
        <w:rPr>
          <w:rFonts w:hint="eastAsia" w:ascii="宋体" w:hAnsi="宋体" w:cs="宋体"/>
          <w:color w:val="auto"/>
          <w:szCs w:val="21"/>
          <w:highlight w:val="none"/>
        </w:rPr>
        <w:t>特此证明。</w:t>
      </w:r>
    </w:p>
    <w:p w14:paraId="727BAD99">
      <w:pPr>
        <w:spacing w:line="500" w:lineRule="exact"/>
        <w:ind w:left="540" w:firstLine="480"/>
        <w:rPr>
          <w:rFonts w:ascii="宋体" w:hAnsi="宋体" w:cs="宋体"/>
          <w:color w:val="auto"/>
          <w:szCs w:val="21"/>
          <w:highlight w:val="none"/>
        </w:rPr>
      </w:pPr>
    </w:p>
    <w:p w14:paraId="0DBFCA76">
      <w:pPr>
        <w:spacing w:line="500" w:lineRule="exact"/>
        <w:ind w:left="540" w:firstLine="480"/>
        <w:rPr>
          <w:rFonts w:ascii="宋体" w:hAnsi="宋体" w:cs="宋体"/>
          <w:color w:val="auto"/>
          <w:szCs w:val="21"/>
          <w:highlight w:val="none"/>
        </w:rPr>
      </w:pPr>
      <w:r>
        <w:rPr>
          <w:rFonts w:hint="eastAsia" w:ascii="宋体" w:hAnsi="宋体" w:cs="宋体"/>
          <w:color w:val="auto"/>
          <w:szCs w:val="21"/>
          <w:highlight w:val="none"/>
        </w:rPr>
        <w:t>附：法定代表人有效身份证正反面复印件</w:t>
      </w:r>
    </w:p>
    <w:p w14:paraId="11C6B85C">
      <w:pPr>
        <w:spacing w:line="500" w:lineRule="exact"/>
        <w:ind w:left="540" w:firstLine="480"/>
        <w:rPr>
          <w:rFonts w:ascii="宋体" w:hAnsi="宋体" w:cs="宋体"/>
          <w:color w:val="auto"/>
          <w:szCs w:val="21"/>
          <w:highlight w:val="none"/>
        </w:rPr>
      </w:pPr>
    </w:p>
    <w:p w14:paraId="0F9B4A56">
      <w:pPr>
        <w:spacing w:line="500" w:lineRule="exact"/>
        <w:ind w:left="540" w:right="420" w:firstLine="3780" w:firstLineChars="1800"/>
        <w:rPr>
          <w:rFonts w:ascii="宋体" w:hAnsi="宋体" w:cs="宋体"/>
          <w:color w:val="auto"/>
          <w:szCs w:val="21"/>
          <w:highlight w:val="non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b/>
          <w:color w:val="auto"/>
          <w:sz w:val="21"/>
          <w:szCs w:val="21"/>
          <w:highlight w:val="none"/>
          <w:lang w:eastAsia="zh-CN"/>
        </w:rPr>
        <w:t>：</w:t>
      </w:r>
    </w:p>
    <w:p w14:paraId="537F7F76">
      <w:pPr>
        <w:tabs>
          <w:tab w:val="left" w:pos="1305"/>
        </w:tabs>
        <w:spacing w:line="520" w:lineRule="exact"/>
        <w:ind w:firstLine="4200" w:firstLineChars="1750"/>
        <w:jc w:val="left"/>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5D49B0E0">
      <w:pPr>
        <w:tabs>
          <w:tab w:val="left" w:pos="1305"/>
        </w:tabs>
        <w:spacing w:line="520" w:lineRule="exact"/>
        <w:ind w:firstLine="4200" w:firstLineChars="1750"/>
        <w:jc w:val="left"/>
        <w:rPr>
          <w:rFonts w:ascii="宋体" w:hAnsi="宋体" w:cs="宋体"/>
          <w:color w:val="auto"/>
          <w:highlight w:val="none"/>
        </w:rPr>
      </w:pPr>
    </w:p>
    <w:p w14:paraId="6F136780">
      <w:pPr>
        <w:tabs>
          <w:tab w:val="left" w:pos="1305"/>
        </w:tabs>
        <w:spacing w:line="520" w:lineRule="exact"/>
        <w:ind w:firstLine="4200" w:firstLineChars="1750"/>
        <w:jc w:val="left"/>
        <w:rPr>
          <w:rFonts w:ascii="宋体" w:hAnsi="宋体" w:cs="宋体"/>
          <w:color w:val="auto"/>
          <w:highlight w:val="none"/>
        </w:rPr>
      </w:pPr>
    </w:p>
    <w:p w14:paraId="56768971">
      <w:pPr>
        <w:spacing w:line="380" w:lineRule="exact"/>
        <w:ind w:firstLine="482"/>
        <w:rPr>
          <w:rFonts w:ascii="宋体" w:hAnsi="宋体" w:cs="宋体"/>
          <w:b/>
          <w:color w:val="auto"/>
          <w:highlight w:val="none"/>
        </w:rPr>
      </w:pPr>
      <w:r>
        <w:rPr>
          <w:rFonts w:hint="eastAsia" w:ascii="宋体" w:hAnsi="宋体" w:cs="宋体"/>
          <w:b/>
          <w:color w:val="auto"/>
          <w:highlight w:val="none"/>
        </w:rPr>
        <w:t>注：附法定代表人有效身份证正反面复印件。</w:t>
      </w:r>
    </w:p>
    <w:p w14:paraId="1C839C47">
      <w:pPr>
        <w:pStyle w:val="23"/>
        <w:rPr>
          <w:rFonts w:ascii="宋体" w:hAnsi="宋体" w:cs="宋体"/>
          <w:b/>
          <w:color w:val="auto"/>
          <w:highlight w:val="none"/>
        </w:rPr>
      </w:pPr>
    </w:p>
    <w:p w14:paraId="000F1CAC">
      <w:pPr>
        <w:pStyle w:val="23"/>
        <w:rPr>
          <w:rFonts w:ascii="宋体" w:hAnsi="宋体" w:cs="宋体"/>
          <w:b/>
          <w:color w:val="auto"/>
          <w:highlight w:val="none"/>
        </w:rPr>
      </w:pPr>
    </w:p>
    <w:p w14:paraId="5ECBB3E5">
      <w:pPr>
        <w:pStyle w:val="23"/>
        <w:rPr>
          <w:rFonts w:ascii="宋体" w:hAnsi="宋体" w:cs="宋体"/>
          <w:b/>
          <w:color w:val="auto"/>
          <w:highlight w:val="none"/>
        </w:rPr>
      </w:pPr>
    </w:p>
    <w:p w14:paraId="47C147FC">
      <w:pPr>
        <w:pStyle w:val="23"/>
        <w:rPr>
          <w:rFonts w:ascii="宋体" w:hAnsi="宋体" w:cs="宋体"/>
          <w:b/>
          <w:color w:val="auto"/>
          <w:highlight w:val="none"/>
        </w:rPr>
      </w:pPr>
    </w:p>
    <w:p w14:paraId="5CF37652">
      <w:pPr>
        <w:pStyle w:val="23"/>
        <w:rPr>
          <w:rFonts w:ascii="宋体" w:hAnsi="宋体" w:cs="宋体"/>
          <w:b/>
          <w:color w:val="auto"/>
          <w:highlight w:val="none"/>
        </w:rPr>
      </w:pPr>
    </w:p>
    <w:p w14:paraId="030F1796">
      <w:pPr>
        <w:pStyle w:val="23"/>
        <w:rPr>
          <w:rFonts w:ascii="宋体" w:hAnsi="宋体" w:cs="宋体"/>
          <w:b/>
          <w:color w:val="auto"/>
          <w:highlight w:val="none"/>
        </w:rPr>
      </w:pPr>
    </w:p>
    <w:p w14:paraId="75088944">
      <w:pPr>
        <w:pStyle w:val="23"/>
        <w:rPr>
          <w:rFonts w:ascii="宋体" w:hAnsi="宋体" w:cs="宋体"/>
          <w:b/>
          <w:color w:val="auto"/>
          <w:highlight w:val="none"/>
        </w:rPr>
      </w:pPr>
    </w:p>
    <w:p w14:paraId="6386E340">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（9）供应商的“授权委托书”、委托代理人身份证正反面复印件（委托代理时必须提供）</w:t>
      </w:r>
    </w:p>
    <w:p w14:paraId="48C8EE3C">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5F68416C">
      <w:pPr>
        <w:snapToGrid w:val="0"/>
        <w:spacing w:before="120" w:beforeLines="50" w:after="50" w:line="320" w:lineRule="exac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授权委托书（格式）</w:t>
      </w:r>
    </w:p>
    <w:p w14:paraId="3DA2ACF8">
      <w:pPr>
        <w:snapToGrid w:val="0"/>
        <w:spacing w:before="120" w:beforeLines="50" w:after="50"/>
        <w:ind w:firstLine="480"/>
        <w:rPr>
          <w:rFonts w:ascii="宋体" w:hAnsi="宋体" w:cs="宋体"/>
          <w:bCs/>
          <w:color w:val="auto"/>
          <w:highlight w:val="none"/>
        </w:rPr>
      </w:pPr>
    </w:p>
    <w:p w14:paraId="24D26CAE">
      <w:pPr>
        <w:snapToGrid w:val="0"/>
        <w:spacing w:before="120" w:beforeLines="50" w:after="50" w:line="400" w:lineRule="exact"/>
        <w:ind w:firstLine="0" w:firstLineChars="0"/>
        <w:rPr>
          <w:rFonts w:ascii="宋体" w:hAnsi="宋体" w:cs="宋体"/>
          <w:b/>
          <w:bCs/>
          <w:color w:val="auto"/>
          <w:szCs w:val="20"/>
          <w:highlight w:val="none"/>
        </w:rPr>
      </w:pPr>
      <w:r>
        <w:rPr>
          <w:rFonts w:hint="eastAsia" w:ascii="宋体" w:hAnsi="宋体" w:cs="宋体"/>
          <w:bCs/>
          <w:color w:val="auto"/>
          <w:highlight w:val="none"/>
        </w:rPr>
        <w:t>致：</w:t>
      </w:r>
      <w:r>
        <w:rPr>
          <w:rFonts w:hint="eastAsia"/>
          <w:color w:val="auto"/>
          <w:highlight w:val="none"/>
          <w:u w:val="single"/>
        </w:rPr>
        <w:t xml:space="preserve">               </w:t>
      </w:r>
      <w:r>
        <w:rPr>
          <w:rFonts w:hint="eastAsia" w:ascii="宋体" w:hAnsi="宋体" w:cs="宋体"/>
          <w:color w:val="auto"/>
          <w:highlight w:val="none"/>
        </w:rPr>
        <w:t>（采购代理机构）</w:t>
      </w:r>
      <w:r>
        <w:rPr>
          <w:rFonts w:hint="eastAsia" w:ascii="宋体" w:hAnsi="宋体" w:cs="宋体"/>
          <w:b/>
          <w:bCs/>
          <w:color w:val="auto"/>
          <w:highlight w:val="none"/>
        </w:rPr>
        <w:t xml:space="preserve"> </w:t>
      </w:r>
      <w:r>
        <w:rPr>
          <w:rFonts w:hint="eastAsia" w:ascii="宋体" w:hAnsi="宋体" w:cs="宋体"/>
          <w:color w:val="auto"/>
          <w:highlight w:val="none"/>
        </w:rPr>
        <w:t>：</w:t>
      </w:r>
    </w:p>
    <w:p w14:paraId="37A006BC">
      <w:pPr>
        <w:snapToGrid w:val="0"/>
        <w:spacing w:before="120" w:beforeLines="50" w:after="50" w:line="400" w:lineRule="exact"/>
        <w:ind w:firstLine="566" w:firstLineChars="236"/>
        <w:rPr>
          <w:rFonts w:ascii="宋体" w:hAnsi="宋体" w:cs="宋体"/>
          <w:color w:val="auto"/>
          <w:szCs w:val="20"/>
          <w:highlight w:val="none"/>
        </w:rPr>
      </w:pPr>
      <w:r>
        <w:rPr>
          <w:rFonts w:hint="eastAsia" w:ascii="宋体" w:hAnsi="宋体" w:cs="宋体"/>
          <w:color w:val="auto"/>
          <w:highlight w:val="none"/>
        </w:rPr>
        <w:t>我</w:t>
      </w:r>
      <w:r>
        <w:rPr>
          <w:rFonts w:hint="eastAsia"/>
          <w:color w:val="auto"/>
          <w:highlight w:val="none"/>
          <w:u w:val="single"/>
        </w:rPr>
        <w:t xml:space="preserve">               </w:t>
      </w:r>
      <w:r>
        <w:rPr>
          <w:rFonts w:hint="eastAsia" w:ascii="宋体" w:hAnsi="宋体" w:cs="宋体"/>
          <w:color w:val="auto"/>
          <w:highlight w:val="none"/>
        </w:rPr>
        <w:t>（姓名）系</w:t>
      </w:r>
      <w:r>
        <w:rPr>
          <w:rFonts w:hint="eastAsia"/>
          <w:color w:val="auto"/>
          <w:highlight w:val="none"/>
          <w:u w:val="single"/>
        </w:rPr>
        <w:t xml:space="preserve">               </w:t>
      </w:r>
      <w:r>
        <w:rPr>
          <w:rFonts w:hint="eastAsia" w:ascii="宋体" w:hAnsi="宋体" w:cs="宋体"/>
          <w:color w:val="auto"/>
          <w:highlight w:val="none"/>
        </w:rPr>
        <w:t>（供应商名称）的法定代表人，现授权委托本单位在职职工</w:t>
      </w:r>
      <w:r>
        <w:rPr>
          <w:rFonts w:hint="eastAsia" w:ascii="宋体" w:hAnsi="宋体" w:cs="宋体"/>
          <w:color w:val="auto"/>
          <w:highlight w:val="none"/>
          <w:u w:val="single"/>
        </w:rPr>
        <w:t xml:space="preserve">              </w:t>
      </w:r>
      <w:r>
        <w:rPr>
          <w:rFonts w:hint="eastAsia" w:ascii="宋体" w:hAnsi="宋体" w:cs="宋体"/>
          <w:color w:val="auto"/>
          <w:highlight w:val="none"/>
        </w:rPr>
        <w:t>（姓名）以我方的名义参加</w:t>
      </w:r>
      <w:r>
        <w:rPr>
          <w:rFonts w:hint="eastAsia" w:ascii="宋体" w:hAnsi="宋体" w:cs="宋体"/>
          <w:color w:val="auto"/>
          <w:highlight w:val="none"/>
          <w:u w:val="single"/>
        </w:rPr>
        <w:t xml:space="preserve">              </w:t>
      </w:r>
      <w:r>
        <w:rPr>
          <w:rFonts w:hint="eastAsia" w:ascii="宋体" w:hAnsi="宋体" w:cs="宋体"/>
          <w:color w:val="auto"/>
          <w:highlight w:val="none"/>
        </w:rPr>
        <w:t>项目的磋商活动，并代表我方全权办理针对上述项目的磋商、评审、签约等具体事务和签署相关文件。</w:t>
      </w:r>
    </w:p>
    <w:p w14:paraId="112F24A1">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 xml:space="preserve">    我方对委托代理人的签字事项负全部责任。</w:t>
      </w:r>
    </w:p>
    <w:p w14:paraId="589CEF28">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u w:val="single"/>
        </w:rPr>
        <w:t>在撤销授权的书面通知以前，本授权书一直有效。</w:t>
      </w:r>
      <w:r>
        <w:rPr>
          <w:rFonts w:hint="eastAsia" w:ascii="宋体" w:hAnsi="宋体" w:cs="宋体"/>
          <w:color w:val="auto"/>
          <w:highlight w:val="none"/>
        </w:rPr>
        <w:t>委托代理人在授权书有效期内签署的所有文件不因授权的撤销而失效。</w:t>
      </w:r>
    </w:p>
    <w:p w14:paraId="178FB3FD">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委托代理人无转委托权，特此委托。</w:t>
      </w:r>
    </w:p>
    <w:p w14:paraId="7EF8BE4F">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附：委托代理人有效身份证正反面复印件</w:t>
      </w:r>
    </w:p>
    <w:p w14:paraId="27A9CEE4">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委托代理人签字（或电子签名）：</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3872D3C6">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所在部门职务：</w:t>
      </w:r>
      <w:r>
        <w:rPr>
          <w:rFonts w:hint="eastAsia" w:ascii="宋体" w:hAnsi="宋体" w:cs="宋体"/>
          <w:color w:val="auto"/>
          <w:highlight w:val="none"/>
          <w:u w:val="single"/>
        </w:rPr>
        <w:t xml:space="preserve">               </w:t>
      </w:r>
    </w:p>
    <w:p w14:paraId="28332FB1">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委托代理人身份证号码：</w:t>
      </w:r>
      <w:r>
        <w:rPr>
          <w:rFonts w:hint="eastAsia" w:ascii="宋体" w:hAnsi="宋体" w:cs="宋体"/>
          <w:color w:val="auto"/>
          <w:highlight w:val="none"/>
          <w:u w:val="single"/>
        </w:rPr>
        <w:t xml:space="preserve">                             </w:t>
      </w:r>
    </w:p>
    <w:p w14:paraId="4EB96E32">
      <w:pPr>
        <w:snapToGrid w:val="0"/>
        <w:spacing w:before="120" w:beforeLines="50" w:after="50" w:line="400" w:lineRule="exact"/>
        <w:ind w:firstLine="480"/>
        <w:rPr>
          <w:rFonts w:ascii="宋体" w:hAnsi="宋体" w:cs="宋体"/>
          <w:color w:val="auto"/>
          <w:highlight w:val="none"/>
          <w:u w:val="single"/>
        </w:rPr>
      </w:pPr>
      <w:r>
        <w:rPr>
          <w:rFonts w:hint="eastAsia" w:ascii="宋体" w:hAnsi="宋体" w:cs="宋体"/>
          <w:color w:val="auto"/>
          <w:highlight w:val="none"/>
        </w:rPr>
        <w:t>法定代表人签字（或电子签名）：</w:t>
      </w:r>
      <w:r>
        <w:rPr>
          <w:rFonts w:hint="eastAsia" w:ascii="宋体" w:hAnsi="宋体" w:cs="宋体"/>
          <w:color w:val="auto"/>
          <w:highlight w:val="none"/>
          <w:u w:val="single"/>
        </w:rPr>
        <w:t xml:space="preserve">              </w:t>
      </w:r>
    </w:p>
    <w:p w14:paraId="3AC54649">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职务：</w:t>
      </w:r>
      <w:r>
        <w:rPr>
          <w:rFonts w:hint="eastAsia" w:ascii="宋体" w:hAnsi="宋体" w:cs="宋体"/>
          <w:color w:val="auto"/>
          <w:highlight w:val="none"/>
          <w:u w:val="single"/>
        </w:rPr>
        <w:t xml:space="preserve">                  </w:t>
      </w:r>
    </w:p>
    <w:p w14:paraId="3D263B5B">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 xml:space="preserve"> </w:t>
      </w:r>
    </w:p>
    <w:p w14:paraId="7EBFEDEB">
      <w:pPr>
        <w:snapToGrid w:val="0"/>
        <w:spacing w:before="120" w:beforeLines="50" w:after="50"/>
        <w:ind w:firstLine="480"/>
        <w:jc w:val="center"/>
        <w:rPr>
          <w:rFonts w:ascii="宋体" w:hAnsi="宋体" w:cs="宋体"/>
          <w:color w:val="auto"/>
          <w:szCs w:val="24"/>
          <w:highlight w:val="none"/>
        </w:rPr>
      </w:pPr>
      <w:r>
        <w:rPr>
          <w:rFonts w:hint="eastAsia" w:ascii="宋体" w:hAnsi="宋体" w:cs="宋体"/>
          <w:color w:val="auto"/>
          <w:highlight w:val="none"/>
        </w:rPr>
        <w:t xml:space="preserve">                </w:t>
      </w:r>
      <w:r>
        <w:rPr>
          <w:rFonts w:hint="eastAsia" w:ascii="宋体" w:hAnsi="宋体" w:cs="宋体"/>
          <w:color w:val="auto"/>
          <w:szCs w:val="24"/>
          <w:highlight w:val="none"/>
        </w:rPr>
        <w:t xml:space="preserve"> 供应商</w:t>
      </w:r>
      <w:r>
        <w:rPr>
          <w:rFonts w:hint="eastAsia" w:ascii="宋体" w:hAnsi="宋体" w:cs="宋体"/>
          <w:b/>
          <w:color w:val="auto"/>
          <w:szCs w:val="24"/>
          <w:highlight w:val="none"/>
        </w:rPr>
        <w:t>（电子签章）</w:t>
      </w:r>
      <w:r>
        <w:rPr>
          <w:rFonts w:hint="eastAsia" w:ascii="宋体" w:hAnsi="宋体" w:cs="宋体"/>
          <w:b/>
          <w:color w:val="auto"/>
          <w:szCs w:val="24"/>
          <w:highlight w:val="none"/>
          <w:lang w:eastAsia="zh-CN"/>
        </w:rPr>
        <w:t>：</w:t>
      </w:r>
    </w:p>
    <w:p w14:paraId="241744BD">
      <w:pPr>
        <w:autoSpaceDE w:val="0"/>
        <w:autoSpaceDN w:val="0"/>
        <w:spacing w:line="300" w:lineRule="auto"/>
        <w:ind w:left="480" w:firstLine="480"/>
        <w:rPr>
          <w:rFonts w:ascii="宋体" w:hAnsi="宋体" w:cs="宋体"/>
          <w:color w:val="auto"/>
          <w:szCs w:val="21"/>
          <w:highlight w:val="none"/>
        </w:rPr>
      </w:pPr>
      <w:r>
        <w:rPr>
          <w:rFonts w:hint="eastAsia" w:ascii="宋体" w:hAnsi="宋体" w:cs="宋体"/>
          <w:color w:val="auto"/>
          <w:highlight w:val="none"/>
        </w:rPr>
        <w:t xml:space="preserve">                                             年    月    日</w:t>
      </w:r>
    </w:p>
    <w:p w14:paraId="2BB4BD96">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附：委托代理人身份证正反面复印件（委托代理时必须提供）。</w:t>
      </w:r>
    </w:p>
    <w:p w14:paraId="4FD9DC70">
      <w:pPr>
        <w:spacing w:line="380" w:lineRule="exact"/>
        <w:ind w:firstLine="0" w:firstLineChars="0"/>
        <w:rPr>
          <w:rFonts w:ascii="宋体" w:hAnsi="宋体" w:cs="宋体"/>
          <w:b/>
          <w:color w:val="auto"/>
          <w:sz w:val="28"/>
          <w:szCs w:val="28"/>
          <w:highlight w:val="none"/>
        </w:rPr>
      </w:pPr>
    </w:p>
    <w:p w14:paraId="73EA9052">
      <w:pPr>
        <w:pStyle w:val="23"/>
        <w:rPr>
          <w:color w:val="auto"/>
          <w:highlight w:val="none"/>
        </w:rPr>
      </w:pPr>
    </w:p>
    <w:p w14:paraId="08AF9F9D">
      <w:pPr>
        <w:spacing w:line="380" w:lineRule="exact"/>
        <w:ind w:firstLine="0" w:firstLineChars="0"/>
        <w:rPr>
          <w:rFonts w:ascii="宋体" w:hAnsi="宋体" w:cs="宋体"/>
          <w:b/>
          <w:color w:val="auto"/>
          <w:sz w:val="28"/>
          <w:szCs w:val="28"/>
          <w:highlight w:val="none"/>
        </w:rPr>
      </w:pPr>
    </w:p>
    <w:p w14:paraId="349D620E">
      <w:pPr>
        <w:spacing w:line="420" w:lineRule="exact"/>
        <w:ind w:firstLine="0" w:firstLineChars="0"/>
        <w:rPr>
          <w:rFonts w:hint="eastAsia" w:ascii="宋体" w:hAnsi="宋体" w:cs="宋体"/>
          <w:b/>
          <w:color w:val="auto"/>
          <w:sz w:val="28"/>
          <w:szCs w:val="28"/>
          <w:highlight w:val="none"/>
        </w:rPr>
      </w:pPr>
    </w:p>
    <w:p w14:paraId="77687185">
      <w:pPr>
        <w:spacing w:line="420" w:lineRule="exact"/>
        <w:ind w:firstLine="0" w:firstLineChars="0"/>
        <w:rPr>
          <w:rFonts w:hint="eastAsia" w:ascii="宋体" w:hAnsi="宋体" w:cs="宋体"/>
          <w:b/>
          <w:color w:val="auto"/>
          <w:sz w:val="28"/>
          <w:szCs w:val="28"/>
          <w:highlight w:val="none"/>
        </w:rPr>
      </w:pPr>
    </w:p>
    <w:p w14:paraId="0703E036">
      <w:pPr>
        <w:spacing w:line="420" w:lineRule="exact"/>
        <w:ind w:firstLine="0" w:firstLineChars="0"/>
        <w:rPr>
          <w:rFonts w:hint="eastAsia" w:ascii="宋体" w:hAnsi="宋体" w:cs="宋体"/>
          <w:b/>
          <w:color w:val="auto"/>
          <w:sz w:val="28"/>
          <w:szCs w:val="28"/>
          <w:highlight w:val="none"/>
        </w:rPr>
      </w:pPr>
    </w:p>
    <w:p w14:paraId="22C1223E">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b/>
          <w:bCs w:val="0"/>
          <w:color w:val="auto"/>
          <w:sz w:val="28"/>
          <w:szCs w:val="28"/>
          <w:highlight w:val="none"/>
          <w:lang w:eastAsia="zh-CN"/>
        </w:rPr>
      </w:pPr>
      <w:r>
        <w:rPr>
          <w:rFonts w:hint="eastAsia" w:ascii="宋体" w:hAnsi="宋体" w:cs="宋体"/>
          <w:b/>
          <w:bCs w:val="0"/>
          <w:color w:val="auto"/>
          <w:sz w:val="28"/>
          <w:szCs w:val="28"/>
          <w:highlight w:val="none"/>
        </w:rPr>
        <w:t>（10）</w:t>
      </w:r>
      <w:r>
        <w:rPr>
          <w:rFonts w:hint="eastAsia" w:ascii="宋体" w:hAnsi="宋体" w:cs="宋体"/>
          <w:b/>
          <w:bCs w:val="0"/>
          <w:color w:val="auto"/>
          <w:sz w:val="28"/>
          <w:szCs w:val="28"/>
          <w:highlight w:val="none"/>
          <w:lang w:eastAsia="zh-CN"/>
        </w:rPr>
        <w:t>特定资格要求证明材料</w:t>
      </w:r>
      <w:r>
        <w:rPr>
          <w:rFonts w:hint="eastAsia" w:ascii="宋体" w:hAnsi="宋体" w:cs="宋体"/>
          <w:b/>
          <w:color w:val="auto"/>
          <w:sz w:val="28"/>
          <w:szCs w:val="28"/>
          <w:highlight w:val="none"/>
        </w:rPr>
        <w:t>（必须提供）</w:t>
      </w:r>
    </w:p>
    <w:p w14:paraId="71021E7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b/>
          <w:bCs w:val="0"/>
          <w:color w:val="auto"/>
          <w:sz w:val="28"/>
          <w:szCs w:val="28"/>
          <w:highlight w:val="none"/>
          <w:lang w:val="en-US" w:eastAsia="zh-CN"/>
        </w:rPr>
      </w:pPr>
      <w:r>
        <w:rPr>
          <w:rFonts w:hint="eastAsia" w:ascii="宋体" w:hAnsi="宋体" w:cs="宋体"/>
          <w:b/>
          <w:bCs w:val="0"/>
          <w:color w:val="auto"/>
          <w:sz w:val="28"/>
          <w:szCs w:val="28"/>
          <w:highlight w:val="none"/>
          <w:lang w:val="en-US" w:eastAsia="zh-CN"/>
        </w:rPr>
        <w:t>1）</w:t>
      </w:r>
      <w:r>
        <w:rPr>
          <w:rFonts w:hint="eastAsia" w:ascii="宋体" w:hAnsi="宋体" w:cs="宋体"/>
          <w:b/>
          <w:color w:val="auto"/>
          <w:sz w:val="28"/>
          <w:szCs w:val="28"/>
          <w:highlight w:val="none"/>
        </w:rPr>
        <w:t>供应商具备建筑工程施工总承包三级以上（含三级）资质</w:t>
      </w:r>
      <w:r>
        <w:rPr>
          <w:rFonts w:hint="eastAsia" w:ascii="宋体" w:hAnsi="宋体" w:cs="宋体"/>
          <w:b/>
          <w:color w:val="auto"/>
          <w:sz w:val="28"/>
          <w:szCs w:val="28"/>
          <w:highlight w:val="none"/>
          <w:lang w:eastAsia="zh-CN"/>
        </w:rPr>
        <w:t>证书复印件及</w:t>
      </w:r>
      <w:r>
        <w:rPr>
          <w:rFonts w:hint="eastAsia" w:ascii="宋体" w:hAnsi="宋体" w:cs="宋体"/>
          <w:b/>
          <w:color w:val="auto"/>
          <w:sz w:val="28"/>
          <w:szCs w:val="28"/>
          <w:highlight w:val="none"/>
        </w:rPr>
        <w:t>有效的安全生产许可证</w:t>
      </w:r>
      <w:r>
        <w:rPr>
          <w:rFonts w:hint="eastAsia" w:ascii="宋体" w:hAnsi="宋体" w:cs="宋体"/>
          <w:b/>
          <w:color w:val="auto"/>
          <w:sz w:val="28"/>
          <w:szCs w:val="28"/>
          <w:highlight w:val="none"/>
          <w:lang w:eastAsia="zh-CN"/>
        </w:rPr>
        <w:t>书复印件。</w:t>
      </w:r>
    </w:p>
    <w:p w14:paraId="49319E4C">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bCs w:val="0"/>
          <w:color w:val="auto"/>
          <w:sz w:val="28"/>
          <w:szCs w:val="28"/>
          <w:highlight w:val="none"/>
          <w:lang w:val="en-US" w:eastAsia="zh-CN"/>
        </w:rPr>
      </w:pPr>
    </w:p>
    <w:p w14:paraId="3279B56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bCs w:val="0"/>
          <w:color w:val="auto"/>
          <w:sz w:val="28"/>
          <w:szCs w:val="28"/>
          <w:highlight w:val="none"/>
          <w:lang w:val="en-US" w:eastAsia="zh-CN"/>
        </w:rPr>
      </w:pPr>
    </w:p>
    <w:p w14:paraId="74D10C5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color w:val="auto"/>
          <w:sz w:val="28"/>
          <w:szCs w:val="28"/>
          <w:highlight w:val="none"/>
        </w:rPr>
      </w:pPr>
      <w:r>
        <w:rPr>
          <w:rFonts w:hint="eastAsia" w:ascii="宋体" w:hAnsi="宋体" w:cs="宋体"/>
          <w:b/>
          <w:bCs w:val="0"/>
          <w:color w:val="auto"/>
          <w:sz w:val="28"/>
          <w:szCs w:val="28"/>
          <w:highlight w:val="none"/>
          <w:lang w:val="en-US" w:eastAsia="zh-CN"/>
        </w:rPr>
        <w:t>2</w:t>
      </w:r>
      <w:r>
        <w:rPr>
          <w:rFonts w:hint="eastAsia" w:ascii="宋体" w:hAnsi="宋体" w:cs="宋体"/>
          <w:b/>
          <w:bCs w:val="0"/>
          <w:color w:val="auto"/>
          <w:sz w:val="28"/>
          <w:szCs w:val="28"/>
          <w:highlight w:val="none"/>
        </w:rPr>
        <w:t>）</w:t>
      </w:r>
      <w:r>
        <w:rPr>
          <w:rFonts w:hint="eastAsia" w:ascii="宋体" w:hAnsi="宋体" w:cs="宋体"/>
          <w:b/>
          <w:color w:val="auto"/>
          <w:sz w:val="28"/>
          <w:szCs w:val="28"/>
          <w:highlight w:val="none"/>
        </w:rPr>
        <w:t>供应商提供项目管理机构组成表</w:t>
      </w:r>
    </w:p>
    <w:p w14:paraId="360CC6B0">
      <w:pPr>
        <w:spacing w:line="380" w:lineRule="exact"/>
        <w:ind w:firstLine="0" w:firstLineChars="0"/>
        <w:rPr>
          <w:rFonts w:hint="eastAsia" w:ascii="宋体" w:hAnsi="宋体" w:cs="宋体"/>
          <w:b/>
          <w:color w:val="auto"/>
          <w:sz w:val="28"/>
          <w:szCs w:val="28"/>
          <w:highlight w:val="none"/>
        </w:rPr>
      </w:pPr>
    </w:p>
    <w:p w14:paraId="48E235BF">
      <w:pPr>
        <w:spacing w:before="120" w:beforeLines="50" w:after="240" w:afterLines="100" w:line="320" w:lineRule="exact"/>
        <w:ind w:firstLine="562"/>
        <w:jc w:val="left"/>
        <w:rPr>
          <w:rFonts w:ascii="宋体" w:hAnsi="宋体" w:cs="宋体"/>
          <w:b/>
          <w:color w:val="auto"/>
          <w:sz w:val="28"/>
          <w:szCs w:val="28"/>
          <w:highlight w:val="none"/>
        </w:rPr>
      </w:pPr>
      <w:r>
        <w:rPr>
          <w:rFonts w:hint="eastAsia" w:ascii="宋体" w:hAnsi="宋体" w:cs="宋体"/>
          <w:b/>
          <w:color w:val="auto"/>
          <w:sz w:val="28"/>
          <w:szCs w:val="28"/>
          <w:highlight w:val="none"/>
        </w:rPr>
        <w:t>附件</w:t>
      </w:r>
    </w:p>
    <w:p w14:paraId="2934AD57">
      <w:pPr>
        <w:spacing w:before="120" w:beforeLines="50" w:after="240" w:afterLines="100" w:line="440" w:lineRule="exact"/>
        <w:ind w:firstLine="2880" w:firstLineChars="1200"/>
        <w:jc w:val="left"/>
        <w:rPr>
          <w:rFonts w:ascii="宋体" w:hAnsi="宋体" w:cs="宋体"/>
          <w:b/>
          <w:color w:val="auto"/>
          <w:sz w:val="28"/>
          <w:szCs w:val="28"/>
          <w:highlight w:val="none"/>
        </w:rPr>
      </w:pPr>
      <w:r>
        <w:rPr>
          <w:rFonts w:hint="eastAsia" w:ascii="宋体" w:hAnsi="宋体" w:cs="宋体"/>
          <w:color w:val="auto"/>
          <w:highlight w:val="none"/>
        </w:rPr>
        <w:t xml:space="preserve"> </w:t>
      </w:r>
      <w:r>
        <w:rPr>
          <w:rFonts w:hint="eastAsia" w:ascii="宋体" w:hAnsi="宋体" w:cs="宋体"/>
          <w:b/>
          <w:color w:val="auto"/>
          <w:sz w:val="28"/>
          <w:szCs w:val="28"/>
          <w:highlight w:val="none"/>
        </w:rPr>
        <w:t>项目管理机构组成表（格式）</w:t>
      </w:r>
    </w:p>
    <w:p w14:paraId="64EAAAFC">
      <w:pPr>
        <w:ind w:firstLine="480"/>
        <w:rPr>
          <w:rFonts w:ascii="宋体" w:hAnsi="宋体" w:cs="宋体"/>
          <w:color w:val="auto"/>
          <w:highlight w:val="none"/>
          <w:u w:val="singl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19AE7139">
      <w:pPr>
        <w:ind w:firstLine="480"/>
        <w:rPr>
          <w:rFonts w:ascii="宋体" w:hAnsi="宋体" w:cs="宋体"/>
          <w:color w:val="auto"/>
          <w:highlight w:val="none"/>
        </w:rPr>
      </w:pPr>
      <w:r>
        <w:rPr>
          <w:rFonts w:hint="eastAsia" w:ascii="宋体" w:hAnsi="宋体" w:cs="宋体"/>
          <w:color w:val="auto"/>
          <w:highlight w:val="none"/>
        </w:rPr>
        <w:t xml:space="preserve">项目编号： </w:t>
      </w:r>
      <w:r>
        <w:rPr>
          <w:rFonts w:hint="eastAsia" w:ascii="宋体" w:hAnsi="宋体" w:cs="宋体"/>
          <w:color w:val="auto"/>
          <w:highlight w:val="none"/>
          <w:u w:val="single"/>
        </w:rPr>
        <w:t xml:space="preserve">                      </w:t>
      </w:r>
    </w:p>
    <w:tbl>
      <w:tblPr>
        <w:tblStyle w:val="48"/>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723"/>
        <w:gridCol w:w="723"/>
        <w:gridCol w:w="1321"/>
        <w:gridCol w:w="3353"/>
      </w:tblGrid>
      <w:tr w14:paraId="3B14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543A4BDB">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岗位名称</w:t>
            </w:r>
          </w:p>
        </w:tc>
        <w:tc>
          <w:tcPr>
            <w:tcW w:w="723" w:type="dxa"/>
            <w:tcBorders>
              <w:top w:val="single" w:color="auto" w:sz="4" w:space="0"/>
              <w:left w:val="single" w:color="auto" w:sz="4" w:space="0"/>
              <w:bottom w:val="single" w:color="auto" w:sz="4" w:space="0"/>
              <w:right w:val="single" w:color="auto" w:sz="4" w:space="0"/>
            </w:tcBorders>
            <w:noWrap/>
            <w:vAlign w:val="center"/>
          </w:tcPr>
          <w:p w14:paraId="5B7CFA95">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723" w:type="dxa"/>
            <w:tcBorders>
              <w:top w:val="single" w:color="auto" w:sz="4" w:space="0"/>
              <w:left w:val="single" w:color="auto" w:sz="4" w:space="0"/>
              <w:bottom w:val="single" w:color="auto" w:sz="4" w:space="0"/>
              <w:right w:val="single" w:color="auto" w:sz="4" w:space="0"/>
            </w:tcBorders>
            <w:noWrap/>
            <w:vAlign w:val="center"/>
          </w:tcPr>
          <w:p w14:paraId="64A600CA">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1321" w:type="dxa"/>
            <w:tcBorders>
              <w:top w:val="single" w:color="auto" w:sz="4" w:space="0"/>
              <w:left w:val="single" w:color="auto" w:sz="4" w:space="0"/>
              <w:bottom w:val="single" w:color="auto" w:sz="4" w:space="0"/>
              <w:right w:val="single" w:color="auto" w:sz="4" w:space="0"/>
            </w:tcBorders>
            <w:noWrap/>
            <w:vAlign w:val="center"/>
          </w:tcPr>
          <w:p w14:paraId="4F793D58">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资质/职称</w:t>
            </w:r>
          </w:p>
        </w:tc>
        <w:tc>
          <w:tcPr>
            <w:tcW w:w="3353" w:type="dxa"/>
            <w:tcBorders>
              <w:top w:val="single" w:color="auto" w:sz="4" w:space="0"/>
              <w:left w:val="single" w:color="auto" w:sz="4" w:space="0"/>
              <w:bottom w:val="single" w:color="auto" w:sz="4" w:space="0"/>
              <w:right w:val="single" w:color="auto" w:sz="4" w:space="0"/>
            </w:tcBorders>
            <w:noWrap/>
            <w:vAlign w:val="center"/>
          </w:tcPr>
          <w:p w14:paraId="79332B63">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主要资历、经验及承担的项目</w:t>
            </w:r>
          </w:p>
        </w:tc>
      </w:tr>
      <w:tr w14:paraId="6B1A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19C0514E">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1FBCD7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3405330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684731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240CD8A">
            <w:pPr>
              <w:adjustRightInd w:val="0"/>
              <w:spacing w:line="300" w:lineRule="auto"/>
              <w:ind w:firstLine="480"/>
              <w:rPr>
                <w:rFonts w:ascii="宋体" w:hAnsi="宋体" w:cs="宋体"/>
                <w:color w:val="auto"/>
                <w:szCs w:val="21"/>
                <w:highlight w:val="none"/>
              </w:rPr>
            </w:pPr>
          </w:p>
        </w:tc>
      </w:tr>
      <w:tr w14:paraId="7F67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62AC3F36">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501D3D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32295F36">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78366E9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5B3E4843">
            <w:pPr>
              <w:adjustRightInd w:val="0"/>
              <w:spacing w:line="300" w:lineRule="auto"/>
              <w:ind w:firstLine="480"/>
              <w:rPr>
                <w:rFonts w:ascii="宋体" w:hAnsi="宋体" w:cs="宋体"/>
                <w:color w:val="auto"/>
                <w:szCs w:val="21"/>
                <w:highlight w:val="none"/>
              </w:rPr>
            </w:pPr>
          </w:p>
        </w:tc>
      </w:tr>
      <w:tr w14:paraId="4330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31677A1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9C2D695">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72AF0E5B">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0C6BF68">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3A9C67C">
            <w:pPr>
              <w:adjustRightInd w:val="0"/>
              <w:spacing w:line="300" w:lineRule="auto"/>
              <w:ind w:firstLine="480"/>
              <w:rPr>
                <w:rFonts w:ascii="宋体" w:hAnsi="宋体" w:cs="宋体"/>
                <w:color w:val="auto"/>
                <w:szCs w:val="21"/>
                <w:highlight w:val="none"/>
              </w:rPr>
            </w:pPr>
          </w:p>
        </w:tc>
      </w:tr>
      <w:tr w14:paraId="757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2DBC4C6D">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2BCCCFD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B4EF1BA">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E9C5F5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00330C0">
            <w:pPr>
              <w:adjustRightInd w:val="0"/>
              <w:spacing w:line="300" w:lineRule="auto"/>
              <w:ind w:firstLine="480"/>
              <w:rPr>
                <w:rFonts w:ascii="宋体" w:hAnsi="宋体" w:cs="宋体"/>
                <w:color w:val="auto"/>
                <w:szCs w:val="21"/>
                <w:highlight w:val="none"/>
              </w:rPr>
            </w:pPr>
          </w:p>
        </w:tc>
      </w:tr>
      <w:tr w14:paraId="22B4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350BF72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27162F5F">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92427E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B1C95D4">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32AC9A9E">
            <w:pPr>
              <w:adjustRightInd w:val="0"/>
              <w:spacing w:line="300" w:lineRule="auto"/>
              <w:ind w:firstLine="480"/>
              <w:rPr>
                <w:rFonts w:ascii="宋体" w:hAnsi="宋体" w:cs="宋体"/>
                <w:color w:val="auto"/>
                <w:szCs w:val="21"/>
                <w:highlight w:val="none"/>
              </w:rPr>
            </w:pPr>
          </w:p>
        </w:tc>
      </w:tr>
      <w:tr w14:paraId="1BAE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7DCD4B29">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47C95E1A">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32BEF2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7836220">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65811C2">
            <w:pPr>
              <w:adjustRightInd w:val="0"/>
              <w:spacing w:line="300" w:lineRule="auto"/>
              <w:ind w:firstLine="480"/>
              <w:rPr>
                <w:rFonts w:ascii="宋体" w:hAnsi="宋体" w:cs="宋体"/>
                <w:color w:val="auto"/>
                <w:szCs w:val="21"/>
                <w:highlight w:val="none"/>
              </w:rPr>
            </w:pPr>
          </w:p>
        </w:tc>
      </w:tr>
      <w:tr w14:paraId="4922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00F9EB0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EB9553D">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7707D0C3">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01E0B8C0">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51C48D6">
            <w:pPr>
              <w:adjustRightInd w:val="0"/>
              <w:spacing w:line="300" w:lineRule="auto"/>
              <w:ind w:firstLine="480"/>
              <w:rPr>
                <w:rFonts w:ascii="宋体" w:hAnsi="宋体" w:cs="宋体"/>
                <w:color w:val="auto"/>
                <w:szCs w:val="21"/>
                <w:highlight w:val="none"/>
              </w:rPr>
            </w:pPr>
          </w:p>
        </w:tc>
      </w:tr>
      <w:tr w14:paraId="61A7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5E7FE8A9">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C0D835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5D73B827">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3B6CA894">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528C0BA2">
            <w:pPr>
              <w:adjustRightInd w:val="0"/>
              <w:spacing w:line="300" w:lineRule="auto"/>
              <w:ind w:firstLine="480"/>
              <w:rPr>
                <w:rFonts w:ascii="宋体" w:hAnsi="宋体" w:cs="宋体"/>
                <w:color w:val="auto"/>
                <w:szCs w:val="21"/>
                <w:highlight w:val="none"/>
              </w:rPr>
            </w:pPr>
          </w:p>
        </w:tc>
      </w:tr>
      <w:tr w14:paraId="6E7F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6463505E">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510F06E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4887D2AF">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DAA6176">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C69B633">
            <w:pPr>
              <w:adjustRightInd w:val="0"/>
              <w:spacing w:line="300" w:lineRule="auto"/>
              <w:ind w:firstLine="480"/>
              <w:rPr>
                <w:rFonts w:ascii="宋体" w:hAnsi="宋体" w:cs="宋体"/>
                <w:color w:val="auto"/>
                <w:szCs w:val="21"/>
                <w:highlight w:val="none"/>
              </w:rPr>
            </w:pPr>
          </w:p>
        </w:tc>
      </w:tr>
      <w:tr w14:paraId="55B5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2BF2C99F">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C2DA65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E5224D4">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505BA3B8">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6A4A75A">
            <w:pPr>
              <w:adjustRightInd w:val="0"/>
              <w:spacing w:line="300" w:lineRule="auto"/>
              <w:ind w:firstLine="480"/>
              <w:rPr>
                <w:rFonts w:ascii="宋体" w:hAnsi="宋体" w:cs="宋体"/>
                <w:color w:val="auto"/>
                <w:szCs w:val="21"/>
                <w:highlight w:val="none"/>
              </w:rPr>
            </w:pPr>
          </w:p>
        </w:tc>
      </w:tr>
    </w:tbl>
    <w:p w14:paraId="70344940">
      <w:pPr>
        <w:tabs>
          <w:tab w:val="left" w:pos="1635"/>
        </w:tabs>
        <w:spacing w:line="380" w:lineRule="exact"/>
        <w:ind w:firstLine="435" w:firstLineChars="0"/>
        <w:rPr>
          <w:rFonts w:hint="eastAsia" w:ascii="宋体" w:hAnsi="宋体"/>
          <w:b/>
          <w:bCs/>
          <w:color w:val="auto"/>
          <w:sz w:val="21"/>
          <w:szCs w:val="21"/>
          <w:highlight w:val="none"/>
          <w:lang w:eastAsia="zh-CN"/>
        </w:rPr>
      </w:pPr>
      <w:r>
        <w:rPr>
          <w:rFonts w:hint="eastAsia" w:ascii="宋体" w:hAnsi="宋体"/>
          <w:b/>
          <w:bCs/>
          <w:color w:val="auto"/>
          <w:sz w:val="21"/>
          <w:szCs w:val="21"/>
          <w:highlight w:val="none"/>
        </w:rPr>
        <w:t>附：</w:t>
      </w:r>
      <w:r>
        <w:rPr>
          <w:rFonts w:hint="eastAsia" w:ascii="宋体" w:hAnsi="宋体"/>
          <w:b/>
          <w:bCs/>
          <w:color w:val="auto"/>
          <w:sz w:val="21"/>
          <w:szCs w:val="21"/>
          <w:highlight w:val="none"/>
          <w:lang w:eastAsia="zh-CN"/>
        </w:rPr>
        <w:t>响应文件中必须同时提供：</w:t>
      </w:r>
    </w:p>
    <w:p w14:paraId="72F26577">
      <w:pPr>
        <w:tabs>
          <w:tab w:val="left" w:pos="1635"/>
        </w:tabs>
        <w:spacing w:line="380" w:lineRule="exact"/>
        <w:ind w:firstLine="435" w:firstLineChars="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rPr>
        <w:t>①项目经理（1人）：拟投入的项目经理具备建筑工程专业二级以上（含二级）注册建造师执业资格</w:t>
      </w:r>
      <w:r>
        <w:rPr>
          <w:rFonts w:hint="eastAsia" w:ascii="宋体" w:hAnsi="宋体" w:cs="宋体"/>
          <w:b/>
          <w:bCs/>
          <w:color w:val="auto"/>
          <w:sz w:val="21"/>
          <w:szCs w:val="21"/>
          <w:highlight w:val="none"/>
          <w:lang w:eastAsia="zh-CN"/>
        </w:rPr>
        <w:t>证书复印件</w:t>
      </w:r>
      <w:r>
        <w:rPr>
          <w:rFonts w:hint="eastAsia" w:ascii="宋体" w:hAnsi="宋体" w:cs="宋体"/>
          <w:b/>
          <w:bCs/>
          <w:color w:val="auto"/>
          <w:sz w:val="21"/>
          <w:szCs w:val="21"/>
          <w:highlight w:val="none"/>
        </w:rPr>
        <w:t>，具备有效的安全生产考核合格证书（B类）</w:t>
      </w:r>
      <w:r>
        <w:rPr>
          <w:rFonts w:hint="eastAsia" w:ascii="宋体" w:hAnsi="宋体" w:cs="宋体"/>
          <w:b/>
          <w:bCs/>
          <w:color w:val="auto"/>
          <w:sz w:val="21"/>
          <w:szCs w:val="21"/>
          <w:highlight w:val="none"/>
          <w:lang w:eastAsia="zh-CN"/>
        </w:rPr>
        <w:t>证书复印件及</w:t>
      </w:r>
      <w:r>
        <w:rPr>
          <w:rFonts w:hint="eastAsia" w:ascii="宋体" w:hAnsi="宋体" w:cs="宋体"/>
          <w:b/>
          <w:bCs/>
          <w:color w:val="auto"/>
          <w:sz w:val="21"/>
          <w:szCs w:val="21"/>
          <w:highlight w:val="none"/>
        </w:rPr>
        <w:t>身份证</w:t>
      </w:r>
      <w:r>
        <w:rPr>
          <w:rFonts w:hint="eastAsia" w:ascii="宋体" w:hAnsi="宋体" w:cs="宋体"/>
          <w:b/>
          <w:bCs/>
          <w:color w:val="auto"/>
          <w:sz w:val="21"/>
          <w:szCs w:val="21"/>
          <w:highlight w:val="none"/>
          <w:lang w:eastAsia="zh-CN"/>
        </w:rPr>
        <w:t>复印件；</w:t>
      </w:r>
    </w:p>
    <w:p w14:paraId="0B4D989F">
      <w:pPr>
        <w:tabs>
          <w:tab w:val="left" w:pos="1635"/>
        </w:tabs>
        <w:spacing w:line="380" w:lineRule="exact"/>
        <w:ind w:firstLine="435" w:firstLineChars="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rPr>
        <w:t>②技术负责人（1人）：拟投入的技术负责人须具有相关专业中级及以上职称</w:t>
      </w:r>
      <w:r>
        <w:rPr>
          <w:rFonts w:hint="eastAsia" w:ascii="宋体" w:hAnsi="宋体" w:cs="宋体"/>
          <w:b/>
          <w:bCs/>
          <w:color w:val="auto"/>
          <w:sz w:val="21"/>
          <w:szCs w:val="21"/>
          <w:highlight w:val="none"/>
          <w:lang w:eastAsia="zh-CN"/>
        </w:rPr>
        <w:t>证复印件及</w:t>
      </w:r>
      <w:r>
        <w:rPr>
          <w:rFonts w:hint="eastAsia" w:ascii="宋体" w:hAnsi="宋体" w:cs="宋体"/>
          <w:b/>
          <w:bCs/>
          <w:color w:val="auto"/>
          <w:sz w:val="21"/>
          <w:szCs w:val="21"/>
          <w:highlight w:val="none"/>
        </w:rPr>
        <w:t>身份证</w:t>
      </w:r>
      <w:r>
        <w:rPr>
          <w:rFonts w:hint="eastAsia" w:ascii="宋体" w:hAnsi="宋体" w:cs="宋体"/>
          <w:b/>
          <w:bCs/>
          <w:color w:val="auto"/>
          <w:sz w:val="21"/>
          <w:szCs w:val="21"/>
          <w:highlight w:val="none"/>
          <w:lang w:eastAsia="zh-CN"/>
        </w:rPr>
        <w:t>复印件；</w:t>
      </w:r>
    </w:p>
    <w:p w14:paraId="51D0CE33">
      <w:pPr>
        <w:tabs>
          <w:tab w:val="left" w:pos="1635"/>
        </w:tabs>
        <w:spacing w:line="380" w:lineRule="exact"/>
        <w:ind w:firstLine="435" w:firstLineChars="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rPr>
        <w:t>③专职安全生产管理人员（1人）：拟投入的专职安全生产管理人员须具有相应有效的专职安全员安全生产考核合格证书（C类）</w:t>
      </w:r>
      <w:r>
        <w:rPr>
          <w:rFonts w:hint="eastAsia" w:ascii="宋体" w:hAnsi="宋体" w:cs="宋体"/>
          <w:b/>
          <w:bCs/>
          <w:color w:val="auto"/>
          <w:sz w:val="21"/>
          <w:szCs w:val="21"/>
          <w:highlight w:val="none"/>
          <w:lang w:eastAsia="zh-CN"/>
        </w:rPr>
        <w:t>复印件及</w:t>
      </w:r>
      <w:r>
        <w:rPr>
          <w:rFonts w:hint="eastAsia" w:ascii="宋体" w:hAnsi="宋体" w:cs="宋体"/>
          <w:b/>
          <w:bCs/>
          <w:color w:val="auto"/>
          <w:sz w:val="21"/>
          <w:szCs w:val="21"/>
          <w:highlight w:val="none"/>
        </w:rPr>
        <w:t>身份证</w:t>
      </w:r>
      <w:r>
        <w:rPr>
          <w:rFonts w:hint="eastAsia" w:ascii="宋体" w:hAnsi="宋体" w:cs="宋体"/>
          <w:b/>
          <w:bCs/>
          <w:color w:val="auto"/>
          <w:sz w:val="21"/>
          <w:szCs w:val="21"/>
          <w:highlight w:val="none"/>
          <w:lang w:eastAsia="zh-CN"/>
        </w:rPr>
        <w:t>复印件；</w:t>
      </w:r>
    </w:p>
    <w:p w14:paraId="13312E5F">
      <w:pPr>
        <w:tabs>
          <w:tab w:val="left" w:pos="1635"/>
        </w:tabs>
        <w:spacing w:line="380" w:lineRule="exact"/>
        <w:ind w:firstLine="435" w:firstLineChars="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rPr>
        <w:t>④施工员、质量员、材料员（各配备1人）：拟投入的施工员、质量员、材料员须具有相应有效的施工现场专业人员职业培训合格证书</w:t>
      </w:r>
      <w:r>
        <w:rPr>
          <w:rFonts w:hint="eastAsia" w:ascii="宋体" w:hAnsi="宋体" w:cs="宋体"/>
          <w:b/>
          <w:bCs/>
          <w:color w:val="auto"/>
          <w:sz w:val="21"/>
          <w:szCs w:val="21"/>
          <w:highlight w:val="none"/>
          <w:lang w:eastAsia="zh-CN"/>
        </w:rPr>
        <w:t>复印件及</w:t>
      </w:r>
      <w:r>
        <w:rPr>
          <w:rFonts w:hint="eastAsia" w:ascii="宋体" w:hAnsi="宋体" w:cs="宋体"/>
          <w:b/>
          <w:bCs/>
          <w:color w:val="auto"/>
          <w:sz w:val="21"/>
          <w:szCs w:val="21"/>
          <w:highlight w:val="none"/>
        </w:rPr>
        <w:t>身份证</w:t>
      </w:r>
      <w:r>
        <w:rPr>
          <w:rFonts w:hint="eastAsia" w:ascii="宋体" w:hAnsi="宋体" w:cs="宋体"/>
          <w:b/>
          <w:bCs/>
          <w:color w:val="auto"/>
          <w:sz w:val="21"/>
          <w:szCs w:val="21"/>
          <w:highlight w:val="none"/>
          <w:lang w:eastAsia="zh-CN"/>
        </w:rPr>
        <w:t>复印件；</w:t>
      </w:r>
    </w:p>
    <w:p w14:paraId="19AC5934">
      <w:pPr>
        <w:spacing w:line="400" w:lineRule="exact"/>
        <w:ind w:firstLine="420"/>
        <w:rPr>
          <w:rFonts w:hint="default" w:ascii="宋体" w:hAnsi="宋体" w:cs="宋体"/>
          <w:b/>
          <w:bCs/>
          <w:color w:val="auto"/>
          <w:sz w:val="21"/>
          <w:szCs w:val="21"/>
          <w:highlight w:val="none"/>
          <w:lang w:val="en-US"/>
        </w:rPr>
      </w:pPr>
      <w:r>
        <w:rPr>
          <w:rFonts w:hint="eastAsia" w:ascii="宋体" w:hAnsi="宋体" w:cs="宋体"/>
          <w:b/>
          <w:bCs/>
          <w:color w:val="auto"/>
          <w:sz w:val="21"/>
          <w:szCs w:val="21"/>
          <w:highlight w:val="none"/>
        </w:rPr>
        <w:t>⑤供应商具有2026年以来任意1个月为以上项目经理、技术负责人、专职安全生产管理人员、施工员、质量员、材料员缴纳的社保证明材料或供应商与其签订的有效劳动合同</w:t>
      </w:r>
      <w:r>
        <w:rPr>
          <w:rFonts w:hint="eastAsia" w:ascii="宋体" w:hAnsi="宋体" w:cs="宋体"/>
          <w:b/>
          <w:bCs/>
          <w:color w:val="auto"/>
          <w:sz w:val="21"/>
          <w:szCs w:val="21"/>
          <w:highlight w:val="none"/>
          <w:lang w:eastAsia="zh-CN"/>
        </w:rPr>
        <w:t>复印件。</w:t>
      </w:r>
    </w:p>
    <w:p w14:paraId="1FFC88EC">
      <w:pPr>
        <w:tabs>
          <w:tab w:val="left" w:pos="1305"/>
        </w:tabs>
        <w:spacing w:line="360" w:lineRule="exact"/>
        <w:ind w:firstLine="422"/>
        <w:rPr>
          <w:rFonts w:hint="eastAsia" w:ascii="宋体" w:hAnsi="宋体" w:eastAsia="宋体" w:cs="宋体"/>
          <w:b/>
          <w:bCs w:val="0"/>
          <w:color w:val="auto"/>
          <w:sz w:val="21"/>
          <w:szCs w:val="21"/>
          <w:highlight w:val="none"/>
          <w:lang w:eastAsia="zh-CN"/>
        </w:rPr>
      </w:pPr>
    </w:p>
    <w:p w14:paraId="361D7FF4">
      <w:pPr>
        <w:snapToGrid w:val="0"/>
        <w:spacing w:before="120" w:beforeLines="50"/>
        <w:ind w:right="480" w:firstLine="480"/>
        <w:jc w:val="left"/>
        <w:rPr>
          <w:rFonts w:ascii="宋体" w:hAnsi="宋体" w:cs="宋体"/>
          <w:color w:val="auto"/>
          <w:szCs w:val="21"/>
          <w:highlight w:val="none"/>
        </w:rPr>
      </w:pPr>
    </w:p>
    <w:p w14:paraId="24C292A7">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5780D06E">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03C8FBE8">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5074B4FE">
      <w:pPr>
        <w:spacing w:line="380" w:lineRule="exact"/>
        <w:ind w:firstLine="0" w:firstLineChars="0"/>
        <w:rPr>
          <w:rFonts w:ascii="宋体" w:hAnsi="宋体" w:cs="宋体"/>
          <w:b/>
          <w:color w:val="auto"/>
          <w:sz w:val="28"/>
          <w:szCs w:val="28"/>
          <w:highlight w:val="none"/>
        </w:rPr>
      </w:pPr>
    </w:p>
    <w:p w14:paraId="28505994">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074593E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3</w:t>
      </w:r>
      <w:r>
        <w:rPr>
          <w:rFonts w:hint="eastAsia" w:ascii="宋体" w:hAnsi="宋体" w:cs="宋体"/>
          <w:b/>
          <w:color w:val="auto"/>
          <w:sz w:val="28"/>
          <w:szCs w:val="28"/>
          <w:highlight w:val="none"/>
        </w:rPr>
        <w:t>）供应商的“承诺函”【①在人员、设备、资金等方面具有相应的履约能力；②未拟派其他在建、已中标（或成交）未开工或已列为其他项目中标（或成交）候选人第一名的建造师作为项目经理（符合桂建管﹝2013﹞17号文及桂建管﹝2016﹞70号</w:t>
      </w:r>
      <w:r>
        <w:rPr>
          <w:rFonts w:hint="eastAsia" w:ascii="宋体" w:hAnsi="宋体" w:cs="宋体"/>
          <w:b/>
          <w:color w:val="auto"/>
          <w:sz w:val="28"/>
          <w:szCs w:val="28"/>
          <w:highlight w:val="none"/>
          <w:lang w:eastAsia="zh-CN"/>
        </w:rPr>
        <w:t>文</w:t>
      </w:r>
      <w:r>
        <w:rPr>
          <w:rFonts w:hint="eastAsia" w:ascii="宋体" w:hAnsi="宋体" w:cs="宋体"/>
          <w:b/>
          <w:color w:val="auto"/>
          <w:sz w:val="28"/>
          <w:szCs w:val="28"/>
          <w:highlight w:val="none"/>
        </w:rPr>
        <w:t>除外）】（必须提供）</w:t>
      </w:r>
    </w:p>
    <w:p w14:paraId="13485931">
      <w:pPr>
        <w:pStyle w:val="26"/>
        <w:spacing w:line="400" w:lineRule="exact"/>
        <w:rPr>
          <w:rFonts w:hAnsi="宋体" w:cs="宋体"/>
          <w:b/>
          <w:color w:val="auto"/>
          <w:sz w:val="32"/>
          <w:szCs w:val="32"/>
          <w:highlight w:val="none"/>
        </w:rPr>
      </w:pPr>
      <w:r>
        <w:rPr>
          <w:rFonts w:hint="eastAsia" w:hAnsi="宋体" w:cs="宋体"/>
          <w:b/>
          <w:color w:val="auto"/>
          <w:sz w:val="32"/>
          <w:szCs w:val="32"/>
          <w:highlight w:val="none"/>
        </w:rPr>
        <w:t>附件</w:t>
      </w:r>
    </w:p>
    <w:p w14:paraId="599276D4">
      <w:pPr>
        <w:pStyle w:val="26"/>
        <w:spacing w:line="400" w:lineRule="exact"/>
        <w:rPr>
          <w:rFonts w:hAnsi="宋体" w:cs="宋体"/>
          <w:b/>
          <w:color w:val="auto"/>
          <w:sz w:val="32"/>
          <w:szCs w:val="32"/>
          <w:highlight w:val="none"/>
        </w:rPr>
      </w:pPr>
    </w:p>
    <w:p w14:paraId="62E58E89">
      <w:pPr>
        <w:pStyle w:val="26"/>
        <w:spacing w:line="400" w:lineRule="exact"/>
        <w:jc w:val="center"/>
        <w:rPr>
          <w:rFonts w:hAnsi="宋体" w:cs="宋体"/>
          <w:b/>
          <w:color w:val="auto"/>
          <w:sz w:val="32"/>
          <w:szCs w:val="32"/>
          <w:highlight w:val="none"/>
        </w:rPr>
      </w:pPr>
      <w:r>
        <w:rPr>
          <w:rFonts w:hint="eastAsia" w:hAnsi="宋体" w:cs="宋体"/>
          <w:b/>
          <w:color w:val="auto"/>
          <w:sz w:val="32"/>
          <w:szCs w:val="32"/>
          <w:highlight w:val="none"/>
        </w:rPr>
        <w:t>承诺函（格式）</w:t>
      </w:r>
    </w:p>
    <w:p w14:paraId="1B9A10B6">
      <w:pPr>
        <w:pStyle w:val="26"/>
        <w:spacing w:line="400" w:lineRule="exact"/>
        <w:jc w:val="center"/>
        <w:rPr>
          <w:rFonts w:hAnsi="宋体" w:cs="宋体"/>
          <w:b/>
          <w:color w:val="auto"/>
          <w:sz w:val="32"/>
          <w:szCs w:val="32"/>
          <w:highlight w:val="none"/>
        </w:rPr>
      </w:pPr>
    </w:p>
    <w:p w14:paraId="007FE206">
      <w:pPr>
        <w:pStyle w:val="26"/>
        <w:spacing w:line="400" w:lineRule="exact"/>
        <w:rPr>
          <w:rFonts w:hAnsi="宋体" w:cs="宋体"/>
          <w:b/>
          <w:color w:val="auto"/>
          <w:sz w:val="21"/>
          <w:highlight w:val="none"/>
        </w:rPr>
      </w:pPr>
      <w:r>
        <w:rPr>
          <w:rFonts w:hint="eastAsia" w:hAnsi="宋体" w:cs="宋体"/>
          <w:b/>
          <w:color w:val="auto"/>
          <w:sz w:val="21"/>
          <w:highlight w:val="none"/>
        </w:rPr>
        <w:t>桂林市田家炳中学：</w:t>
      </w:r>
    </w:p>
    <w:p w14:paraId="450EB3BB">
      <w:pPr>
        <w:pStyle w:val="26"/>
        <w:spacing w:line="400" w:lineRule="exact"/>
        <w:rPr>
          <w:rFonts w:hAnsi="宋体" w:cs="宋体"/>
          <w:b/>
          <w:color w:val="auto"/>
          <w:sz w:val="21"/>
          <w:highlight w:val="none"/>
        </w:rPr>
      </w:pPr>
      <w:r>
        <w:rPr>
          <w:rFonts w:hint="eastAsia" w:hAnsi="宋体" w:cs="宋体"/>
          <w:b/>
          <w:color w:val="auto"/>
          <w:sz w:val="21"/>
          <w:highlight w:val="none"/>
        </w:rPr>
        <w:t xml:space="preserve">    我公司郑重承诺：</w:t>
      </w:r>
    </w:p>
    <w:p w14:paraId="6011E593">
      <w:pPr>
        <w:pStyle w:val="26"/>
        <w:spacing w:line="400" w:lineRule="exact"/>
        <w:rPr>
          <w:rFonts w:hAnsi="宋体" w:cs="宋体"/>
          <w:b/>
          <w:color w:val="auto"/>
          <w:sz w:val="21"/>
          <w:highlight w:val="none"/>
        </w:rPr>
      </w:pPr>
      <w:r>
        <w:rPr>
          <w:rFonts w:hint="eastAsia" w:hAnsi="宋体" w:cs="宋体"/>
          <w:b/>
          <w:color w:val="auto"/>
          <w:sz w:val="21"/>
          <w:highlight w:val="none"/>
        </w:rPr>
        <w:t xml:space="preserve">    （1）我公司在人员、设备、资金等方面具有与</w:t>
      </w:r>
      <w:r>
        <w:rPr>
          <w:rFonts w:hint="eastAsia" w:hAnsi="宋体" w:cs="宋体"/>
          <w:b/>
          <w:color w:val="auto"/>
          <w:sz w:val="21"/>
          <w:highlight w:val="none"/>
          <w:lang w:eastAsia="zh-CN"/>
        </w:rPr>
        <w:t>桂林市田家炳中学球类活动场地改造</w:t>
      </w:r>
      <w:r>
        <w:rPr>
          <w:rFonts w:hint="eastAsia" w:hAnsi="宋体" w:cs="宋体"/>
          <w:b/>
          <w:color w:val="auto"/>
          <w:sz w:val="21"/>
          <w:highlight w:val="none"/>
        </w:rPr>
        <w:t>（GLZC2026-C2-990128-YZLZ）的相应的</w:t>
      </w:r>
      <w:r>
        <w:rPr>
          <w:rFonts w:hint="eastAsia" w:hAnsi="宋体" w:cs="宋体"/>
          <w:b/>
          <w:color w:val="auto"/>
          <w:sz w:val="21"/>
          <w:highlight w:val="none"/>
          <w:lang w:eastAsia="zh-CN"/>
        </w:rPr>
        <w:t>履约</w:t>
      </w:r>
      <w:r>
        <w:rPr>
          <w:rFonts w:hint="eastAsia" w:hAnsi="宋体" w:cs="宋体"/>
          <w:b/>
          <w:color w:val="auto"/>
          <w:sz w:val="21"/>
          <w:highlight w:val="none"/>
        </w:rPr>
        <w:t>能力。</w:t>
      </w:r>
    </w:p>
    <w:p w14:paraId="29A11923">
      <w:pPr>
        <w:pStyle w:val="26"/>
        <w:spacing w:line="400" w:lineRule="exact"/>
        <w:rPr>
          <w:rFonts w:hAnsi="宋体" w:cs="宋体"/>
          <w:b/>
          <w:color w:val="auto"/>
          <w:sz w:val="21"/>
          <w:highlight w:val="none"/>
        </w:rPr>
      </w:pPr>
      <w:r>
        <w:rPr>
          <w:rFonts w:hint="eastAsia" w:hAnsi="宋体" w:cs="宋体"/>
          <w:b/>
          <w:color w:val="auto"/>
          <w:sz w:val="21"/>
          <w:highlight w:val="none"/>
        </w:rPr>
        <w:t xml:space="preserve">    （2）我公司未拟派其他在建、已中标（或成交）未开工或已列为其他项目中标（或成交）候选人第一名的建造师作为项目经理（符合桂建管﹝2013﹞17号文及桂建管﹝2016﹞70号</w:t>
      </w:r>
      <w:r>
        <w:rPr>
          <w:rFonts w:hint="eastAsia" w:hAnsi="宋体" w:cs="宋体"/>
          <w:b/>
          <w:color w:val="auto"/>
          <w:sz w:val="21"/>
          <w:highlight w:val="none"/>
          <w:lang w:eastAsia="zh-CN"/>
        </w:rPr>
        <w:t>文</w:t>
      </w:r>
      <w:r>
        <w:rPr>
          <w:rFonts w:hint="eastAsia" w:hAnsi="宋体" w:cs="宋体"/>
          <w:b/>
          <w:color w:val="auto"/>
          <w:sz w:val="21"/>
          <w:highlight w:val="none"/>
        </w:rPr>
        <w:t>除外）。</w:t>
      </w:r>
    </w:p>
    <w:p w14:paraId="244E1A4D">
      <w:pPr>
        <w:pStyle w:val="26"/>
        <w:spacing w:line="400" w:lineRule="exact"/>
        <w:rPr>
          <w:rFonts w:hAnsi="宋体" w:cs="宋体"/>
          <w:b/>
          <w:color w:val="auto"/>
          <w:sz w:val="21"/>
          <w:highlight w:val="none"/>
        </w:rPr>
      </w:pPr>
      <w:r>
        <w:rPr>
          <w:rFonts w:hint="eastAsia" w:hAnsi="宋体" w:cs="宋体"/>
          <w:color w:val="auto"/>
          <w:sz w:val="21"/>
          <w:highlight w:val="none"/>
        </w:rPr>
        <w:t xml:space="preserve">     </w:t>
      </w:r>
      <w:r>
        <w:rPr>
          <w:rFonts w:hint="eastAsia" w:hAnsi="宋体" w:cs="宋体"/>
          <w:b/>
          <w:color w:val="auto"/>
          <w:sz w:val="21"/>
          <w:highlight w:val="none"/>
        </w:rPr>
        <w:t>我公司对上述承诺承担一切法律责任。</w:t>
      </w:r>
    </w:p>
    <w:p w14:paraId="6353B37E">
      <w:pPr>
        <w:pStyle w:val="26"/>
        <w:spacing w:line="400" w:lineRule="exact"/>
        <w:rPr>
          <w:rFonts w:hAnsi="宋体" w:cs="宋体"/>
          <w:b/>
          <w:color w:val="auto"/>
          <w:sz w:val="32"/>
          <w:szCs w:val="32"/>
          <w:highlight w:val="none"/>
        </w:rPr>
      </w:pPr>
    </w:p>
    <w:p w14:paraId="1D19D978">
      <w:pPr>
        <w:pStyle w:val="26"/>
        <w:spacing w:line="400" w:lineRule="exact"/>
        <w:rPr>
          <w:rFonts w:hAnsi="宋体" w:cs="宋体"/>
          <w:b/>
          <w:color w:val="auto"/>
          <w:sz w:val="32"/>
          <w:szCs w:val="32"/>
          <w:highlight w:val="none"/>
        </w:rPr>
      </w:pPr>
    </w:p>
    <w:p w14:paraId="03B88B44">
      <w:pPr>
        <w:pStyle w:val="26"/>
        <w:spacing w:line="400" w:lineRule="exact"/>
        <w:rPr>
          <w:rFonts w:hAnsi="宋体" w:cs="宋体"/>
          <w:b/>
          <w:color w:val="auto"/>
          <w:sz w:val="32"/>
          <w:szCs w:val="32"/>
          <w:highlight w:val="none"/>
        </w:rPr>
      </w:pPr>
    </w:p>
    <w:p w14:paraId="59C36BCB">
      <w:pPr>
        <w:pStyle w:val="26"/>
        <w:spacing w:line="400" w:lineRule="exact"/>
        <w:rPr>
          <w:rFonts w:hAnsi="宋体" w:cs="宋体"/>
          <w:b/>
          <w:color w:val="auto"/>
          <w:sz w:val="32"/>
          <w:szCs w:val="32"/>
          <w:highlight w:val="none"/>
        </w:rPr>
      </w:pPr>
    </w:p>
    <w:p w14:paraId="390B3E83">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7F69F36A">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1EAC22D2">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4CC088C3">
      <w:pPr>
        <w:pStyle w:val="23"/>
        <w:rPr>
          <w:rFonts w:ascii="宋体" w:hAnsi="宋体" w:cs="宋体"/>
          <w:color w:val="auto"/>
          <w:sz w:val="21"/>
          <w:highlight w:val="none"/>
        </w:rPr>
      </w:pPr>
    </w:p>
    <w:p w14:paraId="114B7CB5">
      <w:pPr>
        <w:pStyle w:val="23"/>
        <w:rPr>
          <w:rFonts w:ascii="宋体" w:hAnsi="宋体" w:cs="宋体"/>
          <w:color w:val="auto"/>
          <w:sz w:val="21"/>
          <w:highlight w:val="none"/>
        </w:rPr>
      </w:pPr>
    </w:p>
    <w:p w14:paraId="17FBD365">
      <w:pPr>
        <w:pStyle w:val="23"/>
        <w:rPr>
          <w:rFonts w:ascii="宋体" w:hAnsi="宋体" w:cs="宋体"/>
          <w:color w:val="auto"/>
          <w:sz w:val="21"/>
          <w:highlight w:val="none"/>
        </w:rPr>
      </w:pPr>
    </w:p>
    <w:p w14:paraId="32E9808A">
      <w:pPr>
        <w:pStyle w:val="23"/>
        <w:rPr>
          <w:rFonts w:ascii="宋体" w:hAnsi="宋体" w:cs="宋体"/>
          <w:color w:val="auto"/>
          <w:sz w:val="21"/>
          <w:highlight w:val="none"/>
        </w:rPr>
      </w:pPr>
    </w:p>
    <w:p w14:paraId="42F50679">
      <w:pPr>
        <w:pStyle w:val="23"/>
        <w:rPr>
          <w:rFonts w:ascii="宋体" w:hAnsi="宋体" w:cs="宋体"/>
          <w:color w:val="auto"/>
          <w:sz w:val="21"/>
          <w:highlight w:val="none"/>
        </w:rPr>
      </w:pPr>
    </w:p>
    <w:p w14:paraId="4D062FB7">
      <w:pPr>
        <w:pStyle w:val="23"/>
        <w:rPr>
          <w:rFonts w:ascii="宋体" w:hAnsi="宋体" w:cs="宋体"/>
          <w:b/>
          <w:color w:val="auto"/>
          <w:sz w:val="21"/>
          <w:szCs w:val="21"/>
          <w:highlight w:val="none"/>
        </w:rPr>
      </w:pPr>
    </w:p>
    <w:p w14:paraId="01615E92">
      <w:pPr>
        <w:pStyle w:val="23"/>
        <w:rPr>
          <w:rFonts w:ascii="宋体" w:hAnsi="宋体" w:cs="宋体"/>
          <w:b/>
          <w:color w:val="auto"/>
          <w:sz w:val="21"/>
          <w:szCs w:val="21"/>
          <w:highlight w:val="none"/>
        </w:rPr>
      </w:pPr>
    </w:p>
    <w:p w14:paraId="0F75A769">
      <w:pPr>
        <w:pStyle w:val="23"/>
        <w:rPr>
          <w:rFonts w:ascii="宋体" w:hAnsi="宋体" w:cs="宋体"/>
          <w:b/>
          <w:color w:val="auto"/>
          <w:sz w:val="21"/>
          <w:szCs w:val="21"/>
          <w:highlight w:val="none"/>
        </w:rPr>
      </w:pPr>
    </w:p>
    <w:p w14:paraId="2FA42C9B">
      <w:pPr>
        <w:pStyle w:val="23"/>
        <w:rPr>
          <w:rFonts w:ascii="宋体" w:hAnsi="宋体" w:cs="宋体"/>
          <w:b/>
          <w:color w:val="auto"/>
          <w:sz w:val="21"/>
          <w:szCs w:val="21"/>
          <w:highlight w:val="none"/>
        </w:rPr>
      </w:pPr>
    </w:p>
    <w:p w14:paraId="485003E6">
      <w:pPr>
        <w:pStyle w:val="23"/>
        <w:rPr>
          <w:rFonts w:ascii="宋体" w:hAnsi="宋体" w:cs="宋体"/>
          <w:b/>
          <w:color w:val="auto"/>
          <w:sz w:val="21"/>
          <w:szCs w:val="21"/>
          <w:highlight w:val="none"/>
        </w:rPr>
      </w:pPr>
    </w:p>
    <w:p w14:paraId="40B2589F">
      <w:pPr>
        <w:pStyle w:val="23"/>
        <w:rPr>
          <w:rFonts w:ascii="宋体" w:hAnsi="宋体" w:cs="宋体"/>
          <w:b/>
          <w:color w:val="auto"/>
          <w:sz w:val="21"/>
          <w:szCs w:val="21"/>
          <w:highlight w:val="none"/>
        </w:rPr>
      </w:pPr>
    </w:p>
    <w:p w14:paraId="14FEA7A0">
      <w:pPr>
        <w:pStyle w:val="23"/>
        <w:rPr>
          <w:rFonts w:ascii="宋体" w:hAnsi="宋体" w:cs="宋体"/>
          <w:b/>
          <w:color w:val="auto"/>
          <w:sz w:val="21"/>
          <w:szCs w:val="21"/>
          <w:highlight w:val="none"/>
        </w:rPr>
      </w:pPr>
    </w:p>
    <w:p w14:paraId="08717321">
      <w:pPr>
        <w:pStyle w:val="23"/>
        <w:rPr>
          <w:rFonts w:ascii="宋体" w:hAnsi="宋体" w:cs="宋体"/>
          <w:b/>
          <w:color w:val="auto"/>
          <w:sz w:val="21"/>
          <w:szCs w:val="21"/>
          <w:highlight w:val="none"/>
        </w:rPr>
      </w:pPr>
    </w:p>
    <w:p w14:paraId="035A6FD7">
      <w:pPr>
        <w:pStyle w:val="23"/>
        <w:rPr>
          <w:rFonts w:ascii="宋体" w:hAnsi="宋体" w:cs="宋体"/>
          <w:b/>
          <w:color w:val="auto"/>
          <w:sz w:val="21"/>
          <w:szCs w:val="21"/>
          <w:highlight w:val="none"/>
        </w:rPr>
      </w:pPr>
    </w:p>
    <w:p w14:paraId="3F813D15">
      <w:pPr>
        <w:pStyle w:val="23"/>
        <w:rPr>
          <w:rFonts w:ascii="宋体" w:hAnsi="宋体" w:cs="宋体"/>
          <w:b/>
          <w:color w:val="auto"/>
          <w:sz w:val="21"/>
          <w:szCs w:val="21"/>
          <w:highlight w:val="none"/>
        </w:rPr>
      </w:pPr>
    </w:p>
    <w:p w14:paraId="5C112E63">
      <w:pPr>
        <w:pStyle w:val="23"/>
        <w:rPr>
          <w:rFonts w:ascii="宋体" w:hAnsi="宋体" w:cs="宋体"/>
          <w:b/>
          <w:color w:val="auto"/>
          <w:sz w:val="21"/>
          <w:szCs w:val="21"/>
          <w:highlight w:val="none"/>
        </w:rPr>
      </w:pPr>
    </w:p>
    <w:p w14:paraId="1A2D6B0D">
      <w:pPr>
        <w:pStyle w:val="23"/>
        <w:rPr>
          <w:rFonts w:ascii="宋体" w:hAnsi="宋体" w:cs="宋体"/>
          <w:b/>
          <w:color w:val="auto"/>
          <w:sz w:val="21"/>
          <w:szCs w:val="21"/>
          <w:highlight w:val="none"/>
        </w:rPr>
      </w:pPr>
    </w:p>
    <w:p w14:paraId="3C20C82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11</w:t>
      </w:r>
      <w:r>
        <w:rPr>
          <w:rFonts w:hint="eastAsia" w:ascii="宋体" w:hAnsi="宋体" w:cs="宋体"/>
          <w:b/>
          <w:color w:val="auto"/>
          <w:sz w:val="28"/>
          <w:szCs w:val="28"/>
          <w:highlight w:val="none"/>
        </w:rPr>
        <w:t>）供应商为小微企业的相关有效证明材料（必须提供）</w:t>
      </w:r>
    </w:p>
    <w:p w14:paraId="50ABE42D">
      <w:pPr>
        <w:pStyle w:val="26"/>
        <w:spacing w:line="400" w:lineRule="exact"/>
        <w:rPr>
          <w:rFonts w:hAnsi="宋体" w:cs="宋体"/>
          <w:b/>
          <w:color w:val="auto"/>
          <w:sz w:val="32"/>
          <w:szCs w:val="32"/>
          <w:highlight w:val="none"/>
        </w:rPr>
      </w:pPr>
      <w:r>
        <w:rPr>
          <w:rFonts w:ascii="宋体" w:hAnsi="宋体" w:cs="宋体"/>
          <w:color w:val="auto"/>
          <w:sz w:val="21"/>
          <w:szCs w:val="21"/>
          <w:highlight w:val="none"/>
        </w:rPr>
        <w:t>注：本项目专门面向</w:t>
      </w:r>
      <w:r>
        <w:rPr>
          <w:rFonts w:hint="eastAsia" w:ascii="宋体" w:hAnsi="宋体" w:cs="宋体"/>
          <w:color w:val="auto"/>
          <w:sz w:val="21"/>
          <w:szCs w:val="21"/>
          <w:highlight w:val="none"/>
        </w:rPr>
        <w:t>小微</w:t>
      </w:r>
      <w:r>
        <w:rPr>
          <w:rFonts w:ascii="宋体" w:hAnsi="宋体" w:cs="宋体"/>
          <w:color w:val="auto"/>
          <w:sz w:val="21"/>
          <w:szCs w:val="21"/>
          <w:highlight w:val="none"/>
        </w:rPr>
        <w:t>企业采购</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供应商须满足《政府采购促进中小企业发展管理办法》</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财库〔2020〕46号</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第二条规定。监狱企业、残疾人福利</w:t>
      </w:r>
      <w:r>
        <w:rPr>
          <w:rFonts w:hint="eastAsia" w:ascii="宋体" w:hAnsi="宋体" w:cs="宋体"/>
          <w:color w:val="auto"/>
          <w:sz w:val="21"/>
          <w:szCs w:val="21"/>
          <w:highlight w:val="none"/>
          <w:lang w:eastAsia="zh-CN"/>
        </w:rPr>
        <w:t>性</w:t>
      </w:r>
      <w:r>
        <w:rPr>
          <w:rFonts w:ascii="宋体" w:hAnsi="宋体" w:cs="宋体"/>
          <w:color w:val="auto"/>
          <w:sz w:val="21"/>
          <w:szCs w:val="21"/>
          <w:highlight w:val="none"/>
        </w:rPr>
        <w:t>单位视同小型、微型企业。供应商根据自身情况，相应提供以下证明材料：</w:t>
      </w:r>
      <w:r>
        <w:rPr>
          <w:rFonts w:hint="eastAsia" w:ascii="宋体" w:hAnsi="宋体" w:cs="宋体"/>
          <w:color w:val="auto"/>
          <w:sz w:val="21"/>
          <w:szCs w:val="21"/>
          <w:highlight w:val="none"/>
        </w:rPr>
        <w:t>①</w:t>
      </w:r>
      <w:r>
        <w:rPr>
          <w:rFonts w:ascii="宋体" w:hAnsi="宋体" w:cs="宋体"/>
          <w:color w:val="auto"/>
          <w:sz w:val="21"/>
          <w:szCs w:val="21"/>
          <w:highlight w:val="none"/>
        </w:rPr>
        <w:t>供应商如为符合政策要求的</w:t>
      </w:r>
      <w:r>
        <w:rPr>
          <w:rFonts w:hint="eastAsia" w:ascii="宋体" w:hAnsi="宋体" w:cs="宋体"/>
          <w:color w:val="auto"/>
          <w:sz w:val="21"/>
          <w:szCs w:val="21"/>
          <w:highlight w:val="none"/>
        </w:rPr>
        <w:t>小微</w:t>
      </w:r>
      <w:r>
        <w:rPr>
          <w:rFonts w:ascii="宋体" w:hAnsi="宋体" w:cs="宋体"/>
          <w:color w:val="auto"/>
          <w:sz w:val="21"/>
          <w:szCs w:val="21"/>
          <w:highlight w:val="none"/>
        </w:rPr>
        <w:t>企业且承接本项目全部工程的，提供《中小企业声明函》。</w:t>
      </w:r>
      <w:r>
        <w:rPr>
          <w:rFonts w:hint="eastAsia" w:ascii="宋体" w:hAnsi="宋体" w:cs="宋体"/>
          <w:color w:val="auto"/>
          <w:sz w:val="21"/>
          <w:szCs w:val="21"/>
          <w:highlight w:val="none"/>
        </w:rPr>
        <w:t>②</w:t>
      </w:r>
      <w:r>
        <w:rPr>
          <w:rFonts w:ascii="宋体" w:hAnsi="宋体" w:cs="宋体"/>
          <w:color w:val="auto"/>
          <w:sz w:val="21"/>
          <w:szCs w:val="21"/>
          <w:highlight w:val="none"/>
        </w:rPr>
        <w:t>供应商如属于监狱企业且承接本项目全部工程的，提供由省级以上监狱管理局、戒毒管理局</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含新疆生产建设兵团</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出具的属于监狱企业的证明文件。</w:t>
      </w:r>
      <w:r>
        <w:rPr>
          <w:rFonts w:hint="eastAsia" w:ascii="宋体" w:hAnsi="宋体" w:cs="宋体"/>
          <w:color w:val="auto"/>
          <w:sz w:val="21"/>
          <w:szCs w:val="21"/>
          <w:highlight w:val="none"/>
        </w:rPr>
        <w:t>③</w:t>
      </w:r>
      <w:r>
        <w:rPr>
          <w:rFonts w:ascii="宋体" w:hAnsi="宋体" w:cs="宋体"/>
          <w:color w:val="auto"/>
          <w:sz w:val="21"/>
          <w:szCs w:val="21"/>
          <w:highlight w:val="none"/>
        </w:rPr>
        <w:t>供应商如属于符合条件的残疾人福利性单位且承接本项目全部工程的，提供《残疾人福利性单位声明函》（并对声明的真实性负责）</w:t>
      </w:r>
      <w:r>
        <w:rPr>
          <w:rFonts w:hint="eastAsia" w:ascii="宋体" w:hAnsi="宋体" w:cs="宋体"/>
          <w:bCs/>
          <w:color w:val="auto"/>
          <w:sz w:val="21"/>
          <w:szCs w:val="21"/>
          <w:highlight w:val="none"/>
        </w:rPr>
        <w:t>；</w:t>
      </w:r>
    </w:p>
    <w:p w14:paraId="6D5D61EB">
      <w:pPr>
        <w:pStyle w:val="26"/>
        <w:spacing w:line="400" w:lineRule="exact"/>
        <w:rPr>
          <w:rFonts w:hAnsi="宋体" w:cs="宋体"/>
          <w:b/>
          <w:color w:val="auto"/>
          <w:szCs w:val="24"/>
          <w:highlight w:val="none"/>
        </w:rPr>
      </w:pPr>
      <w:r>
        <w:rPr>
          <w:rFonts w:hint="eastAsia" w:hAnsi="宋体" w:cs="宋体"/>
          <w:b/>
          <w:color w:val="auto"/>
          <w:szCs w:val="24"/>
          <w:highlight w:val="none"/>
        </w:rPr>
        <w:t>附件</w:t>
      </w:r>
    </w:p>
    <w:p w14:paraId="328270D4">
      <w:pPr>
        <w:pStyle w:val="43"/>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512F439D">
      <w:pPr>
        <w:ind w:firstLine="480"/>
        <w:rPr>
          <w:bCs/>
          <w:color w:val="auto"/>
          <w:highlight w:val="none"/>
        </w:rPr>
      </w:pPr>
      <w:r>
        <w:rPr>
          <w:bCs/>
          <w:color w:val="auto"/>
          <w:highlight w:val="none"/>
        </w:rPr>
        <w:t>本公司郑重声明，根据《政府采购促进中小企业发展管理办法》（财库﹝2020﹞46号）的规定，本公司参加</w:t>
      </w:r>
      <w:r>
        <w:rPr>
          <w:bCs/>
          <w:color w:val="auto"/>
          <w:highlight w:val="none"/>
          <w:u w:val="single"/>
        </w:rPr>
        <w:t>（单位名称）</w:t>
      </w:r>
      <w:r>
        <w:rPr>
          <w:bCs/>
          <w:color w:val="auto"/>
          <w:highlight w:val="none"/>
        </w:rPr>
        <w:t>的</w:t>
      </w:r>
      <w:r>
        <w:rPr>
          <w:bCs/>
          <w:color w:val="auto"/>
          <w:highlight w:val="none"/>
          <w:u w:val="single"/>
        </w:rPr>
        <w:t>（项目名称）</w:t>
      </w:r>
      <w:r>
        <w:rPr>
          <w:bCs/>
          <w:color w:val="auto"/>
          <w:highlight w:val="none"/>
        </w:rPr>
        <w:t>采购活动，工程的施工单位全部为符合政策要求的</w:t>
      </w:r>
      <w:r>
        <w:rPr>
          <w:rFonts w:hint="eastAsia"/>
          <w:bCs/>
          <w:color w:val="auto"/>
          <w:highlight w:val="none"/>
        </w:rPr>
        <w:t>小微</w:t>
      </w:r>
      <w:r>
        <w:rPr>
          <w:bCs/>
          <w:color w:val="auto"/>
          <w:highlight w:val="none"/>
        </w:rPr>
        <w:t>企业。相关企业的具体情况如下：</w:t>
      </w:r>
    </w:p>
    <w:p w14:paraId="1D41CCA2">
      <w:pPr>
        <w:ind w:firstLine="480"/>
        <w:rPr>
          <w:bCs/>
          <w:color w:val="auto"/>
          <w:highlight w:val="none"/>
        </w:rPr>
      </w:pPr>
      <w:r>
        <w:rPr>
          <w:bCs/>
          <w:color w:val="auto"/>
          <w:highlight w:val="none"/>
        </w:rPr>
        <w:t>1.</w:t>
      </w:r>
      <w:r>
        <w:rPr>
          <w:rFonts w:hint="eastAsia" w:ascii="宋体" w:hAnsi="宋体" w:cs="宋体"/>
          <w:color w:val="auto"/>
          <w:sz w:val="21"/>
          <w:szCs w:val="24"/>
          <w:highlight w:val="none"/>
        </w:rPr>
        <w:t xml:space="preserve"> </w:t>
      </w:r>
      <w:r>
        <w:rPr>
          <w:rFonts w:hint="eastAsia"/>
          <w:bCs/>
          <w:color w:val="auto"/>
          <w:highlight w:val="none"/>
          <w:u w:val="single"/>
        </w:rPr>
        <w:t>桂林市田家炳中学球类活动场地改造</w:t>
      </w:r>
      <w:r>
        <w:rPr>
          <w:rFonts w:hint="eastAsia"/>
          <w:bCs/>
          <w:color w:val="auto"/>
          <w:highlight w:val="none"/>
        </w:rPr>
        <w:t>，属于</w:t>
      </w:r>
      <w:r>
        <w:rPr>
          <w:rFonts w:hint="eastAsia"/>
          <w:bCs/>
          <w:color w:val="auto"/>
          <w:highlight w:val="none"/>
          <w:u w:val="single"/>
        </w:rPr>
        <w:t>建筑</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（小型企业、微型企业）</w:t>
      </w:r>
      <w:r>
        <w:rPr>
          <w:rFonts w:hint="eastAsia"/>
          <w:bCs/>
          <w:color w:val="auto"/>
          <w:highlight w:val="none"/>
        </w:rPr>
        <w:t>；</w:t>
      </w:r>
    </w:p>
    <w:p w14:paraId="00541A3A">
      <w:pPr>
        <w:ind w:firstLine="480"/>
        <w:rPr>
          <w:bCs/>
          <w:color w:val="auto"/>
          <w:highlight w:val="none"/>
        </w:rPr>
      </w:pPr>
    </w:p>
    <w:p w14:paraId="357EDF77">
      <w:pPr>
        <w:ind w:firstLine="480"/>
        <w:rPr>
          <w:bCs/>
          <w:color w:val="auto"/>
          <w:highlight w:val="none"/>
        </w:rPr>
      </w:pPr>
      <w:r>
        <w:rPr>
          <w:rFonts w:hint="eastAsia"/>
          <w:bCs/>
          <w:color w:val="auto"/>
          <w:highlight w:val="none"/>
        </w:rPr>
        <w:t xml:space="preserve">…… </w:t>
      </w:r>
    </w:p>
    <w:p w14:paraId="5F4F9B24">
      <w:pPr>
        <w:ind w:firstLine="48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0BFFA42D">
      <w:pPr>
        <w:ind w:firstLine="480"/>
        <w:rPr>
          <w:bCs/>
          <w:color w:val="auto"/>
          <w:highlight w:val="none"/>
        </w:rPr>
      </w:pPr>
      <w:r>
        <w:rPr>
          <w:rFonts w:hint="eastAsia"/>
          <w:bCs/>
          <w:color w:val="auto"/>
          <w:highlight w:val="none"/>
        </w:rPr>
        <w:t>本企业对上述声明内容的真实性负责。如有虚假，将依法承担相应责任。</w:t>
      </w:r>
    </w:p>
    <w:p w14:paraId="6949FBA2">
      <w:pPr>
        <w:ind w:firstLine="3600" w:firstLineChars="1500"/>
        <w:rPr>
          <w:bCs/>
          <w:color w:val="auto"/>
          <w:highlight w:val="none"/>
        </w:rPr>
      </w:pPr>
    </w:p>
    <w:p w14:paraId="564752E9">
      <w:pPr>
        <w:ind w:firstLine="3600" w:firstLineChars="1500"/>
        <w:rPr>
          <w:bCs/>
          <w:color w:val="auto"/>
          <w:highlight w:val="none"/>
        </w:rPr>
      </w:pPr>
      <w:r>
        <w:rPr>
          <w:rFonts w:hint="eastAsia"/>
          <w:bCs/>
          <w:color w:val="auto"/>
          <w:highlight w:val="none"/>
        </w:rPr>
        <w:t>企业名称（</w:t>
      </w:r>
      <w:r>
        <w:rPr>
          <w:rFonts w:hint="eastAsia" w:ascii="宋体" w:hAnsi="宋体"/>
          <w:color w:val="auto"/>
          <w:spacing w:val="6"/>
          <w:highlight w:val="none"/>
        </w:rPr>
        <w:t>盖</w:t>
      </w:r>
      <w:r>
        <w:rPr>
          <w:rFonts w:hint="eastAsia" w:ascii="宋体" w:hAnsi="宋体"/>
          <w:color w:val="auto"/>
          <w:spacing w:val="6"/>
          <w:highlight w:val="none"/>
          <w:lang w:eastAsia="zh-CN"/>
        </w:rPr>
        <w:t>供应商</w:t>
      </w:r>
      <w:r>
        <w:rPr>
          <w:rFonts w:hint="eastAsia" w:ascii="宋体" w:hAnsi="宋体"/>
          <w:color w:val="auto"/>
          <w:spacing w:val="6"/>
          <w:highlight w:val="none"/>
        </w:rPr>
        <w:t>电子签章</w:t>
      </w:r>
      <w:r>
        <w:rPr>
          <w:rFonts w:hint="eastAsia"/>
          <w:bCs/>
          <w:color w:val="auto"/>
          <w:highlight w:val="none"/>
        </w:rPr>
        <w:t>）：</w:t>
      </w:r>
    </w:p>
    <w:p w14:paraId="0944A56A">
      <w:pPr>
        <w:ind w:firstLine="3600" w:firstLineChars="1500"/>
        <w:rPr>
          <w:bCs/>
          <w:color w:val="auto"/>
          <w:highlight w:val="none"/>
        </w:rPr>
      </w:pPr>
      <w:r>
        <w:rPr>
          <w:rFonts w:hint="eastAsia"/>
          <w:bCs/>
          <w:color w:val="auto"/>
          <w:highlight w:val="none"/>
        </w:rPr>
        <w:t>日期：</w:t>
      </w:r>
    </w:p>
    <w:p w14:paraId="298A9526">
      <w:pPr>
        <w:spacing w:line="320" w:lineRule="exact"/>
        <w:ind w:firstLine="420"/>
        <w:jc w:val="left"/>
        <w:rPr>
          <w:bCs/>
          <w:color w:val="auto"/>
          <w:sz w:val="21"/>
          <w:szCs w:val="21"/>
          <w:highlight w:val="none"/>
        </w:rPr>
      </w:pPr>
      <w:r>
        <w:rPr>
          <w:rFonts w:hint="eastAsia"/>
          <w:bCs/>
          <w:color w:val="auto"/>
          <w:sz w:val="21"/>
          <w:szCs w:val="21"/>
          <w:highlight w:val="none"/>
        </w:rPr>
        <w:t>注：</w:t>
      </w:r>
    </w:p>
    <w:p w14:paraId="44888AC7">
      <w:pPr>
        <w:spacing w:line="320" w:lineRule="exact"/>
        <w:ind w:firstLine="420"/>
        <w:jc w:val="left"/>
        <w:rPr>
          <w:bCs/>
          <w:color w:val="auto"/>
          <w:sz w:val="21"/>
          <w:szCs w:val="21"/>
          <w:highlight w:val="none"/>
        </w:rPr>
      </w:pPr>
      <w:r>
        <w:rPr>
          <w:rFonts w:hint="eastAsia"/>
          <w:bCs/>
          <w:color w:val="auto"/>
          <w:sz w:val="21"/>
          <w:szCs w:val="21"/>
          <w:highlight w:val="none"/>
        </w:rPr>
        <w:t>1.从业人员、营业收入、资产总额填报上一年度数据，无上一年度数据的新成立企业可不填报。</w:t>
      </w:r>
    </w:p>
    <w:p w14:paraId="4540C212">
      <w:pPr>
        <w:spacing w:line="320" w:lineRule="exact"/>
        <w:ind w:firstLine="420"/>
        <w:jc w:val="left"/>
        <w:rPr>
          <w:bCs/>
          <w:color w:val="auto"/>
          <w:sz w:val="21"/>
          <w:szCs w:val="21"/>
          <w:highlight w:val="none"/>
        </w:rPr>
      </w:pPr>
      <w:r>
        <w:rPr>
          <w:rFonts w:hint="eastAsia"/>
          <w:bCs/>
          <w:color w:val="auto"/>
          <w:sz w:val="21"/>
          <w:szCs w:val="21"/>
          <w:highlight w:val="none"/>
        </w:rPr>
        <w:t>2.小微企业在政府采购活动过程中，请根据自己的真实情况出具本声明函。依法享受中小企业优惠政策的，采购人或采购代理机构在公告成交结果时，同时公告其《中小企业声明函》，接受社会监督。</w:t>
      </w:r>
    </w:p>
    <w:p w14:paraId="1F0093CC">
      <w:pPr>
        <w:pStyle w:val="23"/>
        <w:rPr>
          <w:rFonts w:ascii="宋体" w:hAnsi="宋体" w:cs="宋体"/>
          <w:b/>
          <w:color w:val="auto"/>
          <w:sz w:val="21"/>
          <w:szCs w:val="21"/>
          <w:highlight w:val="none"/>
        </w:rPr>
      </w:pPr>
      <w:r>
        <w:rPr>
          <w:color w:val="auto"/>
          <w:highlight w:val="none"/>
        </w:rPr>
        <w:br w:type="page"/>
      </w:r>
    </w:p>
    <w:p w14:paraId="3BEF62AB">
      <w:p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12</w:t>
      </w:r>
      <w:r>
        <w:rPr>
          <w:rFonts w:hint="eastAsia" w:ascii="宋体" w:hAnsi="宋体" w:cs="宋体"/>
          <w:b/>
          <w:color w:val="auto"/>
          <w:sz w:val="28"/>
          <w:szCs w:val="28"/>
          <w:highlight w:val="none"/>
        </w:rPr>
        <w:t>）供应商参加政府采购活动前3年内在经营活动中没有重大违法记录及有关信用信息的书面声明或专项信用报告（必须提供）</w:t>
      </w:r>
    </w:p>
    <w:p w14:paraId="69A91BFA">
      <w:pPr>
        <w:spacing w:line="400" w:lineRule="exact"/>
        <w:ind w:firstLine="199" w:firstLineChars="62"/>
        <w:rPr>
          <w:rFonts w:ascii="宋体" w:hAnsi="宋体" w:cs="宋体"/>
          <w:b/>
          <w:color w:val="auto"/>
          <w:kern w:val="0"/>
          <w:sz w:val="32"/>
          <w:szCs w:val="32"/>
          <w:highlight w:val="none"/>
        </w:rPr>
      </w:pPr>
    </w:p>
    <w:p w14:paraId="17A32834">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694A1952">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5ABA5519">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395F9904">
      <w:pPr>
        <w:spacing w:line="240" w:lineRule="auto"/>
        <w:ind w:firstLine="0" w:firstLineChars="0"/>
        <w:rPr>
          <w:rFonts w:ascii="宋体" w:hAnsi="宋体" w:cs="宋体"/>
          <w:color w:val="auto"/>
          <w:kern w:val="0"/>
          <w:sz w:val="21"/>
          <w:szCs w:val="24"/>
          <w:highlight w:val="none"/>
        </w:rPr>
      </w:pPr>
    </w:p>
    <w:p w14:paraId="237E0EBD">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6082BCC">
      <w:pPr>
        <w:spacing w:line="400" w:lineRule="exact"/>
        <w:ind w:firstLine="420"/>
        <w:rPr>
          <w:rFonts w:ascii="宋体" w:hAnsi="宋体" w:cs="宋体"/>
          <w:color w:val="auto"/>
          <w:kern w:val="0"/>
          <w:sz w:val="21"/>
          <w:szCs w:val="20"/>
          <w:highlight w:val="none"/>
        </w:rPr>
      </w:pPr>
    </w:p>
    <w:p w14:paraId="7285015B">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r>
        <w:rPr>
          <w:rFonts w:hint="eastAsia" w:ascii="宋体" w:hAnsi="宋体" w:cs="宋体"/>
          <w:color w:val="auto"/>
          <w:sz w:val="21"/>
          <w:szCs w:val="21"/>
          <w:highlight w:val="none"/>
        </w:rPr>
        <w:t>：</w:t>
      </w:r>
    </w:p>
    <w:p w14:paraId="7391EE80">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40779AD0">
      <w:pPr>
        <w:pStyle w:val="23"/>
        <w:ind w:left="0"/>
        <w:rPr>
          <w:rFonts w:ascii="宋体" w:hAnsi="宋体" w:cs="宋体"/>
          <w:color w:val="auto"/>
          <w:kern w:val="2"/>
          <w:sz w:val="21"/>
          <w:highlight w:val="none"/>
        </w:rPr>
      </w:pPr>
      <w:r>
        <w:rPr>
          <w:rFonts w:hint="eastAsia" w:ascii="宋体" w:hAnsi="宋体" w:cs="宋体"/>
          <w:color w:val="auto"/>
          <w:kern w:val="2"/>
          <w:sz w:val="21"/>
          <w:highlight w:val="none"/>
        </w:rPr>
        <w:t>日          期：</w:t>
      </w:r>
    </w:p>
    <w:p w14:paraId="477AF035">
      <w:pPr>
        <w:pStyle w:val="23"/>
        <w:ind w:left="0"/>
        <w:rPr>
          <w:rFonts w:ascii="宋体" w:hAnsi="宋体" w:cs="宋体"/>
          <w:color w:val="auto"/>
          <w:kern w:val="2"/>
          <w:sz w:val="21"/>
          <w:highlight w:val="none"/>
        </w:rPr>
      </w:pPr>
    </w:p>
    <w:p w14:paraId="525E0881">
      <w:pPr>
        <w:pStyle w:val="23"/>
        <w:ind w:left="0"/>
        <w:rPr>
          <w:rFonts w:ascii="宋体" w:hAnsi="宋体" w:cs="宋体"/>
          <w:color w:val="auto"/>
          <w:kern w:val="2"/>
          <w:sz w:val="21"/>
          <w:highlight w:val="none"/>
        </w:rPr>
      </w:pPr>
    </w:p>
    <w:p w14:paraId="7C79223D">
      <w:pPr>
        <w:pStyle w:val="23"/>
        <w:ind w:left="0"/>
        <w:rPr>
          <w:rFonts w:ascii="宋体" w:hAnsi="宋体" w:cs="宋体"/>
          <w:color w:val="auto"/>
          <w:kern w:val="2"/>
          <w:sz w:val="21"/>
          <w:highlight w:val="none"/>
        </w:rPr>
      </w:pPr>
    </w:p>
    <w:p w14:paraId="4E237525">
      <w:pPr>
        <w:pStyle w:val="23"/>
        <w:ind w:left="0"/>
        <w:rPr>
          <w:rFonts w:ascii="宋体" w:hAnsi="宋体" w:cs="宋体"/>
          <w:color w:val="auto"/>
          <w:kern w:val="2"/>
          <w:sz w:val="21"/>
          <w:highlight w:val="none"/>
        </w:rPr>
      </w:pPr>
    </w:p>
    <w:p w14:paraId="4151F75D">
      <w:pPr>
        <w:spacing w:line="40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注：供应商为广西经营主体的，可通过信用中国</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广西</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 xml:space="preserve">网站 </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http://xygx.fgw.gxzf.gov.cn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根据注册地信用中国网站的要求获取。</w:t>
      </w:r>
    </w:p>
    <w:p w14:paraId="008B8C59">
      <w:pPr>
        <w:pStyle w:val="23"/>
        <w:ind w:left="0"/>
        <w:rPr>
          <w:color w:val="auto"/>
          <w:highlight w:val="none"/>
        </w:rPr>
      </w:pPr>
    </w:p>
    <w:p w14:paraId="0493D27B">
      <w:pPr>
        <w:widowControl/>
        <w:spacing w:line="240" w:lineRule="auto"/>
        <w:ind w:firstLine="0" w:firstLineChars="0"/>
        <w:jc w:val="left"/>
        <w:rPr>
          <w:rFonts w:ascii="宋体" w:hAnsi="宋体" w:cs="宋体"/>
          <w:b/>
          <w:color w:val="auto"/>
          <w:kern w:val="0"/>
          <w:sz w:val="21"/>
          <w:szCs w:val="21"/>
          <w:highlight w:val="none"/>
        </w:rPr>
      </w:pPr>
      <w:r>
        <w:rPr>
          <w:rFonts w:ascii="宋体" w:hAnsi="宋体" w:cs="宋体"/>
          <w:b/>
          <w:color w:val="auto"/>
          <w:sz w:val="21"/>
          <w:szCs w:val="21"/>
          <w:highlight w:val="none"/>
        </w:rPr>
        <w:br w:type="page"/>
      </w:r>
    </w:p>
    <w:p w14:paraId="4507AA82">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2.商务证明文件</w:t>
      </w:r>
    </w:p>
    <w:p w14:paraId="5225260D">
      <w:pPr>
        <w:pStyle w:val="26"/>
        <w:spacing w:line="320" w:lineRule="exact"/>
        <w:rPr>
          <w:rFonts w:hAnsi="宋体" w:cs="宋体"/>
          <w:b/>
          <w:color w:val="auto"/>
          <w:sz w:val="21"/>
          <w:highlight w:val="none"/>
        </w:rPr>
      </w:pPr>
    </w:p>
    <w:p w14:paraId="76319EFB">
      <w:pPr>
        <w:pStyle w:val="26"/>
        <w:spacing w:line="500" w:lineRule="exact"/>
        <w:rPr>
          <w:rFonts w:hAnsi="宋体" w:cs="宋体"/>
          <w:b/>
          <w:color w:val="auto"/>
          <w:sz w:val="21"/>
          <w:highlight w:val="none"/>
        </w:rPr>
      </w:pPr>
      <w:r>
        <w:rPr>
          <w:rFonts w:hint="eastAsia" w:hAnsi="宋体" w:cs="宋体"/>
          <w:b/>
          <w:color w:val="auto"/>
          <w:sz w:val="21"/>
          <w:highlight w:val="none"/>
        </w:rPr>
        <w:t>（1）供应商必须按要求提供“</w:t>
      </w:r>
      <w:r>
        <w:rPr>
          <w:rFonts w:hint="eastAsia" w:hAnsi="宋体" w:cs="宋体"/>
          <w:b/>
          <w:color w:val="auto"/>
          <w:sz w:val="21"/>
          <w:highlight w:val="none"/>
          <w:lang w:eastAsia="zh-CN"/>
        </w:rPr>
        <w:t>技术及商务要求响应表</w:t>
      </w:r>
      <w:r>
        <w:rPr>
          <w:rFonts w:hint="eastAsia" w:hAnsi="宋体" w:cs="宋体"/>
          <w:b/>
          <w:color w:val="auto"/>
          <w:sz w:val="21"/>
          <w:highlight w:val="none"/>
        </w:rPr>
        <w:t>”（必须提供）</w:t>
      </w:r>
    </w:p>
    <w:p w14:paraId="68ACF05A">
      <w:pPr>
        <w:pStyle w:val="26"/>
        <w:spacing w:line="500" w:lineRule="exact"/>
        <w:rPr>
          <w:rFonts w:hAnsi="宋体" w:cs="宋体"/>
          <w:b/>
          <w:color w:val="auto"/>
          <w:sz w:val="21"/>
          <w:highlight w:val="none"/>
        </w:rPr>
      </w:pPr>
      <w:r>
        <w:rPr>
          <w:rFonts w:hint="eastAsia" w:hAnsi="宋体" w:cs="宋体"/>
          <w:b/>
          <w:color w:val="auto"/>
          <w:sz w:val="21"/>
          <w:highlight w:val="none"/>
        </w:rPr>
        <w:t>（2）供应商必须按格式填写“工程报价汇总表”（必须提供）</w:t>
      </w:r>
    </w:p>
    <w:p w14:paraId="4D8D9F8F">
      <w:pPr>
        <w:pStyle w:val="26"/>
        <w:spacing w:line="500" w:lineRule="exact"/>
        <w:rPr>
          <w:rFonts w:hAnsi="宋体" w:cs="宋体"/>
          <w:b/>
          <w:color w:val="auto"/>
          <w:sz w:val="21"/>
          <w:highlight w:val="none"/>
        </w:rPr>
      </w:pPr>
      <w:r>
        <w:rPr>
          <w:rFonts w:hint="eastAsia" w:hAnsi="宋体" w:cs="宋体"/>
          <w:b/>
          <w:color w:val="auto"/>
          <w:sz w:val="21"/>
          <w:highlight w:val="none"/>
        </w:rPr>
        <w:t>（3）供应商必须按要求提供“工程量清单报价表”（必须提供）</w:t>
      </w:r>
    </w:p>
    <w:p w14:paraId="4D2F1C3F">
      <w:pPr>
        <w:pStyle w:val="26"/>
        <w:spacing w:line="500" w:lineRule="exact"/>
        <w:rPr>
          <w:rFonts w:hAnsi="宋体" w:cs="宋体"/>
          <w:color w:val="auto"/>
          <w:sz w:val="21"/>
          <w:highlight w:val="none"/>
        </w:rPr>
      </w:pPr>
      <w:r>
        <w:rPr>
          <w:rFonts w:hint="eastAsia" w:hAnsi="宋体" w:cs="宋体"/>
          <w:color w:val="auto"/>
          <w:sz w:val="21"/>
          <w:highlight w:val="none"/>
        </w:rPr>
        <w:t>（4）</w:t>
      </w:r>
      <w:r>
        <w:rPr>
          <w:rFonts w:hint="eastAsia" w:ascii="宋体" w:hAnsi="宋体" w:cs="宋体"/>
          <w:bCs/>
          <w:color w:val="auto"/>
          <w:sz w:val="21"/>
          <w:szCs w:val="21"/>
          <w:highlight w:val="none"/>
        </w:rPr>
        <w:t>供应商202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年1月1日以来承建或经竣工验收的</w:t>
      </w:r>
      <w:r>
        <w:rPr>
          <w:rFonts w:hint="eastAsia" w:ascii="宋体" w:hAnsi="宋体" w:cs="宋体"/>
          <w:bCs/>
          <w:color w:val="auto"/>
          <w:sz w:val="21"/>
          <w:szCs w:val="21"/>
          <w:highlight w:val="none"/>
          <w:lang w:eastAsia="zh-CN"/>
        </w:rPr>
        <w:t>类似工程业绩的相关证</w:t>
      </w:r>
      <w:r>
        <w:rPr>
          <w:rFonts w:hint="eastAsia" w:ascii="宋体" w:hAnsi="宋体" w:cs="宋体"/>
          <w:bCs/>
          <w:color w:val="auto"/>
          <w:sz w:val="21"/>
          <w:szCs w:val="21"/>
          <w:highlight w:val="none"/>
        </w:rPr>
        <w:t>明材料</w:t>
      </w:r>
      <w:r>
        <w:rPr>
          <w:rFonts w:hint="eastAsia" w:hAnsi="宋体" w:cs="宋体"/>
          <w:color w:val="auto"/>
          <w:sz w:val="21"/>
          <w:highlight w:val="none"/>
        </w:rPr>
        <w:t>（如有，请提供）</w:t>
      </w:r>
    </w:p>
    <w:p w14:paraId="235B7AEC">
      <w:pPr>
        <w:pStyle w:val="26"/>
        <w:spacing w:line="500" w:lineRule="exact"/>
        <w:rPr>
          <w:rFonts w:hAnsi="宋体" w:cs="宋体"/>
          <w:color w:val="auto"/>
          <w:sz w:val="21"/>
          <w:highlight w:val="none"/>
        </w:rPr>
      </w:pPr>
      <w:r>
        <w:rPr>
          <w:rFonts w:hint="eastAsia" w:hAnsi="宋体" w:cs="宋体"/>
          <w:color w:val="auto"/>
          <w:sz w:val="21"/>
          <w:highlight w:val="none"/>
        </w:rPr>
        <w:t>（5）供应商相关获奖证书、认证证书等（如有，请提供）</w:t>
      </w:r>
    </w:p>
    <w:p w14:paraId="07878801">
      <w:pPr>
        <w:pStyle w:val="26"/>
        <w:spacing w:line="500" w:lineRule="exact"/>
        <w:rPr>
          <w:rFonts w:hAnsi="宋体" w:cs="宋体"/>
          <w:color w:val="auto"/>
          <w:sz w:val="21"/>
          <w:highlight w:val="none"/>
        </w:rPr>
      </w:pPr>
      <w:r>
        <w:rPr>
          <w:rFonts w:hint="eastAsia" w:hAnsi="宋体" w:cs="宋体"/>
          <w:color w:val="auto"/>
          <w:sz w:val="21"/>
          <w:highlight w:val="none"/>
        </w:rPr>
        <w:t>（6）供应商可结合本项目的评审办法视自身情况自行提交相关证明材料（如有，请提供）</w:t>
      </w:r>
    </w:p>
    <w:p w14:paraId="757940C9">
      <w:pPr>
        <w:pStyle w:val="23"/>
        <w:rPr>
          <w:rFonts w:ascii="宋体" w:hAnsi="宋体" w:cs="宋体"/>
          <w:b/>
          <w:color w:val="auto"/>
          <w:sz w:val="21"/>
          <w:szCs w:val="21"/>
          <w:highlight w:val="none"/>
        </w:rPr>
      </w:pPr>
    </w:p>
    <w:p w14:paraId="47B76896">
      <w:pPr>
        <w:pStyle w:val="23"/>
        <w:rPr>
          <w:rFonts w:ascii="宋体" w:hAnsi="宋体" w:cs="宋体"/>
          <w:b/>
          <w:color w:val="auto"/>
          <w:sz w:val="21"/>
          <w:szCs w:val="21"/>
          <w:highlight w:val="none"/>
        </w:rPr>
      </w:pPr>
    </w:p>
    <w:p w14:paraId="62342F36">
      <w:pPr>
        <w:pStyle w:val="23"/>
        <w:rPr>
          <w:rFonts w:ascii="宋体" w:hAnsi="宋体" w:cs="宋体"/>
          <w:b/>
          <w:color w:val="auto"/>
          <w:sz w:val="21"/>
          <w:szCs w:val="21"/>
          <w:highlight w:val="none"/>
        </w:rPr>
      </w:pPr>
    </w:p>
    <w:p w14:paraId="070419F7">
      <w:pPr>
        <w:pStyle w:val="23"/>
        <w:rPr>
          <w:rFonts w:ascii="宋体" w:hAnsi="宋体" w:cs="宋体"/>
          <w:b/>
          <w:color w:val="auto"/>
          <w:sz w:val="21"/>
          <w:szCs w:val="21"/>
          <w:highlight w:val="none"/>
        </w:rPr>
      </w:pPr>
    </w:p>
    <w:p w14:paraId="4364C90F">
      <w:pPr>
        <w:pStyle w:val="23"/>
        <w:rPr>
          <w:rFonts w:ascii="宋体" w:hAnsi="宋体" w:cs="宋体"/>
          <w:b/>
          <w:color w:val="auto"/>
          <w:sz w:val="21"/>
          <w:szCs w:val="21"/>
          <w:highlight w:val="none"/>
        </w:rPr>
      </w:pPr>
    </w:p>
    <w:p w14:paraId="0C82245C">
      <w:pPr>
        <w:pStyle w:val="23"/>
        <w:rPr>
          <w:rFonts w:ascii="宋体" w:hAnsi="宋体" w:cs="宋体"/>
          <w:b/>
          <w:color w:val="auto"/>
          <w:sz w:val="21"/>
          <w:szCs w:val="21"/>
          <w:highlight w:val="none"/>
        </w:rPr>
      </w:pPr>
    </w:p>
    <w:p w14:paraId="77B9A414">
      <w:pPr>
        <w:pStyle w:val="23"/>
        <w:rPr>
          <w:rFonts w:ascii="宋体" w:hAnsi="宋体" w:cs="宋体"/>
          <w:b/>
          <w:color w:val="auto"/>
          <w:sz w:val="21"/>
          <w:szCs w:val="21"/>
          <w:highlight w:val="none"/>
        </w:rPr>
      </w:pPr>
    </w:p>
    <w:p w14:paraId="27D8781F">
      <w:pPr>
        <w:pStyle w:val="23"/>
        <w:rPr>
          <w:rFonts w:ascii="宋体" w:hAnsi="宋体" w:cs="宋体"/>
          <w:b/>
          <w:color w:val="auto"/>
          <w:sz w:val="21"/>
          <w:szCs w:val="21"/>
          <w:highlight w:val="none"/>
        </w:rPr>
      </w:pPr>
    </w:p>
    <w:p w14:paraId="3685039F">
      <w:pPr>
        <w:pStyle w:val="23"/>
        <w:rPr>
          <w:rFonts w:ascii="宋体" w:hAnsi="宋体" w:cs="宋体"/>
          <w:b/>
          <w:color w:val="auto"/>
          <w:sz w:val="21"/>
          <w:szCs w:val="21"/>
          <w:highlight w:val="none"/>
        </w:rPr>
      </w:pPr>
    </w:p>
    <w:p w14:paraId="27E8B3BE">
      <w:pPr>
        <w:pStyle w:val="23"/>
        <w:rPr>
          <w:rFonts w:ascii="宋体" w:hAnsi="宋体" w:cs="宋体"/>
          <w:b/>
          <w:color w:val="auto"/>
          <w:sz w:val="21"/>
          <w:szCs w:val="21"/>
          <w:highlight w:val="none"/>
        </w:rPr>
      </w:pPr>
    </w:p>
    <w:p w14:paraId="254456B8">
      <w:pPr>
        <w:pStyle w:val="23"/>
        <w:rPr>
          <w:rFonts w:ascii="宋体" w:hAnsi="宋体" w:cs="宋体"/>
          <w:b/>
          <w:color w:val="auto"/>
          <w:sz w:val="21"/>
          <w:szCs w:val="21"/>
          <w:highlight w:val="none"/>
        </w:rPr>
      </w:pPr>
    </w:p>
    <w:p w14:paraId="49BF8A63">
      <w:pPr>
        <w:pStyle w:val="23"/>
        <w:rPr>
          <w:rFonts w:ascii="宋体" w:hAnsi="宋体" w:cs="宋体"/>
          <w:b/>
          <w:color w:val="auto"/>
          <w:sz w:val="21"/>
          <w:szCs w:val="21"/>
          <w:highlight w:val="none"/>
        </w:rPr>
      </w:pPr>
    </w:p>
    <w:p w14:paraId="542CE4FC">
      <w:pPr>
        <w:pStyle w:val="23"/>
        <w:rPr>
          <w:rFonts w:ascii="宋体" w:hAnsi="宋体" w:cs="宋体"/>
          <w:b/>
          <w:color w:val="auto"/>
          <w:sz w:val="21"/>
          <w:szCs w:val="21"/>
          <w:highlight w:val="none"/>
        </w:rPr>
      </w:pPr>
    </w:p>
    <w:p w14:paraId="59597C66">
      <w:pPr>
        <w:pStyle w:val="23"/>
        <w:rPr>
          <w:rFonts w:ascii="宋体" w:hAnsi="宋体" w:cs="宋体"/>
          <w:b/>
          <w:color w:val="auto"/>
          <w:sz w:val="21"/>
          <w:szCs w:val="21"/>
          <w:highlight w:val="none"/>
        </w:rPr>
      </w:pPr>
    </w:p>
    <w:p w14:paraId="590641A0">
      <w:pPr>
        <w:pStyle w:val="23"/>
        <w:rPr>
          <w:rFonts w:ascii="宋体" w:hAnsi="宋体" w:cs="宋体"/>
          <w:b/>
          <w:color w:val="auto"/>
          <w:sz w:val="21"/>
          <w:szCs w:val="21"/>
          <w:highlight w:val="none"/>
        </w:rPr>
      </w:pPr>
    </w:p>
    <w:p w14:paraId="60107888">
      <w:pPr>
        <w:pStyle w:val="23"/>
        <w:rPr>
          <w:rFonts w:ascii="宋体" w:hAnsi="宋体" w:cs="宋体"/>
          <w:b/>
          <w:color w:val="auto"/>
          <w:sz w:val="21"/>
          <w:szCs w:val="21"/>
          <w:highlight w:val="none"/>
        </w:rPr>
      </w:pPr>
    </w:p>
    <w:p w14:paraId="72ECD856">
      <w:pPr>
        <w:pStyle w:val="23"/>
        <w:rPr>
          <w:rFonts w:ascii="宋体" w:hAnsi="宋体" w:cs="宋体"/>
          <w:b/>
          <w:color w:val="auto"/>
          <w:sz w:val="21"/>
          <w:szCs w:val="21"/>
          <w:highlight w:val="none"/>
        </w:rPr>
      </w:pPr>
    </w:p>
    <w:p w14:paraId="033460C5">
      <w:pPr>
        <w:pStyle w:val="23"/>
        <w:rPr>
          <w:rFonts w:ascii="宋体" w:hAnsi="宋体" w:cs="宋体"/>
          <w:b/>
          <w:color w:val="auto"/>
          <w:sz w:val="21"/>
          <w:szCs w:val="21"/>
          <w:highlight w:val="none"/>
        </w:rPr>
      </w:pPr>
    </w:p>
    <w:p w14:paraId="0B710D0F">
      <w:pPr>
        <w:pStyle w:val="23"/>
        <w:rPr>
          <w:rFonts w:ascii="宋体" w:hAnsi="宋体" w:cs="宋体"/>
          <w:b/>
          <w:color w:val="auto"/>
          <w:sz w:val="21"/>
          <w:szCs w:val="21"/>
          <w:highlight w:val="none"/>
        </w:rPr>
      </w:pPr>
    </w:p>
    <w:p w14:paraId="0B0EA15E">
      <w:pPr>
        <w:pStyle w:val="23"/>
        <w:rPr>
          <w:rFonts w:ascii="宋体" w:hAnsi="宋体" w:cs="宋体"/>
          <w:b/>
          <w:color w:val="auto"/>
          <w:sz w:val="21"/>
          <w:szCs w:val="21"/>
          <w:highlight w:val="none"/>
        </w:rPr>
      </w:pPr>
    </w:p>
    <w:p w14:paraId="4B513DFF">
      <w:pPr>
        <w:pStyle w:val="23"/>
        <w:rPr>
          <w:rFonts w:ascii="宋体" w:hAnsi="宋体" w:cs="宋体"/>
          <w:b/>
          <w:color w:val="auto"/>
          <w:sz w:val="21"/>
          <w:szCs w:val="21"/>
          <w:highlight w:val="none"/>
        </w:rPr>
      </w:pPr>
    </w:p>
    <w:p w14:paraId="06C44CB0">
      <w:pPr>
        <w:pStyle w:val="23"/>
        <w:rPr>
          <w:rFonts w:ascii="宋体" w:hAnsi="宋体" w:cs="宋体"/>
          <w:b/>
          <w:color w:val="auto"/>
          <w:sz w:val="21"/>
          <w:szCs w:val="21"/>
          <w:highlight w:val="none"/>
        </w:rPr>
      </w:pPr>
    </w:p>
    <w:p w14:paraId="33BEC1D9">
      <w:pPr>
        <w:pStyle w:val="23"/>
        <w:rPr>
          <w:rFonts w:ascii="宋体" w:hAnsi="宋体" w:cs="宋体"/>
          <w:b/>
          <w:color w:val="auto"/>
          <w:sz w:val="21"/>
          <w:szCs w:val="21"/>
          <w:highlight w:val="none"/>
        </w:rPr>
      </w:pPr>
    </w:p>
    <w:p w14:paraId="381F675E">
      <w:pPr>
        <w:pStyle w:val="23"/>
        <w:rPr>
          <w:rFonts w:ascii="宋体" w:hAnsi="宋体" w:cs="宋体"/>
          <w:b/>
          <w:color w:val="auto"/>
          <w:sz w:val="21"/>
          <w:szCs w:val="21"/>
          <w:highlight w:val="none"/>
        </w:rPr>
      </w:pPr>
    </w:p>
    <w:p w14:paraId="27CD4A35">
      <w:pPr>
        <w:pStyle w:val="23"/>
        <w:rPr>
          <w:rFonts w:ascii="宋体" w:hAnsi="宋体" w:cs="宋体"/>
          <w:b/>
          <w:color w:val="auto"/>
          <w:sz w:val="21"/>
          <w:szCs w:val="21"/>
          <w:highlight w:val="none"/>
        </w:rPr>
      </w:pPr>
    </w:p>
    <w:p w14:paraId="09A48A8E">
      <w:pPr>
        <w:pStyle w:val="23"/>
        <w:rPr>
          <w:rFonts w:ascii="宋体" w:hAnsi="宋体" w:cs="宋体"/>
          <w:b/>
          <w:color w:val="auto"/>
          <w:sz w:val="21"/>
          <w:szCs w:val="21"/>
          <w:highlight w:val="none"/>
        </w:rPr>
      </w:pPr>
    </w:p>
    <w:p w14:paraId="08641F03">
      <w:pPr>
        <w:pStyle w:val="23"/>
        <w:rPr>
          <w:rFonts w:ascii="宋体" w:hAnsi="宋体" w:cs="宋体"/>
          <w:b/>
          <w:color w:val="auto"/>
          <w:sz w:val="21"/>
          <w:szCs w:val="21"/>
          <w:highlight w:val="none"/>
        </w:rPr>
      </w:pPr>
    </w:p>
    <w:p w14:paraId="04067D20">
      <w:pPr>
        <w:pStyle w:val="23"/>
        <w:rPr>
          <w:rFonts w:ascii="宋体" w:hAnsi="宋体" w:cs="宋体"/>
          <w:b/>
          <w:color w:val="auto"/>
          <w:sz w:val="21"/>
          <w:szCs w:val="21"/>
          <w:highlight w:val="none"/>
        </w:rPr>
      </w:pPr>
    </w:p>
    <w:p w14:paraId="07FAEF99">
      <w:pPr>
        <w:pStyle w:val="23"/>
        <w:rPr>
          <w:rFonts w:ascii="宋体" w:hAnsi="宋体" w:cs="宋体"/>
          <w:b/>
          <w:color w:val="auto"/>
          <w:sz w:val="21"/>
          <w:szCs w:val="21"/>
          <w:highlight w:val="none"/>
        </w:rPr>
      </w:pPr>
    </w:p>
    <w:p w14:paraId="40C6722F">
      <w:pPr>
        <w:pStyle w:val="23"/>
        <w:rPr>
          <w:rFonts w:ascii="宋体" w:hAnsi="宋体" w:cs="宋体"/>
          <w:b/>
          <w:color w:val="auto"/>
          <w:sz w:val="21"/>
          <w:szCs w:val="21"/>
          <w:highlight w:val="none"/>
        </w:rPr>
      </w:pPr>
    </w:p>
    <w:p w14:paraId="1817585B">
      <w:pPr>
        <w:pStyle w:val="23"/>
        <w:rPr>
          <w:rFonts w:ascii="宋体" w:hAnsi="宋体" w:cs="宋体"/>
          <w:b/>
          <w:color w:val="auto"/>
          <w:sz w:val="21"/>
          <w:szCs w:val="21"/>
          <w:highlight w:val="none"/>
        </w:rPr>
      </w:pPr>
    </w:p>
    <w:p w14:paraId="52A56862">
      <w:pPr>
        <w:pStyle w:val="23"/>
        <w:rPr>
          <w:rFonts w:ascii="宋体" w:hAnsi="宋体" w:cs="宋体"/>
          <w:b/>
          <w:color w:val="auto"/>
          <w:sz w:val="21"/>
          <w:szCs w:val="21"/>
          <w:highlight w:val="none"/>
        </w:rPr>
      </w:pPr>
    </w:p>
    <w:p w14:paraId="2EA262D3">
      <w:pPr>
        <w:pStyle w:val="23"/>
        <w:rPr>
          <w:rFonts w:ascii="宋体" w:hAnsi="宋体" w:cs="宋体"/>
          <w:b/>
          <w:color w:val="auto"/>
          <w:sz w:val="21"/>
          <w:szCs w:val="21"/>
          <w:highlight w:val="none"/>
        </w:rPr>
      </w:pPr>
    </w:p>
    <w:p w14:paraId="0443D02C">
      <w:pPr>
        <w:pStyle w:val="23"/>
        <w:rPr>
          <w:rFonts w:ascii="宋体" w:hAnsi="宋体" w:cs="宋体"/>
          <w:b/>
          <w:color w:val="auto"/>
          <w:sz w:val="21"/>
          <w:szCs w:val="21"/>
          <w:highlight w:val="none"/>
        </w:rPr>
      </w:pPr>
    </w:p>
    <w:p w14:paraId="26B60FB9">
      <w:pPr>
        <w:pStyle w:val="23"/>
        <w:rPr>
          <w:rFonts w:ascii="宋体" w:hAnsi="宋体" w:cs="宋体"/>
          <w:b/>
          <w:color w:val="auto"/>
          <w:sz w:val="21"/>
          <w:szCs w:val="21"/>
          <w:highlight w:val="none"/>
        </w:rPr>
      </w:pPr>
    </w:p>
    <w:p w14:paraId="3185E23B">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（1）供应商必须按要求提供“</w:t>
      </w:r>
      <w:r>
        <w:rPr>
          <w:rFonts w:hint="eastAsia" w:hAnsi="宋体" w:cs="宋体"/>
          <w:b/>
          <w:color w:val="auto"/>
          <w:sz w:val="28"/>
          <w:szCs w:val="28"/>
          <w:highlight w:val="none"/>
          <w:lang w:eastAsia="zh-CN"/>
        </w:rPr>
        <w:t>技术及商务要求响应表</w:t>
      </w:r>
      <w:r>
        <w:rPr>
          <w:rFonts w:hint="eastAsia" w:hAnsi="宋体" w:cs="宋体"/>
          <w:b/>
          <w:color w:val="auto"/>
          <w:sz w:val="28"/>
          <w:szCs w:val="28"/>
          <w:highlight w:val="none"/>
        </w:rPr>
        <w:t>”（必须提供）</w:t>
      </w:r>
    </w:p>
    <w:p w14:paraId="7844C9D9">
      <w:pPr>
        <w:widowControl/>
        <w:ind w:firstLine="562"/>
        <w:jc w:val="center"/>
        <w:rPr>
          <w:rFonts w:ascii="宋体" w:hAnsi="宋体" w:cs="宋体"/>
          <w:b/>
          <w:color w:val="auto"/>
          <w:sz w:val="28"/>
          <w:szCs w:val="28"/>
          <w:highlight w:val="none"/>
        </w:rPr>
      </w:pPr>
    </w:p>
    <w:p w14:paraId="02007090">
      <w:pPr>
        <w:widowControl/>
        <w:ind w:firstLine="562"/>
        <w:jc w:val="center"/>
        <w:rPr>
          <w:rFonts w:hint="eastAsia" w:ascii="宋体" w:hAnsi="宋体" w:eastAsia="宋体" w:cs="宋体"/>
          <w:b/>
          <w:color w:val="auto"/>
          <w:sz w:val="28"/>
          <w:szCs w:val="28"/>
          <w:highlight w:val="none"/>
          <w:lang w:eastAsia="zh-CN"/>
        </w:rPr>
      </w:pPr>
      <w:r>
        <w:rPr>
          <w:rFonts w:hint="eastAsia" w:ascii="宋体" w:hAnsi="宋体" w:cs="宋体"/>
          <w:b/>
          <w:color w:val="auto"/>
          <w:sz w:val="28"/>
          <w:szCs w:val="28"/>
          <w:highlight w:val="none"/>
          <w:lang w:eastAsia="zh-CN"/>
        </w:rPr>
        <w:t>技术及商务要求响应表</w:t>
      </w:r>
    </w:p>
    <w:p w14:paraId="02ED974F">
      <w:pPr>
        <w:widowControl/>
        <w:jc w:val="left"/>
        <w:rPr>
          <w:rFonts w:hint="eastAsia" w:ascii="宋体" w:hAnsi="宋体" w:cs="宋体"/>
          <w:b/>
          <w:color w:val="auto"/>
          <w:sz w:val="28"/>
          <w:szCs w:val="28"/>
          <w:highlight w:val="none"/>
        </w:rPr>
      </w:pPr>
      <w:r>
        <w:rPr>
          <w:rFonts w:hint="eastAsia" w:ascii="宋体" w:hAnsi="宋体" w:cs="宋体"/>
          <w:b/>
          <w:color w:val="auto"/>
          <w:sz w:val="28"/>
          <w:szCs w:val="28"/>
          <w:highlight w:val="none"/>
        </w:rPr>
        <w:t>桂林市田家炳中学球类活动场地改造1项</w:t>
      </w:r>
    </w:p>
    <w:tbl>
      <w:tblPr>
        <w:tblStyle w:val="48"/>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128"/>
        <w:gridCol w:w="34"/>
        <w:gridCol w:w="3988"/>
      </w:tblGrid>
      <w:tr w14:paraId="510F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65EAF8FC">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条款</w:t>
            </w:r>
          </w:p>
        </w:tc>
        <w:tc>
          <w:tcPr>
            <w:tcW w:w="1746" w:type="pct"/>
            <w:gridSpan w:val="2"/>
            <w:tcBorders>
              <w:top w:val="single" w:color="auto" w:sz="4" w:space="0"/>
              <w:left w:val="single" w:color="auto" w:sz="4" w:space="0"/>
              <w:bottom w:val="single" w:color="auto" w:sz="4" w:space="0"/>
              <w:right w:val="single" w:color="auto" w:sz="4" w:space="0"/>
            </w:tcBorders>
            <w:vAlign w:val="center"/>
          </w:tcPr>
          <w:p w14:paraId="025ECFFE">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第三章采购需求中的要求</w:t>
            </w:r>
            <w:r>
              <w:rPr>
                <w:rFonts w:ascii="宋体" w:hAnsi="宋体"/>
                <w:color w:val="auto"/>
                <w:szCs w:val="24"/>
                <w:highlight w:val="none"/>
              </w:rPr>
              <w:t xml:space="preserve"> </w:t>
            </w:r>
          </w:p>
        </w:tc>
        <w:tc>
          <w:tcPr>
            <w:tcW w:w="2200" w:type="pct"/>
            <w:tcBorders>
              <w:top w:val="single" w:color="auto" w:sz="4" w:space="0"/>
              <w:left w:val="single" w:color="auto" w:sz="4" w:space="0"/>
              <w:bottom w:val="single" w:color="auto" w:sz="4" w:space="0"/>
              <w:right w:val="single" w:color="auto" w:sz="4" w:space="0"/>
            </w:tcBorders>
            <w:vAlign w:val="center"/>
          </w:tcPr>
          <w:p w14:paraId="0A5DF1BC">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响应情况</w:t>
            </w:r>
          </w:p>
        </w:tc>
      </w:tr>
      <w:tr w14:paraId="7982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59969F1">
            <w:pPr>
              <w:snapToGrid w:val="0"/>
              <w:spacing w:before="50" w:line="240" w:lineRule="auto"/>
              <w:ind w:firstLine="0" w:firstLineChars="0"/>
              <w:jc w:val="left"/>
              <w:rPr>
                <w:rFonts w:hint="eastAsia" w:ascii="宋体" w:hAnsi="宋体" w:eastAsia="宋体" w:cs="Times New Roman"/>
                <w:color w:val="auto"/>
                <w:szCs w:val="24"/>
                <w:highlight w:val="none"/>
                <w:lang w:eastAsia="zh-CN"/>
              </w:rPr>
            </w:pPr>
            <w:r>
              <w:rPr>
                <w:rFonts w:hint="eastAsia" w:ascii="宋体" w:hAnsi="宋体" w:eastAsia="宋体" w:cs="Times New Roman"/>
                <w:color w:val="auto"/>
                <w:szCs w:val="24"/>
                <w:highlight w:val="none"/>
              </w:rPr>
              <w:t>一、</w:t>
            </w:r>
            <w:r>
              <w:rPr>
                <w:rFonts w:hint="eastAsia" w:ascii="宋体" w:hAnsi="宋体" w:eastAsia="宋体" w:cs="Times New Roman"/>
                <w:color w:val="auto"/>
                <w:szCs w:val="24"/>
                <w:highlight w:val="none"/>
                <w:lang w:eastAsia="zh-CN"/>
              </w:rPr>
              <w:t>技术要求</w:t>
            </w:r>
          </w:p>
        </w:tc>
      </w:tr>
      <w:tr w14:paraId="230F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11E0BEF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一</w:t>
            </w:r>
            <w:r>
              <w:rPr>
                <w:rFonts w:hint="eastAsia" w:ascii="宋体" w:hAnsi="宋体" w:eastAsia="宋体" w:cs="Times New Roman"/>
                <w:color w:val="auto"/>
                <w:szCs w:val="24"/>
                <w:highlight w:val="none"/>
              </w:rPr>
              <w:t>）工程内容</w:t>
            </w:r>
          </w:p>
        </w:tc>
        <w:tc>
          <w:tcPr>
            <w:tcW w:w="1727" w:type="pct"/>
            <w:tcBorders>
              <w:top w:val="single" w:color="auto" w:sz="4" w:space="0"/>
              <w:left w:val="single" w:color="auto" w:sz="4" w:space="0"/>
              <w:bottom w:val="single" w:color="auto" w:sz="4" w:space="0"/>
              <w:right w:val="single" w:color="auto" w:sz="4" w:space="0"/>
            </w:tcBorders>
            <w:vAlign w:val="center"/>
          </w:tcPr>
          <w:p w14:paraId="760B1E9C">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3A243CE">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1EC4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2907859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eastAsia="zh-CN"/>
              </w:rPr>
              <w:t>（二）技术标准和要求</w:t>
            </w:r>
          </w:p>
        </w:tc>
        <w:tc>
          <w:tcPr>
            <w:tcW w:w="1727" w:type="pct"/>
            <w:tcBorders>
              <w:top w:val="single" w:color="auto" w:sz="4" w:space="0"/>
              <w:left w:val="single" w:color="auto" w:sz="4" w:space="0"/>
              <w:bottom w:val="single" w:color="auto" w:sz="4" w:space="0"/>
              <w:right w:val="single" w:color="auto" w:sz="4" w:space="0"/>
            </w:tcBorders>
            <w:vAlign w:val="center"/>
          </w:tcPr>
          <w:p w14:paraId="34F7060D">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7B593B5F">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3EC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5FAE3A50">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eastAsia="zh-CN"/>
              </w:rPr>
              <w:t>（三）产品技术要求</w:t>
            </w:r>
          </w:p>
        </w:tc>
        <w:tc>
          <w:tcPr>
            <w:tcW w:w="1727" w:type="pct"/>
            <w:tcBorders>
              <w:top w:val="single" w:color="auto" w:sz="4" w:space="0"/>
              <w:left w:val="single" w:color="auto" w:sz="4" w:space="0"/>
              <w:bottom w:val="single" w:color="auto" w:sz="4" w:space="0"/>
              <w:right w:val="single" w:color="auto" w:sz="4" w:space="0"/>
            </w:tcBorders>
            <w:vAlign w:val="center"/>
          </w:tcPr>
          <w:p w14:paraId="7598B37B">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4126FCA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F76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DA814D4">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四</w:t>
            </w: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其他技术服务</w:t>
            </w:r>
            <w:r>
              <w:rPr>
                <w:rFonts w:hint="eastAsia" w:ascii="宋体" w:hAnsi="宋体" w:eastAsia="宋体" w:cs="Times New Roman"/>
                <w:color w:val="auto"/>
                <w:szCs w:val="24"/>
                <w:highlight w:val="none"/>
              </w:rPr>
              <w:t>要求</w:t>
            </w:r>
          </w:p>
        </w:tc>
        <w:tc>
          <w:tcPr>
            <w:tcW w:w="1727" w:type="pct"/>
            <w:tcBorders>
              <w:top w:val="single" w:color="auto" w:sz="4" w:space="0"/>
              <w:left w:val="single" w:color="auto" w:sz="4" w:space="0"/>
              <w:bottom w:val="single" w:color="auto" w:sz="4" w:space="0"/>
              <w:right w:val="single" w:color="auto" w:sz="4" w:space="0"/>
            </w:tcBorders>
            <w:vAlign w:val="center"/>
          </w:tcPr>
          <w:p w14:paraId="74F4C9E0">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44B7A76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FAB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6705CF9">
            <w:pPr>
              <w:snapToGrid w:val="0"/>
              <w:spacing w:before="50" w:line="240" w:lineRule="auto"/>
              <w:ind w:firstLine="0" w:firstLineChars="0"/>
              <w:jc w:val="left"/>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二、商务要求</w:t>
            </w:r>
          </w:p>
        </w:tc>
      </w:tr>
      <w:tr w14:paraId="1AC5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52A6DD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（一）项目工期</w:t>
            </w:r>
          </w:p>
        </w:tc>
        <w:tc>
          <w:tcPr>
            <w:tcW w:w="1727" w:type="pct"/>
            <w:tcBorders>
              <w:top w:val="single" w:color="auto" w:sz="4" w:space="0"/>
              <w:left w:val="single" w:color="auto" w:sz="4" w:space="0"/>
              <w:bottom w:val="single" w:color="auto" w:sz="4" w:space="0"/>
              <w:right w:val="single" w:color="auto" w:sz="4" w:space="0"/>
            </w:tcBorders>
            <w:vAlign w:val="center"/>
          </w:tcPr>
          <w:p w14:paraId="07C509F5">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D1BB39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36E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604E36F">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（二）安全责任</w:t>
            </w:r>
          </w:p>
        </w:tc>
        <w:tc>
          <w:tcPr>
            <w:tcW w:w="1727" w:type="pct"/>
            <w:tcBorders>
              <w:top w:val="single" w:color="auto" w:sz="4" w:space="0"/>
              <w:left w:val="single" w:color="auto" w:sz="4" w:space="0"/>
              <w:bottom w:val="single" w:color="auto" w:sz="4" w:space="0"/>
              <w:right w:val="single" w:color="auto" w:sz="4" w:space="0"/>
            </w:tcBorders>
            <w:vAlign w:val="center"/>
          </w:tcPr>
          <w:p w14:paraId="7495FC27">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38F75469">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6FD7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27D237F">
            <w:pPr>
              <w:snapToGrid w:val="0"/>
              <w:spacing w:before="50" w:line="240" w:lineRule="auto"/>
              <w:ind w:firstLine="0" w:firstLineChars="0"/>
              <w:jc w:val="center"/>
              <w:rPr>
                <w:rFonts w:hint="eastAsia" w:ascii="宋体" w:hAnsi="宋体" w:eastAsia="宋体" w:cs="Times New Roman"/>
                <w:color w:val="auto"/>
                <w:szCs w:val="24"/>
                <w:highlight w:val="none"/>
                <w:lang w:eastAsia="zh-CN"/>
              </w:rPr>
            </w:pPr>
            <w:r>
              <w:rPr>
                <w:rFonts w:hint="eastAsia" w:ascii="宋体" w:hAnsi="宋体" w:eastAsia="宋体" w:cs="Times New Roman"/>
                <w:color w:val="auto"/>
                <w:szCs w:val="24"/>
                <w:highlight w:val="none"/>
              </w:rPr>
              <w:t>（三）工程质</w:t>
            </w:r>
            <w:r>
              <w:rPr>
                <w:rFonts w:hint="eastAsia" w:ascii="宋体" w:hAnsi="宋体" w:cs="Times New Roman"/>
                <w:color w:val="auto"/>
                <w:szCs w:val="24"/>
                <w:highlight w:val="none"/>
                <w:lang w:eastAsia="zh-CN"/>
              </w:rPr>
              <w:t>量保修</w:t>
            </w:r>
          </w:p>
        </w:tc>
        <w:tc>
          <w:tcPr>
            <w:tcW w:w="1727" w:type="pct"/>
            <w:tcBorders>
              <w:top w:val="single" w:color="auto" w:sz="4" w:space="0"/>
              <w:left w:val="single" w:color="auto" w:sz="4" w:space="0"/>
              <w:bottom w:val="single" w:color="auto" w:sz="4" w:space="0"/>
              <w:right w:val="single" w:color="auto" w:sz="4" w:space="0"/>
            </w:tcBorders>
            <w:vAlign w:val="center"/>
          </w:tcPr>
          <w:p w14:paraId="05C7820D">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51D4E811">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83D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F6CAA70">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（四）验收标准</w:t>
            </w:r>
          </w:p>
        </w:tc>
        <w:tc>
          <w:tcPr>
            <w:tcW w:w="1727" w:type="pct"/>
            <w:tcBorders>
              <w:top w:val="single" w:color="auto" w:sz="4" w:space="0"/>
              <w:left w:val="single" w:color="auto" w:sz="4" w:space="0"/>
              <w:bottom w:val="single" w:color="auto" w:sz="4" w:space="0"/>
              <w:right w:val="single" w:color="auto" w:sz="4" w:space="0"/>
            </w:tcBorders>
            <w:vAlign w:val="center"/>
          </w:tcPr>
          <w:p w14:paraId="46D35A09">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3531F2D2">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6E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060CDDA">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（五）磋商报价</w:t>
            </w:r>
          </w:p>
        </w:tc>
        <w:tc>
          <w:tcPr>
            <w:tcW w:w="1727" w:type="pct"/>
            <w:tcBorders>
              <w:top w:val="single" w:color="auto" w:sz="4" w:space="0"/>
              <w:left w:val="single" w:color="auto" w:sz="4" w:space="0"/>
              <w:bottom w:val="single" w:color="auto" w:sz="4" w:space="0"/>
              <w:right w:val="single" w:color="auto" w:sz="4" w:space="0"/>
            </w:tcBorders>
            <w:vAlign w:val="center"/>
          </w:tcPr>
          <w:p w14:paraId="5CC5EA40">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FB89316">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2D6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B3A843F">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（六）付款方式</w:t>
            </w:r>
          </w:p>
        </w:tc>
        <w:tc>
          <w:tcPr>
            <w:tcW w:w="1727" w:type="pct"/>
            <w:tcBorders>
              <w:top w:val="single" w:color="auto" w:sz="4" w:space="0"/>
              <w:left w:val="single" w:color="auto" w:sz="4" w:space="0"/>
              <w:bottom w:val="single" w:color="auto" w:sz="4" w:space="0"/>
              <w:right w:val="single" w:color="auto" w:sz="4" w:space="0"/>
            </w:tcBorders>
            <w:vAlign w:val="center"/>
          </w:tcPr>
          <w:p w14:paraId="4EF039A1">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70DFC009">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34AB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1CE87786">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（七）其他要求</w:t>
            </w:r>
          </w:p>
        </w:tc>
        <w:tc>
          <w:tcPr>
            <w:tcW w:w="1727" w:type="pct"/>
            <w:tcBorders>
              <w:top w:val="single" w:color="auto" w:sz="4" w:space="0"/>
              <w:left w:val="single" w:color="auto" w:sz="4" w:space="0"/>
              <w:bottom w:val="single" w:color="auto" w:sz="4" w:space="0"/>
              <w:right w:val="single" w:color="auto" w:sz="4" w:space="0"/>
            </w:tcBorders>
            <w:vAlign w:val="center"/>
          </w:tcPr>
          <w:p w14:paraId="1D3E0555">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6F5F4373">
            <w:pPr>
              <w:snapToGrid w:val="0"/>
              <w:spacing w:before="50" w:line="240" w:lineRule="auto"/>
              <w:ind w:firstLine="0" w:firstLineChars="0"/>
              <w:jc w:val="left"/>
              <w:rPr>
                <w:rFonts w:hint="eastAsia" w:ascii="宋体" w:hAnsi="宋体" w:eastAsia="宋体" w:cs="Times New Roman"/>
                <w:color w:val="auto"/>
                <w:szCs w:val="24"/>
                <w:highlight w:val="none"/>
              </w:rPr>
            </w:pPr>
          </w:p>
        </w:tc>
      </w:tr>
    </w:tbl>
    <w:p w14:paraId="3477A16A">
      <w:pPr>
        <w:ind w:firstLine="0" w:firstLineChars="0"/>
        <w:contextualSpacing/>
        <w:rPr>
          <w:rFonts w:ascii="宋体" w:hAnsi="宋体"/>
          <w:color w:val="auto"/>
          <w:kern w:val="0"/>
          <w:szCs w:val="24"/>
          <w:highlight w:val="none"/>
        </w:rPr>
      </w:pPr>
    </w:p>
    <w:p w14:paraId="6C781FCB">
      <w:pPr>
        <w:ind w:firstLine="0" w:firstLineChars="0"/>
        <w:contextualSpacing/>
        <w:rPr>
          <w:rFonts w:ascii="宋体" w:hAnsi="宋体"/>
          <w:color w:val="auto"/>
          <w:kern w:val="0"/>
          <w:szCs w:val="24"/>
          <w:highlight w:val="none"/>
        </w:rPr>
      </w:pPr>
      <w:r>
        <w:rPr>
          <w:rFonts w:hint="eastAsia" w:ascii="宋体" w:hAnsi="宋体"/>
          <w:color w:val="auto"/>
          <w:kern w:val="0"/>
          <w:szCs w:val="24"/>
          <w:highlight w:val="none"/>
        </w:rPr>
        <w:t>注：应对照磋商文件“第三章 采购需求”中的要求逐条作出明确响应。</w:t>
      </w:r>
    </w:p>
    <w:p w14:paraId="5768A91A">
      <w:pPr>
        <w:ind w:right="-934" w:rightChars="-389" w:firstLine="0" w:firstLineChars="0"/>
        <w:contextualSpacing/>
        <w:rPr>
          <w:rFonts w:ascii="宋体" w:hAnsi="宋体" w:cs="仿宋_GB2312"/>
          <w:color w:val="auto"/>
          <w:szCs w:val="24"/>
          <w:highlight w:val="none"/>
        </w:rPr>
      </w:pPr>
    </w:p>
    <w:p w14:paraId="652C3C1C">
      <w:pPr>
        <w:snapToGrid w:val="0"/>
        <w:spacing w:line="400" w:lineRule="exact"/>
        <w:ind w:firstLine="3120" w:firstLineChars="1300"/>
        <w:rPr>
          <w:rFonts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b/>
          <w:color w:val="auto"/>
          <w:szCs w:val="24"/>
          <w:highlight w:val="none"/>
        </w:rPr>
        <w:t>（电子签章）</w:t>
      </w:r>
      <w:r>
        <w:rPr>
          <w:rFonts w:hint="eastAsia" w:ascii="宋体" w:hAnsi="宋体" w:cs="宋体"/>
          <w:color w:val="auto"/>
          <w:szCs w:val="24"/>
          <w:highlight w:val="none"/>
        </w:rPr>
        <w:t>：</w:t>
      </w:r>
    </w:p>
    <w:p w14:paraId="6D0AED10">
      <w:pPr>
        <w:spacing w:line="340" w:lineRule="exact"/>
        <w:ind w:firstLine="3120" w:firstLineChars="1300"/>
        <w:rPr>
          <w:rFonts w:ascii="宋体" w:hAnsi="宋体" w:cs="宋体"/>
          <w:color w:val="auto"/>
          <w:szCs w:val="24"/>
          <w:highlight w:val="none"/>
        </w:rPr>
      </w:pPr>
      <w:r>
        <w:rPr>
          <w:rFonts w:hint="eastAsia" w:ascii="宋体" w:hAnsi="宋体" w:cs="宋体"/>
          <w:color w:val="auto"/>
          <w:szCs w:val="24"/>
          <w:highlight w:val="none"/>
        </w:rPr>
        <w:t>法定代表人或委托代理人签字</w:t>
      </w:r>
      <w:r>
        <w:rPr>
          <w:rFonts w:hint="eastAsia" w:ascii="宋体" w:hAnsi="宋体" w:cs="宋体"/>
          <w:b/>
          <w:color w:val="auto"/>
          <w:szCs w:val="24"/>
          <w:highlight w:val="none"/>
        </w:rPr>
        <w:t>（或电子签名）</w:t>
      </w:r>
      <w:r>
        <w:rPr>
          <w:rFonts w:hint="eastAsia" w:ascii="宋体" w:hAnsi="宋体" w:cs="宋体"/>
          <w:color w:val="auto"/>
          <w:szCs w:val="24"/>
          <w:highlight w:val="none"/>
        </w:rPr>
        <w:t>：</w:t>
      </w:r>
    </w:p>
    <w:p w14:paraId="5735786C">
      <w:pPr>
        <w:spacing w:line="400" w:lineRule="exact"/>
        <w:ind w:firstLine="3199" w:firstLineChars="1333"/>
        <w:rPr>
          <w:rFonts w:ascii="宋体" w:hAnsi="宋体" w:cs="宋体"/>
          <w:color w:val="auto"/>
          <w:szCs w:val="24"/>
          <w:highlight w:val="none"/>
        </w:rPr>
      </w:pPr>
      <w:r>
        <w:rPr>
          <w:rFonts w:hint="eastAsia" w:ascii="宋体" w:hAnsi="宋体" w:cs="宋体"/>
          <w:color w:val="auto"/>
          <w:szCs w:val="24"/>
          <w:highlight w:val="none"/>
        </w:rPr>
        <w:t>日  期：</w:t>
      </w:r>
    </w:p>
    <w:p w14:paraId="39599995">
      <w:pPr>
        <w:pStyle w:val="23"/>
        <w:rPr>
          <w:rFonts w:ascii="宋体" w:hAnsi="宋体" w:cs="宋体"/>
          <w:b/>
          <w:color w:val="auto"/>
          <w:sz w:val="21"/>
          <w:szCs w:val="21"/>
          <w:highlight w:val="none"/>
        </w:rPr>
      </w:pPr>
    </w:p>
    <w:p w14:paraId="3D65B482">
      <w:pPr>
        <w:pStyle w:val="23"/>
        <w:rPr>
          <w:rFonts w:ascii="宋体" w:hAnsi="宋体" w:cs="宋体"/>
          <w:b/>
          <w:color w:val="auto"/>
          <w:sz w:val="21"/>
          <w:szCs w:val="21"/>
          <w:highlight w:val="none"/>
        </w:rPr>
      </w:pPr>
    </w:p>
    <w:p w14:paraId="01CAAEBB">
      <w:pPr>
        <w:widowControl/>
        <w:spacing w:line="240" w:lineRule="auto"/>
        <w:ind w:firstLine="0" w:firstLineChars="0"/>
        <w:jc w:val="left"/>
        <w:rPr>
          <w:rFonts w:hAnsi="宋体" w:cs="宋体"/>
          <w:b/>
          <w:color w:val="auto"/>
          <w:sz w:val="28"/>
          <w:szCs w:val="28"/>
          <w:highlight w:val="none"/>
          <w:lang w:val="en-GB"/>
        </w:rPr>
      </w:pPr>
      <w:r>
        <w:rPr>
          <w:rFonts w:hAnsi="宋体" w:cs="宋体"/>
          <w:b/>
          <w:color w:val="auto"/>
          <w:sz w:val="28"/>
          <w:szCs w:val="28"/>
          <w:highlight w:val="none"/>
        </w:rPr>
        <w:br w:type="page"/>
      </w:r>
    </w:p>
    <w:p w14:paraId="579DE4B2">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（2）供应商必须按格式填写“工程报价汇总表”（必须提供）</w:t>
      </w:r>
    </w:p>
    <w:p w14:paraId="5F5B5350">
      <w:pPr>
        <w:pStyle w:val="26"/>
        <w:spacing w:line="320" w:lineRule="exact"/>
        <w:rPr>
          <w:rFonts w:hAnsi="宋体" w:cs="宋体"/>
          <w:b/>
          <w:color w:val="auto"/>
          <w:sz w:val="28"/>
          <w:szCs w:val="28"/>
          <w:highlight w:val="none"/>
        </w:rPr>
      </w:pPr>
      <w:r>
        <w:rPr>
          <w:rFonts w:hint="eastAsia" w:hAnsi="宋体" w:cs="宋体"/>
          <w:b/>
          <w:color w:val="auto"/>
          <w:sz w:val="30"/>
          <w:szCs w:val="30"/>
          <w:highlight w:val="none"/>
        </w:rPr>
        <w:t>附件：</w:t>
      </w:r>
      <w:r>
        <w:rPr>
          <w:rFonts w:hint="eastAsia" w:hAnsi="宋体" w:cs="宋体"/>
          <w:b/>
          <w:color w:val="auto"/>
          <w:sz w:val="28"/>
          <w:szCs w:val="28"/>
          <w:highlight w:val="none"/>
        </w:rPr>
        <w:t xml:space="preserve">  </w:t>
      </w:r>
    </w:p>
    <w:p w14:paraId="4D97FBF4">
      <w:pPr>
        <w:widowControl/>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工程报价汇总表（格式）</w:t>
      </w:r>
    </w:p>
    <w:p w14:paraId="5AA99BF3">
      <w:pPr>
        <w:widowControl/>
        <w:ind w:firstLine="480"/>
        <w:jc w:val="center"/>
        <w:rPr>
          <w:rFonts w:ascii="宋体" w:hAnsi="宋体" w:cs="宋体"/>
          <w:color w:val="auto"/>
          <w:highlight w:val="none"/>
        </w:rPr>
      </w:pPr>
    </w:p>
    <w:p w14:paraId="37D0B117">
      <w:pPr>
        <w:widowControl/>
        <w:ind w:firstLine="480"/>
        <w:jc w:val="left"/>
        <w:rPr>
          <w:rFonts w:ascii="宋体" w:hAnsi="宋体" w:cs="宋体"/>
          <w:color w:val="auto"/>
          <w:highlight w:val="non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5C2683D7">
      <w:pPr>
        <w:widowControl/>
        <w:ind w:firstLine="480"/>
        <w:jc w:val="left"/>
        <w:rPr>
          <w:rFonts w:ascii="宋体" w:hAnsi="宋体" w:cs="宋体"/>
          <w:color w:val="auto"/>
          <w:highlight w:val="none"/>
        </w:rPr>
      </w:pPr>
      <w:r>
        <w:rPr>
          <w:rFonts w:hint="eastAsia" w:ascii="宋体" w:hAnsi="宋体" w:cs="宋体"/>
          <w:color w:val="auto"/>
          <w:highlight w:val="none"/>
        </w:rPr>
        <w:t>项目编号：</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C9CA9B1">
      <w:pPr>
        <w:widowControl/>
        <w:ind w:firstLine="480"/>
        <w:jc w:val="left"/>
        <w:rPr>
          <w:rFonts w:ascii="宋体" w:hAnsi="宋体" w:cs="宋体"/>
          <w:color w:val="auto"/>
          <w:highlight w:val="none"/>
        </w:rPr>
      </w:pPr>
      <w:r>
        <w:rPr>
          <w:rFonts w:hint="eastAsia" w:ascii="宋体" w:hAnsi="宋体" w:cs="宋体"/>
          <w:color w:val="auto"/>
          <w:highlight w:val="none"/>
        </w:rPr>
        <w:t xml:space="preserve">                                                     币种：人民币</w:t>
      </w:r>
    </w:p>
    <w:tbl>
      <w:tblPr>
        <w:tblStyle w:val="48"/>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5"/>
        <w:gridCol w:w="812"/>
        <w:gridCol w:w="1097"/>
        <w:gridCol w:w="4225"/>
      </w:tblGrid>
      <w:tr w14:paraId="392F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025" w:type="dxa"/>
            <w:noWrap/>
            <w:vAlign w:val="center"/>
          </w:tcPr>
          <w:p w14:paraId="50AF69E7">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标的名称</w:t>
            </w:r>
          </w:p>
        </w:tc>
        <w:tc>
          <w:tcPr>
            <w:tcW w:w="812" w:type="dxa"/>
            <w:vAlign w:val="center"/>
          </w:tcPr>
          <w:p w14:paraId="02396D2D">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数量</w:t>
            </w:r>
          </w:p>
        </w:tc>
        <w:tc>
          <w:tcPr>
            <w:tcW w:w="1097" w:type="dxa"/>
            <w:vAlign w:val="center"/>
          </w:tcPr>
          <w:p w14:paraId="6D5CB394">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单位</w:t>
            </w:r>
          </w:p>
        </w:tc>
        <w:tc>
          <w:tcPr>
            <w:tcW w:w="4225" w:type="dxa"/>
            <w:noWrap/>
            <w:vAlign w:val="center"/>
          </w:tcPr>
          <w:p w14:paraId="747EA290">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磋商报价</w:t>
            </w:r>
          </w:p>
        </w:tc>
      </w:tr>
      <w:tr w14:paraId="746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025" w:type="dxa"/>
            <w:noWrap/>
            <w:vAlign w:val="center"/>
          </w:tcPr>
          <w:p w14:paraId="49C717CA">
            <w:pPr>
              <w:adjustRightInd w:val="0"/>
              <w:snapToGrid w:val="0"/>
              <w:spacing w:before="48" w:beforeLines="20" w:after="48"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桂林市田家炳中学球类活动场地改造</w:t>
            </w:r>
          </w:p>
        </w:tc>
        <w:tc>
          <w:tcPr>
            <w:tcW w:w="812" w:type="dxa"/>
            <w:vAlign w:val="center"/>
          </w:tcPr>
          <w:p w14:paraId="5732DB5A">
            <w:pPr>
              <w:adjustRightInd w:val="0"/>
              <w:snapToGrid w:val="0"/>
              <w:spacing w:before="48" w:beforeLines="20" w:after="48" w:afterLines="20" w:line="240" w:lineRule="auto"/>
              <w:ind w:firstLine="0" w:firstLineChars="0"/>
              <w:jc w:val="center"/>
              <w:rPr>
                <w:color w:val="auto"/>
                <w:sz w:val="21"/>
                <w:szCs w:val="21"/>
                <w:highlight w:val="none"/>
              </w:rPr>
            </w:pPr>
            <w:r>
              <w:rPr>
                <w:rFonts w:hint="eastAsia"/>
                <w:color w:val="auto"/>
                <w:sz w:val="21"/>
                <w:szCs w:val="21"/>
                <w:highlight w:val="none"/>
              </w:rPr>
              <w:t>1</w:t>
            </w:r>
          </w:p>
        </w:tc>
        <w:tc>
          <w:tcPr>
            <w:tcW w:w="1097" w:type="dxa"/>
            <w:vAlign w:val="center"/>
          </w:tcPr>
          <w:p w14:paraId="20999746">
            <w:pPr>
              <w:adjustRightInd w:val="0"/>
              <w:snapToGrid w:val="0"/>
              <w:spacing w:before="48" w:beforeLines="20" w:after="48" w:afterLines="20" w:line="240" w:lineRule="auto"/>
              <w:ind w:firstLine="0" w:firstLineChars="0"/>
              <w:jc w:val="center"/>
              <w:rPr>
                <w:color w:val="auto"/>
                <w:sz w:val="21"/>
                <w:szCs w:val="21"/>
                <w:highlight w:val="none"/>
              </w:rPr>
            </w:pPr>
            <w:r>
              <w:rPr>
                <w:rFonts w:hint="eastAsia"/>
                <w:color w:val="auto"/>
                <w:sz w:val="21"/>
                <w:szCs w:val="21"/>
                <w:highlight w:val="none"/>
              </w:rPr>
              <w:t>项</w:t>
            </w:r>
          </w:p>
        </w:tc>
        <w:tc>
          <w:tcPr>
            <w:tcW w:w="4225" w:type="dxa"/>
            <w:noWrap/>
            <w:vAlign w:val="center"/>
          </w:tcPr>
          <w:p w14:paraId="75E8860F">
            <w:pPr>
              <w:adjustRightInd w:val="0"/>
              <w:snapToGrid w:val="0"/>
              <w:spacing w:before="48" w:beforeLines="20" w:after="48" w:afterLines="20" w:line="240" w:lineRule="auto"/>
              <w:ind w:firstLine="0" w:firstLineChars="0"/>
              <w:rPr>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bl>
    <w:p w14:paraId="1F646D35">
      <w:pPr>
        <w:widowControl/>
        <w:ind w:firstLine="480"/>
        <w:jc w:val="left"/>
        <w:rPr>
          <w:rFonts w:ascii="宋体" w:hAnsi="宋体" w:cs="宋体"/>
          <w:color w:val="auto"/>
          <w:szCs w:val="21"/>
          <w:highlight w:val="none"/>
        </w:rPr>
      </w:pPr>
    </w:p>
    <w:p w14:paraId="6ABE4C0A">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217807E8">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14D414D1">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272F5EFC">
      <w:pPr>
        <w:pStyle w:val="26"/>
        <w:spacing w:line="320" w:lineRule="exact"/>
        <w:rPr>
          <w:rFonts w:hAnsi="宋体" w:cs="宋体"/>
          <w:b/>
          <w:color w:val="auto"/>
          <w:sz w:val="28"/>
          <w:szCs w:val="28"/>
          <w:highlight w:val="none"/>
        </w:rPr>
      </w:pPr>
    </w:p>
    <w:p w14:paraId="5F5BA0D8">
      <w:pPr>
        <w:ind w:firstLine="562"/>
        <w:rPr>
          <w:rFonts w:hAnsi="宋体" w:cs="宋体"/>
          <w:b/>
          <w:color w:val="auto"/>
          <w:sz w:val="28"/>
          <w:szCs w:val="28"/>
          <w:highlight w:val="none"/>
        </w:rPr>
      </w:pPr>
    </w:p>
    <w:p w14:paraId="59365A41">
      <w:pPr>
        <w:pStyle w:val="23"/>
        <w:rPr>
          <w:rFonts w:hAnsi="宋体" w:cs="宋体"/>
          <w:b/>
          <w:color w:val="auto"/>
          <w:sz w:val="28"/>
          <w:szCs w:val="28"/>
          <w:highlight w:val="none"/>
        </w:rPr>
      </w:pPr>
    </w:p>
    <w:p w14:paraId="15315D03">
      <w:pPr>
        <w:pStyle w:val="23"/>
        <w:rPr>
          <w:rFonts w:hAnsi="宋体" w:cs="宋体"/>
          <w:b/>
          <w:color w:val="auto"/>
          <w:sz w:val="28"/>
          <w:szCs w:val="28"/>
          <w:highlight w:val="none"/>
        </w:rPr>
      </w:pPr>
    </w:p>
    <w:p w14:paraId="21C9F710">
      <w:pPr>
        <w:widowControl/>
        <w:spacing w:line="240" w:lineRule="auto"/>
        <w:ind w:firstLine="0" w:firstLineChars="0"/>
        <w:jc w:val="left"/>
        <w:rPr>
          <w:rFonts w:hAnsi="宋体" w:cs="宋体"/>
          <w:b/>
          <w:color w:val="auto"/>
          <w:kern w:val="0"/>
          <w:sz w:val="28"/>
          <w:szCs w:val="28"/>
          <w:highlight w:val="none"/>
        </w:rPr>
      </w:pPr>
      <w:r>
        <w:rPr>
          <w:rFonts w:hAnsi="宋体" w:cs="宋体"/>
          <w:b/>
          <w:color w:val="auto"/>
          <w:sz w:val="28"/>
          <w:szCs w:val="28"/>
          <w:highlight w:val="none"/>
        </w:rPr>
        <w:br w:type="page"/>
      </w:r>
    </w:p>
    <w:p w14:paraId="18F00FCA">
      <w:pPr>
        <w:pStyle w:val="26"/>
        <w:rPr>
          <w:rFonts w:hAnsi="宋体" w:cs="宋体"/>
          <w:b/>
          <w:bCs/>
          <w:color w:val="auto"/>
          <w:sz w:val="28"/>
          <w:szCs w:val="28"/>
          <w:highlight w:val="none"/>
        </w:rPr>
      </w:pPr>
      <w:r>
        <w:rPr>
          <w:rFonts w:hint="eastAsia" w:hAnsi="宋体" w:cs="宋体"/>
          <w:b/>
          <w:bCs/>
          <w:color w:val="auto"/>
          <w:sz w:val="28"/>
          <w:szCs w:val="28"/>
          <w:highlight w:val="none"/>
        </w:rPr>
        <w:t>（3）供应商必须按要求提供“工程量清单报价表”</w:t>
      </w:r>
      <w:r>
        <w:rPr>
          <w:rFonts w:hint="eastAsia" w:hAnsi="宋体" w:cs="宋体"/>
          <w:b/>
          <w:color w:val="auto"/>
          <w:sz w:val="28"/>
          <w:szCs w:val="28"/>
          <w:highlight w:val="none"/>
        </w:rPr>
        <w:t xml:space="preserve"> （必须提供）</w:t>
      </w:r>
    </w:p>
    <w:p w14:paraId="4C9A85B5">
      <w:pPr>
        <w:pStyle w:val="26"/>
        <w:rPr>
          <w:rFonts w:hAnsi="宋体" w:cs="宋体"/>
          <w:b/>
          <w:color w:val="auto"/>
          <w:sz w:val="28"/>
          <w:szCs w:val="28"/>
          <w:highlight w:val="none"/>
        </w:rPr>
      </w:pPr>
    </w:p>
    <w:p w14:paraId="5F085BFA">
      <w:pPr>
        <w:pStyle w:val="29"/>
        <w:ind w:left="0" w:leftChars="0"/>
        <w:jc w:val="center"/>
        <w:rPr>
          <w:rFonts w:ascii="宋体" w:hAnsi="宋体" w:cs="宋体"/>
          <w:color w:val="auto"/>
          <w:highlight w:val="none"/>
        </w:rPr>
      </w:pPr>
      <w:r>
        <w:rPr>
          <w:rFonts w:hint="eastAsia" w:ascii="宋体" w:hAnsi="宋体" w:cs="宋体"/>
          <w:b/>
          <w:color w:val="auto"/>
          <w:sz w:val="24"/>
          <w:highlight w:val="none"/>
        </w:rPr>
        <w:t>工程量清单报价表</w:t>
      </w:r>
    </w:p>
    <w:p w14:paraId="5EBD5CE3">
      <w:pPr>
        <w:pStyle w:val="29"/>
        <w:ind w:left="0" w:leftChars="0"/>
        <w:rPr>
          <w:rFonts w:ascii="宋体" w:hAnsi="宋体" w:cs="宋体"/>
          <w:b/>
          <w:color w:val="auto"/>
          <w:sz w:val="24"/>
          <w:highlight w:val="none"/>
        </w:rPr>
      </w:pPr>
      <w:r>
        <w:rPr>
          <w:rFonts w:hint="eastAsia" w:ascii="宋体" w:hAnsi="宋体" w:cs="宋体"/>
          <w:b/>
          <w:color w:val="auto"/>
          <w:sz w:val="24"/>
          <w:highlight w:val="none"/>
        </w:rPr>
        <w:t>注：表格可按（GB50500-2013</w:t>
      </w:r>
      <w:r>
        <w:rPr>
          <w:rFonts w:hint="eastAsia" w:ascii="宋体" w:hAnsi="宋体" w:cs="宋体"/>
          <w:b/>
          <w:color w:val="auto"/>
          <w:sz w:val="24"/>
          <w:highlight w:val="none"/>
          <w:lang w:eastAsia="zh-CN"/>
        </w:rPr>
        <w:t>）</w:t>
      </w:r>
      <w:r>
        <w:rPr>
          <w:rFonts w:hint="eastAsia" w:ascii="宋体" w:hAnsi="宋体" w:cs="宋体"/>
          <w:b/>
          <w:color w:val="auto"/>
          <w:sz w:val="24"/>
          <w:highlight w:val="none"/>
        </w:rPr>
        <w:t>《建设工程工程量清单计价规范》、（GB50854~50862-2013）《建设工程工程量计算规范广西壮族自治区实施细则》（修订本）工程量清单计价表格提供。</w:t>
      </w:r>
    </w:p>
    <w:p w14:paraId="21A14CDB">
      <w:pPr>
        <w:pStyle w:val="26"/>
        <w:rPr>
          <w:rFonts w:hAnsi="宋体" w:cs="宋体"/>
          <w:color w:val="auto"/>
          <w:sz w:val="28"/>
          <w:szCs w:val="28"/>
          <w:highlight w:val="none"/>
        </w:rPr>
      </w:pPr>
    </w:p>
    <w:p w14:paraId="440E1F9C">
      <w:pPr>
        <w:pStyle w:val="26"/>
        <w:rPr>
          <w:rFonts w:hAnsi="宋体" w:cs="宋体"/>
          <w:b/>
          <w:bCs/>
          <w:color w:val="auto"/>
          <w:sz w:val="28"/>
          <w:szCs w:val="28"/>
          <w:highlight w:val="none"/>
        </w:rPr>
      </w:pPr>
      <w:r>
        <w:rPr>
          <w:rFonts w:hint="eastAsia" w:hAnsi="宋体" w:cs="宋体"/>
          <w:b/>
          <w:bCs/>
          <w:color w:val="auto"/>
          <w:sz w:val="28"/>
          <w:szCs w:val="28"/>
          <w:highlight w:val="none"/>
        </w:rPr>
        <w:t>（4）供应商202</w:t>
      </w:r>
      <w:r>
        <w:rPr>
          <w:rFonts w:hAnsi="宋体" w:cs="宋体"/>
          <w:b/>
          <w:bCs/>
          <w:color w:val="auto"/>
          <w:sz w:val="28"/>
          <w:szCs w:val="28"/>
          <w:highlight w:val="none"/>
        </w:rPr>
        <w:t>2</w:t>
      </w:r>
      <w:r>
        <w:rPr>
          <w:rFonts w:hint="eastAsia" w:hAnsi="宋体" w:cs="宋体"/>
          <w:b/>
          <w:bCs/>
          <w:color w:val="auto"/>
          <w:sz w:val="28"/>
          <w:szCs w:val="28"/>
          <w:highlight w:val="none"/>
        </w:rPr>
        <w:t>年1月1日以来承建或经竣工验收的</w:t>
      </w:r>
      <w:r>
        <w:rPr>
          <w:rFonts w:hint="eastAsia" w:hAnsi="宋体" w:cs="宋体"/>
          <w:b/>
          <w:bCs/>
          <w:color w:val="auto"/>
          <w:sz w:val="28"/>
          <w:szCs w:val="28"/>
          <w:highlight w:val="none"/>
          <w:lang w:eastAsia="zh-CN"/>
        </w:rPr>
        <w:t>类似工程业绩的相关证</w:t>
      </w:r>
      <w:r>
        <w:rPr>
          <w:rFonts w:hint="eastAsia" w:hAnsi="宋体" w:cs="宋体"/>
          <w:b/>
          <w:bCs/>
          <w:color w:val="auto"/>
          <w:sz w:val="28"/>
          <w:szCs w:val="28"/>
          <w:highlight w:val="none"/>
        </w:rPr>
        <w:t>明材料（如有，请提供）</w:t>
      </w:r>
    </w:p>
    <w:p w14:paraId="6CDF8A65">
      <w:pPr>
        <w:ind w:firstLine="0" w:firstLineChars="0"/>
        <w:rPr>
          <w:color w:val="auto"/>
          <w:highlight w:val="none"/>
        </w:rPr>
      </w:pPr>
    </w:p>
    <w:p w14:paraId="56CD4604">
      <w:pPr>
        <w:pStyle w:val="26"/>
        <w:rPr>
          <w:rFonts w:hAnsi="宋体" w:cs="宋体"/>
          <w:b/>
          <w:bCs/>
          <w:color w:val="auto"/>
          <w:sz w:val="28"/>
          <w:szCs w:val="28"/>
          <w:highlight w:val="none"/>
        </w:rPr>
      </w:pPr>
    </w:p>
    <w:p w14:paraId="1C03F513">
      <w:pPr>
        <w:pStyle w:val="26"/>
        <w:rPr>
          <w:rFonts w:hAnsi="宋体" w:cs="宋体"/>
          <w:b/>
          <w:bCs/>
          <w:color w:val="auto"/>
          <w:sz w:val="28"/>
          <w:szCs w:val="28"/>
          <w:highlight w:val="none"/>
        </w:rPr>
      </w:pPr>
      <w:r>
        <w:rPr>
          <w:rFonts w:hint="eastAsia" w:hAnsi="宋体" w:cs="宋体"/>
          <w:b/>
          <w:bCs/>
          <w:color w:val="auto"/>
          <w:sz w:val="28"/>
          <w:szCs w:val="28"/>
          <w:highlight w:val="none"/>
        </w:rPr>
        <w:t>（</w:t>
      </w:r>
      <w:r>
        <w:rPr>
          <w:rFonts w:hint="eastAsia" w:hAnsi="宋体" w:cs="宋体"/>
          <w:b/>
          <w:bCs/>
          <w:color w:val="auto"/>
          <w:sz w:val="28"/>
          <w:szCs w:val="28"/>
          <w:highlight w:val="none"/>
          <w:lang w:val="en-US"/>
        </w:rPr>
        <w:t>5</w:t>
      </w:r>
      <w:r>
        <w:rPr>
          <w:rFonts w:hint="eastAsia" w:hAnsi="宋体" w:cs="宋体"/>
          <w:b/>
          <w:bCs/>
          <w:color w:val="auto"/>
          <w:sz w:val="28"/>
          <w:szCs w:val="28"/>
          <w:highlight w:val="none"/>
        </w:rPr>
        <w:t>）供应商相关获奖证书、认证证书等（如有，请提供）</w:t>
      </w:r>
    </w:p>
    <w:p w14:paraId="5EDDA9C6">
      <w:pPr>
        <w:pStyle w:val="26"/>
        <w:rPr>
          <w:rFonts w:hAnsi="宋体" w:cs="宋体"/>
          <w:b/>
          <w:bCs/>
          <w:color w:val="auto"/>
          <w:sz w:val="28"/>
          <w:szCs w:val="28"/>
          <w:highlight w:val="none"/>
        </w:rPr>
      </w:pPr>
    </w:p>
    <w:p w14:paraId="78C702E4">
      <w:pPr>
        <w:pStyle w:val="26"/>
        <w:rPr>
          <w:rFonts w:hAnsi="宋体" w:cs="宋体"/>
          <w:b/>
          <w:bCs/>
          <w:color w:val="auto"/>
          <w:sz w:val="28"/>
          <w:szCs w:val="28"/>
          <w:highlight w:val="none"/>
        </w:rPr>
      </w:pPr>
    </w:p>
    <w:p w14:paraId="05C6EF99">
      <w:pPr>
        <w:ind w:firstLine="480"/>
        <w:rPr>
          <w:color w:val="auto"/>
          <w:highlight w:val="none"/>
        </w:rPr>
      </w:pPr>
    </w:p>
    <w:p w14:paraId="3BE28358">
      <w:pPr>
        <w:pStyle w:val="26"/>
        <w:rPr>
          <w:rFonts w:hAnsi="宋体" w:cs="宋体"/>
          <w:b/>
          <w:bCs/>
          <w:color w:val="auto"/>
          <w:sz w:val="28"/>
          <w:szCs w:val="28"/>
          <w:highlight w:val="none"/>
        </w:rPr>
      </w:pPr>
      <w:r>
        <w:rPr>
          <w:rFonts w:hint="eastAsia" w:hAnsi="宋体" w:cs="宋体"/>
          <w:b/>
          <w:bCs/>
          <w:color w:val="auto"/>
          <w:sz w:val="28"/>
          <w:szCs w:val="28"/>
          <w:highlight w:val="none"/>
        </w:rPr>
        <w:t>（6）供应商可结合本项目的评审办法视自身情况自行提交相关证明材料（如有，请提供）</w:t>
      </w:r>
    </w:p>
    <w:p w14:paraId="7BD59ABC">
      <w:pPr>
        <w:pStyle w:val="29"/>
        <w:ind w:left="0" w:leftChars="0"/>
        <w:rPr>
          <w:rFonts w:ascii="宋体" w:hAnsi="宋体" w:cs="宋体"/>
          <w:b/>
          <w:color w:val="auto"/>
          <w:sz w:val="24"/>
          <w:highlight w:val="none"/>
        </w:rPr>
      </w:pPr>
    </w:p>
    <w:p w14:paraId="4C9E2159">
      <w:pPr>
        <w:pStyle w:val="29"/>
        <w:ind w:left="0" w:leftChars="0"/>
        <w:rPr>
          <w:rFonts w:ascii="宋体" w:hAnsi="宋体" w:cs="宋体"/>
          <w:b/>
          <w:color w:val="auto"/>
          <w:sz w:val="24"/>
          <w:highlight w:val="none"/>
        </w:rPr>
      </w:pPr>
    </w:p>
    <w:p w14:paraId="69722155">
      <w:pPr>
        <w:pStyle w:val="29"/>
        <w:ind w:left="0" w:leftChars="0"/>
        <w:rPr>
          <w:rFonts w:ascii="宋体" w:hAnsi="宋体" w:cs="宋体"/>
          <w:b/>
          <w:color w:val="auto"/>
          <w:sz w:val="24"/>
          <w:highlight w:val="none"/>
        </w:rPr>
      </w:pPr>
    </w:p>
    <w:p w14:paraId="5A759717">
      <w:pPr>
        <w:pStyle w:val="29"/>
        <w:ind w:left="0" w:leftChars="0"/>
        <w:rPr>
          <w:rFonts w:ascii="宋体" w:hAnsi="宋体" w:cs="宋体"/>
          <w:b/>
          <w:color w:val="auto"/>
          <w:sz w:val="24"/>
          <w:highlight w:val="none"/>
        </w:rPr>
      </w:pPr>
    </w:p>
    <w:p w14:paraId="6C3225B2">
      <w:pPr>
        <w:pStyle w:val="29"/>
        <w:ind w:left="0" w:leftChars="0"/>
        <w:rPr>
          <w:rFonts w:ascii="宋体" w:hAnsi="宋体" w:cs="宋体"/>
          <w:b/>
          <w:color w:val="auto"/>
          <w:sz w:val="24"/>
          <w:highlight w:val="none"/>
        </w:rPr>
      </w:pPr>
    </w:p>
    <w:p w14:paraId="5ADCFD6C">
      <w:pPr>
        <w:pStyle w:val="29"/>
        <w:ind w:left="0" w:leftChars="0"/>
        <w:rPr>
          <w:rFonts w:ascii="宋体" w:hAnsi="宋体" w:cs="宋体"/>
          <w:b/>
          <w:color w:val="auto"/>
          <w:sz w:val="24"/>
          <w:highlight w:val="none"/>
        </w:rPr>
      </w:pPr>
    </w:p>
    <w:p w14:paraId="6AF2F777">
      <w:pPr>
        <w:pStyle w:val="29"/>
        <w:ind w:left="0" w:leftChars="0"/>
        <w:rPr>
          <w:rFonts w:ascii="宋体" w:hAnsi="宋体" w:cs="宋体"/>
          <w:b/>
          <w:color w:val="auto"/>
          <w:sz w:val="24"/>
          <w:highlight w:val="none"/>
        </w:rPr>
      </w:pPr>
    </w:p>
    <w:p w14:paraId="060C8B44">
      <w:pPr>
        <w:spacing w:line="360" w:lineRule="exact"/>
        <w:ind w:firstLine="0" w:firstLineChars="0"/>
        <w:rPr>
          <w:rFonts w:ascii="宋体" w:hAnsi="宋体" w:cs="宋体"/>
          <w:b/>
          <w:color w:val="auto"/>
          <w:szCs w:val="21"/>
          <w:highlight w:val="none"/>
        </w:rPr>
      </w:pPr>
      <w:r>
        <w:rPr>
          <w:rFonts w:hint="eastAsia" w:ascii="宋体" w:hAnsi="宋体" w:cs="宋体"/>
          <w:b/>
          <w:color w:val="auto"/>
          <w:sz w:val="28"/>
          <w:szCs w:val="28"/>
          <w:highlight w:val="none"/>
        </w:rPr>
        <w:t>3.技术证明文件</w:t>
      </w:r>
      <w:r>
        <w:rPr>
          <w:rFonts w:hint="eastAsia" w:ascii="宋体" w:hAnsi="宋体" w:cs="宋体"/>
          <w:b/>
          <w:color w:val="auto"/>
          <w:sz w:val="28"/>
          <w:szCs w:val="28"/>
          <w:highlight w:val="none"/>
          <w:lang w:eastAsia="zh-CN"/>
        </w:rPr>
        <w:t>：</w:t>
      </w:r>
    </w:p>
    <w:p w14:paraId="2A476D12">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（1）施工组织设计（如有，请提供）</w:t>
      </w:r>
    </w:p>
    <w:p w14:paraId="11301C51">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7DBAFB8E">
      <w:pPr>
        <w:spacing w:line="380" w:lineRule="exact"/>
        <w:ind w:left="600" w:leftChars="250" w:firstLine="2951" w:firstLineChars="1050"/>
        <w:rPr>
          <w:rFonts w:ascii="宋体" w:hAnsi="宋体" w:cs="宋体"/>
          <w:color w:val="auto"/>
          <w:szCs w:val="21"/>
          <w:highlight w:val="none"/>
        </w:rPr>
      </w:pPr>
      <w:r>
        <w:rPr>
          <w:rFonts w:hint="eastAsia" w:ascii="宋体" w:hAnsi="宋体" w:cs="宋体"/>
          <w:b/>
          <w:color w:val="auto"/>
          <w:sz w:val="28"/>
          <w:szCs w:val="28"/>
          <w:highlight w:val="none"/>
        </w:rPr>
        <w:t>施工组织设计（格式）</w:t>
      </w:r>
    </w:p>
    <w:p w14:paraId="0951764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一、主要施工方法</w:t>
      </w:r>
    </w:p>
    <w:p w14:paraId="1532D5F6">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A470E3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二、关键施工技术、工艺及工程实施的重点、难点和解决方案</w:t>
      </w:r>
    </w:p>
    <w:p w14:paraId="72FA2C2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027BAC08">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三、确保安全生产的技术组织措施</w:t>
      </w:r>
    </w:p>
    <w:p w14:paraId="5D8371AA">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16AC80E5">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四、确保工程质量的技术组织措施</w:t>
      </w:r>
    </w:p>
    <w:p w14:paraId="72D99E8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21A3192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五、确保工期的技术组织措施</w:t>
      </w:r>
    </w:p>
    <w:p w14:paraId="0909AA7E">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2DE60C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六、确保文明施工的技术组织措施</w:t>
      </w:r>
    </w:p>
    <w:p w14:paraId="3833138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1A7FD63E">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七、拟投入的主要物资计划</w:t>
      </w:r>
    </w:p>
    <w:p w14:paraId="354AB99A">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0EBF21D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八、施工平面布置和临时设施布置</w:t>
      </w:r>
    </w:p>
    <w:p w14:paraId="5580EC5F">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4DF8E11C">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九、劳动力安排计划</w:t>
      </w:r>
    </w:p>
    <w:p w14:paraId="5FE0DEE3">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0D3A3FF">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十、项目风险预测与防范，事故应急预案</w:t>
      </w:r>
    </w:p>
    <w:p w14:paraId="62475F4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671FFBDD">
      <w:pPr>
        <w:snapToGrid w:val="0"/>
        <w:spacing w:line="400" w:lineRule="exact"/>
        <w:ind w:firstLine="0" w:firstLineChars="0"/>
        <w:rPr>
          <w:rFonts w:ascii="宋体" w:hAnsi="宋体" w:cs="宋体"/>
          <w:color w:val="auto"/>
          <w:sz w:val="21"/>
          <w:szCs w:val="21"/>
          <w:highlight w:val="none"/>
        </w:rPr>
      </w:pPr>
    </w:p>
    <w:p w14:paraId="510E46E5">
      <w:pPr>
        <w:snapToGrid w:val="0"/>
        <w:spacing w:line="380" w:lineRule="exact"/>
        <w:ind w:firstLine="0" w:firstLineChars="0"/>
        <w:rPr>
          <w:rFonts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b/>
          <w:color w:val="auto"/>
          <w:szCs w:val="24"/>
          <w:highlight w:val="none"/>
        </w:rPr>
        <w:t>（电子签章）</w:t>
      </w:r>
      <w:r>
        <w:rPr>
          <w:rFonts w:hint="eastAsia" w:ascii="宋体" w:hAnsi="宋体" w:cs="宋体"/>
          <w:color w:val="auto"/>
          <w:szCs w:val="24"/>
          <w:highlight w:val="none"/>
        </w:rPr>
        <w:t>：</w:t>
      </w:r>
    </w:p>
    <w:p w14:paraId="2BC29177">
      <w:pPr>
        <w:spacing w:line="380" w:lineRule="exact"/>
        <w:ind w:firstLine="0" w:firstLineChars="0"/>
        <w:rPr>
          <w:rFonts w:ascii="宋体" w:hAnsi="宋体" w:cs="宋体"/>
          <w:color w:val="auto"/>
          <w:szCs w:val="24"/>
          <w:highlight w:val="none"/>
        </w:rPr>
      </w:pPr>
      <w:r>
        <w:rPr>
          <w:rFonts w:hint="eastAsia" w:ascii="宋体" w:hAnsi="宋体" w:cs="宋体"/>
          <w:color w:val="auto"/>
          <w:szCs w:val="24"/>
          <w:highlight w:val="none"/>
        </w:rPr>
        <w:t>法定代表人或委托代理人签字</w:t>
      </w:r>
      <w:r>
        <w:rPr>
          <w:rFonts w:hint="eastAsia" w:ascii="宋体" w:hAnsi="宋体" w:cs="宋体"/>
          <w:b/>
          <w:color w:val="auto"/>
          <w:szCs w:val="24"/>
          <w:highlight w:val="none"/>
        </w:rPr>
        <w:t>（或电子签名）</w:t>
      </w:r>
      <w:r>
        <w:rPr>
          <w:rFonts w:hint="eastAsia" w:ascii="宋体" w:hAnsi="宋体" w:cs="宋体"/>
          <w:color w:val="auto"/>
          <w:szCs w:val="24"/>
          <w:highlight w:val="none"/>
        </w:rPr>
        <w:t>：</w:t>
      </w:r>
    </w:p>
    <w:p w14:paraId="625346A3">
      <w:pPr>
        <w:spacing w:line="380" w:lineRule="exact"/>
        <w:ind w:firstLine="0" w:firstLineChars="0"/>
        <w:rPr>
          <w:rFonts w:ascii="宋体" w:hAnsi="宋体" w:cs="宋体"/>
          <w:color w:val="auto"/>
          <w:szCs w:val="24"/>
          <w:highlight w:val="none"/>
        </w:rPr>
      </w:pPr>
      <w:r>
        <w:rPr>
          <w:rFonts w:hint="eastAsia" w:ascii="宋体" w:hAnsi="宋体" w:cs="宋体"/>
          <w:color w:val="auto"/>
          <w:szCs w:val="24"/>
          <w:highlight w:val="none"/>
        </w:rPr>
        <w:t>日          期：</w:t>
      </w:r>
    </w:p>
    <w:p w14:paraId="2FC9D533">
      <w:pPr>
        <w:spacing w:line="300" w:lineRule="auto"/>
        <w:ind w:firstLine="0" w:firstLineChars="0"/>
        <w:rPr>
          <w:rFonts w:ascii="宋体" w:hAnsi="宋体" w:cs="宋体"/>
          <w:b/>
          <w:color w:val="auto"/>
          <w:sz w:val="28"/>
          <w:szCs w:val="28"/>
          <w:highlight w:val="none"/>
        </w:rPr>
      </w:pPr>
    </w:p>
    <w:p w14:paraId="6D04D446">
      <w:pPr>
        <w:numPr>
          <w:ilvl w:val="0"/>
          <w:numId w:val="5"/>
        </w:num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供应商可结合本项目的评审办法视自身情况自行提交相关证明材料（如有，请提供）</w:t>
      </w:r>
    </w:p>
    <w:p w14:paraId="6D507DF5">
      <w:pPr>
        <w:widowControl/>
        <w:spacing w:line="240" w:lineRule="auto"/>
        <w:ind w:firstLine="0" w:firstLineChars="0"/>
        <w:jc w:val="left"/>
        <w:rPr>
          <w:rFonts w:ascii="宋体" w:hAnsi="宋体" w:cs="宋体"/>
          <w:b/>
          <w:color w:val="auto"/>
          <w:kern w:val="0"/>
          <w:sz w:val="32"/>
          <w:szCs w:val="32"/>
          <w:highlight w:val="none"/>
        </w:rPr>
      </w:pPr>
      <w:bookmarkStart w:id="73" w:name="_Toc317457375"/>
      <w:bookmarkStart w:id="74" w:name="_Toc407135190"/>
      <w:bookmarkStart w:id="75" w:name="_Toc78449776"/>
      <w:bookmarkStart w:id="76" w:name="_Toc163918790"/>
      <w:bookmarkStart w:id="77" w:name="_Toc358476596"/>
      <w:r>
        <w:rPr>
          <w:rFonts w:ascii="宋体" w:hAnsi="宋体" w:cs="宋体"/>
          <w:b/>
          <w:color w:val="auto"/>
          <w:kern w:val="0"/>
          <w:sz w:val="32"/>
          <w:szCs w:val="32"/>
          <w:highlight w:val="none"/>
        </w:rPr>
        <w:br w:type="page"/>
      </w:r>
    </w:p>
    <w:p w14:paraId="43FD1C03">
      <w:pPr>
        <w:widowControl/>
        <w:spacing w:line="240" w:lineRule="auto"/>
        <w:ind w:firstLine="0" w:firstLineChars="0"/>
        <w:jc w:val="left"/>
        <w:rPr>
          <w:rFonts w:ascii="宋体" w:hAnsi="宋体" w:cs="宋体"/>
          <w:b/>
          <w:color w:val="auto"/>
          <w:kern w:val="0"/>
          <w:sz w:val="32"/>
          <w:szCs w:val="32"/>
          <w:highlight w:val="none"/>
        </w:rPr>
      </w:pPr>
    </w:p>
    <w:p w14:paraId="60286A3E">
      <w:pPr>
        <w:spacing w:line="440" w:lineRule="atLeast"/>
        <w:ind w:firstLine="2249" w:firstLineChars="7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第七章  </w:t>
      </w:r>
      <w:bookmarkEnd w:id="73"/>
      <w:bookmarkEnd w:id="74"/>
      <w:bookmarkEnd w:id="75"/>
      <w:bookmarkEnd w:id="76"/>
      <w:r>
        <w:rPr>
          <w:rFonts w:hint="eastAsia" w:ascii="宋体" w:hAnsi="宋体"/>
          <w:b/>
          <w:bCs/>
          <w:color w:val="auto"/>
          <w:sz w:val="32"/>
          <w:szCs w:val="32"/>
          <w:highlight w:val="none"/>
        </w:rPr>
        <w:t>合同主要条款及格式</w:t>
      </w:r>
    </w:p>
    <w:bookmarkEnd w:id="77"/>
    <w:p w14:paraId="0980AD7C">
      <w:pPr>
        <w:spacing w:line="380" w:lineRule="exact"/>
        <w:ind w:firstLine="0" w:firstLineChars="0"/>
        <w:jc w:val="left"/>
        <w:rPr>
          <w:rFonts w:ascii="宋体" w:hAnsi="Calibri"/>
          <w:b/>
          <w:bCs/>
          <w:color w:val="auto"/>
          <w:sz w:val="32"/>
          <w:szCs w:val="24"/>
          <w:highlight w:val="none"/>
        </w:rPr>
      </w:pPr>
    </w:p>
    <w:p w14:paraId="288C232C">
      <w:pPr>
        <w:spacing w:line="440" w:lineRule="atLeast"/>
        <w:ind w:firstLine="2891" w:firstLineChars="9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合同条款及格式</w:t>
      </w:r>
    </w:p>
    <w:p w14:paraId="232E2082">
      <w:pPr>
        <w:snapToGrid w:val="0"/>
        <w:spacing w:line="400" w:lineRule="exact"/>
        <w:ind w:firstLine="2409" w:firstLineChars="750"/>
        <w:rPr>
          <w:rFonts w:ascii="宋体" w:hAnsi="宋体" w:cs="宋体"/>
          <w:b/>
          <w:bCs/>
          <w:color w:val="auto"/>
          <w:sz w:val="32"/>
          <w:szCs w:val="32"/>
          <w:highlight w:val="none"/>
        </w:rPr>
      </w:pPr>
    </w:p>
    <w:p w14:paraId="3BA1E6AE">
      <w:pPr>
        <w:snapToGrid w:val="0"/>
        <w:spacing w:line="400" w:lineRule="exact"/>
        <w:ind w:firstLine="2409" w:firstLineChars="750"/>
        <w:rPr>
          <w:rFonts w:ascii="宋体" w:hAnsi="宋体" w:cs="宋体"/>
          <w:b/>
          <w:bCs/>
          <w:color w:val="auto"/>
          <w:sz w:val="32"/>
          <w:szCs w:val="32"/>
          <w:highlight w:val="none"/>
        </w:rPr>
      </w:pPr>
      <w:r>
        <w:rPr>
          <w:rFonts w:hint="eastAsia" w:ascii="宋体" w:hAnsi="宋体" w:cs="宋体"/>
          <w:b/>
          <w:bCs/>
          <w:color w:val="auto"/>
          <w:sz w:val="32"/>
          <w:szCs w:val="32"/>
          <w:highlight w:val="none"/>
        </w:rPr>
        <w:t>第一部分  合同协议书</w:t>
      </w:r>
    </w:p>
    <w:p w14:paraId="4D1B77AD">
      <w:pPr>
        <w:spacing w:line="400" w:lineRule="exact"/>
        <w:ind w:firstLine="422"/>
        <w:rPr>
          <w:rFonts w:ascii="宋体" w:hAnsi="宋体" w:cs="宋体"/>
          <w:b/>
          <w:color w:val="auto"/>
          <w:sz w:val="21"/>
          <w:szCs w:val="21"/>
          <w:highlight w:val="none"/>
          <w:u w:val="single"/>
        </w:rPr>
      </w:pPr>
      <w:r>
        <w:rPr>
          <w:rFonts w:hint="eastAsia" w:ascii="宋体" w:hAnsi="宋体" w:cs="宋体"/>
          <w:b/>
          <w:color w:val="auto"/>
          <w:sz w:val="21"/>
          <w:szCs w:val="21"/>
          <w:highlight w:val="none"/>
        </w:rPr>
        <w:t>发包人（全称）：</w:t>
      </w:r>
      <w:r>
        <w:rPr>
          <w:rFonts w:hint="eastAsia" w:ascii="宋体" w:hAnsi="宋体" w:cs="宋体"/>
          <w:b/>
          <w:color w:val="auto"/>
          <w:sz w:val="21"/>
          <w:szCs w:val="21"/>
          <w:highlight w:val="none"/>
          <w:u w:val="single"/>
        </w:rPr>
        <w:t>桂林市田家炳中学</w:t>
      </w:r>
    </w:p>
    <w:p w14:paraId="31CB1937">
      <w:pPr>
        <w:spacing w:line="400" w:lineRule="exact"/>
        <w:ind w:firstLine="422"/>
        <w:rPr>
          <w:rFonts w:ascii="宋体" w:hAnsi="宋体" w:cs="宋体"/>
          <w:b/>
          <w:color w:val="auto"/>
          <w:sz w:val="21"/>
          <w:szCs w:val="21"/>
          <w:highlight w:val="none"/>
          <w:u w:val="single"/>
        </w:rPr>
      </w:pPr>
      <w:r>
        <w:rPr>
          <w:rFonts w:hint="eastAsia" w:ascii="宋体" w:hAnsi="宋体" w:cs="宋体"/>
          <w:b/>
          <w:color w:val="auto"/>
          <w:sz w:val="21"/>
          <w:szCs w:val="21"/>
          <w:highlight w:val="none"/>
        </w:rPr>
        <w:t>承包人（全称）：</w:t>
      </w:r>
      <w:r>
        <w:rPr>
          <w:rFonts w:hint="eastAsia" w:ascii="宋体" w:hAnsi="宋体" w:cs="宋体"/>
          <w:b/>
          <w:color w:val="auto"/>
          <w:sz w:val="21"/>
          <w:szCs w:val="21"/>
          <w:highlight w:val="none"/>
          <w:u w:val="single"/>
        </w:rPr>
        <w:t xml:space="preserve">               </w:t>
      </w:r>
    </w:p>
    <w:p w14:paraId="57932600">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根据《中华人民共和国民法典</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中华人民共和国建筑法》及相关法律法规及行业规定等相关</w:t>
      </w:r>
      <w:r>
        <w:rPr>
          <w:rFonts w:hint="eastAsia" w:ascii="宋体" w:hAnsi="宋体" w:cs="宋体"/>
          <w:color w:val="auto"/>
          <w:sz w:val="21"/>
          <w:szCs w:val="21"/>
          <w:highlight w:val="none"/>
          <w:lang w:eastAsia="zh-CN"/>
        </w:rPr>
        <w:t>法律法规</w:t>
      </w:r>
      <w:r>
        <w:rPr>
          <w:rFonts w:hint="eastAsia" w:ascii="宋体" w:hAnsi="宋体" w:cs="宋体"/>
          <w:color w:val="auto"/>
          <w:sz w:val="21"/>
          <w:szCs w:val="21"/>
          <w:highlight w:val="none"/>
        </w:rPr>
        <w:t>规定，遵循平等、自愿、公平和诚实信用的原则，双方就工程施工及有关事项协商一致共同达成如下协议：</w:t>
      </w:r>
    </w:p>
    <w:p w14:paraId="4325B1BB">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一、工程概况</w:t>
      </w:r>
    </w:p>
    <w:p w14:paraId="182023B6">
      <w:pPr>
        <w:snapToGrid w:val="0"/>
        <w:spacing w:line="340" w:lineRule="exact"/>
        <w:ind w:firstLine="411" w:firstLineChars="196"/>
        <w:rPr>
          <w:rFonts w:ascii="宋体" w:hAnsi="宋体" w:cs="宋体"/>
          <w:color w:val="auto"/>
          <w:sz w:val="21"/>
          <w:szCs w:val="21"/>
          <w:highlight w:val="none"/>
          <w:u w:val="single"/>
        </w:rPr>
      </w:pPr>
      <w:r>
        <w:rPr>
          <w:rFonts w:hint="eastAsia" w:ascii="宋体" w:hAnsi="宋体" w:cs="宋体"/>
          <w:bCs/>
          <w:color w:val="auto"/>
          <w:sz w:val="21"/>
          <w:szCs w:val="21"/>
          <w:highlight w:val="none"/>
        </w:rPr>
        <w:t>1.工程名称</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lang w:eastAsia="zh-CN"/>
        </w:rPr>
        <w:t>桂林市田家炳中学球类活动场地改造</w:t>
      </w:r>
      <w:r>
        <w:rPr>
          <w:rFonts w:hint="eastAsia" w:ascii="宋体" w:hAnsi="宋体" w:cs="宋体"/>
          <w:color w:val="auto"/>
          <w:sz w:val="21"/>
          <w:szCs w:val="21"/>
          <w:highlight w:val="none"/>
        </w:rPr>
        <w:t>。</w:t>
      </w:r>
    </w:p>
    <w:p w14:paraId="2406A941">
      <w:pPr>
        <w:snapToGrid w:val="0"/>
        <w:spacing w:line="340" w:lineRule="exact"/>
        <w:ind w:firstLine="411" w:firstLineChars="196"/>
        <w:rPr>
          <w:rFonts w:ascii="宋体" w:hAnsi="宋体" w:cs="宋体"/>
          <w:bCs/>
          <w:color w:val="auto"/>
          <w:sz w:val="21"/>
          <w:szCs w:val="21"/>
          <w:highlight w:val="none"/>
        </w:rPr>
      </w:pPr>
      <w:r>
        <w:rPr>
          <w:rFonts w:hint="eastAsia" w:ascii="宋体" w:hAnsi="宋体" w:cs="宋体"/>
          <w:bCs/>
          <w:color w:val="auto"/>
          <w:sz w:val="21"/>
          <w:szCs w:val="21"/>
          <w:highlight w:val="none"/>
        </w:rPr>
        <w:t>2.工程地点：</w:t>
      </w:r>
      <w:r>
        <w:rPr>
          <w:rFonts w:hint="eastAsia" w:ascii="宋体" w:hAnsi="宋体" w:cs="宋体"/>
          <w:color w:val="auto"/>
          <w:sz w:val="21"/>
          <w:szCs w:val="21"/>
          <w:highlight w:val="none"/>
          <w:u w:val="single"/>
          <w:lang w:eastAsia="zh-CN"/>
        </w:rPr>
        <w:t>桂林市七星区（桂林市田家炳中学校园内）</w:t>
      </w:r>
      <w:r>
        <w:rPr>
          <w:rFonts w:hint="eastAsia" w:ascii="宋体" w:hAnsi="宋体" w:cs="宋体"/>
          <w:color w:val="auto"/>
          <w:sz w:val="21"/>
          <w:szCs w:val="21"/>
          <w:highlight w:val="none"/>
        </w:rPr>
        <w:t>。</w:t>
      </w:r>
    </w:p>
    <w:p w14:paraId="2E97D591">
      <w:pPr>
        <w:snapToGrid w:val="0"/>
        <w:spacing w:line="340" w:lineRule="exact"/>
        <w:ind w:firstLine="411" w:firstLineChars="196"/>
        <w:rPr>
          <w:rFonts w:ascii="宋体" w:hAnsi="宋体" w:cs="宋体"/>
          <w:bCs/>
          <w:color w:val="auto"/>
          <w:sz w:val="21"/>
          <w:szCs w:val="21"/>
          <w:highlight w:val="none"/>
        </w:rPr>
      </w:pPr>
      <w:r>
        <w:rPr>
          <w:rFonts w:hint="eastAsia" w:ascii="宋体" w:hAnsi="宋体" w:cs="宋体"/>
          <w:bCs/>
          <w:color w:val="auto"/>
          <w:sz w:val="21"/>
          <w:szCs w:val="21"/>
          <w:highlight w:val="none"/>
        </w:rPr>
        <w:t>3.工程立项批准文号：</w:t>
      </w:r>
      <w:r>
        <w:rPr>
          <w:rFonts w:hint="eastAsia" w:ascii="宋体" w:hAnsi="宋体" w:cs="宋体"/>
          <w:color w:val="auto"/>
          <w:sz w:val="21"/>
          <w:szCs w:val="21"/>
          <w:highlight w:val="none"/>
          <w:u w:val="single"/>
        </w:rPr>
        <w:t>/</w:t>
      </w:r>
      <w:r>
        <w:rPr>
          <w:rFonts w:hint="eastAsia" w:ascii="宋体" w:hAnsi="宋体" w:cs="宋体"/>
          <w:bCs/>
          <w:color w:val="auto"/>
          <w:sz w:val="21"/>
          <w:szCs w:val="21"/>
          <w:highlight w:val="none"/>
        </w:rPr>
        <w:t>。</w:t>
      </w:r>
    </w:p>
    <w:p w14:paraId="11E8E2F0">
      <w:pPr>
        <w:snapToGrid w:val="0"/>
        <w:spacing w:line="340" w:lineRule="exact"/>
        <w:ind w:firstLine="411" w:firstLineChars="196"/>
        <w:rPr>
          <w:rFonts w:ascii="宋体" w:hAnsi="宋体" w:cs="宋体"/>
          <w:color w:val="auto"/>
          <w:sz w:val="21"/>
          <w:szCs w:val="21"/>
          <w:highlight w:val="none"/>
          <w:u w:val="single"/>
        </w:rPr>
      </w:pPr>
      <w:r>
        <w:rPr>
          <w:rFonts w:hint="eastAsia" w:ascii="宋体" w:hAnsi="宋体" w:cs="宋体"/>
          <w:bCs/>
          <w:color w:val="auto"/>
          <w:sz w:val="21"/>
          <w:szCs w:val="21"/>
          <w:highlight w:val="none"/>
        </w:rPr>
        <w:t>4.工程承包范围：</w:t>
      </w:r>
      <w:r>
        <w:rPr>
          <w:rFonts w:hint="eastAsia" w:ascii="宋体" w:hAnsi="宋体" w:cs="宋体"/>
          <w:color w:val="auto"/>
          <w:sz w:val="21"/>
          <w:szCs w:val="21"/>
          <w:highlight w:val="none"/>
          <w:u w:val="single"/>
          <w:lang w:eastAsia="zh-CN"/>
        </w:rPr>
        <w:t>桂林市田家炳中学球类活动场地改造1项，主要工程内容为：原8</w:t>
      </w:r>
      <w:r>
        <w:rPr>
          <w:rFonts w:hint="eastAsia" w:ascii="宋体" w:hAnsi="宋体" w:cs="宋体"/>
          <w:color w:val="auto"/>
          <w:sz w:val="21"/>
          <w:szCs w:val="21"/>
          <w:highlight w:val="none"/>
          <w:u w:val="single"/>
          <w:lang w:val="en-US" w:eastAsia="zh-CN"/>
        </w:rPr>
        <w:t>mm</w:t>
      </w:r>
      <w:r>
        <w:rPr>
          <w:rFonts w:hint="eastAsia" w:ascii="宋体" w:hAnsi="宋体" w:cs="宋体"/>
          <w:color w:val="auto"/>
          <w:sz w:val="21"/>
          <w:szCs w:val="21"/>
          <w:highlight w:val="none"/>
          <w:u w:val="single"/>
          <w:lang w:eastAsia="zh-CN"/>
        </w:rPr>
        <w:t>厚硅PU球场拆除，新建8</w:t>
      </w:r>
      <w:r>
        <w:rPr>
          <w:rFonts w:hint="eastAsia" w:ascii="宋体" w:hAnsi="宋体" w:cs="宋体"/>
          <w:color w:val="auto"/>
          <w:sz w:val="21"/>
          <w:szCs w:val="21"/>
          <w:highlight w:val="none"/>
          <w:u w:val="single"/>
          <w:lang w:val="en-US" w:eastAsia="zh-CN"/>
        </w:rPr>
        <w:t>mm</w:t>
      </w:r>
      <w:r>
        <w:rPr>
          <w:rFonts w:hint="eastAsia" w:ascii="宋体" w:hAnsi="宋体" w:cs="宋体"/>
          <w:color w:val="auto"/>
          <w:sz w:val="21"/>
          <w:szCs w:val="21"/>
          <w:highlight w:val="none"/>
          <w:u w:val="single"/>
          <w:lang w:eastAsia="zh-CN"/>
        </w:rPr>
        <w:t>厚硅PU球场、排水沟等项目，</w:t>
      </w:r>
      <w:r>
        <w:rPr>
          <w:rFonts w:hint="eastAsia" w:ascii="宋体" w:hAnsi="宋体" w:cs="宋体"/>
          <w:color w:val="auto"/>
          <w:sz w:val="21"/>
          <w:szCs w:val="21"/>
          <w:highlight w:val="none"/>
          <w:u w:val="single"/>
        </w:rPr>
        <w:t>具体详见工程量清单及图纸。</w:t>
      </w:r>
    </w:p>
    <w:p w14:paraId="2E56BAB3">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二、合同工期</w:t>
      </w:r>
    </w:p>
    <w:p w14:paraId="504530A1">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计划开工日期：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具体以监理工程师实际下发的开工令为准</w:t>
      </w:r>
      <w:r>
        <w:rPr>
          <w:rFonts w:hint="eastAsia" w:ascii="宋体" w:hAnsi="宋体" w:cs="宋体"/>
          <w:bCs/>
          <w:color w:val="auto"/>
          <w:sz w:val="21"/>
          <w:szCs w:val="21"/>
          <w:highlight w:val="none"/>
          <w:lang w:eastAsia="zh-CN"/>
        </w:rPr>
        <w:t>）</w:t>
      </w:r>
    </w:p>
    <w:p w14:paraId="096774E5">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计划竣工日期：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14:paraId="60FC37F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工期总日历天数：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日历</w:t>
      </w:r>
      <w:r>
        <w:rPr>
          <w:rFonts w:hint="eastAsia" w:ascii="宋体" w:hAnsi="宋体" w:cs="宋体"/>
          <w:color w:val="auto"/>
          <w:sz w:val="21"/>
          <w:szCs w:val="21"/>
          <w:highlight w:val="none"/>
          <w:lang w:eastAsia="zh-CN"/>
        </w:rPr>
        <w:t>天</w:t>
      </w:r>
      <w:r>
        <w:rPr>
          <w:rFonts w:hint="eastAsia" w:ascii="宋体" w:hAnsi="宋体" w:cs="宋体"/>
          <w:color w:val="auto"/>
          <w:sz w:val="21"/>
          <w:szCs w:val="21"/>
          <w:highlight w:val="none"/>
        </w:rPr>
        <w:t>。工期总日历天数与根据前述计划开竣工日期计算的工期天数不一致的，以工期总日历天数为准。</w:t>
      </w:r>
    </w:p>
    <w:p w14:paraId="46FB5F69">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三、质量标准：工程质量符合</w:t>
      </w:r>
      <w:r>
        <w:rPr>
          <w:rFonts w:hint="eastAsia" w:ascii="宋体" w:hAnsi="宋体" w:cs="宋体"/>
          <w:color w:val="auto"/>
          <w:sz w:val="21"/>
          <w:szCs w:val="21"/>
          <w:highlight w:val="none"/>
          <w:u w:val="single"/>
        </w:rPr>
        <w:t>国家施工验收规范合格</w:t>
      </w:r>
      <w:r>
        <w:rPr>
          <w:rFonts w:hint="eastAsia" w:ascii="宋体" w:hAnsi="宋体" w:cs="宋体"/>
          <w:color w:val="auto"/>
          <w:sz w:val="21"/>
          <w:szCs w:val="21"/>
          <w:highlight w:val="none"/>
        </w:rPr>
        <w:t>标准。</w:t>
      </w:r>
    </w:p>
    <w:p w14:paraId="34881BD5">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四、签约合同价与合同价格形式</w:t>
      </w:r>
      <w:r>
        <w:rPr>
          <w:rFonts w:hint="eastAsia" w:ascii="宋体" w:hAnsi="宋体" w:cs="宋体"/>
          <w:color w:val="auto"/>
          <w:sz w:val="21"/>
          <w:szCs w:val="21"/>
          <w:highlight w:val="none"/>
        </w:rPr>
        <w:tab/>
      </w:r>
    </w:p>
    <w:p w14:paraId="64A0884D">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1.签约合同价为：人民币（大写）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7D99EE9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其中：</w:t>
      </w:r>
    </w:p>
    <w:p w14:paraId="1562803B">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1</w:t>
      </w:r>
      <w:r>
        <w:rPr>
          <w:rFonts w:hint="eastAsia" w:ascii="宋体" w:hAnsi="宋体" w:cs="宋体"/>
          <w:color w:val="auto"/>
          <w:sz w:val="21"/>
          <w:szCs w:val="21"/>
          <w:highlight w:val="none"/>
        </w:rPr>
        <w:t>） 安全文明施工费：人民币（大写）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 ；</w:t>
      </w:r>
    </w:p>
    <w:p w14:paraId="7EDE109A">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2</w:t>
      </w:r>
      <w:r>
        <w:rPr>
          <w:rFonts w:hint="eastAsia" w:ascii="宋体" w:hAnsi="宋体" w:cs="宋体"/>
          <w:color w:val="auto"/>
          <w:sz w:val="21"/>
          <w:szCs w:val="21"/>
          <w:highlight w:val="none"/>
        </w:rPr>
        <w:t>）规费：人民币（大写）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282FD47D">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3</w:t>
      </w:r>
      <w:r>
        <w:rPr>
          <w:rFonts w:hint="eastAsia" w:ascii="宋体" w:hAnsi="宋体" w:cs="宋体"/>
          <w:color w:val="auto"/>
          <w:sz w:val="21"/>
          <w:szCs w:val="21"/>
          <w:highlight w:val="none"/>
        </w:rPr>
        <w:t>）增值税：人民币（大写）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4DF792A8">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4</w:t>
      </w:r>
      <w:r>
        <w:rPr>
          <w:rFonts w:hint="eastAsia" w:ascii="宋体" w:hAnsi="宋体" w:cs="宋体"/>
          <w:color w:val="auto"/>
          <w:sz w:val="21"/>
          <w:szCs w:val="21"/>
          <w:highlight w:val="none"/>
        </w:rPr>
        <w:t>）暂列金额：人民币（大写）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2DC2094E">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5</w:t>
      </w:r>
      <w:r>
        <w:rPr>
          <w:rFonts w:hint="eastAsia" w:ascii="宋体" w:hAnsi="宋体" w:cs="宋体"/>
          <w:color w:val="auto"/>
          <w:sz w:val="21"/>
          <w:szCs w:val="21"/>
          <w:highlight w:val="none"/>
        </w:rPr>
        <w:t>）专业工程暂估价：人民币（大写）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07EBB9C0">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2.合同价格形式：</w:t>
      </w:r>
      <w:r>
        <w:rPr>
          <w:rFonts w:hint="eastAsia" w:ascii="宋体" w:hAnsi="宋体" w:cs="宋体"/>
          <w:color w:val="auto"/>
          <w:sz w:val="21"/>
          <w:szCs w:val="21"/>
          <w:highlight w:val="none"/>
          <w:u w:val="single"/>
        </w:rPr>
        <w:t xml:space="preserve">固定综合单价，总价可调 </w:t>
      </w:r>
      <w:r>
        <w:rPr>
          <w:rFonts w:hint="eastAsia" w:ascii="宋体" w:hAnsi="宋体" w:cs="宋体"/>
          <w:color w:val="auto"/>
          <w:sz w:val="21"/>
          <w:szCs w:val="21"/>
          <w:highlight w:val="none"/>
        </w:rPr>
        <w:t>。</w:t>
      </w:r>
    </w:p>
    <w:p w14:paraId="7941A80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五、合同文件构成</w:t>
      </w:r>
    </w:p>
    <w:p w14:paraId="66D72379">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本协议书与下列文件一起构成合同文件：</w:t>
      </w:r>
    </w:p>
    <w:p w14:paraId="6678D590">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（1）成交通知书（如果有）；</w:t>
      </w:r>
    </w:p>
    <w:p w14:paraId="44A5D1C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（2）响应函及其附录（如果有）； </w:t>
      </w:r>
    </w:p>
    <w:p w14:paraId="286D7851">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（3）专用合同条款及其附件；</w:t>
      </w:r>
    </w:p>
    <w:p w14:paraId="0AAD77AC">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（4）通用合同条款；</w:t>
      </w:r>
    </w:p>
    <w:p w14:paraId="3BD4B67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（5）技术标准和要求；</w:t>
      </w:r>
    </w:p>
    <w:p w14:paraId="6A689073">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（6）已标价工程量清单或预算书；</w:t>
      </w:r>
    </w:p>
    <w:p w14:paraId="487A85D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（7）其他合同文件。</w:t>
      </w:r>
    </w:p>
    <w:p w14:paraId="1F6D387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在合同订立及履行过程中形成的与合同有关的文件均构成合同文件组成部分。</w:t>
      </w:r>
    </w:p>
    <w:p w14:paraId="3C1BD8EA">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上述各项合同文件包括合同当事人就该项合同文件所作出的补充和修改，属于同一类内容的文件，应以最新签署的为准。</w:t>
      </w:r>
    </w:p>
    <w:p w14:paraId="135D5EE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六、承诺</w:t>
      </w:r>
    </w:p>
    <w:p w14:paraId="000D975D">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1.发包人承诺按照法律规定履行项目审批手续、筹集工程建设资金并按照合同约定的期限和方式支付合同价款。</w:t>
      </w:r>
    </w:p>
    <w:p w14:paraId="2474720D">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22481718">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3.发包人和承包人通过磋商形式签订合同的，双方理解并同意不再就同一工程另行签订与合同实质性内容相背离的协议。</w:t>
      </w:r>
    </w:p>
    <w:p w14:paraId="42AAC7F0">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七、词语含义</w:t>
      </w:r>
    </w:p>
    <w:p w14:paraId="2CC52252">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本协议书中词语含义与第二部分通用合同条款中赋予的含义相同。</w:t>
      </w:r>
    </w:p>
    <w:p w14:paraId="21C27F5B">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八、签订时间</w:t>
      </w:r>
    </w:p>
    <w:p w14:paraId="3D9C7830">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本合同于</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年</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日签订。</w:t>
      </w:r>
    </w:p>
    <w:p w14:paraId="36BB90C5">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九、签订地点</w:t>
      </w:r>
    </w:p>
    <w:p w14:paraId="54ADAC68">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本合同在</w:t>
      </w:r>
      <w:r>
        <w:rPr>
          <w:rFonts w:hint="eastAsia" w:ascii="宋体" w:hAnsi="宋体" w:cs="宋体"/>
          <w:bCs/>
          <w:color w:val="auto"/>
          <w:sz w:val="21"/>
          <w:szCs w:val="21"/>
          <w:highlight w:val="none"/>
          <w:u w:val="single"/>
        </w:rPr>
        <w:t>桂林市田家炳中学</w:t>
      </w:r>
      <w:r>
        <w:rPr>
          <w:rFonts w:hint="eastAsia" w:ascii="宋体" w:hAnsi="宋体" w:cs="宋体"/>
          <w:bCs/>
          <w:color w:val="auto"/>
          <w:sz w:val="21"/>
          <w:szCs w:val="21"/>
          <w:highlight w:val="none"/>
        </w:rPr>
        <w:t>签订。</w:t>
      </w:r>
    </w:p>
    <w:p w14:paraId="25BBFFA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十、补充协议</w:t>
      </w:r>
    </w:p>
    <w:p w14:paraId="384A81E8">
      <w:pPr>
        <w:snapToGrid w:val="0"/>
        <w:spacing w:line="340" w:lineRule="exact"/>
        <w:ind w:firstLine="420"/>
        <w:rPr>
          <w:rFonts w:ascii="宋体" w:hAnsi="宋体" w:cs="宋体"/>
          <w:b/>
          <w:bCs/>
          <w:color w:val="auto"/>
          <w:sz w:val="21"/>
          <w:szCs w:val="21"/>
          <w:highlight w:val="none"/>
        </w:rPr>
      </w:pPr>
      <w:r>
        <w:rPr>
          <w:rFonts w:hint="eastAsia" w:ascii="宋体" w:hAnsi="宋体" w:cs="宋体"/>
          <w:bCs/>
          <w:color w:val="auto"/>
          <w:sz w:val="21"/>
          <w:szCs w:val="21"/>
          <w:highlight w:val="none"/>
        </w:rPr>
        <w:t>合同未尽事宜，合同当事人另行签订补充协议。补充协议是合同的组成部分。</w:t>
      </w:r>
    </w:p>
    <w:p w14:paraId="1D666086">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十一、合同生效</w:t>
      </w:r>
    </w:p>
    <w:p w14:paraId="7B91B3D7">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本合同自</w:t>
      </w:r>
      <w:r>
        <w:rPr>
          <w:rFonts w:hint="eastAsia" w:ascii="宋体" w:hAnsi="宋体" w:cs="宋体"/>
          <w:bCs/>
          <w:color w:val="auto"/>
          <w:sz w:val="21"/>
          <w:szCs w:val="21"/>
          <w:highlight w:val="none"/>
          <w:u w:val="single"/>
        </w:rPr>
        <w:t>发包人、承包人双方法定代表人或委托代理人签字并加盖单位公章后</w:t>
      </w:r>
      <w:r>
        <w:rPr>
          <w:rFonts w:hint="eastAsia" w:ascii="宋体" w:hAnsi="宋体" w:cs="宋体"/>
          <w:bCs/>
          <w:color w:val="auto"/>
          <w:sz w:val="21"/>
          <w:szCs w:val="21"/>
          <w:highlight w:val="none"/>
        </w:rPr>
        <w:t>生效。</w:t>
      </w:r>
    </w:p>
    <w:p w14:paraId="1FAD4408">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十二、合同份数</w:t>
      </w:r>
    </w:p>
    <w:p w14:paraId="5517A35F">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本合同一式十二份，均具有同等法律效力，发包人执八份，承包人执四份。</w:t>
      </w:r>
    </w:p>
    <w:p w14:paraId="06E363C2">
      <w:pPr>
        <w:spacing w:line="340" w:lineRule="exact"/>
        <w:ind w:firstLine="420"/>
        <w:rPr>
          <w:rFonts w:ascii="宋体" w:hAnsi="宋体" w:cs="宋体"/>
          <w:b/>
          <w:color w:val="auto"/>
          <w:sz w:val="21"/>
          <w:szCs w:val="21"/>
          <w:highlight w:val="none"/>
          <w:u w:val="single"/>
        </w:rPr>
      </w:pPr>
      <w:r>
        <w:rPr>
          <w:rFonts w:hint="eastAsia" w:ascii="宋体" w:hAnsi="宋体" w:cs="宋体"/>
          <w:color w:val="auto"/>
          <w:sz w:val="21"/>
          <w:szCs w:val="21"/>
          <w:highlight w:val="none"/>
        </w:rPr>
        <w:t>发包人（公章）：</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承包人（公章）：</w:t>
      </w:r>
      <w:r>
        <w:rPr>
          <w:rFonts w:hint="eastAsia" w:ascii="宋体" w:hAnsi="宋体" w:cs="宋体"/>
          <w:color w:val="auto"/>
          <w:sz w:val="21"/>
          <w:szCs w:val="21"/>
          <w:highlight w:val="none"/>
          <w:u w:val="single"/>
        </w:rPr>
        <w:t xml:space="preserve">                                    </w:t>
      </w:r>
    </w:p>
    <w:p w14:paraId="5C76C0B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52CB67D8">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法定代表人（签字）：</w:t>
      </w:r>
      <w:r>
        <w:rPr>
          <w:rFonts w:hint="eastAsia" w:ascii="宋体" w:hAnsi="宋体" w:cs="宋体"/>
          <w:color w:val="auto"/>
          <w:sz w:val="21"/>
          <w:szCs w:val="21"/>
          <w:highlight w:val="none"/>
          <w:u w:val="single"/>
        </w:rPr>
        <w:t xml:space="preserve">       </w:t>
      </w:r>
      <w:r>
        <w:rPr>
          <w:rFonts w:hint="eastAsia" w:ascii="宋体" w:hAnsi="宋体" w:cs="宋体"/>
          <w:color w:val="auto"/>
          <w:sz w:val="21"/>
          <w:szCs w:val="21"/>
          <w:highlight w:val="none"/>
        </w:rPr>
        <w:t xml:space="preserve">       法定代表人（签字）：</w:t>
      </w:r>
      <w:r>
        <w:rPr>
          <w:rFonts w:hint="eastAsia" w:ascii="宋体" w:hAnsi="宋体" w:cs="宋体"/>
          <w:color w:val="auto"/>
          <w:sz w:val="21"/>
          <w:szCs w:val="21"/>
          <w:highlight w:val="none"/>
          <w:u w:val="single"/>
        </w:rPr>
        <w:t xml:space="preserve">                </w:t>
      </w:r>
    </w:p>
    <w:p w14:paraId="605BBAFC">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委托代理人（签字）：</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委托代理人（签字）：</w:t>
      </w:r>
      <w:r>
        <w:rPr>
          <w:rFonts w:hint="eastAsia" w:ascii="宋体" w:hAnsi="宋体" w:cs="宋体"/>
          <w:color w:val="auto"/>
          <w:sz w:val="21"/>
          <w:szCs w:val="21"/>
          <w:highlight w:val="none"/>
          <w:u w:val="single"/>
        </w:rPr>
        <w:t xml:space="preserve">                 </w:t>
      </w:r>
    </w:p>
    <w:p w14:paraId="3A213681">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电  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电  话：</w:t>
      </w:r>
      <w:r>
        <w:rPr>
          <w:rFonts w:hint="eastAsia" w:ascii="宋体" w:hAnsi="宋体" w:cs="宋体"/>
          <w:color w:val="auto"/>
          <w:sz w:val="21"/>
          <w:szCs w:val="21"/>
          <w:highlight w:val="none"/>
          <w:u w:val="single"/>
        </w:rPr>
        <w:t xml:space="preserve">                      </w:t>
      </w:r>
    </w:p>
    <w:p w14:paraId="2734CE5A">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传  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传  真：</w:t>
      </w:r>
      <w:r>
        <w:rPr>
          <w:rFonts w:hint="eastAsia" w:ascii="宋体" w:hAnsi="宋体" w:cs="宋体"/>
          <w:color w:val="auto"/>
          <w:sz w:val="21"/>
          <w:szCs w:val="21"/>
          <w:highlight w:val="none"/>
          <w:u w:val="single"/>
        </w:rPr>
        <w:t xml:space="preserve">                    </w:t>
      </w:r>
    </w:p>
    <w:p w14:paraId="2FDD2438">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电子信箱：</w:t>
      </w:r>
      <w:r>
        <w:rPr>
          <w:rFonts w:hint="eastAsia" w:ascii="宋体" w:hAnsi="宋体" w:cs="宋体"/>
          <w:color w:val="auto"/>
          <w:sz w:val="21"/>
          <w:szCs w:val="21"/>
          <w:highlight w:val="none"/>
          <w:u w:val="single"/>
        </w:rPr>
        <w:t xml:space="preserve">          </w:t>
      </w:r>
    </w:p>
    <w:p w14:paraId="51C343CC">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开户银行：</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开户银行：</w:t>
      </w:r>
      <w:r>
        <w:rPr>
          <w:rFonts w:hint="eastAsia" w:ascii="宋体" w:hAnsi="宋体" w:cs="宋体"/>
          <w:color w:val="auto"/>
          <w:sz w:val="21"/>
          <w:szCs w:val="21"/>
          <w:highlight w:val="none"/>
          <w:u w:val="single"/>
        </w:rPr>
        <w:t xml:space="preserve">                    </w:t>
      </w:r>
    </w:p>
    <w:p w14:paraId="4B0CBF94">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账  号：</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账  号：</w:t>
      </w:r>
      <w:r>
        <w:rPr>
          <w:rFonts w:hint="eastAsia" w:ascii="宋体" w:hAnsi="宋体" w:cs="宋体"/>
          <w:color w:val="auto"/>
          <w:sz w:val="21"/>
          <w:szCs w:val="21"/>
          <w:highlight w:val="none"/>
          <w:u w:val="single"/>
        </w:rPr>
        <w:t xml:space="preserve">                           </w:t>
      </w:r>
    </w:p>
    <w:p w14:paraId="431E5BC5">
      <w:pPr>
        <w:snapToGrid w:val="0"/>
        <w:spacing w:line="340" w:lineRule="exact"/>
        <w:ind w:firstLine="420"/>
        <w:rPr>
          <w:rFonts w:ascii="宋体" w:hAnsi="宋体" w:cs="宋体"/>
          <w:color w:val="auto"/>
          <w:szCs w:val="21"/>
          <w:highlight w:val="none"/>
          <w:u w:val="single"/>
        </w:rPr>
      </w:pPr>
      <w:r>
        <w:rPr>
          <w:rFonts w:hint="eastAsia" w:ascii="宋体" w:hAnsi="宋体" w:cs="宋体"/>
          <w:color w:val="auto"/>
          <w:sz w:val="21"/>
          <w:szCs w:val="21"/>
          <w:highlight w:val="none"/>
        </w:rPr>
        <w:t>邮政编码：</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邮政编码：</w:t>
      </w:r>
      <w:r>
        <w:rPr>
          <w:rFonts w:hint="eastAsia" w:ascii="宋体" w:hAnsi="宋体" w:cs="宋体"/>
          <w:color w:val="auto"/>
          <w:sz w:val="21"/>
          <w:szCs w:val="21"/>
          <w:highlight w:val="none"/>
          <w:u w:val="single"/>
        </w:rPr>
        <w:t xml:space="preserve">                    </w:t>
      </w:r>
      <w:r>
        <w:rPr>
          <w:rFonts w:hint="eastAsia" w:ascii="宋体" w:hAnsi="宋体" w:cs="宋体"/>
          <w:color w:val="auto"/>
          <w:szCs w:val="21"/>
          <w:highlight w:val="none"/>
          <w:u w:val="single"/>
        </w:rPr>
        <w:t xml:space="preserve">      </w:t>
      </w:r>
    </w:p>
    <w:p w14:paraId="7EB36795">
      <w:pPr>
        <w:widowControl/>
        <w:spacing w:line="240" w:lineRule="auto"/>
        <w:ind w:firstLine="0" w:firstLineChars="0"/>
        <w:jc w:val="left"/>
        <w:rPr>
          <w:rFonts w:ascii="宋体" w:hAnsi="宋体" w:eastAsia="黑体" w:cs="宋体"/>
          <w:b/>
          <w:bCs/>
          <w:color w:val="auto"/>
          <w:kern w:val="44"/>
          <w:sz w:val="28"/>
          <w:szCs w:val="28"/>
          <w:highlight w:val="none"/>
          <w:lang w:val="zh-CN"/>
        </w:rPr>
      </w:pPr>
      <w:bookmarkStart w:id="78" w:name="_Toc395382492"/>
      <w:bookmarkStart w:id="79" w:name="_Toc389065256"/>
      <w:bookmarkStart w:id="80" w:name="_Toc478389010"/>
      <w:bookmarkStart w:id="81" w:name="_Toc351203632"/>
      <w:bookmarkStart w:id="82" w:name="_Toc373478338"/>
      <w:bookmarkStart w:id="83" w:name="_Toc373227691"/>
      <w:r>
        <w:rPr>
          <w:rFonts w:ascii="宋体" w:hAnsi="宋体" w:cs="宋体"/>
          <w:color w:val="auto"/>
          <w:highlight w:val="none"/>
        </w:rPr>
        <w:br w:type="page"/>
      </w:r>
    </w:p>
    <w:p w14:paraId="4399C939">
      <w:pPr>
        <w:keepNext/>
        <w:keepLines/>
        <w:widowControl/>
        <w:ind w:left="432" w:firstLine="0" w:firstLineChars="0"/>
        <w:jc w:val="center"/>
        <w:outlineLvl w:val="0"/>
        <w:rPr>
          <w:rFonts w:ascii="宋体" w:hAnsi="宋体" w:eastAsia="黑体" w:cs="宋体"/>
          <w:b/>
          <w:bCs/>
          <w:color w:val="auto"/>
          <w:kern w:val="0"/>
          <w:sz w:val="28"/>
          <w:szCs w:val="21"/>
          <w:highlight w:val="none"/>
          <w:lang w:val="zh-CN"/>
        </w:rPr>
      </w:pPr>
      <w:r>
        <w:rPr>
          <w:rFonts w:hint="eastAsia" w:ascii="宋体" w:hAnsi="宋体" w:eastAsia="黑体" w:cs="宋体"/>
          <w:b/>
          <w:bCs/>
          <w:color w:val="auto"/>
          <w:kern w:val="44"/>
          <w:sz w:val="28"/>
          <w:szCs w:val="28"/>
          <w:highlight w:val="none"/>
          <w:lang w:val="zh-CN"/>
        </w:rPr>
        <w:t>第二部分 通用合同条款</w:t>
      </w:r>
      <w:bookmarkEnd w:id="78"/>
      <w:bookmarkEnd w:id="79"/>
      <w:bookmarkEnd w:id="80"/>
    </w:p>
    <w:p w14:paraId="7DC9608D">
      <w:pPr>
        <w:keepNext/>
        <w:keepLines/>
        <w:spacing w:line="420" w:lineRule="exact"/>
        <w:ind w:firstLine="0" w:firstLineChars="0"/>
        <w:outlineLvl w:val="0"/>
        <w:rPr>
          <w:rFonts w:ascii="宋体" w:hAnsi="宋体" w:cs="宋体"/>
          <w:b/>
          <w:bCs/>
          <w:color w:val="auto"/>
          <w:kern w:val="44"/>
          <w:sz w:val="21"/>
          <w:szCs w:val="21"/>
          <w:highlight w:val="none"/>
        </w:rPr>
      </w:pPr>
      <w:bookmarkStart w:id="84" w:name="_Toc478389011"/>
      <w:bookmarkStart w:id="85" w:name="_Toc351203495"/>
      <w:bookmarkStart w:id="86" w:name="_Toc337558727"/>
      <w:r>
        <w:rPr>
          <w:rFonts w:hint="eastAsia" w:ascii="宋体" w:hAnsi="宋体" w:cs="宋体"/>
          <w:b/>
          <w:bCs/>
          <w:color w:val="auto"/>
          <w:kern w:val="44"/>
          <w:sz w:val="21"/>
          <w:szCs w:val="21"/>
          <w:highlight w:val="none"/>
        </w:rPr>
        <w:t>1.</w:t>
      </w:r>
      <w:bookmarkStart w:id="87" w:name="_Toc303538973"/>
      <w:bookmarkEnd w:id="87"/>
      <w:bookmarkStart w:id="88" w:name="_Toc303538974"/>
      <w:bookmarkEnd w:id="88"/>
      <w:bookmarkStart w:id="89" w:name="_Toc303538975"/>
      <w:bookmarkEnd w:id="89"/>
      <w:bookmarkStart w:id="90" w:name="_Toc303538972"/>
      <w:bookmarkEnd w:id="90"/>
      <w:bookmarkStart w:id="91" w:name="_Toc303538976"/>
      <w:bookmarkEnd w:id="91"/>
      <w:bookmarkStart w:id="92" w:name="_Toc296503027"/>
      <w:bookmarkStart w:id="93" w:name="_Toc296346528"/>
      <w:r>
        <w:rPr>
          <w:rFonts w:hint="eastAsia" w:ascii="宋体" w:hAnsi="宋体" w:cs="宋体"/>
          <w:b/>
          <w:bCs/>
          <w:color w:val="auto"/>
          <w:kern w:val="44"/>
          <w:sz w:val="21"/>
          <w:szCs w:val="21"/>
          <w:highlight w:val="none"/>
        </w:rPr>
        <w:t xml:space="preserve"> 一般约定</w:t>
      </w:r>
      <w:bookmarkEnd w:id="84"/>
      <w:bookmarkEnd w:id="85"/>
      <w:bookmarkEnd w:id="86"/>
      <w:bookmarkEnd w:id="92"/>
      <w:bookmarkEnd w:id="93"/>
      <w:bookmarkStart w:id="94" w:name="_Toc296503028"/>
      <w:bookmarkStart w:id="95" w:name="_Toc337558728"/>
      <w:bookmarkStart w:id="96" w:name="_Toc296346529"/>
      <w:bookmarkStart w:id="97" w:name="_Toc351203496"/>
      <w:bookmarkStart w:id="98" w:name="_Toc478389012"/>
    </w:p>
    <w:p w14:paraId="318A010D">
      <w:pPr>
        <w:keepNext/>
        <w:keepLines/>
        <w:spacing w:line="420" w:lineRule="exact"/>
        <w:ind w:firstLine="0" w:firstLineChars="0"/>
        <w:outlineLvl w:val="0"/>
        <w:rPr>
          <w:rFonts w:ascii="宋体" w:hAnsi="宋体" w:cs="宋体"/>
          <w:b/>
          <w:bCs/>
          <w:color w:val="auto"/>
          <w:kern w:val="44"/>
          <w:sz w:val="21"/>
          <w:szCs w:val="21"/>
          <w:highlight w:val="none"/>
        </w:rPr>
      </w:pPr>
      <w:r>
        <w:rPr>
          <w:rFonts w:hint="eastAsia" w:ascii="宋体" w:hAnsi="宋体" w:cs="宋体"/>
          <w:b/>
          <w:bCs/>
          <w:color w:val="auto"/>
          <w:kern w:val="44"/>
          <w:sz w:val="21"/>
          <w:szCs w:val="21"/>
          <w:highlight w:val="none"/>
        </w:rPr>
        <w:t>1.1词语定义</w:t>
      </w:r>
      <w:bookmarkEnd w:id="94"/>
      <w:bookmarkEnd w:id="95"/>
      <w:bookmarkEnd w:id="96"/>
      <w:r>
        <w:rPr>
          <w:rFonts w:hint="eastAsia" w:ascii="宋体" w:hAnsi="宋体" w:cs="宋体"/>
          <w:b/>
          <w:bCs/>
          <w:color w:val="auto"/>
          <w:kern w:val="44"/>
          <w:sz w:val="21"/>
          <w:szCs w:val="21"/>
          <w:highlight w:val="none"/>
        </w:rPr>
        <w:t>与解释</w:t>
      </w:r>
      <w:bookmarkEnd w:id="97"/>
      <w:bookmarkEnd w:id="98"/>
    </w:p>
    <w:p w14:paraId="1657251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合同协议书、通用合同条款、专用合同条款中的下列词语具有本款所赋予的含义：</w:t>
      </w:r>
    </w:p>
    <w:p w14:paraId="2835D2BF">
      <w:pPr>
        <w:spacing w:line="420" w:lineRule="exact"/>
        <w:ind w:firstLine="422"/>
        <w:outlineLvl w:val="0"/>
        <w:rPr>
          <w:rFonts w:ascii="宋体" w:hAnsi="宋体" w:cs="宋体"/>
          <w:b/>
          <w:color w:val="auto"/>
          <w:kern w:val="0"/>
          <w:sz w:val="21"/>
          <w:szCs w:val="21"/>
          <w:highlight w:val="none"/>
        </w:rPr>
      </w:pPr>
      <w:bookmarkStart w:id="99" w:name="_Toc406419169"/>
      <w:bookmarkStart w:id="100" w:name="_Toc406522044"/>
      <w:bookmarkStart w:id="101" w:name="_Toc478389013"/>
      <w:r>
        <w:rPr>
          <w:rFonts w:hint="eastAsia" w:ascii="宋体" w:hAnsi="宋体" w:cs="宋体"/>
          <w:b/>
          <w:color w:val="auto"/>
          <w:sz w:val="21"/>
          <w:szCs w:val="21"/>
          <w:highlight w:val="none"/>
        </w:rPr>
        <w:t>1.1.1 合同</w:t>
      </w:r>
      <w:bookmarkEnd w:id="99"/>
      <w:bookmarkEnd w:id="100"/>
      <w:bookmarkEnd w:id="101"/>
    </w:p>
    <w:p w14:paraId="33E2AD7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1.1.1.1 合同：是指根据法律规定和合同当事人约定具有约束力的文件，构成合同的文件包括合同协议书、成交通知书（如果有）、投标函及其附录（如果有）、专用合同条款</w:t>
      </w:r>
      <w:r>
        <w:rPr>
          <w:rFonts w:hint="eastAsia" w:ascii="宋体" w:hAnsi="宋体" w:cs="宋体"/>
          <w:color w:val="auto"/>
          <w:sz w:val="21"/>
          <w:szCs w:val="21"/>
          <w:highlight w:val="none"/>
        </w:rPr>
        <w:t>及其附件</w:t>
      </w:r>
      <w:r>
        <w:rPr>
          <w:rFonts w:hint="eastAsia" w:ascii="宋体" w:hAnsi="宋体" w:cs="宋体"/>
          <w:color w:val="auto"/>
          <w:kern w:val="0"/>
          <w:sz w:val="21"/>
          <w:szCs w:val="21"/>
          <w:highlight w:val="none"/>
        </w:rPr>
        <w:t>、通用合同条款、技术标准和要求、图纸（如有）、已标价工程量清单或预算书以及其他合同文件。</w:t>
      </w:r>
    </w:p>
    <w:p w14:paraId="1A26BF4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1.1.1.2 合同协议书：是指构成合同的由发包人和承包人共同签署的称为“合同协议书”的书面文件。</w:t>
      </w:r>
    </w:p>
    <w:p w14:paraId="5B83B31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1.1.1.3 成交通知书：是指构成合同的由发包人通知承包人成交的书面文件。</w:t>
      </w:r>
    </w:p>
    <w:p w14:paraId="667B80EE">
      <w:pPr>
        <w:autoSpaceDE w:val="0"/>
        <w:autoSpaceDN w:val="0"/>
        <w:adjustRightInd w:val="0"/>
        <w:spacing w:line="420" w:lineRule="exact"/>
        <w:ind w:firstLine="420"/>
        <w:jc w:val="left"/>
        <w:rPr>
          <w:rFonts w:ascii="宋体" w:hAnsi="宋体" w:cs="宋体"/>
          <w:color w:val="auto"/>
          <w:spacing w:val="-4"/>
          <w:kern w:val="0"/>
          <w:sz w:val="21"/>
          <w:szCs w:val="21"/>
          <w:highlight w:val="none"/>
        </w:rPr>
      </w:pPr>
      <w:r>
        <w:rPr>
          <w:rFonts w:hint="eastAsia" w:ascii="宋体" w:hAnsi="宋体" w:cs="宋体"/>
          <w:color w:val="auto"/>
          <w:kern w:val="0"/>
          <w:sz w:val="21"/>
          <w:szCs w:val="21"/>
          <w:highlight w:val="none"/>
        </w:rPr>
        <w:t>1.1.1.4 投标函：是</w:t>
      </w:r>
      <w:r>
        <w:rPr>
          <w:rFonts w:hint="eastAsia" w:ascii="宋体" w:hAnsi="宋体" w:cs="宋体"/>
          <w:color w:val="auto"/>
          <w:spacing w:val="-4"/>
          <w:kern w:val="0"/>
          <w:sz w:val="21"/>
          <w:szCs w:val="21"/>
          <w:highlight w:val="none"/>
        </w:rPr>
        <w:t>指构成合同的由承包人填写并签署的用于投标的称为“投标函”的文件。</w:t>
      </w:r>
    </w:p>
    <w:p w14:paraId="2B0E0E0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1.1.1.5 投标函附录：是指构成合同的附在投标函后的称为“投标函附录”的文件。</w:t>
      </w:r>
    </w:p>
    <w:p w14:paraId="553D7ED5">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1.1.1.6 技术标准和要求：是指构成合同的施工应当遵守的或指导施工的国家、行业或地方的技术标准和要求，以及合同约定的技术标准和要求。</w:t>
      </w:r>
    </w:p>
    <w:p w14:paraId="33378C1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1.1.1.7 图纸（如有）：是指构成合同的图纸，包括由发包人按照合同约定提供或经发包人批准的设计文件、施工图、鸟瞰图及模型等，以及在合同履行过程中形成的图纸文件。图纸应当按照法律规定审查合格。</w:t>
      </w:r>
    </w:p>
    <w:p w14:paraId="75073376">
      <w:pPr>
        <w:autoSpaceDE w:val="0"/>
        <w:autoSpaceDN w:val="0"/>
        <w:adjustRightInd w:val="0"/>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1.1.1.8 已标价工程量清单：是指构成合同的由承包人按照规定的格式和要求填写并标明价格的工程量清单，包括说明和表格。</w:t>
      </w:r>
    </w:p>
    <w:p w14:paraId="304E2A88">
      <w:pPr>
        <w:autoSpaceDE w:val="0"/>
        <w:autoSpaceDN w:val="0"/>
        <w:adjustRightInd w:val="0"/>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1.1.1.9 预算书：是指构成合同的由承包人按照发包人规定的格式和要求编制的工程预算文件。</w:t>
      </w:r>
    </w:p>
    <w:p w14:paraId="41C27634">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1.1.1.10 其他合同文件：是指经合同当事人约定的与工程施工有关的具有合同约束力的文件或书面协议。合同当事人可以在专用合同条款中进行约定。</w:t>
      </w:r>
    </w:p>
    <w:p w14:paraId="5C3D77B7">
      <w:pPr>
        <w:spacing w:line="420" w:lineRule="exact"/>
        <w:ind w:firstLine="422"/>
        <w:outlineLvl w:val="0"/>
        <w:rPr>
          <w:rFonts w:ascii="宋体" w:hAnsi="宋体" w:cs="宋体"/>
          <w:b/>
          <w:color w:val="auto"/>
          <w:kern w:val="0"/>
          <w:sz w:val="21"/>
          <w:szCs w:val="21"/>
          <w:highlight w:val="none"/>
        </w:rPr>
      </w:pPr>
      <w:bookmarkStart w:id="102" w:name="_Toc406522045"/>
      <w:bookmarkStart w:id="103" w:name="_Toc478389014"/>
      <w:bookmarkStart w:id="104" w:name="_Toc406419170"/>
      <w:r>
        <w:rPr>
          <w:rFonts w:hint="eastAsia" w:ascii="宋体" w:hAnsi="宋体" w:cs="宋体"/>
          <w:b/>
          <w:color w:val="auto"/>
          <w:sz w:val="21"/>
          <w:szCs w:val="21"/>
          <w:highlight w:val="none"/>
        </w:rPr>
        <w:t>1.1.2 合同当事人及其他相关方</w:t>
      </w:r>
      <w:bookmarkEnd w:id="102"/>
      <w:bookmarkEnd w:id="103"/>
      <w:bookmarkEnd w:id="104"/>
    </w:p>
    <w:p w14:paraId="3D26849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1.1.2.1 合同当事人：是指发包人和（或）承包人。</w:t>
      </w:r>
    </w:p>
    <w:p w14:paraId="09BA72C6">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1.1.2.2 发包人：</w:t>
      </w:r>
      <w:r>
        <w:rPr>
          <w:rFonts w:hint="eastAsia" w:ascii="宋体" w:hAnsi="宋体" w:cs="宋体"/>
          <w:color w:val="auto"/>
          <w:spacing w:val="-4"/>
          <w:kern w:val="0"/>
          <w:sz w:val="21"/>
          <w:szCs w:val="21"/>
          <w:highlight w:val="none"/>
        </w:rPr>
        <w:t>是指与承包人签订合同协议书的当事人及取得该当事人资格的合法继承人</w:t>
      </w:r>
      <w:r>
        <w:rPr>
          <w:rFonts w:hint="eastAsia" w:ascii="宋体" w:hAnsi="宋体" w:cs="宋体"/>
          <w:color w:val="auto"/>
          <w:kern w:val="0"/>
          <w:sz w:val="21"/>
          <w:szCs w:val="21"/>
          <w:highlight w:val="none"/>
        </w:rPr>
        <w:t>。</w:t>
      </w:r>
    </w:p>
    <w:p w14:paraId="50D1D37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1.1.2.3 承包人：是指与发包人签订合同协议书的，具有相应工程施工承包资质的当事人及取得该当事人资格的合法继承人。</w:t>
      </w:r>
    </w:p>
    <w:p w14:paraId="1CA99B2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1.1.2.4 监理人：是指在专用合同条款中指明的，受发包人委托按照法律规定进行工程监督管理的法人或其他组织。</w:t>
      </w:r>
    </w:p>
    <w:p w14:paraId="31B0E4E1">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1.1.2.5 设计人：是指在专用合同条款中指明的，受发包人委托负责工程设计并具备相应工程设计资质的法人或其他组织。</w:t>
      </w:r>
    </w:p>
    <w:p w14:paraId="6A4965CD">
      <w:pPr>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1.1.2.6 分包人：</w:t>
      </w:r>
      <w:bookmarkStart w:id="105" w:name="#go5"/>
      <w:bookmarkEnd w:id="105"/>
      <w:r>
        <w:rPr>
          <w:rFonts w:hint="eastAsia" w:ascii="宋体" w:hAnsi="宋体" w:cs="宋体"/>
          <w:color w:val="auto"/>
          <w:kern w:val="0"/>
          <w:sz w:val="21"/>
          <w:szCs w:val="21"/>
          <w:highlight w:val="none"/>
        </w:rPr>
        <w:t>是指按照法律规定和合同约定，分包部分工程或工作，并与承包人签订分包合同的具有相应资质的法人。</w:t>
      </w:r>
    </w:p>
    <w:p w14:paraId="1CD3500D">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1.1.2.7 发包人代表：是指由发包人任命并派驻施工现场在发包人授权范围内行使发包人权利的人。</w:t>
      </w:r>
    </w:p>
    <w:p w14:paraId="71B2CFB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1.1.2.8 项目经理：是指由承包人任命并派驻施工现场，在承包人授权范围内负责合同履行，且按照法律规定具有相应资格的项目负责人。</w:t>
      </w:r>
    </w:p>
    <w:p w14:paraId="73D8C819">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1.1.2.9 总监理工程师：是指由监理人任命并派驻施工现场进行工程监理的总负责人。</w:t>
      </w:r>
    </w:p>
    <w:p w14:paraId="5E814EB5">
      <w:pPr>
        <w:spacing w:line="420" w:lineRule="exact"/>
        <w:ind w:firstLine="422"/>
        <w:outlineLvl w:val="0"/>
        <w:rPr>
          <w:rFonts w:ascii="宋体" w:hAnsi="宋体" w:cs="宋体"/>
          <w:b/>
          <w:color w:val="auto"/>
          <w:kern w:val="0"/>
          <w:sz w:val="21"/>
          <w:szCs w:val="21"/>
          <w:highlight w:val="none"/>
        </w:rPr>
      </w:pPr>
      <w:bookmarkStart w:id="106" w:name="_Toc406522046"/>
      <w:bookmarkStart w:id="107" w:name="_Toc478389015"/>
      <w:bookmarkStart w:id="108" w:name="_Toc406419171"/>
      <w:r>
        <w:rPr>
          <w:rFonts w:hint="eastAsia" w:ascii="宋体" w:hAnsi="宋体" w:cs="宋体"/>
          <w:b/>
          <w:color w:val="auto"/>
          <w:sz w:val="21"/>
          <w:szCs w:val="21"/>
          <w:highlight w:val="none"/>
        </w:rPr>
        <w:t>1.1.3 工程和设备</w:t>
      </w:r>
      <w:bookmarkEnd w:id="106"/>
      <w:bookmarkEnd w:id="107"/>
      <w:bookmarkEnd w:id="108"/>
    </w:p>
    <w:p w14:paraId="21B557B0">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1.1.3.1 工程：是指与合同协议书中工程承包范围对应的永久工程和（或）临时工程。</w:t>
      </w:r>
    </w:p>
    <w:p w14:paraId="44F1BDEC">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1.1.3.2 永久工程：是指按合同约定建造并移交给发包人的工程，包括工程设备。</w:t>
      </w:r>
    </w:p>
    <w:p w14:paraId="090FEF6A">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1.1.3.3 临时工程：是指为完成合同约定的永久工程所修建的各类临时性工程，不包括施工设备。</w:t>
      </w:r>
    </w:p>
    <w:p w14:paraId="43605F7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1.1.3.4 单位工程：是指在合同协议书中指明的，具备独立施工条件并能形成独立使用功能的永久工程。</w:t>
      </w:r>
    </w:p>
    <w:p w14:paraId="633B4DA4">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1.1.3.5 工程设备：是指构成永久工程的机电设备、金属结构设备、仪器及其他类似的设备和装置。</w:t>
      </w:r>
    </w:p>
    <w:p w14:paraId="751E7E9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1.1.3.6 施工设备：是指为完成合同约定的各项工作所需的设备、器具和其他物品，但不包括工程设备、临时工程和材料。</w:t>
      </w:r>
    </w:p>
    <w:p w14:paraId="2DEC5EC6">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1.1.3.7 施工现场：是指用于工程施工的场所，以及在专用合同条款中指明作为施工场所组成部分的其他场所，包括永久占地和临时占地。</w:t>
      </w:r>
    </w:p>
    <w:p w14:paraId="5FFC90A5">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1.1.3.8临时设施：是指为完成合同约定的各项工作所服务的临时性生产和生活设施。</w:t>
      </w:r>
    </w:p>
    <w:p w14:paraId="7745E50D">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1.1.3.9 永久占地：是指专用合同条款中指明为实施工程需永久占用的土地。</w:t>
      </w:r>
    </w:p>
    <w:p w14:paraId="4F711F21">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1.1.3.10 临时占地：是指专用合同条款中指明为实施工程需要临时占用的土地。</w:t>
      </w:r>
    </w:p>
    <w:p w14:paraId="41C4151F">
      <w:pPr>
        <w:spacing w:line="420" w:lineRule="exact"/>
        <w:ind w:firstLine="422"/>
        <w:outlineLvl w:val="0"/>
        <w:rPr>
          <w:rFonts w:ascii="宋体" w:hAnsi="宋体" w:cs="宋体"/>
          <w:b/>
          <w:color w:val="auto"/>
          <w:kern w:val="0"/>
          <w:sz w:val="21"/>
          <w:szCs w:val="21"/>
          <w:highlight w:val="none"/>
        </w:rPr>
      </w:pPr>
      <w:bookmarkStart w:id="109" w:name="_Toc478389016"/>
      <w:bookmarkStart w:id="110" w:name="_Toc406522047"/>
      <w:bookmarkStart w:id="111" w:name="_Toc406419172"/>
      <w:r>
        <w:rPr>
          <w:rFonts w:hint="eastAsia" w:ascii="宋体" w:hAnsi="宋体" w:cs="宋体"/>
          <w:b/>
          <w:color w:val="auto"/>
          <w:sz w:val="21"/>
          <w:szCs w:val="21"/>
          <w:highlight w:val="none"/>
        </w:rPr>
        <w:t>1.1.4 日期和期限</w:t>
      </w:r>
      <w:bookmarkEnd w:id="109"/>
      <w:bookmarkEnd w:id="110"/>
      <w:bookmarkEnd w:id="111"/>
    </w:p>
    <w:p w14:paraId="1A6B21D4">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AFD7425">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1.1.4.2 竣工日期：包括计划竣工日期和实际竣工日期。计划竣工日期是指合同协议书约定的竣工日期；实际竣工日期按照第13.2.3项〔竣工日期〕的约定确定。 </w:t>
      </w:r>
    </w:p>
    <w:p w14:paraId="085D76C7">
      <w:pPr>
        <w:spacing w:line="420" w:lineRule="exact"/>
        <w:ind w:firstLine="426" w:firstLineChars="203"/>
        <w:rPr>
          <w:rFonts w:ascii="宋体" w:hAnsi="宋体" w:cs="宋体"/>
          <w:color w:val="auto"/>
          <w:sz w:val="21"/>
          <w:szCs w:val="21"/>
          <w:highlight w:val="none"/>
        </w:rPr>
      </w:pPr>
      <w:r>
        <w:rPr>
          <w:rFonts w:hint="eastAsia" w:ascii="宋体" w:hAnsi="宋体" w:cs="宋体"/>
          <w:color w:val="auto"/>
          <w:kern w:val="0"/>
          <w:sz w:val="21"/>
          <w:szCs w:val="21"/>
          <w:highlight w:val="none"/>
        </w:rPr>
        <w:t>1.1.4.3 工期：是指在合同协议书约定的承包人完成工程所需的期限，包括按照合同约定所作的期限变更。</w:t>
      </w:r>
    </w:p>
    <w:p w14:paraId="04A260C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1.1.4.4 缺陷责任期：是指承包人按照合同约定承担缺陷修复义务，且发包人预留质量保证金的期限，自工程实际竣工日期起计算。</w:t>
      </w:r>
    </w:p>
    <w:p w14:paraId="64675369">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1.1.4.5 保修期：是指承包人按照合同约定对工程承担保修责任的期限，从工程竣工验收合格之日起计算。</w:t>
      </w:r>
    </w:p>
    <w:p w14:paraId="6AF7C7EC">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1.1.4.6 基准日期：招标发包的工程以</w:t>
      </w:r>
      <w:r>
        <w:rPr>
          <w:rFonts w:hint="eastAsia" w:ascii="宋体" w:hAnsi="宋体" w:cs="宋体"/>
          <w:color w:val="auto"/>
          <w:kern w:val="0"/>
          <w:sz w:val="21"/>
          <w:szCs w:val="21"/>
          <w:highlight w:val="none"/>
          <w:lang w:eastAsia="zh-CN"/>
        </w:rPr>
        <w:t>响应文件递交</w:t>
      </w:r>
      <w:r>
        <w:rPr>
          <w:rFonts w:hint="eastAsia" w:ascii="宋体" w:hAnsi="宋体" w:cs="宋体"/>
          <w:color w:val="auto"/>
          <w:kern w:val="0"/>
          <w:sz w:val="21"/>
          <w:szCs w:val="21"/>
          <w:highlight w:val="none"/>
        </w:rPr>
        <w:t>截止日前28天的日期为基准日期，直接发包的工程以合同签订日前28天的日期为基准日期。</w:t>
      </w:r>
    </w:p>
    <w:p w14:paraId="3EBD8E56">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1.1.4.7 天：除特别指明外，均指日历天。合同中按天计算时间的，开始当天不计入，从次日开始计算，期限最后一天的截止时间为当天24:00时。</w:t>
      </w:r>
    </w:p>
    <w:p w14:paraId="090A5EC6">
      <w:pPr>
        <w:spacing w:line="420" w:lineRule="exact"/>
        <w:ind w:firstLine="422"/>
        <w:outlineLvl w:val="0"/>
        <w:rPr>
          <w:rFonts w:ascii="宋体" w:hAnsi="宋体" w:cs="宋体"/>
          <w:b/>
          <w:color w:val="auto"/>
          <w:kern w:val="0"/>
          <w:sz w:val="21"/>
          <w:szCs w:val="21"/>
          <w:highlight w:val="none"/>
        </w:rPr>
      </w:pPr>
      <w:bookmarkStart w:id="112" w:name="_Toc406522048"/>
      <w:bookmarkStart w:id="113" w:name="_Toc478389017"/>
      <w:bookmarkStart w:id="114" w:name="_Toc406419173"/>
      <w:r>
        <w:rPr>
          <w:rFonts w:hint="eastAsia" w:ascii="宋体" w:hAnsi="宋体" w:cs="宋体"/>
          <w:b/>
          <w:color w:val="auto"/>
          <w:sz w:val="21"/>
          <w:szCs w:val="21"/>
          <w:highlight w:val="none"/>
        </w:rPr>
        <w:t>1.1.5 合同价格和费用</w:t>
      </w:r>
      <w:bookmarkEnd w:id="112"/>
      <w:bookmarkEnd w:id="113"/>
      <w:bookmarkEnd w:id="114"/>
    </w:p>
    <w:p w14:paraId="6DE28A20">
      <w:pPr>
        <w:spacing w:line="42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1.1.5.1 签约合同价：是指</w:t>
      </w:r>
      <w:r>
        <w:rPr>
          <w:rFonts w:hint="eastAsia" w:ascii="宋体" w:hAnsi="宋体" w:cs="宋体"/>
          <w:color w:val="auto"/>
          <w:sz w:val="21"/>
          <w:szCs w:val="21"/>
          <w:highlight w:val="none"/>
        </w:rPr>
        <w:t>发包人和承包人在合同协议书中确定的总金额，包括安全文明施工费、暂估价及暂列金额等。</w:t>
      </w:r>
    </w:p>
    <w:p w14:paraId="26D9D04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1.1.5.2 合同价格：是指发包人用于支付承包人按照合同约定完成承包范围内全部工作的金额，包括合同履行过程中按合同约定发生的价格变化。</w:t>
      </w:r>
    </w:p>
    <w:p w14:paraId="0D1922B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1.1.5.3 费用：是指为履行合同所发生的或将要发生的所有必需的开支，包括管理费和应分摊的其他费用，但不包括利润。</w:t>
      </w:r>
    </w:p>
    <w:p w14:paraId="1855B34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1.1.5.4 暂估价：是指发包人在工程量清单或预算书中提供的用于支付必然发生但暂时不能确定价格的材料、工程设备的单价、专业工程以及服务工作的金额。</w:t>
      </w:r>
    </w:p>
    <w:p w14:paraId="2ACB7AB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w:t>
      </w:r>
      <w:r>
        <w:rPr>
          <w:rFonts w:hint="eastAsia" w:ascii="宋体" w:hAnsi="宋体" w:cs="宋体"/>
          <w:color w:val="auto"/>
          <w:kern w:val="0"/>
          <w:sz w:val="21"/>
          <w:szCs w:val="21"/>
          <w:highlight w:val="none"/>
          <w:lang w:eastAsia="zh-CN"/>
        </w:rPr>
        <w:t>等</w:t>
      </w:r>
      <w:r>
        <w:rPr>
          <w:rFonts w:hint="eastAsia" w:ascii="宋体" w:hAnsi="宋体" w:cs="宋体"/>
          <w:color w:val="auto"/>
          <w:kern w:val="0"/>
          <w:sz w:val="21"/>
          <w:szCs w:val="21"/>
          <w:highlight w:val="none"/>
        </w:rPr>
        <w:t>费用。</w:t>
      </w:r>
    </w:p>
    <w:p w14:paraId="5B309D9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1.1.5.6 计日工：是指合同履行过程中，承包人完成发包人提出的零星工作或需要采用计日工计价的变更工作时，按合同中约定的单价计价的一种方式。</w:t>
      </w:r>
    </w:p>
    <w:p w14:paraId="731AB080">
      <w:pPr>
        <w:spacing w:line="42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1.1.5.7 质量保证金</w:t>
      </w:r>
      <w:bookmarkStart w:id="115" w:name="#go2"/>
      <w:bookmarkEnd w:id="115"/>
      <w:r>
        <w:rPr>
          <w:rFonts w:hint="eastAsia" w:ascii="宋体" w:hAnsi="宋体" w:cs="宋体"/>
          <w:color w:val="auto"/>
          <w:kern w:val="0"/>
          <w:sz w:val="21"/>
          <w:szCs w:val="21"/>
          <w:highlight w:val="none"/>
        </w:rPr>
        <w:t>：是指按照第15.3款〔质量保证金〕约定承包人用于保证其在缺陷责任期内履行缺陷修补义务的担保</w:t>
      </w:r>
      <w:r>
        <w:rPr>
          <w:rFonts w:hint="eastAsia" w:ascii="宋体" w:hAnsi="宋体" w:cs="宋体"/>
          <w:color w:val="auto"/>
          <w:sz w:val="21"/>
          <w:szCs w:val="21"/>
          <w:highlight w:val="none"/>
        </w:rPr>
        <w:t>。</w:t>
      </w:r>
    </w:p>
    <w:p w14:paraId="61F207F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1.1.5.8 总价项目：是指在现行国家、行业以及地方的计量规则中无工程量计算规则，在已标价工程量清单或预算书中以总价或以费率形式计算的项目。</w:t>
      </w:r>
    </w:p>
    <w:p w14:paraId="1D29B840">
      <w:pPr>
        <w:spacing w:line="420" w:lineRule="exact"/>
        <w:ind w:firstLine="422"/>
        <w:outlineLvl w:val="0"/>
        <w:rPr>
          <w:rFonts w:ascii="宋体" w:hAnsi="宋体" w:cs="宋体"/>
          <w:b/>
          <w:color w:val="auto"/>
          <w:kern w:val="0"/>
          <w:sz w:val="21"/>
          <w:szCs w:val="21"/>
          <w:highlight w:val="none"/>
        </w:rPr>
      </w:pPr>
      <w:bookmarkStart w:id="116" w:name="_Toc478389018"/>
      <w:bookmarkStart w:id="117" w:name="_Toc406419174"/>
      <w:bookmarkStart w:id="118" w:name="_Toc406522049"/>
      <w:r>
        <w:rPr>
          <w:rFonts w:hint="eastAsia" w:ascii="宋体" w:hAnsi="宋体" w:cs="宋体"/>
          <w:b/>
          <w:color w:val="auto"/>
          <w:sz w:val="21"/>
          <w:szCs w:val="21"/>
          <w:highlight w:val="none"/>
        </w:rPr>
        <w:t>1.1.6 其他</w:t>
      </w:r>
      <w:bookmarkEnd w:id="116"/>
      <w:bookmarkEnd w:id="117"/>
      <w:bookmarkEnd w:id="118"/>
    </w:p>
    <w:p w14:paraId="648E3754">
      <w:pPr>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1.1.6.1 书面形式：是指合同文件、信函、电报、传真等可以有形地表现所载内容的形式。</w:t>
      </w:r>
    </w:p>
    <w:p w14:paraId="3EED87AE">
      <w:pPr>
        <w:keepNext/>
        <w:keepLines/>
        <w:spacing w:line="420" w:lineRule="exact"/>
        <w:ind w:firstLine="0" w:firstLineChars="0"/>
        <w:outlineLvl w:val="0"/>
        <w:rPr>
          <w:rFonts w:ascii="宋体" w:hAnsi="宋体" w:cs="宋体"/>
          <w:b/>
          <w:bCs/>
          <w:color w:val="auto"/>
          <w:kern w:val="44"/>
          <w:sz w:val="21"/>
          <w:szCs w:val="21"/>
          <w:highlight w:val="none"/>
        </w:rPr>
      </w:pPr>
      <w:bookmarkStart w:id="119" w:name="_Toc296346530"/>
      <w:bookmarkStart w:id="120" w:name="_Toc351203497"/>
      <w:bookmarkStart w:id="121" w:name="_Toc337558729"/>
      <w:bookmarkStart w:id="122" w:name="_Toc478389019"/>
      <w:bookmarkStart w:id="123" w:name="_Toc296503029"/>
      <w:r>
        <w:rPr>
          <w:rFonts w:hint="eastAsia" w:ascii="宋体" w:hAnsi="宋体" w:cs="宋体"/>
          <w:b/>
          <w:bCs/>
          <w:color w:val="auto"/>
          <w:kern w:val="44"/>
          <w:sz w:val="21"/>
          <w:szCs w:val="21"/>
          <w:highlight w:val="none"/>
        </w:rPr>
        <w:t>1.2语言文字</w:t>
      </w:r>
      <w:bookmarkEnd w:id="119"/>
      <w:bookmarkEnd w:id="120"/>
      <w:bookmarkEnd w:id="121"/>
      <w:bookmarkEnd w:id="122"/>
      <w:bookmarkEnd w:id="123"/>
    </w:p>
    <w:p w14:paraId="397AE2D9">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合同以中国的汉语简体文字编写、解释和说明。合同当事人在专用合同条款中约定使用两种以上语言时，汉语为优先解释和说明合同的语言。</w:t>
      </w:r>
    </w:p>
    <w:p w14:paraId="3A5D60FF">
      <w:pPr>
        <w:keepNext/>
        <w:keepLines/>
        <w:spacing w:line="420" w:lineRule="exact"/>
        <w:ind w:firstLine="0" w:firstLineChars="0"/>
        <w:outlineLvl w:val="0"/>
        <w:rPr>
          <w:rFonts w:ascii="宋体" w:hAnsi="宋体" w:cs="宋体"/>
          <w:b/>
          <w:bCs/>
          <w:color w:val="auto"/>
          <w:kern w:val="44"/>
          <w:sz w:val="21"/>
          <w:szCs w:val="21"/>
          <w:highlight w:val="none"/>
        </w:rPr>
      </w:pPr>
      <w:bookmarkStart w:id="124" w:name="_Toc296346531"/>
      <w:bookmarkStart w:id="125" w:name="_Toc478389020"/>
      <w:bookmarkStart w:id="126" w:name="_Toc351203498"/>
      <w:bookmarkStart w:id="127" w:name="_Toc337558730"/>
      <w:bookmarkStart w:id="128" w:name="_Toc296503030"/>
      <w:r>
        <w:rPr>
          <w:rFonts w:hint="eastAsia" w:ascii="宋体" w:hAnsi="宋体" w:cs="宋体"/>
          <w:b/>
          <w:bCs/>
          <w:color w:val="auto"/>
          <w:kern w:val="44"/>
          <w:sz w:val="21"/>
          <w:szCs w:val="21"/>
          <w:highlight w:val="none"/>
        </w:rPr>
        <w:t>1.3法律</w:t>
      </w:r>
      <w:bookmarkEnd w:id="124"/>
      <w:bookmarkEnd w:id="125"/>
      <w:bookmarkEnd w:id="126"/>
      <w:bookmarkEnd w:id="127"/>
      <w:bookmarkEnd w:id="128"/>
    </w:p>
    <w:p w14:paraId="2B5ED906">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合同所称法律是指中华人民共和国法律、行政法规、部门规章，以及工程所在地的地方性法规、自治条例、单行条例和地方规章等。</w:t>
      </w:r>
    </w:p>
    <w:p w14:paraId="70B8927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合同当事人可以在专用合同条款中约定合同适用的其他规范性文件。</w:t>
      </w:r>
    </w:p>
    <w:p w14:paraId="73D7F6E2">
      <w:pPr>
        <w:keepNext/>
        <w:keepLines/>
        <w:spacing w:line="420" w:lineRule="exact"/>
        <w:ind w:firstLine="0" w:firstLineChars="0"/>
        <w:outlineLvl w:val="0"/>
        <w:rPr>
          <w:rFonts w:ascii="宋体" w:hAnsi="宋体" w:cs="宋体"/>
          <w:b/>
          <w:bCs/>
          <w:color w:val="auto"/>
          <w:kern w:val="44"/>
          <w:sz w:val="21"/>
          <w:szCs w:val="21"/>
          <w:highlight w:val="none"/>
        </w:rPr>
      </w:pPr>
      <w:bookmarkStart w:id="129" w:name="_Toc478389021"/>
      <w:bookmarkStart w:id="130" w:name="_Toc351203499"/>
      <w:r>
        <w:rPr>
          <w:rFonts w:hint="eastAsia" w:ascii="宋体" w:hAnsi="宋体" w:cs="宋体"/>
          <w:b/>
          <w:bCs/>
          <w:color w:val="auto"/>
          <w:kern w:val="44"/>
          <w:sz w:val="21"/>
          <w:szCs w:val="21"/>
          <w:highlight w:val="none"/>
        </w:rPr>
        <w:t>1.4 标准和规范</w:t>
      </w:r>
      <w:bookmarkEnd w:id="129"/>
      <w:bookmarkEnd w:id="130"/>
    </w:p>
    <w:p w14:paraId="3F272E84">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1.4.1 适用于工程的国家标准、行业标准、工程所在地的地方性标准，以及相应的规范、规程等，合同当事人有特别要求的，应在专用合同条款中约定。</w:t>
      </w:r>
    </w:p>
    <w:p w14:paraId="5D3065E1">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1.4.2 发包人要求使用国外标准、规范的，发包人负责提供原文版本和中文译本，并在专用合同条款中约定提供标准规范的名称、份数和时间。</w:t>
      </w:r>
    </w:p>
    <w:p w14:paraId="24C1401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24C51DB5">
      <w:pPr>
        <w:keepNext/>
        <w:keepLines/>
        <w:spacing w:line="420" w:lineRule="exact"/>
        <w:ind w:firstLine="0" w:firstLineChars="0"/>
        <w:outlineLvl w:val="0"/>
        <w:rPr>
          <w:rFonts w:ascii="宋体" w:hAnsi="宋体" w:cs="宋体"/>
          <w:b/>
          <w:bCs/>
          <w:color w:val="auto"/>
          <w:kern w:val="44"/>
          <w:sz w:val="21"/>
          <w:szCs w:val="21"/>
          <w:highlight w:val="none"/>
        </w:rPr>
      </w:pPr>
      <w:bookmarkStart w:id="131" w:name="_Toc351203500"/>
      <w:bookmarkStart w:id="132" w:name="_Toc478389022"/>
      <w:r>
        <w:rPr>
          <w:rFonts w:hint="eastAsia" w:ascii="宋体" w:hAnsi="宋体" w:cs="宋体"/>
          <w:b/>
          <w:bCs/>
          <w:color w:val="auto"/>
          <w:kern w:val="44"/>
          <w:sz w:val="21"/>
          <w:szCs w:val="21"/>
          <w:highlight w:val="none"/>
        </w:rPr>
        <w:t>1</w:t>
      </w:r>
      <w:bookmarkStart w:id="133" w:name="_Toc296503031"/>
      <w:bookmarkStart w:id="134" w:name="_Toc337558731"/>
      <w:bookmarkStart w:id="135" w:name="_Toc296346532"/>
      <w:r>
        <w:rPr>
          <w:rFonts w:hint="eastAsia" w:ascii="宋体" w:hAnsi="宋体" w:cs="宋体"/>
          <w:b/>
          <w:bCs/>
          <w:color w:val="auto"/>
          <w:kern w:val="44"/>
          <w:sz w:val="21"/>
          <w:szCs w:val="21"/>
          <w:highlight w:val="none"/>
        </w:rPr>
        <w:t>.5 合同文件的优先顺序</w:t>
      </w:r>
      <w:bookmarkEnd w:id="131"/>
      <w:bookmarkEnd w:id="132"/>
    </w:p>
    <w:bookmarkEnd w:id="133"/>
    <w:bookmarkEnd w:id="134"/>
    <w:bookmarkEnd w:id="135"/>
    <w:p w14:paraId="391170B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组成合同的各项文件应互相解释，互为说明。除专用合同条款另有约定外，解释合同文件的优先顺序如下：</w:t>
      </w:r>
    </w:p>
    <w:p w14:paraId="6D1CD1CC">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（1）合同协议书；</w:t>
      </w:r>
    </w:p>
    <w:p w14:paraId="05A9725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（2）成交通知书（如果有）；</w:t>
      </w:r>
    </w:p>
    <w:p w14:paraId="5094A84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（3）投标函及其附录（如果有）；</w:t>
      </w:r>
    </w:p>
    <w:p w14:paraId="7207C357">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（4）专用合同条款</w:t>
      </w:r>
      <w:r>
        <w:rPr>
          <w:rFonts w:hint="eastAsia" w:ascii="宋体" w:hAnsi="宋体" w:cs="宋体"/>
          <w:color w:val="auto"/>
          <w:sz w:val="21"/>
          <w:szCs w:val="21"/>
          <w:highlight w:val="none"/>
        </w:rPr>
        <w:t>及其附件</w:t>
      </w:r>
      <w:r>
        <w:rPr>
          <w:rFonts w:hint="eastAsia" w:ascii="宋体" w:hAnsi="宋体" w:cs="宋体"/>
          <w:color w:val="auto"/>
          <w:kern w:val="0"/>
          <w:sz w:val="21"/>
          <w:szCs w:val="21"/>
          <w:highlight w:val="none"/>
        </w:rPr>
        <w:t>；</w:t>
      </w:r>
    </w:p>
    <w:p w14:paraId="2EDDD8D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（5）通用合同条款；</w:t>
      </w:r>
    </w:p>
    <w:p w14:paraId="0FD584A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（6）技术标准和要求；</w:t>
      </w:r>
    </w:p>
    <w:p w14:paraId="0D4EE9DD">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（7）已标价工程量清单或预算书；</w:t>
      </w:r>
    </w:p>
    <w:p w14:paraId="276E8C0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（8）其他合同文件。</w:t>
      </w:r>
    </w:p>
    <w:p w14:paraId="56FF43C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（9）（GB50500-2013</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建设工程工程量清单计价规范》及其广西实施细则及《关于建筑业实施营业税改征增值税后广西壮族自治区建设工程计价依据调整的通知》（桂建标〔2019〕12号）、（GB50854~50862-2013）《建设工程工程量计算规范广西壮族自治区实施细则》（修订本）。</w:t>
      </w:r>
    </w:p>
    <w:p w14:paraId="19D83BE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上述各项合同文件包括合同当事人就该项合同文件所作出的补充和修改，属于同一类内容的文件，应以最新签署的为准。</w:t>
      </w:r>
    </w:p>
    <w:p w14:paraId="177FDEFF">
      <w:pPr>
        <w:spacing w:line="420" w:lineRule="exact"/>
        <w:ind w:firstLine="447" w:firstLineChars="213"/>
        <w:rPr>
          <w:rFonts w:ascii="宋体" w:hAnsi="宋体" w:cs="宋体"/>
          <w:color w:val="auto"/>
          <w:sz w:val="21"/>
          <w:szCs w:val="21"/>
          <w:highlight w:val="none"/>
        </w:rPr>
      </w:pPr>
      <w:r>
        <w:rPr>
          <w:rFonts w:hint="eastAsia" w:ascii="宋体" w:hAnsi="宋体" w:cs="宋体"/>
          <w:color w:val="auto"/>
          <w:sz w:val="21"/>
          <w:szCs w:val="21"/>
          <w:highlight w:val="none"/>
        </w:rPr>
        <w:t>在合同订立及履行过程中形成的与合同有关的文件均构成合同文件组成部分，并根据其性质确定优先解释顺序。</w:t>
      </w:r>
    </w:p>
    <w:p w14:paraId="1F9AA5B2">
      <w:pPr>
        <w:keepNext/>
        <w:keepLines/>
        <w:spacing w:line="420" w:lineRule="exact"/>
        <w:ind w:firstLine="0" w:firstLineChars="0"/>
        <w:outlineLvl w:val="0"/>
        <w:rPr>
          <w:rFonts w:ascii="宋体" w:hAnsi="宋体" w:cs="宋体"/>
          <w:b/>
          <w:bCs/>
          <w:color w:val="auto"/>
          <w:kern w:val="44"/>
          <w:sz w:val="21"/>
          <w:szCs w:val="21"/>
          <w:highlight w:val="none"/>
        </w:rPr>
      </w:pPr>
      <w:bookmarkStart w:id="136" w:name="_Toc351203501"/>
      <w:bookmarkStart w:id="137" w:name="_Toc478389023"/>
      <w:r>
        <w:rPr>
          <w:rFonts w:hint="eastAsia" w:ascii="宋体" w:hAnsi="宋体" w:cs="宋体"/>
          <w:b/>
          <w:bCs/>
          <w:color w:val="auto"/>
          <w:kern w:val="44"/>
          <w:sz w:val="21"/>
          <w:szCs w:val="21"/>
          <w:highlight w:val="none"/>
        </w:rPr>
        <w:t>1</w:t>
      </w:r>
      <w:bookmarkStart w:id="138" w:name="_Toc296503032"/>
      <w:bookmarkStart w:id="139" w:name="_Toc296346533"/>
      <w:bookmarkStart w:id="140" w:name="_Toc337558732"/>
      <w:r>
        <w:rPr>
          <w:rFonts w:hint="eastAsia" w:ascii="宋体" w:hAnsi="宋体" w:cs="宋体"/>
          <w:b/>
          <w:bCs/>
          <w:color w:val="auto"/>
          <w:kern w:val="44"/>
          <w:sz w:val="21"/>
          <w:szCs w:val="21"/>
          <w:highlight w:val="none"/>
        </w:rPr>
        <w:t>.6图纸和承包人文件</w:t>
      </w:r>
      <w:bookmarkEnd w:id="136"/>
      <w:bookmarkEnd w:id="137"/>
    </w:p>
    <w:bookmarkEnd w:id="138"/>
    <w:bookmarkEnd w:id="139"/>
    <w:bookmarkEnd w:id="140"/>
    <w:p w14:paraId="0AD354F7">
      <w:pPr>
        <w:spacing w:line="420" w:lineRule="exact"/>
        <w:ind w:firstLine="420"/>
        <w:jc w:val="left"/>
        <w:outlineLvl w:val="0"/>
        <w:rPr>
          <w:rFonts w:ascii="宋体" w:hAnsi="宋体" w:cs="宋体"/>
          <w:color w:val="auto"/>
          <w:kern w:val="0"/>
          <w:sz w:val="21"/>
          <w:szCs w:val="21"/>
          <w:highlight w:val="none"/>
        </w:rPr>
      </w:pPr>
      <w:bookmarkStart w:id="141" w:name="_Toc406522055"/>
      <w:bookmarkStart w:id="142" w:name="_Toc478389024"/>
      <w:r>
        <w:rPr>
          <w:rFonts w:hint="eastAsia" w:ascii="宋体" w:hAnsi="宋体" w:cs="宋体"/>
          <w:color w:val="auto"/>
          <w:kern w:val="0"/>
          <w:sz w:val="21"/>
          <w:szCs w:val="21"/>
          <w:highlight w:val="none"/>
        </w:rPr>
        <w:t>1.6.1 图纸的提供和交底</w:t>
      </w:r>
      <w:bookmarkEnd w:id="141"/>
      <w:bookmarkEnd w:id="142"/>
    </w:p>
    <w:p w14:paraId="686F3D2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E89EE91">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因发包人未按合同约定提供图纸导致承包人费用增加和（或）工期延误的，按照第7.5.1项〔因发包人原因导致工期延误〕约定办理。</w:t>
      </w:r>
    </w:p>
    <w:p w14:paraId="5C91EBA5">
      <w:pPr>
        <w:spacing w:line="420" w:lineRule="exact"/>
        <w:ind w:firstLine="420"/>
        <w:jc w:val="left"/>
        <w:outlineLvl w:val="0"/>
        <w:rPr>
          <w:rFonts w:ascii="宋体" w:hAnsi="宋体" w:cs="宋体"/>
          <w:color w:val="auto"/>
          <w:kern w:val="0"/>
          <w:sz w:val="21"/>
          <w:szCs w:val="21"/>
          <w:highlight w:val="none"/>
        </w:rPr>
      </w:pPr>
      <w:bookmarkStart w:id="143" w:name="_Toc478389025"/>
      <w:bookmarkStart w:id="144" w:name="_Toc406522056"/>
      <w:r>
        <w:rPr>
          <w:rFonts w:hint="eastAsia" w:ascii="宋体" w:hAnsi="宋体" w:cs="宋体"/>
          <w:color w:val="auto"/>
          <w:kern w:val="0"/>
          <w:sz w:val="21"/>
          <w:szCs w:val="21"/>
          <w:highlight w:val="none"/>
        </w:rPr>
        <w:t>1.6.2 图纸的错误</w:t>
      </w:r>
      <w:bookmarkEnd w:id="143"/>
      <w:bookmarkEnd w:id="144"/>
    </w:p>
    <w:p w14:paraId="6509F0E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496BD790">
      <w:pPr>
        <w:spacing w:line="420" w:lineRule="exact"/>
        <w:ind w:firstLine="420"/>
        <w:jc w:val="left"/>
        <w:outlineLvl w:val="0"/>
        <w:rPr>
          <w:rFonts w:ascii="宋体" w:hAnsi="宋体" w:cs="宋体"/>
          <w:color w:val="auto"/>
          <w:kern w:val="0"/>
          <w:sz w:val="21"/>
          <w:szCs w:val="21"/>
          <w:highlight w:val="none"/>
        </w:rPr>
      </w:pPr>
      <w:bookmarkStart w:id="145" w:name="_Toc406522057"/>
      <w:bookmarkStart w:id="146" w:name="_Toc478389026"/>
      <w:r>
        <w:rPr>
          <w:rFonts w:hint="eastAsia" w:ascii="宋体" w:hAnsi="宋体" w:cs="宋体"/>
          <w:color w:val="auto"/>
          <w:kern w:val="0"/>
          <w:sz w:val="21"/>
          <w:szCs w:val="21"/>
          <w:highlight w:val="none"/>
        </w:rPr>
        <w:t>1.6.3 图纸的修改和补充</w:t>
      </w:r>
      <w:bookmarkEnd w:id="145"/>
      <w:bookmarkEnd w:id="146"/>
    </w:p>
    <w:p w14:paraId="49397CA3">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3D6F6470">
      <w:pPr>
        <w:spacing w:line="420" w:lineRule="exact"/>
        <w:ind w:firstLine="420"/>
        <w:jc w:val="left"/>
        <w:outlineLvl w:val="0"/>
        <w:rPr>
          <w:rFonts w:ascii="宋体" w:hAnsi="宋体" w:cs="宋体"/>
          <w:color w:val="auto"/>
          <w:kern w:val="0"/>
          <w:sz w:val="21"/>
          <w:szCs w:val="21"/>
          <w:highlight w:val="none"/>
        </w:rPr>
      </w:pPr>
      <w:bookmarkStart w:id="147" w:name="_Toc406522058"/>
      <w:bookmarkStart w:id="148" w:name="_Toc478389027"/>
      <w:r>
        <w:rPr>
          <w:rFonts w:hint="eastAsia" w:ascii="宋体" w:hAnsi="宋体" w:cs="宋体"/>
          <w:color w:val="auto"/>
          <w:kern w:val="0"/>
          <w:sz w:val="21"/>
          <w:szCs w:val="21"/>
          <w:highlight w:val="none"/>
        </w:rPr>
        <w:t>1.6.4 承包人文件</w:t>
      </w:r>
      <w:bookmarkEnd w:id="147"/>
      <w:bookmarkEnd w:id="148"/>
    </w:p>
    <w:p w14:paraId="756CF3C0">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承包人应按照专用合同条款的约定提供应当由其编制的与工程施工有关的文件，并按照专用合同条款约定的期限、数量和形式提交监理人，并由监理人报送发包人。</w:t>
      </w:r>
    </w:p>
    <w:p w14:paraId="6FD00F7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1BEF79FE">
      <w:pPr>
        <w:spacing w:line="420" w:lineRule="exact"/>
        <w:ind w:firstLine="420"/>
        <w:jc w:val="left"/>
        <w:outlineLvl w:val="0"/>
        <w:rPr>
          <w:rFonts w:ascii="宋体" w:hAnsi="宋体" w:cs="宋体"/>
          <w:color w:val="auto"/>
          <w:kern w:val="0"/>
          <w:sz w:val="21"/>
          <w:szCs w:val="21"/>
          <w:highlight w:val="none"/>
        </w:rPr>
      </w:pPr>
      <w:bookmarkStart w:id="149" w:name="_Toc478389028"/>
      <w:bookmarkStart w:id="150" w:name="_Toc406522059"/>
      <w:r>
        <w:rPr>
          <w:rFonts w:hint="eastAsia" w:ascii="宋体" w:hAnsi="宋体" w:cs="宋体"/>
          <w:color w:val="auto"/>
          <w:kern w:val="0"/>
          <w:sz w:val="21"/>
          <w:szCs w:val="21"/>
          <w:highlight w:val="none"/>
        </w:rPr>
        <w:t>1.6.5 图纸和承包人文件的保管</w:t>
      </w:r>
      <w:bookmarkEnd w:id="149"/>
      <w:bookmarkEnd w:id="150"/>
    </w:p>
    <w:p w14:paraId="4D27CCA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除专用合同条款另有约定外，承包人应在施工现场另外保存一套完整的图纸和承包人文件，供发包人、监理人及有关人员进行工程检查时使用。</w:t>
      </w:r>
    </w:p>
    <w:p w14:paraId="0AE40D06">
      <w:pPr>
        <w:keepNext/>
        <w:keepLines/>
        <w:spacing w:line="420" w:lineRule="exact"/>
        <w:ind w:firstLine="0" w:firstLineChars="0"/>
        <w:outlineLvl w:val="0"/>
        <w:rPr>
          <w:rFonts w:ascii="宋体" w:hAnsi="宋体" w:cs="宋体"/>
          <w:b/>
          <w:bCs/>
          <w:color w:val="auto"/>
          <w:kern w:val="44"/>
          <w:sz w:val="21"/>
          <w:szCs w:val="21"/>
          <w:highlight w:val="none"/>
        </w:rPr>
      </w:pPr>
      <w:bookmarkStart w:id="151" w:name="_Toc478389029"/>
      <w:bookmarkStart w:id="152" w:name="_Toc351203502"/>
      <w:r>
        <w:rPr>
          <w:rFonts w:hint="eastAsia" w:ascii="宋体" w:hAnsi="宋体" w:cs="宋体"/>
          <w:b/>
          <w:bCs/>
          <w:color w:val="auto"/>
          <w:kern w:val="44"/>
          <w:sz w:val="21"/>
          <w:szCs w:val="21"/>
          <w:highlight w:val="none"/>
        </w:rPr>
        <w:t>1</w:t>
      </w:r>
      <w:bookmarkStart w:id="153" w:name="_Toc296503033"/>
      <w:bookmarkStart w:id="154" w:name="_Toc296346534"/>
      <w:bookmarkStart w:id="155" w:name="_Toc337558733"/>
      <w:r>
        <w:rPr>
          <w:rFonts w:hint="eastAsia" w:ascii="宋体" w:hAnsi="宋体" w:cs="宋体"/>
          <w:b/>
          <w:bCs/>
          <w:color w:val="auto"/>
          <w:kern w:val="44"/>
          <w:sz w:val="21"/>
          <w:szCs w:val="21"/>
          <w:highlight w:val="none"/>
        </w:rPr>
        <w:t>.7联络</w:t>
      </w:r>
      <w:bookmarkEnd w:id="151"/>
      <w:bookmarkEnd w:id="152"/>
    </w:p>
    <w:bookmarkEnd w:id="153"/>
    <w:bookmarkEnd w:id="154"/>
    <w:bookmarkEnd w:id="155"/>
    <w:p w14:paraId="69D4628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1.7.1 与合同有关的通知、批准、证明、证书、指示、指令、要求、请求、同意、意见、确定和决定等，均应采用书面形式，并应在合同约定的期限内送达接收人和送达地点。</w:t>
      </w:r>
    </w:p>
    <w:p w14:paraId="13D52D4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1.7.2 发包人和承包人应在专用合同条款中约定各自的送达接收人和送达地点。任何一方合同当事人指定的接收人或送达地点发生变动的，应提前3天以书面形式通知对方。</w:t>
      </w:r>
    </w:p>
    <w:p w14:paraId="74372B99">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1.7.3 发包人和承包人应当及时签收另一方送达至送达地点和指定接收人的来往信函。拒不签收的，由此增加的费</w:t>
      </w:r>
      <w:r>
        <w:rPr>
          <w:rFonts w:ascii="宋体" w:hAnsi="宋体" w:cs="宋体"/>
          <w:color w:val="auto"/>
          <w:sz w:val="21"/>
          <w:szCs w:val="21"/>
          <w:highlight w:val="none"/>
        </w:rPr>
        <w:t>用和（或）延误的工期由拒绝接收一方承担。</w:t>
      </w:r>
    </w:p>
    <w:p w14:paraId="039083DF">
      <w:pPr>
        <w:keepNext/>
        <w:keepLines/>
        <w:spacing w:line="420" w:lineRule="exact"/>
        <w:ind w:firstLine="0" w:firstLineChars="0"/>
        <w:outlineLvl w:val="0"/>
        <w:rPr>
          <w:rFonts w:ascii="宋体" w:hAnsi="宋体" w:cs="宋体"/>
          <w:b/>
          <w:bCs/>
          <w:color w:val="auto"/>
          <w:kern w:val="44"/>
          <w:sz w:val="21"/>
          <w:szCs w:val="21"/>
          <w:highlight w:val="none"/>
        </w:rPr>
      </w:pPr>
      <w:bookmarkStart w:id="156" w:name="_Toc351203503"/>
      <w:bookmarkStart w:id="157" w:name="_Toc478389030"/>
      <w:r>
        <w:rPr>
          <w:rFonts w:hint="eastAsia" w:ascii="宋体" w:hAnsi="宋体" w:cs="宋体"/>
          <w:b/>
          <w:bCs/>
          <w:color w:val="auto"/>
          <w:kern w:val="44"/>
          <w:sz w:val="21"/>
          <w:szCs w:val="21"/>
          <w:highlight w:val="none"/>
        </w:rPr>
        <w:t>1</w:t>
      </w:r>
      <w:bookmarkStart w:id="158" w:name="_Toc337558734"/>
      <w:bookmarkStart w:id="159" w:name="_Toc296346536"/>
      <w:bookmarkStart w:id="160" w:name="_Toc296503035"/>
      <w:r>
        <w:rPr>
          <w:rFonts w:hint="eastAsia" w:ascii="宋体" w:hAnsi="宋体" w:cs="宋体"/>
          <w:b/>
          <w:bCs/>
          <w:color w:val="auto"/>
          <w:kern w:val="44"/>
          <w:sz w:val="21"/>
          <w:szCs w:val="21"/>
          <w:highlight w:val="none"/>
        </w:rPr>
        <w:t>.8严禁贿赂</w:t>
      </w:r>
      <w:bookmarkEnd w:id="156"/>
      <w:bookmarkEnd w:id="157"/>
    </w:p>
    <w:bookmarkEnd w:id="158"/>
    <w:bookmarkEnd w:id="159"/>
    <w:bookmarkEnd w:id="160"/>
    <w:p w14:paraId="5A1FBC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合同当事人不得以贿赂或变相贿赂的方式，谋取非法利益或损害对方权益。因一方合同当事人的贿赂造成对方损失的，应赔偿损失，并承担相应的法律责任。</w:t>
      </w:r>
    </w:p>
    <w:p w14:paraId="0E7F42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432EBB66">
      <w:pPr>
        <w:keepNext/>
        <w:keepLines/>
        <w:spacing w:line="420" w:lineRule="exact"/>
        <w:ind w:firstLine="0" w:firstLineChars="0"/>
        <w:outlineLvl w:val="0"/>
        <w:rPr>
          <w:rFonts w:ascii="宋体" w:hAnsi="宋体" w:cs="宋体"/>
          <w:b/>
          <w:bCs/>
          <w:color w:val="auto"/>
          <w:kern w:val="44"/>
          <w:sz w:val="21"/>
          <w:szCs w:val="21"/>
          <w:highlight w:val="none"/>
        </w:rPr>
      </w:pPr>
      <w:bookmarkStart w:id="161" w:name="_Toc478389031"/>
      <w:bookmarkStart w:id="162" w:name="_Toc351203504"/>
      <w:r>
        <w:rPr>
          <w:rFonts w:hint="eastAsia" w:ascii="宋体" w:hAnsi="宋体" w:cs="宋体"/>
          <w:b/>
          <w:bCs/>
          <w:color w:val="auto"/>
          <w:kern w:val="44"/>
          <w:sz w:val="21"/>
          <w:szCs w:val="21"/>
          <w:highlight w:val="none"/>
        </w:rPr>
        <w:t>1</w:t>
      </w:r>
      <w:bookmarkStart w:id="163" w:name="_Toc296346537"/>
      <w:bookmarkStart w:id="164" w:name="_Toc337558735"/>
      <w:bookmarkStart w:id="165" w:name="_Toc296503036"/>
      <w:r>
        <w:rPr>
          <w:rFonts w:hint="eastAsia" w:ascii="宋体" w:hAnsi="宋体" w:cs="宋体"/>
          <w:b/>
          <w:bCs/>
          <w:color w:val="auto"/>
          <w:kern w:val="44"/>
          <w:sz w:val="21"/>
          <w:szCs w:val="21"/>
          <w:highlight w:val="none"/>
        </w:rPr>
        <w:t>.9化石、文物</w:t>
      </w:r>
      <w:bookmarkEnd w:id="161"/>
      <w:bookmarkEnd w:id="162"/>
    </w:p>
    <w:bookmarkEnd w:id="163"/>
    <w:bookmarkEnd w:id="164"/>
    <w:bookmarkEnd w:id="165"/>
    <w:p w14:paraId="72D800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行政管理部门，同时通知监理人。</w:t>
      </w:r>
    </w:p>
    <w:p w14:paraId="63A6CD3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发包人、监理人和承包人应按有关行政管理部门要求采取妥善的保护措施，由此增加的费用和（或）延误的工期由发包人承担。</w:t>
      </w:r>
    </w:p>
    <w:p w14:paraId="111BC5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承包人发现文物后不及时报告或隐瞒不报，致使文物丢失或损坏的，应赔偿损失，并承担相应的法律责任。</w:t>
      </w:r>
    </w:p>
    <w:p w14:paraId="71773EEA">
      <w:pPr>
        <w:keepNext/>
        <w:keepLines/>
        <w:spacing w:line="420" w:lineRule="exact"/>
        <w:ind w:firstLine="0" w:firstLineChars="0"/>
        <w:outlineLvl w:val="0"/>
        <w:rPr>
          <w:rFonts w:ascii="宋体" w:hAnsi="宋体" w:cs="宋体"/>
          <w:b/>
          <w:bCs/>
          <w:color w:val="auto"/>
          <w:kern w:val="44"/>
          <w:sz w:val="21"/>
          <w:szCs w:val="21"/>
          <w:highlight w:val="none"/>
        </w:rPr>
      </w:pPr>
      <w:bookmarkStart w:id="166" w:name="_Toc351203505"/>
      <w:bookmarkStart w:id="167" w:name="_Toc478389032"/>
      <w:r>
        <w:rPr>
          <w:rFonts w:hint="eastAsia" w:ascii="宋体" w:hAnsi="宋体" w:cs="宋体"/>
          <w:b/>
          <w:bCs/>
          <w:color w:val="auto"/>
          <w:kern w:val="44"/>
          <w:sz w:val="21"/>
          <w:szCs w:val="21"/>
          <w:highlight w:val="none"/>
        </w:rPr>
        <w:t>1</w:t>
      </w:r>
      <w:bookmarkStart w:id="168" w:name="_Toc337558736"/>
      <w:r>
        <w:rPr>
          <w:rFonts w:hint="eastAsia" w:ascii="宋体" w:hAnsi="宋体" w:cs="宋体"/>
          <w:b/>
          <w:bCs/>
          <w:color w:val="auto"/>
          <w:kern w:val="44"/>
          <w:sz w:val="21"/>
          <w:szCs w:val="21"/>
          <w:highlight w:val="none"/>
        </w:rPr>
        <w:t>.10交通运输</w:t>
      </w:r>
      <w:bookmarkEnd w:id="166"/>
      <w:bookmarkEnd w:id="167"/>
    </w:p>
    <w:bookmarkEnd w:id="168"/>
    <w:p w14:paraId="06B57ECA">
      <w:pPr>
        <w:spacing w:line="420" w:lineRule="exact"/>
        <w:ind w:firstLine="420"/>
        <w:outlineLvl w:val="0"/>
        <w:rPr>
          <w:rFonts w:ascii="宋体" w:hAnsi="宋体" w:cs="宋体"/>
          <w:color w:val="auto"/>
          <w:sz w:val="21"/>
          <w:szCs w:val="21"/>
          <w:highlight w:val="none"/>
        </w:rPr>
      </w:pPr>
      <w:bookmarkStart w:id="169" w:name="_Toc478389033"/>
      <w:bookmarkStart w:id="170" w:name="_Toc406522064"/>
      <w:r>
        <w:rPr>
          <w:rFonts w:hint="eastAsia" w:ascii="宋体" w:hAnsi="宋体" w:cs="宋体"/>
          <w:color w:val="auto"/>
          <w:sz w:val="21"/>
          <w:szCs w:val="21"/>
          <w:highlight w:val="none"/>
        </w:rPr>
        <w:t>1.10.1 出入现场的权利</w:t>
      </w:r>
      <w:bookmarkEnd w:id="169"/>
      <w:bookmarkEnd w:id="170"/>
    </w:p>
    <w:p w14:paraId="7BCDAE8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CAD2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3A75A772">
      <w:pPr>
        <w:spacing w:line="420" w:lineRule="exact"/>
        <w:ind w:firstLine="420"/>
        <w:outlineLvl w:val="0"/>
        <w:rPr>
          <w:rFonts w:ascii="宋体" w:hAnsi="宋体" w:cs="宋体"/>
          <w:color w:val="auto"/>
          <w:sz w:val="21"/>
          <w:szCs w:val="21"/>
          <w:highlight w:val="none"/>
        </w:rPr>
      </w:pPr>
      <w:bookmarkStart w:id="171" w:name="_Toc406522065"/>
      <w:bookmarkStart w:id="172" w:name="_Toc478389034"/>
      <w:r>
        <w:rPr>
          <w:rFonts w:hint="eastAsia" w:ascii="宋体" w:hAnsi="宋体" w:cs="宋体"/>
          <w:color w:val="auto"/>
          <w:sz w:val="21"/>
          <w:szCs w:val="21"/>
          <w:highlight w:val="none"/>
        </w:rPr>
        <w:t>1.10.2 场外交通</w:t>
      </w:r>
      <w:bookmarkEnd w:id="171"/>
      <w:bookmarkEnd w:id="172"/>
    </w:p>
    <w:p w14:paraId="4EA589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发包人应提供场外交通设施的技术参数和具体条件，承包人应遵守有关交通法规，严格按照道路和桥梁的限制荷载行驶，执行有关道路限速、限行、禁止超载的规定，并配合交通管理</w:t>
      </w:r>
      <w:r>
        <w:rPr>
          <w:rFonts w:hint="eastAsia" w:ascii="宋体" w:hAnsi="宋体" w:cs="宋体"/>
          <w:color w:val="auto"/>
          <w:spacing w:val="-4"/>
          <w:sz w:val="21"/>
          <w:szCs w:val="21"/>
          <w:highlight w:val="none"/>
        </w:rPr>
        <w:t>部门的监督和检查。场外交通设施无法满足工程施工需要的，由发包人负责完善并承担相关费用。</w:t>
      </w:r>
    </w:p>
    <w:p w14:paraId="3FA03DD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1.10.3场内交通</w:t>
      </w:r>
    </w:p>
    <w:p w14:paraId="01723D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69DCA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E5D783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场外交通和场内交通的边界由合同当事人在专用合同条款中约定。</w:t>
      </w:r>
    </w:p>
    <w:p w14:paraId="22D9C85C">
      <w:pPr>
        <w:spacing w:line="420" w:lineRule="exact"/>
        <w:ind w:firstLine="420"/>
        <w:outlineLvl w:val="0"/>
        <w:rPr>
          <w:rFonts w:ascii="宋体" w:hAnsi="宋体" w:cs="宋体"/>
          <w:color w:val="auto"/>
          <w:sz w:val="21"/>
          <w:szCs w:val="21"/>
          <w:highlight w:val="none"/>
        </w:rPr>
      </w:pPr>
      <w:bookmarkStart w:id="173" w:name="_Toc478389035"/>
      <w:bookmarkStart w:id="174" w:name="_Toc406522066"/>
      <w:r>
        <w:rPr>
          <w:rFonts w:hint="eastAsia" w:ascii="宋体" w:hAnsi="宋体" w:cs="宋体"/>
          <w:color w:val="auto"/>
          <w:sz w:val="21"/>
          <w:szCs w:val="21"/>
          <w:highlight w:val="none"/>
        </w:rPr>
        <w:t>1.10.4 超大件和超重件的运输</w:t>
      </w:r>
      <w:bookmarkEnd w:id="173"/>
      <w:bookmarkEnd w:id="174"/>
    </w:p>
    <w:p w14:paraId="17E842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45189E2">
      <w:pPr>
        <w:spacing w:line="420" w:lineRule="exact"/>
        <w:ind w:firstLine="420"/>
        <w:outlineLvl w:val="0"/>
        <w:rPr>
          <w:rFonts w:ascii="宋体" w:hAnsi="宋体" w:cs="宋体"/>
          <w:color w:val="auto"/>
          <w:sz w:val="21"/>
          <w:szCs w:val="21"/>
          <w:highlight w:val="none"/>
        </w:rPr>
      </w:pPr>
      <w:bookmarkStart w:id="175" w:name="_Toc406522067"/>
      <w:bookmarkStart w:id="176" w:name="_Toc478389036"/>
      <w:r>
        <w:rPr>
          <w:rFonts w:hint="eastAsia" w:ascii="宋体" w:hAnsi="宋体" w:cs="宋体"/>
          <w:color w:val="auto"/>
          <w:sz w:val="21"/>
          <w:szCs w:val="21"/>
          <w:highlight w:val="none"/>
        </w:rPr>
        <w:t>1.10.5 道路和桥梁的损坏责任</w:t>
      </w:r>
      <w:bookmarkEnd w:id="175"/>
      <w:bookmarkEnd w:id="176"/>
    </w:p>
    <w:p w14:paraId="07238A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因承包人运输造成施工场地内外公共道路和桥梁损坏的，由承包人承担修复损坏的全部费用和可能引起的赔偿。</w:t>
      </w:r>
    </w:p>
    <w:p w14:paraId="79740496">
      <w:pPr>
        <w:spacing w:line="420" w:lineRule="exact"/>
        <w:ind w:firstLine="420"/>
        <w:outlineLvl w:val="0"/>
        <w:rPr>
          <w:rFonts w:ascii="宋体" w:hAnsi="宋体" w:cs="宋体"/>
          <w:color w:val="auto"/>
          <w:sz w:val="21"/>
          <w:szCs w:val="21"/>
          <w:highlight w:val="none"/>
        </w:rPr>
      </w:pPr>
      <w:bookmarkStart w:id="177" w:name="_Toc478389037"/>
      <w:bookmarkStart w:id="178" w:name="_Toc406522068"/>
      <w:r>
        <w:rPr>
          <w:rFonts w:hint="eastAsia" w:ascii="宋体" w:hAnsi="宋体" w:cs="宋体"/>
          <w:color w:val="auto"/>
          <w:sz w:val="21"/>
          <w:szCs w:val="21"/>
          <w:highlight w:val="none"/>
        </w:rPr>
        <w:t>1.10.6 水路和航空运输</w:t>
      </w:r>
      <w:bookmarkEnd w:id="177"/>
      <w:bookmarkEnd w:id="178"/>
    </w:p>
    <w:p w14:paraId="72E0F5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本款前述各项的内容适用于水路运输和航空运输，其中“道路”一词的</w:t>
      </w:r>
      <w:r>
        <w:rPr>
          <w:rFonts w:hint="eastAsia" w:ascii="宋体" w:hAnsi="宋体" w:cs="宋体"/>
          <w:color w:val="auto"/>
          <w:sz w:val="21"/>
          <w:szCs w:val="21"/>
          <w:highlight w:val="none"/>
          <w:lang w:eastAsia="zh-CN"/>
        </w:rPr>
        <w:t>含义</w:t>
      </w:r>
      <w:r>
        <w:rPr>
          <w:rFonts w:hint="eastAsia" w:ascii="宋体" w:hAnsi="宋体" w:cs="宋体"/>
          <w:color w:val="auto"/>
          <w:sz w:val="21"/>
          <w:szCs w:val="21"/>
          <w:highlight w:val="none"/>
        </w:rPr>
        <w:t>包括河道、航线、船闸、机场、码头、堤防以及水路或航空运输中其他相似结构物；“车辆”一词的</w:t>
      </w:r>
      <w:r>
        <w:rPr>
          <w:rFonts w:hint="eastAsia" w:ascii="宋体" w:hAnsi="宋体" w:cs="宋体"/>
          <w:color w:val="auto"/>
          <w:sz w:val="21"/>
          <w:szCs w:val="21"/>
          <w:highlight w:val="none"/>
          <w:lang w:eastAsia="zh-CN"/>
        </w:rPr>
        <w:t>含义</w:t>
      </w:r>
      <w:r>
        <w:rPr>
          <w:rFonts w:hint="eastAsia" w:ascii="宋体" w:hAnsi="宋体" w:cs="宋体"/>
          <w:color w:val="auto"/>
          <w:sz w:val="21"/>
          <w:szCs w:val="21"/>
          <w:highlight w:val="none"/>
        </w:rPr>
        <w:t>包括船舶和飞机等。</w:t>
      </w:r>
    </w:p>
    <w:p w14:paraId="3B48C7CB">
      <w:pPr>
        <w:keepNext/>
        <w:keepLines/>
        <w:spacing w:line="420" w:lineRule="exact"/>
        <w:ind w:firstLine="0" w:firstLineChars="0"/>
        <w:outlineLvl w:val="0"/>
        <w:rPr>
          <w:rFonts w:ascii="宋体" w:hAnsi="宋体" w:cs="宋体"/>
          <w:b/>
          <w:bCs/>
          <w:color w:val="auto"/>
          <w:kern w:val="44"/>
          <w:sz w:val="21"/>
          <w:szCs w:val="21"/>
          <w:highlight w:val="none"/>
        </w:rPr>
      </w:pPr>
      <w:bookmarkStart w:id="179" w:name="_Toc478389038"/>
      <w:bookmarkStart w:id="180" w:name="_Toc351203506"/>
      <w:r>
        <w:rPr>
          <w:rFonts w:hint="eastAsia" w:ascii="宋体" w:hAnsi="宋体" w:cs="宋体"/>
          <w:b/>
          <w:bCs/>
          <w:color w:val="auto"/>
          <w:kern w:val="44"/>
          <w:sz w:val="21"/>
          <w:szCs w:val="21"/>
          <w:highlight w:val="none"/>
        </w:rPr>
        <w:t>1</w:t>
      </w:r>
      <w:bookmarkStart w:id="181" w:name="_Toc337558737"/>
      <w:bookmarkStart w:id="182" w:name="_Toc296346538"/>
      <w:bookmarkStart w:id="183" w:name="_Toc296503037"/>
      <w:r>
        <w:rPr>
          <w:rFonts w:hint="eastAsia" w:ascii="宋体" w:hAnsi="宋体" w:cs="宋体"/>
          <w:b/>
          <w:bCs/>
          <w:color w:val="auto"/>
          <w:kern w:val="44"/>
          <w:sz w:val="21"/>
          <w:szCs w:val="21"/>
          <w:highlight w:val="none"/>
        </w:rPr>
        <w:t>.11知识产权</w:t>
      </w:r>
      <w:bookmarkEnd w:id="179"/>
      <w:bookmarkEnd w:id="180"/>
      <w:bookmarkEnd w:id="181"/>
    </w:p>
    <w:bookmarkEnd w:id="182"/>
    <w:bookmarkEnd w:id="183"/>
    <w:p w14:paraId="722580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3B038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A78D0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7F111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1.11.4除专用合同条款另有约定外，承包人在合同签订前和签订时已确定采用的专利、专有技术、技术秘密的使用费已包含在签约合同价中。</w:t>
      </w:r>
    </w:p>
    <w:p w14:paraId="063F71C4">
      <w:pPr>
        <w:keepNext/>
        <w:keepLines/>
        <w:spacing w:line="420" w:lineRule="exact"/>
        <w:ind w:firstLine="0" w:firstLineChars="0"/>
        <w:outlineLvl w:val="0"/>
        <w:rPr>
          <w:rFonts w:ascii="宋体" w:hAnsi="宋体" w:cs="宋体"/>
          <w:b/>
          <w:bCs/>
          <w:color w:val="auto"/>
          <w:kern w:val="44"/>
          <w:sz w:val="21"/>
          <w:szCs w:val="21"/>
          <w:highlight w:val="none"/>
        </w:rPr>
      </w:pPr>
      <w:bookmarkStart w:id="184" w:name="_Toc478389039"/>
      <w:bookmarkStart w:id="185" w:name="_Toc351203507"/>
      <w:r>
        <w:rPr>
          <w:rFonts w:hint="eastAsia" w:ascii="宋体" w:hAnsi="宋体" w:cs="宋体"/>
          <w:b/>
          <w:bCs/>
          <w:color w:val="auto"/>
          <w:kern w:val="44"/>
          <w:sz w:val="21"/>
          <w:szCs w:val="21"/>
          <w:highlight w:val="none"/>
        </w:rPr>
        <w:t>1</w:t>
      </w:r>
      <w:bookmarkStart w:id="186" w:name="_Toc337558738"/>
      <w:r>
        <w:rPr>
          <w:rFonts w:hint="eastAsia" w:ascii="宋体" w:hAnsi="宋体" w:cs="宋体"/>
          <w:b/>
          <w:bCs/>
          <w:color w:val="auto"/>
          <w:kern w:val="44"/>
          <w:sz w:val="21"/>
          <w:szCs w:val="21"/>
          <w:highlight w:val="none"/>
        </w:rPr>
        <w:t>.12保密</w:t>
      </w:r>
      <w:bookmarkEnd w:id="184"/>
      <w:bookmarkEnd w:id="185"/>
    </w:p>
    <w:bookmarkEnd w:id="186"/>
    <w:p w14:paraId="4AFC18D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除法律规定或合同另有约定外，未经发包人同意，承包人不得将发包人提供的图纸、文件以及声明需要保密的资料信息等商业秘密泄露给第三方。</w:t>
      </w:r>
    </w:p>
    <w:p w14:paraId="445293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除法律规定或合同另有约定外，未经承包人同意，发包人不得将承包人提供的技术秘密及声明需要保密的资料信息等商业秘密泄露给第三方。</w:t>
      </w:r>
    </w:p>
    <w:p w14:paraId="2EF73E71">
      <w:pPr>
        <w:keepNext/>
        <w:keepLines/>
        <w:spacing w:line="420" w:lineRule="exact"/>
        <w:ind w:firstLine="0" w:firstLineChars="0"/>
        <w:outlineLvl w:val="0"/>
        <w:rPr>
          <w:rFonts w:ascii="宋体" w:hAnsi="宋体" w:cs="宋体"/>
          <w:b/>
          <w:bCs/>
          <w:color w:val="auto"/>
          <w:kern w:val="44"/>
          <w:sz w:val="21"/>
          <w:szCs w:val="21"/>
          <w:highlight w:val="none"/>
        </w:rPr>
      </w:pPr>
      <w:bookmarkStart w:id="187" w:name="_Toc478389040"/>
      <w:bookmarkStart w:id="188" w:name="_Toc351203508"/>
      <w:r>
        <w:rPr>
          <w:rFonts w:hint="eastAsia" w:ascii="宋体" w:hAnsi="宋体" w:cs="宋体"/>
          <w:b/>
          <w:bCs/>
          <w:color w:val="auto"/>
          <w:kern w:val="44"/>
          <w:sz w:val="21"/>
          <w:szCs w:val="21"/>
          <w:highlight w:val="none"/>
        </w:rPr>
        <w:t>1.13工程量清单错误的修正</w:t>
      </w:r>
      <w:bookmarkEnd w:id="187"/>
      <w:bookmarkEnd w:id="188"/>
    </w:p>
    <w:p w14:paraId="5E2347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除专用合同条款另有约定外，发包人提供的工程量清单，应被认为是准确的和完整的。出现下列情形之一时，发包人应予以修正，并相应调整合同价格：</w:t>
      </w:r>
    </w:p>
    <w:p w14:paraId="0A7C9F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（1）工程量清单存在缺项、漏项的；</w:t>
      </w:r>
    </w:p>
    <w:p w14:paraId="69F3489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（2）工程量清单偏差超出专用合同条款约定的工程量偏差范围的；</w:t>
      </w:r>
    </w:p>
    <w:p w14:paraId="353532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（3）未按照国家现行计量规范强制性规定计量的。</w:t>
      </w:r>
    </w:p>
    <w:p w14:paraId="54D300AD">
      <w:pPr>
        <w:keepNext/>
        <w:keepLines/>
        <w:spacing w:line="420" w:lineRule="exact"/>
        <w:ind w:firstLine="0" w:firstLineChars="0"/>
        <w:outlineLvl w:val="0"/>
        <w:rPr>
          <w:rFonts w:ascii="宋体" w:hAnsi="宋体" w:cs="宋体"/>
          <w:b/>
          <w:bCs/>
          <w:color w:val="auto"/>
          <w:kern w:val="44"/>
          <w:sz w:val="21"/>
          <w:szCs w:val="21"/>
          <w:highlight w:val="none"/>
        </w:rPr>
      </w:pPr>
      <w:bookmarkStart w:id="189" w:name="_Toc478389041"/>
      <w:bookmarkStart w:id="190" w:name="_Toc351203509"/>
      <w:r>
        <w:rPr>
          <w:rFonts w:hint="eastAsia" w:ascii="宋体" w:hAnsi="宋体" w:cs="宋体"/>
          <w:b/>
          <w:bCs/>
          <w:color w:val="auto"/>
          <w:kern w:val="44"/>
          <w:sz w:val="21"/>
          <w:szCs w:val="21"/>
          <w:highlight w:val="none"/>
        </w:rPr>
        <w:t>2</w:t>
      </w:r>
      <w:bookmarkStart w:id="191" w:name="_Toc296503038"/>
      <w:bookmarkStart w:id="192" w:name="_Toc296346539"/>
      <w:bookmarkStart w:id="193" w:name="_Toc337558739"/>
      <w:r>
        <w:rPr>
          <w:rFonts w:hint="eastAsia" w:ascii="宋体" w:hAnsi="宋体" w:cs="宋体"/>
          <w:b/>
          <w:bCs/>
          <w:color w:val="auto"/>
          <w:kern w:val="44"/>
          <w:sz w:val="21"/>
          <w:szCs w:val="21"/>
          <w:highlight w:val="none"/>
        </w:rPr>
        <w:t>. 发包人</w:t>
      </w:r>
      <w:bookmarkEnd w:id="189"/>
      <w:bookmarkEnd w:id="190"/>
    </w:p>
    <w:bookmarkEnd w:id="191"/>
    <w:bookmarkEnd w:id="192"/>
    <w:bookmarkEnd w:id="193"/>
    <w:p w14:paraId="3DCDD141">
      <w:pPr>
        <w:keepNext/>
        <w:keepLines/>
        <w:spacing w:line="420" w:lineRule="exact"/>
        <w:ind w:firstLine="0" w:firstLineChars="0"/>
        <w:outlineLvl w:val="0"/>
        <w:rPr>
          <w:rFonts w:ascii="宋体" w:hAnsi="宋体" w:cs="宋体"/>
          <w:b/>
          <w:bCs/>
          <w:color w:val="auto"/>
          <w:kern w:val="44"/>
          <w:sz w:val="21"/>
          <w:szCs w:val="21"/>
          <w:highlight w:val="none"/>
        </w:rPr>
      </w:pPr>
      <w:bookmarkStart w:id="194" w:name="_Toc351203510"/>
      <w:bookmarkStart w:id="195" w:name="_Toc478389042"/>
      <w:r>
        <w:rPr>
          <w:rFonts w:hint="eastAsia" w:ascii="宋体" w:hAnsi="宋体" w:cs="宋体"/>
          <w:b/>
          <w:bCs/>
          <w:color w:val="auto"/>
          <w:kern w:val="44"/>
          <w:sz w:val="21"/>
          <w:szCs w:val="21"/>
          <w:highlight w:val="none"/>
        </w:rPr>
        <w:t>2</w:t>
      </w:r>
      <w:bookmarkStart w:id="196" w:name="_Toc296503039"/>
      <w:bookmarkStart w:id="197" w:name="_Toc296346540"/>
      <w:bookmarkStart w:id="198" w:name="_Toc337558740"/>
      <w:r>
        <w:rPr>
          <w:rFonts w:hint="eastAsia" w:ascii="宋体" w:hAnsi="宋体" w:cs="宋体"/>
          <w:b/>
          <w:bCs/>
          <w:color w:val="auto"/>
          <w:kern w:val="44"/>
          <w:sz w:val="21"/>
          <w:szCs w:val="21"/>
          <w:highlight w:val="none"/>
        </w:rPr>
        <w:t>.1 许可或批准</w:t>
      </w:r>
      <w:bookmarkEnd w:id="194"/>
      <w:bookmarkEnd w:id="195"/>
    </w:p>
    <w:p w14:paraId="1BE16D6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322DCF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因发包人原因未能及时办理完毕前述许可、批准或备案，由发包人承担由此增加的费用和（或）延误的工期，并支付承包人合理的利润。</w:t>
      </w:r>
    </w:p>
    <w:p w14:paraId="2283C9A1">
      <w:pPr>
        <w:keepNext/>
        <w:keepLines/>
        <w:spacing w:line="420" w:lineRule="exact"/>
        <w:ind w:firstLine="0" w:firstLineChars="0"/>
        <w:outlineLvl w:val="0"/>
        <w:rPr>
          <w:rFonts w:ascii="宋体" w:hAnsi="宋体" w:cs="宋体"/>
          <w:b/>
          <w:bCs/>
          <w:color w:val="auto"/>
          <w:kern w:val="44"/>
          <w:sz w:val="21"/>
          <w:szCs w:val="21"/>
          <w:highlight w:val="none"/>
        </w:rPr>
      </w:pPr>
      <w:bookmarkStart w:id="199" w:name="_Toc478389043"/>
      <w:bookmarkStart w:id="200" w:name="_Toc351203511"/>
      <w:r>
        <w:rPr>
          <w:rFonts w:hint="eastAsia" w:ascii="宋体" w:hAnsi="宋体" w:cs="宋体"/>
          <w:b/>
          <w:bCs/>
          <w:color w:val="auto"/>
          <w:kern w:val="44"/>
          <w:sz w:val="21"/>
          <w:szCs w:val="21"/>
          <w:highlight w:val="none"/>
        </w:rPr>
        <w:t>2.2 发包人代表</w:t>
      </w:r>
      <w:bookmarkEnd w:id="199"/>
      <w:bookmarkEnd w:id="200"/>
    </w:p>
    <w:p w14:paraId="34DAF36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4EB8FF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发包人代表不能按照合同约定履行其职责及义务，并导致合同无法继续正常履行的，承包人可以要求发包人撤换发包人代表。</w:t>
      </w:r>
    </w:p>
    <w:p w14:paraId="2A384537">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不属于法定必须监理的工程，监理人的职权可以由发包人代表或发包人指定的其他人员行使。</w:t>
      </w:r>
    </w:p>
    <w:p w14:paraId="4BC40800">
      <w:pPr>
        <w:keepNext/>
        <w:keepLines/>
        <w:spacing w:line="420" w:lineRule="exact"/>
        <w:ind w:firstLine="0" w:firstLineChars="0"/>
        <w:outlineLvl w:val="0"/>
        <w:rPr>
          <w:rFonts w:ascii="宋体" w:hAnsi="宋体" w:cs="宋体"/>
          <w:b/>
          <w:bCs/>
          <w:color w:val="auto"/>
          <w:kern w:val="44"/>
          <w:sz w:val="21"/>
          <w:szCs w:val="21"/>
          <w:highlight w:val="none"/>
        </w:rPr>
      </w:pPr>
      <w:bookmarkStart w:id="201" w:name="_Toc351203512"/>
      <w:bookmarkStart w:id="202" w:name="_Toc478389044"/>
      <w:r>
        <w:rPr>
          <w:rFonts w:hint="eastAsia" w:ascii="宋体" w:hAnsi="宋体" w:cs="宋体"/>
          <w:b/>
          <w:bCs/>
          <w:color w:val="auto"/>
          <w:kern w:val="44"/>
          <w:sz w:val="21"/>
          <w:szCs w:val="21"/>
          <w:highlight w:val="none"/>
        </w:rPr>
        <w:t>2.3 发包人人员</w:t>
      </w:r>
      <w:bookmarkEnd w:id="201"/>
      <w:bookmarkEnd w:id="202"/>
    </w:p>
    <w:p w14:paraId="3A73CA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发包人应要求在施工现场的发包人人员遵守法律及有关安全、质量、环境保护、文明施工等规定，并保障承包人免于承受因发包人人员未遵守上述要求给承包人造成的损失和责任。</w:t>
      </w:r>
    </w:p>
    <w:p w14:paraId="073077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发包人人员包括发包人代表及其他由发包人派驻施工现场的人员。</w:t>
      </w:r>
      <w:bookmarkEnd w:id="196"/>
      <w:bookmarkEnd w:id="197"/>
      <w:bookmarkEnd w:id="198"/>
    </w:p>
    <w:p w14:paraId="696ADEE3">
      <w:pPr>
        <w:keepNext/>
        <w:keepLines/>
        <w:spacing w:line="420" w:lineRule="exact"/>
        <w:ind w:firstLine="0" w:firstLineChars="0"/>
        <w:outlineLvl w:val="0"/>
        <w:rPr>
          <w:rFonts w:ascii="宋体" w:hAnsi="宋体" w:cs="宋体"/>
          <w:b/>
          <w:bCs/>
          <w:color w:val="auto"/>
          <w:kern w:val="44"/>
          <w:sz w:val="21"/>
          <w:szCs w:val="21"/>
          <w:highlight w:val="none"/>
        </w:rPr>
      </w:pPr>
      <w:bookmarkStart w:id="203" w:name="_Toc478389045"/>
      <w:bookmarkStart w:id="204" w:name="_Toc351203513"/>
      <w:r>
        <w:rPr>
          <w:rFonts w:hint="eastAsia" w:ascii="宋体" w:hAnsi="宋体" w:cs="宋体"/>
          <w:b/>
          <w:bCs/>
          <w:color w:val="auto"/>
          <w:kern w:val="44"/>
          <w:sz w:val="21"/>
          <w:szCs w:val="21"/>
          <w:highlight w:val="none"/>
        </w:rPr>
        <w:t>2</w:t>
      </w:r>
      <w:bookmarkStart w:id="205" w:name="_Toc296503040"/>
      <w:bookmarkStart w:id="206" w:name="_Toc296346541"/>
      <w:bookmarkStart w:id="207" w:name="_Toc337558741"/>
      <w:r>
        <w:rPr>
          <w:rFonts w:hint="eastAsia" w:ascii="宋体" w:hAnsi="宋体" w:cs="宋体"/>
          <w:b/>
          <w:bCs/>
          <w:color w:val="auto"/>
          <w:kern w:val="44"/>
          <w:sz w:val="21"/>
          <w:szCs w:val="21"/>
          <w:highlight w:val="none"/>
        </w:rPr>
        <w:t>.4 施工现场、施工条件和基础资料的提供</w:t>
      </w:r>
      <w:bookmarkEnd w:id="203"/>
      <w:bookmarkEnd w:id="204"/>
      <w:bookmarkEnd w:id="205"/>
      <w:bookmarkEnd w:id="206"/>
      <w:bookmarkEnd w:id="207"/>
    </w:p>
    <w:p w14:paraId="43F5A4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41B57E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除专用合同条款另有约定外，发包人应最迟于开工日期7天前向承包人移交施工现场。</w:t>
      </w:r>
    </w:p>
    <w:p w14:paraId="6ABEE1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37CE78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除专用合同条款另有约定外，发包人应负责提供施工所需要的条件，包括：</w:t>
      </w:r>
    </w:p>
    <w:p w14:paraId="06EA75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（1）将施工用水、电力、通讯线路等施工所必需的条件接至施工现场内；</w:t>
      </w:r>
    </w:p>
    <w:p w14:paraId="6B991A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（2）保证向承包人提供正常施工所需要的进入施工现场的交通条件；</w:t>
      </w:r>
    </w:p>
    <w:p w14:paraId="6BAD16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（3）协调处理施工现场周围地下管线和邻近建筑物、构筑物、古树名木的保护工作，并承担相关费用；</w:t>
      </w:r>
    </w:p>
    <w:p w14:paraId="6A3C8E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（4）按照专用合同条款约定应提供的其他设施和条件。</w:t>
      </w:r>
    </w:p>
    <w:p w14:paraId="303FA67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2.4.3 提供基础资料</w:t>
      </w:r>
    </w:p>
    <w:p w14:paraId="14E2FC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0ED3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按照法律规定确需在开工后方能提供的基础资料，发包人应尽其努力及时地在相应工程施工前的合理期限内提供，合理期限应以不影响承包人的正常施工为限。</w:t>
      </w:r>
    </w:p>
    <w:p w14:paraId="4AD71A9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2.4.4 逾期提供的责任</w:t>
      </w:r>
    </w:p>
    <w:p w14:paraId="392521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因发包人原因未能按合同约定及时向承包人提供施工现场、施工条件、基础资料的，由发包人承担由此增加的费用和（或）延误的工期。</w:t>
      </w:r>
    </w:p>
    <w:p w14:paraId="607F2583">
      <w:pPr>
        <w:keepNext/>
        <w:keepLines/>
        <w:spacing w:line="420" w:lineRule="exact"/>
        <w:ind w:firstLine="0" w:firstLineChars="0"/>
        <w:outlineLvl w:val="0"/>
        <w:rPr>
          <w:rFonts w:ascii="宋体" w:hAnsi="宋体" w:cs="宋体"/>
          <w:b/>
          <w:bCs/>
          <w:color w:val="auto"/>
          <w:kern w:val="44"/>
          <w:sz w:val="21"/>
          <w:szCs w:val="21"/>
          <w:highlight w:val="none"/>
        </w:rPr>
      </w:pPr>
      <w:bookmarkStart w:id="208" w:name="_Toc351203514"/>
      <w:bookmarkStart w:id="209" w:name="_Toc478389046"/>
      <w:r>
        <w:rPr>
          <w:rFonts w:hint="eastAsia" w:ascii="宋体" w:hAnsi="宋体" w:cs="宋体"/>
          <w:b/>
          <w:bCs/>
          <w:color w:val="auto"/>
          <w:kern w:val="44"/>
          <w:sz w:val="21"/>
          <w:szCs w:val="21"/>
          <w:highlight w:val="none"/>
        </w:rPr>
        <w:t>2</w:t>
      </w:r>
      <w:bookmarkStart w:id="210" w:name="_Toc337558745"/>
      <w:bookmarkStart w:id="211" w:name="_Toc296346543"/>
      <w:bookmarkStart w:id="212" w:name="_Toc296503042"/>
      <w:r>
        <w:rPr>
          <w:rFonts w:hint="eastAsia" w:ascii="宋体" w:hAnsi="宋体" w:cs="宋体"/>
          <w:b/>
          <w:bCs/>
          <w:color w:val="auto"/>
          <w:kern w:val="44"/>
          <w:sz w:val="21"/>
          <w:szCs w:val="21"/>
          <w:highlight w:val="none"/>
        </w:rPr>
        <w:t>.5 资</w:t>
      </w:r>
      <w:bookmarkEnd w:id="210"/>
      <w:bookmarkEnd w:id="211"/>
      <w:bookmarkEnd w:id="212"/>
      <w:r>
        <w:rPr>
          <w:rFonts w:hint="eastAsia" w:ascii="宋体" w:hAnsi="宋体" w:cs="宋体"/>
          <w:b/>
          <w:bCs/>
          <w:color w:val="auto"/>
          <w:kern w:val="44"/>
          <w:sz w:val="21"/>
          <w:szCs w:val="21"/>
          <w:highlight w:val="none"/>
        </w:rPr>
        <w:t>金来源证明及支付担保</w:t>
      </w:r>
      <w:bookmarkEnd w:id="208"/>
      <w:bookmarkEnd w:id="209"/>
    </w:p>
    <w:p w14:paraId="08CEFC2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除专用合同条款另有约定外，发包人应在收到承包人要求提供资金来源证明的书面通知后28天内，向承包人提供能够按照合同约定支付合同价款的相应资金来源证明。</w:t>
      </w:r>
    </w:p>
    <w:p w14:paraId="07ACAE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除专用合同条款另有约定外，发包人要求承包人提供履约保证金的，发包人应当向承包人提供支付担保。支付担保可以采用银行保函或担保公司担保等形式，具体由合同当事人在专用合同条款中约定。</w:t>
      </w:r>
    </w:p>
    <w:p w14:paraId="06AE4249">
      <w:pPr>
        <w:keepNext/>
        <w:keepLines/>
        <w:spacing w:line="420" w:lineRule="exact"/>
        <w:ind w:firstLine="0" w:firstLineChars="0"/>
        <w:outlineLvl w:val="0"/>
        <w:rPr>
          <w:rFonts w:ascii="宋体" w:hAnsi="宋体" w:cs="宋体"/>
          <w:b/>
          <w:bCs/>
          <w:color w:val="auto"/>
          <w:kern w:val="44"/>
          <w:sz w:val="21"/>
          <w:szCs w:val="21"/>
          <w:highlight w:val="none"/>
        </w:rPr>
      </w:pPr>
      <w:bookmarkStart w:id="213" w:name="_Toc351203515"/>
      <w:bookmarkStart w:id="214" w:name="_Toc478389047"/>
      <w:r>
        <w:rPr>
          <w:rFonts w:hint="eastAsia" w:ascii="宋体" w:hAnsi="宋体" w:cs="宋体"/>
          <w:b/>
          <w:bCs/>
          <w:color w:val="auto"/>
          <w:kern w:val="44"/>
          <w:sz w:val="21"/>
          <w:szCs w:val="21"/>
          <w:highlight w:val="none"/>
        </w:rPr>
        <w:t>2.6 支付合同价款</w:t>
      </w:r>
      <w:bookmarkEnd w:id="213"/>
      <w:bookmarkEnd w:id="214"/>
    </w:p>
    <w:p w14:paraId="663194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发包人应按合同约定向承包人及时支付合同价款。</w:t>
      </w:r>
    </w:p>
    <w:p w14:paraId="171441FF">
      <w:pPr>
        <w:keepNext/>
        <w:keepLines/>
        <w:spacing w:line="420" w:lineRule="exact"/>
        <w:ind w:firstLine="0" w:firstLineChars="0"/>
        <w:outlineLvl w:val="0"/>
        <w:rPr>
          <w:rFonts w:ascii="宋体" w:hAnsi="宋体" w:cs="宋体"/>
          <w:b/>
          <w:bCs/>
          <w:color w:val="auto"/>
          <w:kern w:val="44"/>
          <w:sz w:val="21"/>
          <w:szCs w:val="21"/>
          <w:highlight w:val="none"/>
        </w:rPr>
      </w:pPr>
      <w:bookmarkStart w:id="215" w:name="_Toc351203516"/>
      <w:bookmarkStart w:id="216" w:name="_Toc478389048"/>
      <w:r>
        <w:rPr>
          <w:rFonts w:hint="eastAsia" w:ascii="宋体" w:hAnsi="宋体" w:cs="宋体"/>
          <w:b/>
          <w:bCs/>
          <w:color w:val="auto"/>
          <w:kern w:val="44"/>
          <w:sz w:val="21"/>
          <w:szCs w:val="21"/>
          <w:highlight w:val="none"/>
        </w:rPr>
        <w:t>2.7 组织竣工验收</w:t>
      </w:r>
      <w:bookmarkEnd w:id="215"/>
      <w:bookmarkEnd w:id="216"/>
    </w:p>
    <w:p w14:paraId="7F3481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发包人应按合同约定及时组织竣工验收。</w:t>
      </w:r>
    </w:p>
    <w:p w14:paraId="1C4D1F6D">
      <w:pPr>
        <w:keepNext/>
        <w:keepLines/>
        <w:spacing w:line="420" w:lineRule="exact"/>
        <w:ind w:firstLine="0" w:firstLineChars="0"/>
        <w:outlineLvl w:val="0"/>
        <w:rPr>
          <w:rFonts w:ascii="宋体" w:hAnsi="宋体" w:cs="宋体"/>
          <w:b/>
          <w:bCs/>
          <w:color w:val="auto"/>
          <w:kern w:val="44"/>
          <w:sz w:val="21"/>
          <w:szCs w:val="21"/>
          <w:highlight w:val="none"/>
        </w:rPr>
      </w:pPr>
      <w:bookmarkStart w:id="217" w:name="_Toc351203517"/>
      <w:bookmarkStart w:id="218" w:name="_Toc478389049"/>
      <w:r>
        <w:rPr>
          <w:rFonts w:hint="eastAsia" w:ascii="宋体" w:hAnsi="宋体" w:cs="宋体"/>
          <w:b/>
          <w:bCs/>
          <w:color w:val="auto"/>
          <w:kern w:val="44"/>
          <w:sz w:val="21"/>
          <w:szCs w:val="21"/>
          <w:highlight w:val="none"/>
        </w:rPr>
        <w:t>2.8 现场统一管理协议</w:t>
      </w:r>
      <w:bookmarkEnd w:id="217"/>
      <w:bookmarkEnd w:id="218"/>
    </w:p>
    <w:p w14:paraId="55BB5E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发包人应与承包人、由发包人直接发包的专业工程的承包人签订施工现场统一管理协议，明确各方的权利义务。施工现场统一管理协议作为专用合同条款的附件。</w:t>
      </w:r>
    </w:p>
    <w:p w14:paraId="101FA706">
      <w:pPr>
        <w:keepNext/>
        <w:keepLines/>
        <w:spacing w:line="420" w:lineRule="exact"/>
        <w:ind w:firstLine="0" w:firstLineChars="0"/>
        <w:outlineLvl w:val="0"/>
        <w:rPr>
          <w:rFonts w:ascii="宋体" w:hAnsi="宋体" w:cs="宋体"/>
          <w:b/>
          <w:bCs/>
          <w:color w:val="auto"/>
          <w:kern w:val="44"/>
          <w:sz w:val="21"/>
          <w:szCs w:val="21"/>
          <w:highlight w:val="none"/>
        </w:rPr>
      </w:pPr>
      <w:bookmarkStart w:id="219" w:name="_Toc478389050"/>
      <w:bookmarkStart w:id="220" w:name="_Toc351203518"/>
      <w:r>
        <w:rPr>
          <w:rFonts w:hint="eastAsia" w:ascii="宋体" w:hAnsi="宋体" w:cs="宋体"/>
          <w:b/>
          <w:bCs/>
          <w:color w:val="auto"/>
          <w:kern w:val="44"/>
          <w:sz w:val="21"/>
          <w:szCs w:val="21"/>
          <w:highlight w:val="none"/>
        </w:rPr>
        <w:t>3</w:t>
      </w:r>
      <w:bookmarkStart w:id="221" w:name="_Toc296346546"/>
      <w:bookmarkStart w:id="222" w:name="_Toc296503045"/>
      <w:bookmarkStart w:id="223" w:name="_Toc337558746"/>
      <w:r>
        <w:rPr>
          <w:rFonts w:hint="eastAsia" w:ascii="宋体" w:hAnsi="宋体" w:cs="宋体"/>
          <w:b/>
          <w:bCs/>
          <w:color w:val="auto"/>
          <w:kern w:val="44"/>
          <w:sz w:val="21"/>
          <w:szCs w:val="21"/>
          <w:highlight w:val="none"/>
        </w:rPr>
        <w:t>. 承包人</w:t>
      </w:r>
      <w:bookmarkEnd w:id="219"/>
      <w:bookmarkEnd w:id="220"/>
    </w:p>
    <w:bookmarkEnd w:id="221"/>
    <w:bookmarkEnd w:id="222"/>
    <w:bookmarkEnd w:id="223"/>
    <w:p w14:paraId="29573C1E">
      <w:pPr>
        <w:keepNext/>
        <w:keepLines/>
        <w:spacing w:line="420" w:lineRule="exact"/>
        <w:ind w:firstLine="0" w:firstLineChars="0"/>
        <w:outlineLvl w:val="0"/>
        <w:rPr>
          <w:rFonts w:ascii="宋体" w:hAnsi="宋体" w:cs="宋体"/>
          <w:b/>
          <w:bCs/>
          <w:color w:val="auto"/>
          <w:kern w:val="44"/>
          <w:sz w:val="21"/>
          <w:szCs w:val="21"/>
          <w:highlight w:val="none"/>
        </w:rPr>
      </w:pPr>
      <w:bookmarkStart w:id="224" w:name="_Toc478389051"/>
      <w:bookmarkStart w:id="225" w:name="_Toc351203519"/>
      <w:r>
        <w:rPr>
          <w:rFonts w:hint="eastAsia" w:ascii="宋体" w:hAnsi="宋体" w:cs="宋体"/>
          <w:b/>
          <w:bCs/>
          <w:color w:val="auto"/>
          <w:kern w:val="44"/>
          <w:sz w:val="21"/>
          <w:szCs w:val="21"/>
          <w:highlight w:val="none"/>
        </w:rPr>
        <w:t>3</w:t>
      </w:r>
      <w:bookmarkStart w:id="226" w:name="_Toc296503046"/>
      <w:bookmarkStart w:id="227" w:name="_Toc296346547"/>
      <w:bookmarkStart w:id="228" w:name="_Toc337558747"/>
      <w:r>
        <w:rPr>
          <w:rFonts w:hint="eastAsia" w:ascii="宋体" w:hAnsi="宋体" w:cs="宋体"/>
          <w:b/>
          <w:bCs/>
          <w:color w:val="auto"/>
          <w:kern w:val="44"/>
          <w:sz w:val="21"/>
          <w:szCs w:val="21"/>
          <w:highlight w:val="none"/>
        </w:rPr>
        <w:t>.1 承包人的一般义务</w:t>
      </w:r>
      <w:bookmarkEnd w:id="224"/>
      <w:bookmarkEnd w:id="225"/>
    </w:p>
    <w:bookmarkEnd w:id="226"/>
    <w:bookmarkEnd w:id="227"/>
    <w:bookmarkEnd w:id="228"/>
    <w:p w14:paraId="12AA01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承包人在履行合同过程中应遵守法律和工程建设标准规范，并履行以下义务：</w:t>
      </w:r>
    </w:p>
    <w:p w14:paraId="1F0655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办理法律规定应由承包人办理的许可和批准，并将办理结果书面报送发包人留存；</w:t>
      </w:r>
    </w:p>
    <w:p w14:paraId="51011B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（2）按法律规定和合同约定完成工程，并在保修期内承担保修义务；</w:t>
      </w:r>
    </w:p>
    <w:p w14:paraId="32930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（3）按法律规定和合同约定采取施工安全和环境保护措施，办理工伤保险，确保工程及人员、材料、设备和设施的安全；</w:t>
      </w:r>
    </w:p>
    <w:p w14:paraId="4E3819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（4）按合同约定的工作内容和施工进度要求，编制施工组织设计和施工措施计划，并对所有施工作业和施工方法的完备性和安全可靠性负责；</w:t>
      </w:r>
    </w:p>
    <w:p w14:paraId="592BAB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4DA5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（6）按照第6.3款〔环境保护〕约定负责施工场地及其周边环境与生态的保护工作；</w:t>
      </w:r>
    </w:p>
    <w:p w14:paraId="6CE45D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（7）按第6.1款〔安全文明施工〕约定采取施工安全措施，确保工程及其人员、材料、设备和设施的安全，防止因工程施工造成的人身伤害和财产损失；</w:t>
      </w:r>
    </w:p>
    <w:p w14:paraId="0FD58C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（8）将发包人按合同约定支付的各项价款专用于合同工程，且应及时支付其雇用人员工资，并及时向分包人支付合同价款；</w:t>
      </w:r>
    </w:p>
    <w:p w14:paraId="0E7F28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（9）按照法律规定和合同约定编制竣工资料，完成竣工资料立卷及归档，并按专用合同条款约定的竣工资料的套数、内容、时间等要求移交发包人；</w:t>
      </w:r>
    </w:p>
    <w:p w14:paraId="3F544B3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（10）应履行的其他义务。</w:t>
      </w:r>
    </w:p>
    <w:p w14:paraId="1FD6B754">
      <w:pPr>
        <w:keepNext/>
        <w:keepLines/>
        <w:spacing w:line="420" w:lineRule="exact"/>
        <w:ind w:firstLine="0" w:firstLineChars="0"/>
        <w:outlineLvl w:val="0"/>
        <w:rPr>
          <w:rFonts w:ascii="宋体" w:hAnsi="宋体" w:cs="宋体"/>
          <w:b/>
          <w:bCs/>
          <w:color w:val="auto"/>
          <w:kern w:val="44"/>
          <w:sz w:val="21"/>
          <w:szCs w:val="21"/>
          <w:highlight w:val="none"/>
        </w:rPr>
      </w:pPr>
      <w:bookmarkStart w:id="229" w:name="_Toc351203520"/>
      <w:bookmarkStart w:id="230" w:name="_Toc478389052"/>
      <w:r>
        <w:rPr>
          <w:rFonts w:hint="eastAsia" w:ascii="宋体" w:hAnsi="宋体" w:cs="宋体"/>
          <w:b/>
          <w:bCs/>
          <w:color w:val="auto"/>
          <w:kern w:val="44"/>
          <w:sz w:val="21"/>
          <w:szCs w:val="21"/>
          <w:highlight w:val="none"/>
        </w:rPr>
        <w:t>3</w:t>
      </w:r>
      <w:bookmarkStart w:id="231" w:name="_Toc337558748"/>
      <w:bookmarkStart w:id="232" w:name="_Toc296503047"/>
      <w:bookmarkStart w:id="233" w:name="_Toc296346548"/>
      <w:r>
        <w:rPr>
          <w:rFonts w:hint="eastAsia" w:ascii="宋体" w:hAnsi="宋体" w:cs="宋体"/>
          <w:b/>
          <w:bCs/>
          <w:color w:val="auto"/>
          <w:kern w:val="44"/>
          <w:sz w:val="21"/>
          <w:szCs w:val="21"/>
          <w:highlight w:val="none"/>
        </w:rPr>
        <w:t xml:space="preserve">.2 </w:t>
      </w:r>
      <w:bookmarkEnd w:id="229"/>
      <w:r>
        <w:rPr>
          <w:rFonts w:hint="eastAsia" w:ascii="宋体" w:hAnsi="宋体" w:cs="宋体"/>
          <w:b/>
          <w:bCs/>
          <w:color w:val="auto"/>
          <w:kern w:val="44"/>
          <w:sz w:val="21"/>
          <w:szCs w:val="21"/>
          <w:highlight w:val="none"/>
        </w:rPr>
        <w:t>项目经理</w:t>
      </w:r>
      <w:bookmarkEnd w:id="230"/>
    </w:p>
    <w:bookmarkEnd w:id="231"/>
    <w:bookmarkEnd w:id="232"/>
    <w:bookmarkEnd w:id="233"/>
    <w:p w14:paraId="0B43E1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3.2.1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2A84E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83A82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承包人违反上述约定的，应按照专用合同条款的约定，承担违约责任。</w:t>
      </w:r>
    </w:p>
    <w:p w14:paraId="27BB416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3.2.2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55C92C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3.2.3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21CCE9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3.2.4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4D2E1F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3.2.5项目经理因特殊情况授权其下属人员履行其某项工作职责的，该下属人员应具备履行相应职责的能力，并应提前7天将上述人员的姓名和授权范围书面通知监理人，并征得发包人书面同意。</w:t>
      </w:r>
    </w:p>
    <w:p w14:paraId="7D7EBA18">
      <w:pPr>
        <w:keepNext/>
        <w:keepLines/>
        <w:spacing w:line="420" w:lineRule="exact"/>
        <w:ind w:firstLine="0" w:firstLineChars="0"/>
        <w:outlineLvl w:val="0"/>
        <w:rPr>
          <w:rFonts w:ascii="宋体" w:hAnsi="宋体" w:cs="宋体"/>
          <w:b/>
          <w:bCs/>
          <w:color w:val="auto"/>
          <w:kern w:val="44"/>
          <w:sz w:val="21"/>
          <w:szCs w:val="21"/>
          <w:highlight w:val="none"/>
        </w:rPr>
      </w:pPr>
      <w:bookmarkStart w:id="234" w:name="_Toc351203521"/>
      <w:bookmarkStart w:id="235" w:name="_Toc478389053"/>
      <w:r>
        <w:rPr>
          <w:rFonts w:hint="eastAsia" w:ascii="宋体" w:hAnsi="宋体" w:cs="宋体"/>
          <w:b/>
          <w:bCs/>
          <w:color w:val="auto"/>
          <w:kern w:val="44"/>
          <w:sz w:val="21"/>
          <w:szCs w:val="21"/>
          <w:highlight w:val="none"/>
        </w:rPr>
        <w:t>3</w:t>
      </w:r>
      <w:bookmarkStart w:id="236" w:name="_Toc296503048"/>
      <w:bookmarkStart w:id="237" w:name="_Toc296346549"/>
      <w:bookmarkStart w:id="238" w:name="_Toc337558749"/>
      <w:r>
        <w:rPr>
          <w:rFonts w:hint="eastAsia" w:ascii="宋体" w:hAnsi="宋体" w:cs="宋体"/>
          <w:b/>
          <w:bCs/>
          <w:color w:val="auto"/>
          <w:kern w:val="44"/>
          <w:sz w:val="21"/>
          <w:szCs w:val="21"/>
          <w:highlight w:val="none"/>
        </w:rPr>
        <w:t xml:space="preserve">.3 </w:t>
      </w:r>
      <w:bookmarkEnd w:id="236"/>
      <w:bookmarkEnd w:id="237"/>
      <w:r>
        <w:rPr>
          <w:rFonts w:hint="eastAsia" w:ascii="宋体" w:hAnsi="宋体" w:cs="宋体"/>
          <w:b/>
          <w:bCs/>
          <w:color w:val="auto"/>
          <w:kern w:val="44"/>
          <w:sz w:val="21"/>
          <w:szCs w:val="21"/>
          <w:highlight w:val="none"/>
        </w:rPr>
        <w:t>承包人人员</w:t>
      </w:r>
      <w:bookmarkEnd w:id="234"/>
      <w:bookmarkEnd w:id="235"/>
    </w:p>
    <w:bookmarkEnd w:id="238"/>
    <w:p w14:paraId="01B62D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4FE0D0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特殊工种作业人员均应持有相应的资格证明，监理人可以随时检查。</w:t>
      </w:r>
    </w:p>
    <w:p w14:paraId="6146B6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70C4541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3.3.4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6DAD7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3.3.5承包人擅自更换主要施工管理人员，或前述人员未经监理人或发包人同意擅自离开施工现场的，应按照专用合同条款约定承担违约责任。</w:t>
      </w:r>
    </w:p>
    <w:p w14:paraId="049CD277">
      <w:pPr>
        <w:keepNext/>
        <w:keepLines/>
        <w:spacing w:line="420" w:lineRule="exact"/>
        <w:ind w:firstLine="0" w:firstLineChars="0"/>
        <w:outlineLvl w:val="0"/>
        <w:rPr>
          <w:rFonts w:ascii="宋体" w:hAnsi="宋体" w:cs="宋体"/>
          <w:b/>
          <w:bCs/>
          <w:color w:val="auto"/>
          <w:kern w:val="44"/>
          <w:sz w:val="21"/>
          <w:szCs w:val="21"/>
          <w:highlight w:val="none"/>
        </w:rPr>
      </w:pPr>
      <w:bookmarkStart w:id="239" w:name="_Toc478389054"/>
      <w:bookmarkStart w:id="240" w:name="_Toc351203522"/>
      <w:r>
        <w:rPr>
          <w:rFonts w:hint="eastAsia" w:ascii="宋体" w:hAnsi="宋体" w:cs="宋体"/>
          <w:b/>
          <w:bCs/>
          <w:color w:val="auto"/>
          <w:kern w:val="44"/>
          <w:sz w:val="21"/>
          <w:szCs w:val="21"/>
          <w:highlight w:val="none"/>
        </w:rPr>
        <w:t>3</w:t>
      </w:r>
      <w:bookmarkStart w:id="241" w:name="_Toc296503050"/>
      <w:bookmarkStart w:id="242" w:name="_Toc337558750"/>
      <w:bookmarkStart w:id="243" w:name="_Toc296346551"/>
      <w:r>
        <w:rPr>
          <w:rFonts w:hint="eastAsia" w:ascii="宋体" w:hAnsi="宋体" w:cs="宋体"/>
          <w:b/>
          <w:bCs/>
          <w:color w:val="auto"/>
          <w:kern w:val="44"/>
          <w:sz w:val="21"/>
          <w:szCs w:val="21"/>
          <w:highlight w:val="none"/>
        </w:rPr>
        <w:t>.4 承包人现场查勘</w:t>
      </w:r>
      <w:bookmarkEnd w:id="239"/>
      <w:bookmarkEnd w:id="240"/>
    </w:p>
    <w:bookmarkEnd w:id="241"/>
    <w:bookmarkEnd w:id="242"/>
    <w:bookmarkEnd w:id="243"/>
    <w:p w14:paraId="0F42D2A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承包人应对基于发包人按照第2.4.3项〔提供基础资料〕提交的基础资料所做出的解释和推断负责，但因基础资料存在错误、遗漏导致承包人解释或推断失实的，由发包人承担责任。</w:t>
      </w:r>
    </w:p>
    <w:p w14:paraId="11975B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6A03418">
      <w:pPr>
        <w:keepNext/>
        <w:keepLines/>
        <w:spacing w:line="420" w:lineRule="exact"/>
        <w:ind w:firstLine="0" w:firstLineChars="0"/>
        <w:outlineLvl w:val="0"/>
        <w:rPr>
          <w:rFonts w:ascii="宋体" w:hAnsi="宋体" w:cs="宋体"/>
          <w:b/>
          <w:bCs/>
          <w:color w:val="auto"/>
          <w:kern w:val="44"/>
          <w:sz w:val="21"/>
          <w:szCs w:val="21"/>
          <w:highlight w:val="none"/>
        </w:rPr>
      </w:pPr>
      <w:bookmarkStart w:id="244" w:name="_Toc478389055"/>
      <w:bookmarkStart w:id="245" w:name="_Toc351203523"/>
      <w:r>
        <w:rPr>
          <w:rFonts w:hint="eastAsia" w:ascii="宋体" w:hAnsi="宋体" w:cs="宋体"/>
          <w:b/>
          <w:bCs/>
          <w:color w:val="auto"/>
          <w:kern w:val="44"/>
          <w:sz w:val="21"/>
          <w:szCs w:val="21"/>
          <w:highlight w:val="none"/>
        </w:rPr>
        <w:t>3</w:t>
      </w:r>
      <w:bookmarkStart w:id="246" w:name="_Toc337558751"/>
      <w:bookmarkStart w:id="247" w:name="_Toc296346552"/>
      <w:bookmarkStart w:id="248" w:name="_Toc296503051"/>
      <w:r>
        <w:rPr>
          <w:rFonts w:hint="eastAsia" w:ascii="宋体" w:hAnsi="宋体" w:cs="宋体"/>
          <w:b/>
          <w:bCs/>
          <w:color w:val="auto"/>
          <w:kern w:val="44"/>
          <w:sz w:val="21"/>
          <w:szCs w:val="21"/>
          <w:highlight w:val="none"/>
        </w:rPr>
        <w:t>.5 分包</w:t>
      </w:r>
      <w:bookmarkEnd w:id="244"/>
      <w:bookmarkEnd w:id="245"/>
    </w:p>
    <w:bookmarkEnd w:id="246"/>
    <w:bookmarkEnd w:id="247"/>
    <w:bookmarkEnd w:id="248"/>
    <w:p w14:paraId="7AFB70E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3.5.1 分包的一般约定</w:t>
      </w:r>
    </w:p>
    <w:p w14:paraId="1B2850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4988F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承包人不得以劳务分包的名义转包或违法分包工程。</w:t>
      </w:r>
    </w:p>
    <w:p w14:paraId="1BCA35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3.5.2 分包的确定</w:t>
      </w:r>
    </w:p>
    <w:p w14:paraId="37745E9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065D01C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3.5.3 分包管理</w:t>
      </w:r>
    </w:p>
    <w:p w14:paraId="3919D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承包人应向监理人提交分包人的主要施工管理人员表，并对分包人的施工人员进行实名制管理，包括但不限于进出场管理、登记造册以及各种证照的办理。</w:t>
      </w:r>
    </w:p>
    <w:p w14:paraId="2E65D0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3.5.4 分包合同价款</w:t>
      </w:r>
    </w:p>
    <w:p w14:paraId="12FDF1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（1）除本项第（2）目约定的情况或专用合同条款另有约定外，分包合同价款由承包人与分包人结算，未经承包人同意，发包人不得向分包人支付分包工程价款；</w:t>
      </w:r>
    </w:p>
    <w:p w14:paraId="3313C0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（2）生效法律文书要求发包人向分包人支付分包合同价款的，发包人有权从应付承包人工程款中扣除该部分款项。</w:t>
      </w:r>
    </w:p>
    <w:p w14:paraId="17C81D3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3.5.5 分包合同权益的转让</w:t>
      </w:r>
    </w:p>
    <w:p w14:paraId="731652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49" w:name="_Toc351203524"/>
    </w:p>
    <w:p w14:paraId="3A55981B">
      <w:pPr>
        <w:keepNext/>
        <w:keepLines/>
        <w:spacing w:line="420" w:lineRule="exact"/>
        <w:ind w:firstLine="0" w:firstLineChars="0"/>
        <w:outlineLvl w:val="0"/>
        <w:rPr>
          <w:rFonts w:ascii="宋体" w:hAnsi="宋体" w:cs="宋体"/>
          <w:b/>
          <w:bCs/>
          <w:color w:val="auto"/>
          <w:kern w:val="44"/>
          <w:sz w:val="21"/>
          <w:szCs w:val="21"/>
          <w:highlight w:val="none"/>
        </w:rPr>
      </w:pPr>
      <w:bookmarkStart w:id="250" w:name="_Toc478389056"/>
      <w:r>
        <w:rPr>
          <w:rFonts w:hint="eastAsia" w:ascii="宋体" w:hAnsi="宋体" w:cs="宋体"/>
          <w:b/>
          <w:bCs/>
          <w:color w:val="auto"/>
          <w:kern w:val="44"/>
          <w:sz w:val="21"/>
          <w:szCs w:val="21"/>
          <w:highlight w:val="none"/>
        </w:rPr>
        <w:t>3.6 工程照管与成品、半成品保护</w:t>
      </w:r>
      <w:bookmarkEnd w:id="249"/>
      <w:bookmarkEnd w:id="250"/>
    </w:p>
    <w:p w14:paraId="00B91B4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（1）除专用合同条款另有约定外，自发包人向承包人移交施工现场之日起，承包人应负责照管工程及工程相关的材料、工程设备，直到颁发工程接收证书之日止。</w:t>
      </w:r>
    </w:p>
    <w:p w14:paraId="58573F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（2）在承包人负责照管期间，因承包人原因造成工程、材料、工程设备损坏的，由承包人负责修复或更换，并承担由此增加的费用和（或）延误的工期。</w:t>
      </w:r>
    </w:p>
    <w:p w14:paraId="261D25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473C84D1">
      <w:pPr>
        <w:keepNext/>
        <w:keepLines/>
        <w:spacing w:line="420" w:lineRule="exact"/>
        <w:ind w:firstLine="0" w:firstLineChars="0"/>
        <w:outlineLvl w:val="0"/>
        <w:rPr>
          <w:rFonts w:ascii="宋体" w:hAnsi="宋体" w:cs="宋体"/>
          <w:b/>
          <w:bCs/>
          <w:color w:val="auto"/>
          <w:kern w:val="44"/>
          <w:sz w:val="21"/>
          <w:szCs w:val="21"/>
          <w:highlight w:val="none"/>
        </w:rPr>
      </w:pPr>
      <w:bookmarkStart w:id="251" w:name="_Toc351203525"/>
      <w:bookmarkStart w:id="252" w:name="_Toc478389057"/>
      <w:r>
        <w:rPr>
          <w:rFonts w:hint="eastAsia" w:ascii="宋体" w:hAnsi="宋体" w:cs="宋体"/>
          <w:b/>
          <w:bCs/>
          <w:color w:val="auto"/>
          <w:kern w:val="44"/>
          <w:sz w:val="21"/>
          <w:szCs w:val="21"/>
          <w:highlight w:val="none"/>
        </w:rPr>
        <w:t>3</w:t>
      </w:r>
      <w:bookmarkStart w:id="253" w:name="_Toc337558752"/>
      <w:bookmarkStart w:id="254" w:name="_Toc296346553"/>
      <w:bookmarkStart w:id="255" w:name="_Toc296503052"/>
      <w:r>
        <w:rPr>
          <w:rFonts w:hint="eastAsia" w:ascii="宋体" w:hAnsi="宋体" w:cs="宋体"/>
          <w:b/>
          <w:bCs/>
          <w:color w:val="auto"/>
          <w:kern w:val="44"/>
          <w:sz w:val="21"/>
          <w:szCs w:val="21"/>
          <w:highlight w:val="none"/>
        </w:rPr>
        <w:t>.7 履约保证金</w:t>
      </w:r>
      <w:bookmarkEnd w:id="251"/>
      <w:bookmarkEnd w:id="252"/>
    </w:p>
    <w:bookmarkEnd w:id="253"/>
    <w:bookmarkEnd w:id="254"/>
    <w:bookmarkEnd w:id="255"/>
    <w:p w14:paraId="77C02D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发包人需要承包人提供履约保证金的，由合同当事人在专用合同条款中约定履约保证金的方式、金额及期限等。履约保证金可以采用银行保函或担保公司担保等形式，具体由合同当事人在专用合同条款中约定。</w:t>
      </w:r>
    </w:p>
    <w:p w14:paraId="22A33B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因承包人原因导致工期延长的，继续提供履约保证金所增加的费用由承包人承担；非因承包人原因导致工期延长的，继续提供履约保证金所增加的费用由发包人承担。</w:t>
      </w:r>
    </w:p>
    <w:p w14:paraId="6B3FB79C">
      <w:pPr>
        <w:keepNext/>
        <w:keepLines/>
        <w:spacing w:line="420" w:lineRule="exact"/>
        <w:ind w:firstLine="0" w:firstLineChars="0"/>
        <w:outlineLvl w:val="0"/>
        <w:rPr>
          <w:rFonts w:ascii="宋体" w:hAnsi="宋体" w:cs="宋体"/>
          <w:b/>
          <w:bCs/>
          <w:color w:val="auto"/>
          <w:kern w:val="44"/>
          <w:sz w:val="21"/>
          <w:szCs w:val="21"/>
          <w:highlight w:val="none"/>
        </w:rPr>
      </w:pPr>
      <w:bookmarkStart w:id="256" w:name="_Toc351203526"/>
      <w:bookmarkStart w:id="257" w:name="_Toc478389058"/>
      <w:r>
        <w:rPr>
          <w:rFonts w:hint="eastAsia" w:ascii="宋体" w:hAnsi="宋体" w:cs="宋体"/>
          <w:b/>
          <w:bCs/>
          <w:color w:val="auto"/>
          <w:kern w:val="44"/>
          <w:sz w:val="21"/>
          <w:szCs w:val="21"/>
          <w:highlight w:val="none"/>
        </w:rPr>
        <w:t>3.8 联合体</w:t>
      </w:r>
      <w:bookmarkEnd w:id="256"/>
      <w:bookmarkEnd w:id="257"/>
    </w:p>
    <w:p w14:paraId="0673CF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3.8.1联合体各方应共同与发包人签订合同协议书。联合体各方应为履行合同向发包人承担连带责任。</w:t>
      </w:r>
    </w:p>
    <w:p w14:paraId="23F8270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3.8.2联合体协议经发包人确认后作为合同附件。在履行合同过程中，未经发包人同意，不得修改联合体协议。</w:t>
      </w:r>
    </w:p>
    <w:p w14:paraId="01FDB7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3.8.3联合体牵头人负责与发包人和监理人联系，并接受指示，负责组织联合体各成员全面履行合同。</w:t>
      </w:r>
    </w:p>
    <w:p w14:paraId="7D65EA1C">
      <w:pPr>
        <w:keepNext/>
        <w:keepLines/>
        <w:spacing w:line="420" w:lineRule="exact"/>
        <w:ind w:firstLine="0" w:firstLineChars="0"/>
        <w:outlineLvl w:val="0"/>
        <w:rPr>
          <w:rFonts w:ascii="宋体" w:hAnsi="宋体" w:cs="宋体"/>
          <w:b/>
          <w:bCs/>
          <w:color w:val="auto"/>
          <w:kern w:val="44"/>
          <w:sz w:val="21"/>
          <w:szCs w:val="21"/>
          <w:highlight w:val="none"/>
        </w:rPr>
      </w:pPr>
      <w:bookmarkStart w:id="258" w:name="_Toc478389059"/>
      <w:bookmarkStart w:id="259" w:name="_Toc351203527"/>
      <w:r>
        <w:rPr>
          <w:rFonts w:hint="eastAsia" w:ascii="宋体" w:hAnsi="宋体" w:cs="宋体"/>
          <w:b/>
          <w:bCs/>
          <w:color w:val="auto"/>
          <w:kern w:val="44"/>
          <w:sz w:val="21"/>
          <w:szCs w:val="21"/>
          <w:highlight w:val="none"/>
        </w:rPr>
        <w:t>4</w:t>
      </w:r>
      <w:bookmarkStart w:id="260" w:name="_Toc296346554"/>
      <w:bookmarkStart w:id="261" w:name="_Toc296503053"/>
      <w:bookmarkStart w:id="262" w:name="_Toc337558753"/>
      <w:r>
        <w:rPr>
          <w:rFonts w:hint="eastAsia" w:ascii="宋体" w:hAnsi="宋体" w:cs="宋体"/>
          <w:b/>
          <w:bCs/>
          <w:color w:val="auto"/>
          <w:kern w:val="44"/>
          <w:sz w:val="21"/>
          <w:szCs w:val="21"/>
          <w:highlight w:val="none"/>
        </w:rPr>
        <w:t>. 监</w:t>
      </w:r>
      <w:bookmarkEnd w:id="260"/>
      <w:bookmarkEnd w:id="261"/>
      <w:r>
        <w:rPr>
          <w:rFonts w:hint="eastAsia" w:ascii="宋体" w:hAnsi="宋体" w:cs="宋体"/>
          <w:b/>
          <w:bCs/>
          <w:color w:val="auto"/>
          <w:kern w:val="44"/>
          <w:sz w:val="21"/>
          <w:szCs w:val="21"/>
          <w:highlight w:val="none"/>
        </w:rPr>
        <w:t>理人</w:t>
      </w:r>
      <w:bookmarkEnd w:id="258"/>
      <w:bookmarkEnd w:id="259"/>
    </w:p>
    <w:bookmarkEnd w:id="262"/>
    <w:p w14:paraId="49D31E92">
      <w:pPr>
        <w:keepNext/>
        <w:keepLines/>
        <w:spacing w:line="420" w:lineRule="exact"/>
        <w:ind w:firstLine="0" w:firstLineChars="0"/>
        <w:outlineLvl w:val="0"/>
        <w:rPr>
          <w:rFonts w:ascii="宋体" w:hAnsi="宋体" w:cs="宋体"/>
          <w:b/>
          <w:bCs/>
          <w:color w:val="auto"/>
          <w:kern w:val="44"/>
          <w:sz w:val="21"/>
          <w:szCs w:val="21"/>
          <w:highlight w:val="none"/>
        </w:rPr>
      </w:pPr>
      <w:bookmarkStart w:id="263" w:name="_Toc351203528"/>
      <w:bookmarkStart w:id="264" w:name="_Toc478389060"/>
      <w:r>
        <w:rPr>
          <w:rFonts w:hint="eastAsia" w:ascii="宋体" w:hAnsi="宋体" w:cs="宋体"/>
          <w:b/>
          <w:bCs/>
          <w:color w:val="auto"/>
          <w:kern w:val="44"/>
          <w:sz w:val="21"/>
          <w:szCs w:val="21"/>
          <w:highlight w:val="none"/>
        </w:rPr>
        <w:t>4</w:t>
      </w:r>
      <w:bookmarkStart w:id="265" w:name="_Toc296503054"/>
      <w:bookmarkStart w:id="266" w:name="_Toc337558754"/>
      <w:bookmarkStart w:id="267" w:name="_Toc296346555"/>
      <w:r>
        <w:rPr>
          <w:rFonts w:hint="eastAsia" w:ascii="宋体" w:hAnsi="宋体" w:cs="宋体"/>
          <w:b/>
          <w:bCs/>
          <w:color w:val="auto"/>
          <w:kern w:val="44"/>
          <w:sz w:val="21"/>
          <w:szCs w:val="21"/>
          <w:highlight w:val="none"/>
        </w:rPr>
        <w:t>.1监理人的一般规定</w:t>
      </w:r>
      <w:bookmarkEnd w:id="263"/>
      <w:bookmarkEnd w:id="264"/>
    </w:p>
    <w:bookmarkEnd w:id="265"/>
    <w:bookmarkEnd w:id="266"/>
    <w:bookmarkEnd w:id="267"/>
    <w:p w14:paraId="4348B54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575E86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除专用合同条款另有约定外，监理人在施工现场的办公场所、生活场所由承包人提供，所发生的费用由发包人承担。</w:t>
      </w:r>
    </w:p>
    <w:p w14:paraId="60507CCB">
      <w:pPr>
        <w:keepNext/>
        <w:keepLines/>
        <w:spacing w:line="420" w:lineRule="exact"/>
        <w:ind w:firstLine="0" w:firstLineChars="0"/>
        <w:outlineLvl w:val="0"/>
        <w:rPr>
          <w:rFonts w:ascii="宋体" w:hAnsi="宋体" w:cs="宋体"/>
          <w:b/>
          <w:bCs/>
          <w:color w:val="auto"/>
          <w:kern w:val="44"/>
          <w:sz w:val="21"/>
          <w:szCs w:val="21"/>
          <w:highlight w:val="none"/>
        </w:rPr>
      </w:pPr>
      <w:bookmarkStart w:id="268" w:name="_Toc351203529"/>
      <w:bookmarkStart w:id="269" w:name="_Toc478389061"/>
      <w:r>
        <w:rPr>
          <w:rFonts w:hint="eastAsia" w:ascii="宋体" w:hAnsi="宋体" w:cs="宋体"/>
          <w:b/>
          <w:bCs/>
          <w:color w:val="auto"/>
          <w:kern w:val="44"/>
          <w:sz w:val="21"/>
          <w:szCs w:val="21"/>
          <w:highlight w:val="none"/>
        </w:rPr>
        <w:t>4</w:t>
      </w:r>
      <w:bookmarkStart w:id="270" w:name="_Toc337558755"/>
      <w:r>
        <w:rPr>
          <w:rFonts w:hint="eastAsia" w:ascii="宋体" w:hAnsi="宋体" w:cs="宋体"/>
          <w:b/>
          <w:bCs/>
          <w:color w:val="auto"/>
          <w:kern w:val="44"/>
          <w:sz w:val="21"/>
          <w:szCs w:val="21"/>
          <w:highlight w:val="none"/>
        </w:rPr>
        <w:t>.2监理人员</w:t>
      </w:r>
      <w:bookmarkEnd w:id="268"/>
      <w:bookmarkEnd w:id="269"/>
    </w:p>
    <w:bookmarkEnd w:id="270"/>
    <w:p w14:paraId="0AD05F2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76DF01C1">
      <w:pPr>
        <w:keepNext/>
        <w:keepLines/>
        <w:spacing w:line="420" w:lineRule="exact"/>
        <w:ind w:firstLine="0" w:firstLineChars="0"/>
        <w:outlineLvl w:val="0"/>
        <w:rPr>
          <w:rFonts w:ascii="宋体" w:hAnsi="宋体" w:cs="宋体"/>
          <w:b/>
          <w:bCs/>
          <w:color w:val="auto"/>
          <w:kern w:val="44"/>
          <w:sz w:val="21"/>
          <w:szCs w:val="21"/>
          <w:highlight w:val="none"/>
        </w:rPr>
      </w:pPr>
      <w:bookmarkStart w:id="271" w:name="_Toc351203530"/>
      <w:bookmarkStart w:id="272" w:name="_Toc478389062"/>
      <w:r>
        <w:rPr>
          <w:rFonts w:hint="eastAsia" w:ascii="宋体" w:hAnsi="宋体" w:cs="宋体"/>
          <w:b/>
          <w:bCs/>
          <w:color w:val="auto"/>
          <w:kern w:val="44"/>
          <w:sz w:val="21"/>
          <w:szCs w:val="21"/>
          <w:highlight w:val="none"/>
        </w:rPr>
        <w:t>4</w:t>
      </w:r>
      <w:bookmarkStart w:id="273" w:name="_Toc296346556"/>
      <w:bookmarkStart w:id="274" w:name="_Toc296503055"/>
      <w:bookmarkStart w:id="275" w:name="_Toc337558756"/>
      <w:r>
        <w:rPr>
          <w:rFonts w:hint="eastAsia" w:ascii="宋体" w:hAnsi="宋体" w:cs="宋体"/>
          <w:b/>
          <w:bCs/>
          <w:color w:val="auto"/>
          <w:kern w:val="44"/>
          <w:sz w:val="21"/>
          <w:szCs w:val="21"/>
          <w:highlight w:val="none"/>
        </w:rPr>
        <w:t>.3</w:t>
      </w:r>
      <w:bookmarkEnd w:id="273"/>
      <w:bookmarkEnd w:id="274"/>
      <w:r>
        <w:rPr>
          <w:rFonts w:hint="eastAsia" w:ascii="宋体" w:hAnsi="宋体" w:cs="宋体"/>
          <w:b/>
          <w:bCs/>
          <w:color w:val="auto"/>
          <w:kern w:val="44"/>
          <w:sz w:val="21"/>
          <w:szCs w:val="21"/>
          <w:highlight w:val="none"/>
        </w:rPr>
        <w:t>监理人的指</w:t>
      </w:r>
      <w:bookmarkEnd w:id="275"/>
      <w:r>
        <w:rPr>
          <w:rFonts w:hint="eastAsia" w:ascii="宋体" w:hAnsi="宋体" w:cs="宋体"/>
          <w:b/>
          <w:bCs/>
          <w:color w:val="auto"/>
          <w:kern w:val="44"/>
          <w:sz w:val="21"/>
          <w:szCs w:val="21"/>
          <w:highlight w:val="none"/>
        </w:rPr>
        <w:t>示</w:t>
      </w:r>
      <w:bookmarkEnd w:id="271"/>
      <w:bookmarkEnd w:id="272"/>
    </w:p>
    <w:p w14:paraId="645337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6792B8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02B849B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承包人对监理人发出的指示有疑问的，应向监理人提出书面异议，监理人应在48小时内对该指示予以确认、更改或撤销，监理人逾期未回复的，承包人有权拒绝执行上述指示。</w:t>
      </w:r>
    </w:p>
    <w:p w14:paraId="72EFC6B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73A75C41">
      <w:pPr>
        <w:keepNext/>
        <w:keepLines/>
        <w:spacing w:line="420" w:lineRule="exact"/>
        <w:ind w:firstLine="0" w:firstLineChars="0"/>
        <w:outlineLvl w:val="0"/>
        <w:rPr>
          <w:rFonts w:ascii="宋体" w:hAnsi="宋体" w:cs="宋体"/>
          <w:b/>
          <w:bCs/>
          <w:color w:val="auto"/>
          <w:kern w:val="44"/>
          <w:sz w:val="21"/>
          <w:szCs w:val="21"/>
          <w:highlight w:val="none"/>
        </w:rPr>
      </w:pPr>
      <w:bookmarkStart w:id="276" w:name="_Toc351203531"/>
      <w:bookmarkStart w:id="277" w:name="_Toc478389063"/>
      <w:r>
        <w:rPr>
          <w:rFonts w:hint="eastAsia" w:ascii="宋体" w:hAnsi="宋体" w:cs="宋体"/>
          <w:b/>
          <w:bCs/>
          <w:color w:val="auto"/>
          <w:kern w:val="44"/>
          <w:sz w:val="21"/>
          <w:szCs w:val="21"/>
          <w:highlight w:val="none"/>
        </w:rPr>
        <w:t>4</w:t>
      </w:r>
      <w:bookmarkStart w:id="278" w:name="_Toc296503057"/>
      <w:bookmarkStart w:id="279" w:name="_Toc337558757"/>
      <w:bookmarkStart w:id="280" w:name="_Toc296346558"/>
      <w:r>
        <w:rPr>
          <w:rFonts w:hint="eastAsia" w:ascii="宋体" w:hAnsi="宋体" w:cs="宋体"/>
          <w:b/>
          <w:bCs/>
          <w:color w:val="auto"/>
          <w:kern w:val="44"/>
          <w:sz w:val="21"/>
          <w:szCs w:val="21"/>
          <w:highlight w:val="none"/>
        </w:rPr>
        <w:t>.4 商定或确定</w:t>
      </w:r>
      <w:bookmarkEnd w:id="276"/>
      <w:bookmarkEnd w:id="277"/>
    </w:p>
    <w:bookmarkEnd w:id="278"/>
    <w:bookmarkEnd w:id="279"/>
    <w:bookmarkEnd w:id="280"/>
    <w:p w14:paraId="768B31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合同当事人进行商定或确定时，总监理工程师应当会同合同当事人尽量通过协商达成一致，不能达成一致的，由总监理工程师按照合同约定审慎</w:t>
      </w:r>
      <w:r>
        <w:rPr>
          <w:rFonts w:hint="eastAsia" w:ascii="宋体" w:hAnsi="宋体" w:cs="宋体"/>
          <w:color w:val="auto"/>
          <w:sz w:val="21"/>
          <w:szCs w:val="21"/>
          <w:highlight w:val="none"/>
          <w:lang w:eastAsia="zh-CN"/>
        </w:rPr>
        <w:t>作出</w:t>
      </w:r>
      <w:r>
        <w:rPr>
          <w:rFonts w:hint="eastAsia" w:ascii="宋体" w:hAnsi="宋体" w:cs="宋体"/>
          <w:color w:val="auto"/>
          <w:sz w:val="21"/>
          <w:szCs w:val="21"/>
          <w:highlight w:val="none"/>
        </w:rPr>
        <w:t>公正的确定。</w:t>
      </w:r>
    </w:p>
    <w:p w14:paraId="54FAFB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B84938C">
      <w:pPr>
        <w:keepNext/>
        <w:keepLines/>
        <w:spacing w:line="420" w:lineRule="exact"/>
        <w:ind w:firstLine="0" w:firstLineChars="0"/>
        <w:outlineLvl w:val="0"/>
        <w:rPr>
          <w:rFonts w:ascii="宋体" w:hAnsi="宋体" w:cs="宋体"/>
          <w:b/>
          <w:bCs/>
          <w:color w:val="auto"/>
          <w:kern w:val="44"/>
          <w:sz w:val="21"/>
          <w:szCs w:val="21"/>
          <w:highlight w:val="none"/>
        </w:rPr>
      </w:pPr>
      <w:bookmarkStart w:id="281" w:name="_Toc351203532"/>
      <w:bookmarkStart w:id="282" w:name="_Toc478389064"/>
      <w:r>
        <w:rPr>
          <w:rFonts w:hint="eastAsia" w:ascii="宋体" w:hAnsi="宋体" w:cs="宋体"/>
          <w:b/>
          <w:bCs/>
          <w:color w:val="auto"/>
          <w:kern w:val="44"/>
          <w:sz w:val="21"/>
          <w:szCs w:val="21"/>
          <w:highlight w:val="none"/>
        </w:rPr>
        <w:t>5</w:t>
      </w:r>
      <w:bookmarkStart w:id="283" w:name="_Toc337558758"/>
      <w:r>
        <w:rPr>
          <w:rFonts w:hint="eastAsia" w:ascii="宋体" w:hAnsi="宋体" w:cs="宋体"/>
          <w:b/>
          <w:bCs/>
          <w:color w:val="auto"/>
          <w:kern w:val="44"/>
          <w:sz w:val="21"/>
          <w:szCs w:val="21"/>
          <w:highlight w:val="none"/>
        </w:rPr>
        <w:t>. 工程质量</w:t>
      </w:r>
      <w:bookmarkEnd w:id="281"/>
      <w:bookmarkEnd w:id="282"/>
    </w:p>
    <w:bookmarkEnd w:id="283"/>
    <w:p w14:paraId="681D3387">
      <w:pPr>
        <w:keepNext/>
        <w:keepLines/>
        <w:spacing w:line="420" w:lineRule="exact"/>
        <w:ind w:firstLine="0" w:firstLineChars="0"/>
        <w:outlineLvl w:val="0"/>
        <w:rPr>
          <w:rFonts w:ascii="宋体" w:hAnsi="宋体" w:cs="宋体"/>
          <w:b/>
          <w:bCs/>
          <w:color w:val="auto"/>
          <w:kern w:val="44"/>
          <w:sz w:val="21"/>
          <w:szCs w:val="21"/>
          <w:highlight w:val="none"/>
        </w:rPr>
      </w:pPr>
      <w:bookmarkStart w:id="284" w:name="_Toc478389065"/>
      <w:bookmarkStart w:id="285" w:name="_Toc351203533"/>
      <w:r>
        <w:rPr>
          <w:rFonts w:hint="eastAsia" w:ascii="宋体" w:hAnsi="宋体" w:cs="宋体"/>
          <w:b/>
          <w:bCs/>
          <w:color w:val="auto"/>
          <w:kern w:val="44"/>
          <w:sz w:val="21"/>
          <w:szCs w:val="21"/>
          <w:highlight w:val="none"/>
        </w:rPr>
        <w:t>5</w:t>
      </w:r>
      <w:bookmarkStart w:id="286" w:name="_Toc337558759"/>
      <w:r>
        <w:rPr>
          <w:rFonts w:hint="eastAsia" w:ascii="宋体" w:hAnsi="宋体" w:cs="宋体"/>
          <w:b/>
          <w:bCs/>
          <w:color w:val="auto"/>
          <w:kern w:val="44"/>
          <w:sz w:val="21"/>
          <w:szCs w:val="21"/>
          <w:highlight w:val="none"/>
        </w:rPr>
        <w:t>.1质量要求</w:t>
      </w:r>
      <w:bookmarkEnd w:id="284"/>
      <w:bookmarkEnd w:id="285"/>
    </w:p>
    <w:bookmarkEnd w:id="286"/>
    <w:p w14:paraId="434EC1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5.1.1工程质量标准必须符合现行国家有关工程施工质量验收规范和标准的要求。有关工程质量的特殊标准或要求由合同当事人在专用合同条款中约定。</w:t>
      </w:r>
    </w:p>
    <w:p w14:paraId="3F6D7D5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5.1.2因发包人原因造成工程质量未达到合同约定标准的，由发包人承担由此增加的费用和（或）延误的工期，并支付承包人合理的利润。</w:t>
      </w:r>
    </w:p>
    <w:p w14:paraId="666E17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5.1.3因承包人原因造成工程质量未达到合同约定标准的，发包人有权要求承包人返工直至工程质量达到合同约定的标准为止，并由承包人承担由此增加的费用和（或）延误的工期。</w:t>
      </w:r>
    </w:p>
    <w:p w14:paraId="289B5D9E">
      <w:pPr>
        <w:keepNext/>
        <w:keepLines/>
        <w:spacing w:line="420" w:lineRule="exact"/>
        <w:ind w:firstLine="0" w:firstLineChars="0"/>
        <w:outlineLvl w:val="0"/>
        <w:rPr>
          <w:rFonts w:ascii="宋体" w:hAnsi="宋体" w:cs="宋体"/>
          <w:b/>
          <w:bCs/>
          <w:color w:val="auto"/>
          <w:kern w:val="44"/>
          <w:sz w:val="21"/>
          <w:szCs w:val="21"/>
          <w:highlight w:val="none"/>
        </w:rPr>
      </w:pPr>
      <w:bookmarkStart w:id="287" w:name="_Toc478389066"/>
      <w:bookmarkStart w:id="288" w:name="_Toc351203534"/>
      <w:r>
        <w:rPr>
          <w:rFonts w:hint="eastAsia" w:ascii="宋体" w:hAnsi="宋体" w:cs="宋体"/>
          <w:b/>
          <w:bCs/>
          <w:color w:val="auto"/>
          <w:kern w:val="44"/>
          <w:sz w:val="21"/>
          <w:szCs w:val="21"/>
          <w:highlight w:val="none"/>
        </w:rPr>
        <w:t>5</w:t>
      </w:r>
      <w:bookmarkStart w:id="289" w:name="_Toc337558760"/>
      <w:r>
        <w:rPr>
          <w:rFonts w:hint="eastAsia" w:ascii="宋体" w:hAnsi="宋体" w:cs="宋体"/>
          <w:b/>
          <w:bCs/>
          <w:color w:val="auto"/>
          <w:kern w:val="44"/>
          <w:sz w:val="21"/>
          <w:szCs w:val="21"/>
          <w:highlight w:val="none"/>
        </w:rPr>
        <w:t>.2质量保证措施</w:t>
      </w:r>
      <w:bookmarkEnd w:id="287"/>
      <w:bookmarkEnd w:id="288"/>
    </w:p>
    <w:bookmarkEnd w:id="289"/>
    <w:p w14:paraId="6B6330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5.2.1 发包人的质量管理</w:t>
      </w:r>
    </w:p>
    <w:p w14:paraId="57587B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发包人应按照法律规定及合同约定完成与工程质量有关的各项工作。</w:t>
      </w:r>
    </w:p>
    <w:p w14:paraId="7895AF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5.2.2 承包人的质量管理</w:t>
      </w:r>
    </w:p>
    <w:p w14:paraId="217980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4D31B3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承包人应对施工人员进行质量教育和技术培训，定期考核施工人员的劳动技能，严格执行施工规范和操作规程。</w:t>
      </w:r>
    </w:p>
    <w:p w14:paraId="06BC8A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承包人应按照法律规定和发包人的要求，对材料、工程设备以及工程的所有部位及其施工工艺进行全过程的质量检查和检验，并</w:t>
      </w:r>
      <w:r>
        <w:rPr>
          <w:rFonts w:hint="eastAsia" w:ascii="宋体" w:hAnsi="宋体" w:cs="宋体"/>
          <w:color w:val="auto"/>
          <w:sz w:val="21"/>
          <w:szCs w:val="21"/>
          <w:highlight w:val="none"/>
          <w:lang w:eastAsia="zh-CN"/>
        </w:rPr>
        <w:t>做</w:t>
      </w:r>
      <w:r>
        <w:rPr>
          <w:rFonts w:hint="eastAsia" w:ascii="宋体" w:hAnsi="宋体" w:cs="宋体"/>
          <w:color w:val="auto"/>
          <w:sz w:val="21"/>
          <w:szCs w:val="21"/>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A13816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5.2.3 监理人的质量检查和检验</w:t>
      </w:r>
    </w:p>
    <w:p w14:paraId="2958DB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w:t>
      </w:r>
      <w:r>
        <w:rPr>
          <w:rFonts w:hint="eastAsia" w:ascii="宋体" w:hAnsi="宋体" w:cs="宋体"/>
          <w:color w:val="auto"/>
          <w:sz w:val="21"/>
          <w:szCs w:val="21"/>
          <w:highlight w:val="none"/>
          <w:lang w:eastAsia="zh-CN"/>
        </w:rPr>
        <w:t>查看</w:t>
      </w:r>
      <w:r>
        <w:rPr>
          <w:rFonts w:hint="eastAsia" w:ascii="宋体" w:hAnsi="宋体" w:cs="宋体"/>
          <w:color w:val="auto"/>
          <w:sz w:val="21"/>
          <w:szCs w:val="21"/>
          <w:highlight w:val="none"/>
        </w:rPr>
        <w:t>和查阅施工原始记录。监理人为此进行的检查和检验，不免除或减轻承包人按照合同约定应当承担的责任。</w:t>
      </w:r>
    </w:p>
    <w:p w14:paraId="50FB2A0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4E88618D">
      <w:pPr>
        <w:keepNext/>
        <w:keepLines/>
        <w:spacing w:line="420" w:lineRule="exact"/>
        <w:ind w:firstLine="0" w:firstLineChars="0"/>
        <w:outlineLvl w:val="0"/>
        <w:rPr>
          <w:rFonts w:ascii="宋体" w:hAnsi="宋体" w:cs="宋体"/>
          <w:b/>
          <w:bCs/>
          <w:color w:val="auto"/>
          <w:kern w:val="44"/>
          <w:sz w:val="21"/>
          <w:szCs w:val="21"/>
          <w:highlight w:val="none"/>
        </w:rPr>
      </w:pPr>
      <w:bookmarkStart w:id="290" w:name="_Toc478389067"/>
      <w:bookmarkStart w:id="291" w:name="_Toc351203535"/>
      <w:r>
        <w:rPr>
          <w:rFonts w:hint="eastAsia" w:ascii="宋体" w:hAnsi="宋体" w:cs="宋体"/>
          <w:b/>
          <w:bCs/>
          <w:color w:val="auto"/>
          <w:kern w:val="44"/>
          <w:sz w:val="21"/>
          <w:szCs w:val="21"/>
          <w:highlight w:val="none"/>
        </w:rPr>
        <w:t>5</w:t>
      </w:r>
      <w:bookmarkStart w:id="292" w:name="_Toc337558761"/>
      <w:r>
        <w:rPr>
          <w:rFonts w:hint="eastAsia" w:ascii="宋体" w:hAnsi="宋体" w:cs="宋体"/>
          <w:b/>
          <w:bCs/>
          <w:color w:val="auto"/>
          <w:kern w:val="44"/>
          <w:sz w:val="21"/>
          <w:szCs w:val="21"/>
          <w:highlight w:val="none"/>
        </w:rPr>
        <w:t>.3 隐蔽工程检查</w:t>
      </w:r>
      <w:bookmarkEnd w:id="290"/>
      <w:bookmarkEnd w:id="291"/>
    </w:p>
    <w:bookmarkEnd w:id="292"/>
    <w:p w14:paraId="6113469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5.3.1承包人自检</w:t>
      </w:r>
    </w:p>
    <w:p w14:paraId="3B8836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承包人应当对工程隐蔽部位进行自检，并经自检确认是否具备覆盖条件。</w:t>
      </w:r>
    </w:p>
    <w:p w14:paraId="739BA0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5.3.2检查程序</w:t>
      </w:r>
    </w:p>
    <w:p w14:paraId="345E9B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2C76B9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1B70F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w:t>
      </w:r>
      <w:r>
        <w:rPr>
          <w:rFonts w:hint="eastAsia" w:ascii="宋体" w:hAnsi="宋体" w:cs="宋体"/>
          <w:color w:val="auto"/>
          <w:sz w:val="21"/>
          <w:szCs w:val="21"/>
          <w:highlight w:val="none"/>
          <w:lang w:eastAsia="zh-CN"/>
        </w:rPr>
        <w:t>做</w:t>
      </w:r>
      <w:r>
        <w:rPr>
          <w:rFonts w:hint="eastAsia" w:ascii="宋体" w:hAnsi="宋体" w:cs="宋体"/>
          <w:color w:val="auto"/>
          <w:sz w:val="21"/>
          <w:szCs w:val="21"/>
          <w:highlight w:val="none"/>
        </w:rPr>
        <w:t>相应记录报送监理人，监理人应签字确认。监理人事后对检查记录有疑问的，可按第5.3.3项〔重新检查〕的约定重新检查。</w:t>
      </w:r>
    </w:p>
    <w:p w14:paraId="46D6F38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5.3.3 重新检查</w:t>
      </w:r>
    </w:p>
    <w:p w14:paraId="3F4A623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23A65A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5.3.4 承包人私自覆盖</w:t>
      </w:r>
    </w:p>
    <w:p w14:paraId="3FD7AE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504F6CE6">
      <w:pPr>
        <w:keepNext/>
        <w:keepLines/>
        <w:spacing w:line="420" w:lineRule="exact"/>
        <w:ind w:firstLine="0" w:firstLineChars="0"/>
        <w:outlineLvl w:val="0"/>
        <w:rPr>
          <w:rFonts w:ascii="宋体" w:hAnsi="宋体" w:cs="宋体"/>
          <w:b/>
          <w:bCs/>
          <w:color w:val="auto"/>
          <w:kern w:val="44"/>
          <w:sz w:val="21"/>
          <w:szCs w:val="21"/>
          <w:highlight w:val="none"/>
        </w:rPr>
      </w:pPr>
      <w:bookmarkStart w:id="293" w:name="_Toc351203536"/>
      <w:bookmarkStart w:id="294" w:name="_Toc478389068"/>
      <w:r>
        <w:rPr>
          <w:rFonts w:hint="eastAsia" w:ascii="宋体" w:hAnsi="宋体" w:cs="宋体"/>
          <w:b/>
          <w:bCs/>
          <w:color w:val="auto"/>
          <w:kern w:val="44"/>
          <w:sz w:val="21"/>
          <w:szCs w:val="21"/>
          <w:highlight w:val="none"/>
        </w:rPr>
        <w:t>5</w:t>
      </w:r>
      <w:bookmarkStart w:id="295" w:name="_Toc337558762"/>
      <w:r>
        <w:rPr>
          <w:rFonts w:hint="eastAsia" w:ascii="宋体" w:hAnsi="宋体" w:cs="宋体"/>
          <w:b/>
          <w:bCs/>
          <w:color w:val="auto"/>
          <w:kern w:val="44"/>
          <w:sz w:val="21"/>
          <w:szCs w:val="21"/>
          <w:highlight w:val="none"/>
        </w:rPr>
        <w:t>.4不合格工程的处理</w:t>
      </w:r>
      <w:bookmarkEnd w:id="293"/>
      <w:bookmarkEnd w:id="294"/>
    </w:p>
    <w:bookmarkEnd w:id="295"/>
    <w:p w14:paraId="121197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5.4.1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47DCFCA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5.4.2因发包人原因造成工程不合格的，由此增加的费用和（或）延误的工期由发包人承担，并支付承包人合理的利润。</w:t>
      </w:r>
    </w:p>
    <w:p w14:paraId="03D67E13">
      <w:pPr>
        <w:keepNext/>
        <w:keepLines/>
        <w:spacing w:line="420" w:lineRule="exact"/>
        <w:ind w:firstLine="0" w:firstLineChars="0"/>
        <w:outlineLvl w:val="0"/>
        <w:rPr>
          <w:rFonts w:ascii="宋体" w:hAnsi="宋体" w:cs="宋体"/>
          <w:b/>
          <w:bCs/>
          <w:color w:val="auto"/>
          <w:kern w:val="44"/>
          <w:sz w:val="21"/>
          <w:szCs w:val="21"/>
          <w:highlight w:val="none"/>
        </w:rPr>
      </w:pPr>
      <w:bookmarkStart w:id="296" w:name="_Toc351203537"/>
      <w:bookmarkStart w:id="297" w:name="_Toc478389069"/>
      <w:r>
        <w:rPr>
          <w:rFonts w:hint="eastAsia" w:ascii="宋体" w:hAnsi="宋体" w:cs="宋体"/>
          <w:b/>
          <w:bCs/>
          <w:color w:val="auto"/>
          <w:kern w:val="44"/>
          <w:sz w:val="21"/>
          <w:szCs w:val="21"/>
          <w:highlight w:val="none"/>
        </w:rPr>
        <w:t>5.5 质量争议检测</w:t>
      </w:r>
      <w:bookmarkEnd w:id="296"/>
      <w:bookmarkEnd w:id="297"/>
    </w:p>
    <w:p w14:paraId="56AF50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合同当事人对工程质量有争议的，由双方协商确定的工程质量检测机构鉴定，由此产生的费用及因此造成的损失，由责任方承担。</w:t>
      </w:r>
    </w:p>
    <w:p w14:paraId="1EB8E7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合同当事人均有责任的，由双方根据其责任分别承担。合同当事人无法达成一致的，按照第4.4款〔商定或确定〕执行。</w:t>
      </w:r>
    </w:p>
    <w:p w14:paraId="369FBE71">
      <w:pPr>
        <w:keepNext/>
        <w:keepLines/>
        <w:spacing w:line="420" w:lineRule="exact"/>
        <w:ind w:firstLine="0" w:firstLineChars="0"/>
        <w:outlineLvl w:val="0"/>
        <w:rPr>
          <w:rFonts w:ascii="宋体" w:hAnsi="宋体" w:cs="宋体"/>
          <w:b/>
          <w:bCs/>
          <w:color w:val="auto"/>
          <w:kern w:val="44"/>
          <w:sz w:val="21"/>
          <w:szCs w:val="21"/>
          <w:highlight w:val="none"/>
        </w:rPr>
      </w:pPr>
      <w:bookmarkStart w:id="298" w:name="_Toc351203538"/>
      <w:bookmarkStart w:id="299" w:name="_Toc478389070"/>
      <w:r>
        <w:rPr>
          <w:rFonts w:hint="eastAsia" w:ascii="宋体" w:hAnsi="宋体" w:cs="宋体"/>
          <w:b/>
          <w:bCs/>
          <w:color w:val="auto"/>
          <w:kern w:val="44"/>
          <w:sz w:val="21"/>
          <w:szCs w:val="21"/>
          <w:highlight w:val="none"/>
        </w:rPr>
        <w:t>6</w:t>
      </w:r>
      <w:bookmarkStart w:id="300" w:name="_Toc337558763"/>
      <w:r>
        <w:rPr>
          <w:rFonts w:hint="eastAsia" w:ascii="宋体" w:hAnsi="宋体" w:cs="宋体"/>
          <w:b/>
          <w:bCs/>
          <w:color w:val="auto"/>
          <w:kern w:val="44"/>
          <w:sz w:val="21"/>
          <w:szCs w:val="21"/>
          <w:highlight w:val="none"/>
        </w:rPr>
        <w:t>. 安全文明施工与环境保护</w:t>
      </w:r>
      <w:bookmarkEnd w:id="298"/>
      <w:bookmarkEnd w:id="299"/>
    </w:p>
    <w:bookmarkEnd w:id="300"/>
    <w:p w14:paraId="2959BB09">
      <w:pPr>
        <w:keepNext/>
        <w:keepLines/>
        <w:spacing w:line="420" w:lineRule="exact"/>
        <w:ind w:firstLine="0" w:firstLineChars="0"/>
        <w:outlineLvl w:val="0"/>
        <w:rPr>
          <w:rFonts w:ascii="宋体" w:hAnsi="宋体" w:cs="宋体"/>
          <w:b/>
          <w:bCs/>
          <w:color w:val="auto"/>
          <w:kern w:val="44"/>
          <w:sz w:val="21"/>
          <w:szCs w:val="21"/>
          <w:highlight w:val="none"/>
        </w:rPr>
      </w:pPr>
      <w:bookmarkStart w:id="301" w:name="_Toc478389071"/>
      <w:bookmarkStart w:id="302" w:name="_Toc351203539"/>
      <w:r>
        <w:rPr>
          <w:rFonts w:hint="eastAsia" w:ascii="宋体" w:hAnsi="宋体" w:cs="宋体"/>
          <w:b/>
          <w:bCs/>
          <w:color w:val="auto"/>
          <w:kern w:val="44"/>
          <w:sz w:val="21"/>
          <w:szCs w:val="21"/>
          <w:highlight w:val="none"/>
        </w:rPr>
        <w:t>6</w:t>
      </w:r>
      <w:bookmarkStart w:id="303" w:name="_Toc337558764"/>
      <w:r>
        <w:rPr>
          <w:rFonts w:hint="eastAsia" w:ascii="宋体" w:hAnsi="宋体" w:cs="宋体"/>
          <w:b/>
          <w:bCs/>
          <w:color w:val="auto"/>
          <w:kern w:val="44"/>
          <w:sz w:val="21"/>
          <w:szCs w:val="21"/>
          <w:highlight w:val="none"/>
        </w:rPr>
        <w:t>.1安全文明施工</w:t>
      </w:r>
      <w:bookmarkEnd w:id="301"/>
      <w:bookmarkEnd w:id="302"/>
    </w:p>
    <w:bookmarkEnd w:id="303"/>
    <w:p w14:paraId="726914C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6.1.1安全生产要求</w:t>
      </w:r>
    </w:p>
    <w:p w14:paraId="444EB4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1A7D60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在施工过程中，如遇到突发的地质变动、事先未知的地下施工障碍等影响施工安全的紧急情况，承包人应及时报告监理人和发包人，发包人应当及时下令停工并报有关行政管理部门采取应急措施。</w:t>
      </w:r>
    </w:p>
    <w:p w14:paraId="56E502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因安全生产需要暂停施工的，按照第7.8款〔暂停施工〕的约定执行。</w:t>
      </w:r>
    </w:p>
    <w:p w14:paraId="2A8CABE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6.1.2 安全生产保证措施</w:t>
      </w:r>
    </w:p>
    <w:p w14:paraId="71AA93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安全监督部门的检查与监督。</w:t>
      </w:r>
    </w:p>
    <w:p w14:paraId="37EC817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6.1.3特别安全生产事项</w:t>
      </w:r>
    </w:p>
    <w:p w14:paraId="073061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承包人应按照法律规定进行施工，开工前做好安全技术交底工作</w:t>
      </w:r>
      <w:r>
        <w:rPr>
          <w:rFonts w:hint="eastAsia" w:ascii="宋体" w:hAnsi="宋体" w:cs="宋体"/>
          <w:color w:val="auto"/>
          <w:sz w:val="21"/>
          <w:szCs w:val="21"/>
          <w:highlight w:val="none"/>
          <w:lang w:eastAsia="zh-CN"/>
        </w:rPr>
        <w:t>，在</w:t>
      </w:r>
      <w:r>
        <w:rPr>
          <w:rFonts w:hint="eastAsia" w:ascii="宋体" w:hAnsi="宋体" w:cs="宋体"/>
          <w:color w:val="auto"/>
          <w:sz w:val="21"/>
          <w:szCs w:val="21"/>
          <w:highlight w:val="none"/>
        </w:rPr>
        <w:t>施工过程中做好各项安全防护措施。承包人为实施合同而雇用的特殊工种的人员应受过专门的培训并已取得有关管理机构颁发的上岗证书。</w:t>
      </w:r>
    </w:p>
    <w:p w14:paraId="6617EF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3F5AD9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B5B49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需单独编制危险性较大分部分项专项工程施工方案的</w:t>
      </w:r>
      <w:r>
        <w:rPr>
          <w:rFonts w:hint="eastAsia" w:ascii="宋体" w:hAnsi="宋体" w:cs="宋体"/>
          <w:color w:val="auto"/>
          <w:sz w:val="21"/>
          <w:szCs w:val="21"/>
          <w:highlight w:val="none"/>
          <w:lang w:eastAsia="zh-CN"/>
        </w:rPr>
        <w:t>，以</w:t>
      </w:r>
      <w:r>
        <w:rPr>
          <w:rFonts w:hint="eastAsia" w:ascii="宋体" w:hAnsi="宋体" w:cs="宋体"/>
          <w:color w:val="auto"/>
          <w:sz w:val="21"/>
          <w:szCs w:val="21"/>
          <w:highlight w:val="none"/>
        </w:rPr>
        <w:t>及要求进行专家论证的超过一定规模的危险性较大的分部分项工程，承包人应及时编制和组织论证。</w:t>
      </w:r>
    </w:p>
    <w:p w14:paraId="181CE2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6.1.4 治安保卫</w:t>
      </w:r>
    </w:p>
    <w:p w14:paraId="27222F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除专用合同条款另有约定外，发包人应与当地公安部门协商，在现场建立治安管理机构或联防组织，统一管理施工场地的治安保卫事项，履行合同工程的治安保卫职责。</w:t>
      </w:r>
    </w:p>
    <w:p w14:paraId="657A0DE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发包人和承包人除应协助现场治安管理机构或联防组织维护施工场地的社会治安外，还应做好包括生活区在内的各自管辖区的治安保卫工作。</w:t>
      </w:r>
    </w:p>
    <w:p w14:paraId="1673FD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报告。发包人和承包人应积极协助当地有关部门采取措施平息事态，防止事态扩大，尽量避免人员伤亡和财产损失。</w:t>
      </w:r>
    </w:p>
    <w:p w14:paraId="7ADF8BF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6.1.5 文明施工</w:t>
      </w:r>
    </w:p>
    <w:p w14:paraId="6D09336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承包人在工程施工期间，应当采取措施保持施工现场平整，物料堆放整齐。工程所在地有关行政管理部门有特殊要求的，按照其要求执行。合同当事人对文明施工有其他要求的，可以在专用合同条款中明确。</w:t>
      </w:r>
    </w:p>
    <w:p w14:paraId="150705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978AF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6.1.6 安全文明施工费</w:t>
      </w:r>
    </w:p>
    <w:p w14:paraId="35EBCEC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安全文明施工费由发包人承担，发包人不得以任何形式扣减该部分费用。因基准日期后合同所适用的法律或有关规定发生变化，增加的安全文明施工费由发包人承担。</w:t>
      </w:r>
    </w:p>
    <w:p w14:paraId="3268CC9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797E63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00BAFA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2037BF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6.1.7 紧急情况处理</w:t>
      </w:r>
    </w:p>
    <w:p w14:paraId="15C957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681FA4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6.1.8 事故处理</w:t>
      </w:r>
    </w:p>
    <w:p w14:paraId="210503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8621B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6.1.9 安全生产责任</w:t>
      </w:r>
    </w:p>
    <w:p w14:paraId="46BE78F2">
      <w:pPr>
        <w:spacing w:line="420" w:lineRule="exact"/>
        <w:ind w:firstLine="420"/>
        <w:outlineLvl w:val="0"/>
        <w:rPr>
          <w:rFonts w:ascii="宋体" w:hAnsi="宋体" w:cs="宋体"/>
          <w:color w:val="auto"/>
          <w:sz w:val="21"/>
          <w:szCs w:val="21"/>
          <w:highlight w:val="none"/>
        </w:rPr>
      </w:pPr>
      <w:bookmarkStart w:id="304" w:name="_Toc478389072"/>
      <w:bookmarkStart w:id="305" w:name="_Toc406522103"/>
      <w:r>
        <w:rPr>
          <w:rFonts w:hint="eastAsia" w:ascii="宋体" w:hAnsi="宋体" w:cs="宋体"/>
          <w:color w:val="auto"/>
          <w:sz w:val="21"/>
          <w:szCs w:val="21"/>
          <w:highlight w:val="none"/>
        </w:rPr>
        <w:t>6.1.9.1 发包人的安全责任</w:t>
      </w:r>
      <w:bookmarkEnd w:id="304"/>
      <w:bookmarkEnd w:id="305"/>
    </w:p>
    <w:p w14:paraId="1432AE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发包人应负责赔偿以下各种情况造成的损失：</w:t>
      </w:r>
    </w:p>
    <w:p w14:paraId="77512BD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（1）工程或工程的任何部分对土地的占用所造成的第三者财产损失；</w:t>
      </w:r>
    </w:p>
    <w:p w14:paraId="000BF7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（2）由于发包人原因在施工场地及其毗邻地带造成的第三者人身伤亡和财产损失；</w:t>
      </w:r>
    </w:p>
    <w:p w14:paraId="6620EB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（3）由于发包人原因对承包人、监理人造成的人员人身伤亡和财产损失；</w:t>
      </w:r>
    </w:p>
    <w:p w14:paraId="180660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（4）由于发包人原因造成的发包人自身人员的人身伤害以及财产损失。</w:t>
      </w:r>
    </w:p>
    <w:p w14:paraId="479D9CC4">
      <w:pPr>
        <w:spacing w:line="420" w:lineRule="exact"/>
        <w:ind w:firstLine="420"/>
        <w:outlineLvl w:val="0"/>
        <w:rPr>
          <w:rFonts w:ascii="宋体" w:hAnsi="宋体" w:cs="宋体"/>
          <w:color w:val="auto"/>
          <w:sz w:val="21"/>
          <w:szCs w:val="21"/>
          <w:highlight w:val="none"/>
        </w:rPr>
      </w:pPr>
      <w:bookmarkStart w:id="306" w:name="_Toc406522104"/>
      <w:bookmarkStart w:id="307" w:name="_Toc478389073"/>
      <w:r>
        <w:rPr>
          <w:rFonts w:hint="eastAsia" w:ascii="宋体" w:hAnsi="宋体" w:cs="宋体"/>
          <w:color w:val="auto"/>
          <w:sz w:val="21"/>
          <w:szCs w:val="21"/>
          <w:highlight w:val="none"/>
        </w:rPr>
        <w:t>6.1.9.2 承包人的安全责任</w:t>
      </w:r>
      <w:bookmarkEnd w:id="306"/>
      <w:bookmarkEnd w:id="307"/>
    </w:p>
    <w:p w14:paraId="0493F0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由于承包人原因在施工场地内及其毗邻地带造成的发包人、监理人以及第三者人员伤亡和财产损失，由承包人负责赔偿。</w:t>
      </w:r>
    </w:p>
    <w:p w14:paraId="3A8FB41B">
      <w:pPr>
        <w:keepNext/>
        <w:keepLines/>
        <w:spacing w:line="420" w:lineRule="exact"/>
        <w:ind w:firstLine="0" w:firstLineChars="0"/>
        <w:outlineLvl w:val="0"/>
        <w:rPr>
          <w:rFonts w:ascii="宋体" w:hAnsi="宋体" w:cs="宋体"/>
          <w:b/>
          <w:bCs/>
          <w:color w:val="auto"/>
          <w:kern w:val="44"/>
          <w:sz w:val="21"/>
          <w:szCs w:val="21"/>
          <w:highlight w:val="none"/>
        </w:rPr>
      </w:pPr>
      <w:bookmarkStart w:id="308" w:name="_Toc351203540"/>
      <w:bookmarkStart w:id="309" w:name="_Toc478389074"/>
      <w:r>
        <w:rPr>
          <w:rFonts w:hint="eastAsia" w:ascii="宋体" w:hAnsi="宋体" w:cs="宋体"/>
          <w:b/>
          <w:bCs/>
          <w:color w:val="auto"/>
          <w:kern w:val="44"/>
          <w:sz w:val="21"/>
          <w:szCs w:val="21"/>
          <w:highlight w:val="none"/>
        </w:rPr>
        <w:t>6</w:t>
      </w:r>
      <w:bookmarkStart w:id="310" w:name="_Toc337558765"/>
      <w:r>
        <w:rPr>
          <w:rFonts w:hint="eastAsia" w:ascii="宋体" w:hAnsi="宋体" w:cs="宋体"/>
          <w:b/>
          <w:bCs/>
          <w:color w:val="auto"/>
          <w:kern w:val="44"/>
          <w:sz w:val="21"/>
          <w:szCs w:val="21"/>
          <w:highlight w:val="none"/>
        </w:rPr>
        <w:t>.2 职业健康</w:t>
      </w:r>
      <w:bookmarkEnd w:id="308"/>
      <w:bookmarkEnd w:id="309"/>
    </w:p>
    <w:bookmarkEnd w:id="310"/>
    <w:p w14:paraId="35FD4620">
      <w:pPr>
        <w:spacing w:line="420" w:lineRule="exact"/>
        <w:ind w:firstLine="420"/>
        <w:outlineLvl w:val="0"/>
        <w:rPr>
          <w:rFonts w:ascii="宋体" w:hAnsi="宋体" w:cs="宋体"/>
          <w:color w:val="auto"/>
          <w:sz w:val="21"/>
          <w:szCs w:val="21"/>
          <w:highlight w:val="none"/>
        </w:rPr>
      </w:pPr>
      <w:bookmarkStart w:id="311" w:name="_Toc478389075"/>
      <w:bookmarkStart w:id="312" w:name="_Toc406522106"/>
      <w:r>
        <w:rPr>
          <w:rFonts w:hint="eastAsia" w:ascii="宋体" w:hAnsi="宋体" w:cs="宋体"/>
          <w:color w:val="auto"/>
          <w:sz w:val="21"/>
          <w:szCs w:val="21"/>
          <w:highlight w:val="none"/>
        </w:rPr>
        <w:t>6.2.1 劳动保护</w:t>
      </w:r>
      <w:bookmarkEnd w:id="311"/>
      <w:bookmarkEnd w:id="312"/>
    </w:p>
    <w:p w14:paraId="50781D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2AFF7D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承包人应按照法律规定保障现场施工人员的劳动安全，并提供劳动保护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678A2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CF7AEE0">
      <w:pPr>
        <w:spacing w:line="420" w:lineRule="exact"/>
        <w:ind w:firstLine="420"/>
        <w:outlineLvl w:val="0"/>
        <w:rPr>
          <w:rFonts w:ascii="宋体" w:hAnsi="宋体" w:cs="宋体"/>
          <w:color w:val="auto"/>
          <w:sz w:val="21"/>
          <w:szCs w:val="21"/>
          <w:highlight w:val="none"/>
        </w:rPr>
      </w:pPr>
      <w:bookmarkStart w:id="313" w:name="_Toc478389076"/>
      <w:bookmarkStart w:id="314" w:name="_Toc406522107"/>
      <w:r>
        <w:rPr>
          <w:rFonts w:hint="eastAsia" w:ascii="宋体" w:hAnsi="宋体" w:cs="宋体"/>
          <w:color w:val="auto"/>
          <w:sz w:val="21"/>
          <w:szCs w:val="21"/>
          <w:highlight w:val="none"/>
        </w:rPr>
        <w:t>6.2.2 生活条件</w:t>
      </w:r>
      <w:bookmarkEnd w:id="313"/>
      <w:bookmarkEnd w:id="314"/>
    </w:p>
    <w:p w14:paraId="44FCC31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在远离城镇的施工场地，还应配备必要的伤病防治和急救的医务人员与医疗设施。</w:t>
      </w:r>
    </w:p>
    <w:p w14:paraId="2FD4D246">
      <w:pPr>
        <w:keepNext/>
        <w:keepLines/>
        <w:spacing w:line="420" w:lineRule="exact"/>
        <w:ind w:firstLine="0" w:firstLineChars="0"/>
        <w:outlineLvl w:val="0"/>
        <w:rPr>
          <w:rFonts w:ascii="宋体" w:hAnsi="宋体" w:cs="宋体"/>
          <w:b/>
          <w:bCs/>
          <w:color w:val="auto"/>
          <w:kern w:val="44"/>
          <w:sz w:val="21"/>
          <w:szCs w:val="21"/>
          <w:highlight w:val="none"/>
        </w:rPr>
      </w:pPr>
      <w:bookmarkStart w:id="315" w:name="_Toc478389077"/>
      <w:bookmarkStart w:id="316" w:name="_Toc351203541"/>
      <w:r>
        <w:rPr>
          <w:rFonts w:hint="eastAsia" w:ascii="宋体" w:hAnsi="宋体" w:cs="宋体"/>
          <w:b/>
          <w:bCs/>
          <w:color w:val="auto"/>
          <w:kern w:val="44"/>
          <w:sz w:val="21"/>
          <w:szCs w:val="21"/>
          <w:highlight w:val="none"/>
        </w:rPr>
        <w:t>6</w:t>
      </w:r>
      <w:bookmarkStart w:id="317" w:name="_Toc337558766"/>
      <w:r>
        <w:rPr>
          <w:rFonts w:hint="eastAsia" w:ascii="宋体" w:hAnsi="宋体" w:cs="宋体"/>
          <w:b/>
          <w:bCs/>
          <w:color w:val="auto"/>
          <w:kern w:val="44"/>
          <w:sz w:val="21"/>
          <w:szCs w:val="21"/>
          <w:highlight w:val="none"/>
        </w:rPr>
        <w:t>.3 环境保护</w:t>
      </w:r>
      <w:bookmarkEnd w:id="315"/>
      <w:bookmarkEnd w:id="316"/>
    </w:p>
    <w:bookmarkEnd w:id="317"/>
    <w:p w14:paraId="1293928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42685F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承包人应当承担因其原因引起的环境污染侵权损害赔偿责任，因上述环境污染引起纠纷而导致暂停施工的，由此增加的费用和（或）延误的工期由承包人承担。</w:t>
      </w:r>
    </w:p>
    <w:p w14:paraId="3919A097">
      <w:pPr>
        <w:keepNext/>
        <w:keepLines/>
        <w:spacing w:line="420" w:lineRule="exact"/>
        <w:ind w:firstLine="0" w:firstLineChars="0"/>
        <w:outlineLvl w:val="0"/>
        <w:rPr>
          <w:rFonts w:ascii="宋体" w:hAnsi="宋体" w:cs="宋体"/>
          <w:b/>
          <w:bCs/>
          <w:color w:val="auto"/>
          <w:kern w:val="44"/>
          <w:sz w:val="21"/>
          <w:szCs w:val="21"/>
          <w:highlight w:val="none"/>
        </w:rPr>
      </w:pPr>
      <w:bookmarkStart w:id="318" w:name="_Toc478389078"/>
      <w:bookmarkStart w:id="319" w:name="_Toc351203542"/>
      <w:r>
        <w:rPr>
          <w:rFonts w:hint="eastAsia" w:ascii="宋体" w:hAnsi="宋体" w:cs="宋体"/>
          <w:b/>
          <w:bCs/>
          <w:color w:val="auto"/>
          <w:kern w:val="44"/>
          <w:sz w:val="21"/>
          <w:szCs w:val="21"/>
          <w:highlight w:val="none"/>
        </w:rPr>
        <w:t>7</w:t>
      </w:r>
      <w:bookmarkStart w:id="320" w:name="_Toc337558767"/>
      <w:r>
        <w:rPr>
          <w:rFonts w:hint="eastAsia" w:ascii="宋体" w:hAnsi="宋体" w:cs="宋体"/>
          <w:b/>
          <w:bCs/>
          <w:color w:val="auto"/>
          <w:kern w:val="44"/>
          <w:sz w:val="21"/>
          <w:szCs w:val="21"/>
          <w:highlight w:val="none"/>
        </w:rPr>
        <w:t>. 工期和进度</w:t>
      </w:r>
      <w:bookmarkEnd w:id="318"/>
      <w:bookmarkEnd w:id="319"/>
    </w:p>
    <w:bookmarkEnd w:id="320"/>
    <w:p w14:paraId="27329201">
      <w:pPr>
        <w:keepNext/>
        <w:keepLines/>
        <w:spacing w:line="420" w:lineRule="exact"/>
        <w:ind w:firstLine="0" w:firstLineChars="0"/>
        <w:outlineLvl w:val="0"/>
        <w:rPr>
          <w:rFonts w:ascii="宋体" w:hAnsi="宋体" w:cs="宋体"/>
          <w:b/>
          <w:bCs/>
          <w:color w:val="auto"/>
          <w:kern w:val="44"/>
          <w:sz w:val="21"/>
          <w:szCs w:val="21"/>
          <w:highlight w:val="none"/>
        </w:rPr>
      </w:pPr>
      <w:bookmarkStart w:id="321" w:name="_Toc351203543"/>
      <w:bookmarkStart w:id="322" w:name="_Toc478389079"/>
      <w:r>
        <w:rPr>
          <w:rFonts w:hint="eastAsia" w:ascii="宋体" w:hAnsi="宋体" w:cs="宋体"/>
          <w:b/>
          <w:bCs/>
          <w:color w:val="auto"/>
          <w:kern w:val="44"/>
          <w:sz w:val="21"/>
          <w:szCs w:val="21"/>
          <w:highlight w:val="none"/>
        </w:rPr>
        <w:t>7</w:t>
      </w:r>
      <w:bookmarkStart w:id="323" w:name="_Toc337558768"/>
      <w:bookmarkStart w:id="324" w:name="_Toc296503066"/>
      <w:bookmarkStart w:id="325" w:name="_Toc296346567"/>
      <w:r>
        <w:rPr>
          <w:rFonts w:hint="eastAsia" w:ascii="宋体" w:hAnsi="宋体" w:cs="宋体"/>
          <w:b/>
          <w:bCs/>
          <w:color w:val="auto"/>
          <w:kern w:val="44"/>
          <w:sz w:val="21"/>
          <w:szCs w:val="21"/>
          <w:highlight w:val="none"/>
        </w:rPr>
        <w:t>.1施工组织设计</w:t>
      </w:r>
      <w:bookmarkEnd w:id="321"/>
      <w:bookmarkEnd w:id="322"/>
    </w:p>
    <w:bookmarkEnd w:id="323"/>
    <w:p w14:paraId="5A17FF56">
      <w:pPr>
        <w:spacing w:line="420" w:lineRule="exact"/>
        <w:ind w:firstLine="420"/>
        <w:outlineLvl w:val="0"/>
        <w:rPr>
          <w:rFonts w:ascii="宋体" w:hAnsi="宋体" w:cs="宋体"/>
          <w:color w:val="auto"/>
          <w:sz w:val="21"/>
          <w:szCs w:val="21"/>
          <w:highlight w:val="none"/>
        </w:rPr>
      </w:pPr>
      <w:bookmarkStart w:id="326" w:name="_Toc478389080"/>
      <w:bookmarkStart w:id="327" w:name="_Toc406522111"/>
      <w:r>
        <w:rPr>
          <w:rFonts w:hint="eastAsia" w:ascii="宋体" w:hAnsi="宋体" w:cs="宋体"/>
          <w:color w:val="auto"/>
          <w:sz w:val="21"/>
          <w:szCs w:val="21"/>
          <w:highlight w:val="none"/>
        </w:rPr>
        <w:t>7.1.1 施工组织设计的内容</w:t>
      </w:r>
      <w:bookmarkEnd w:id="326"/>
      <w:bookmarkEnd w:id="327"/>
    </w:p>
    <w:p w14:paraId="65AB71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施工组织设计应包含以下内容：</w:t>
      </w:r>
    </w:p>
    <w:p w14:paraId="7D26F9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（1）施工方案； </w:t>
      </w:r>
    </w:p>
    <w:p w14:paraId="5B40A1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（2）施工现场平面布置图；</w:t>
      </w:r>
    </w:p>
    <w:p w14:paraId="597592B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（3）施工进度计划和保证措施； </w:t>
      </w:r>
    </w:p>
    <w:p w14:paraId="0E8A91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（4）劳动力及材料供应计划；</w:t>
      </w:r>
    </w:p>
    <w:p w14:paraId="74FFDA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（5）施工机械设备的选用；</w:t>
      </w:r>
    </w:p>
    <w:p w14:paraId="167A6E0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（6）质量保证体系及措施；</w:t>
      </w:r>
    </w:p>
    <w:p w14:paraId="71DBBDC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（7）安全生产、文明施工措施；</w:t>
      </w:r>
    </w:p>
    <w:p w14:paraId="160DA2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（8）环境保护、成本控制措施；</w:t>
      </w:r>
    </w:p>
    <w:p w14:paraId="240E2C9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（9）合同当事人约定的其他内容。</w:t>
      </w:r>
    </w:p>
    <w:p w14:paraId="4ED10687">
      <w:pPr>
        <w:spacing w:line="420" w:lineRule="exact"/>
        <w:ind w:firstLine="420"/>
        <w:outlineLvl w:val="0"/>
        <w:rPr>
          <w:rFonts w:ascii="宋体" w:hAnsi="宋体" w:cs="宋体"/>
          <w:color w:val="auto"/>
          <w:sz w:val="21"/>
          <w:szCs w:val="21"/>
          <w:highlight w:val="none"/>
        </w:rPr>
      </w:pPr>
      <w:bookmarkStart w:id="328" w:name="_Toc478389081"/>
      <w:bookmarkStart w:id="329" w:name="_Toc406522112"/>
      <w:r>
        <w:rPr>
          <w:rFonts w:hint="eastAsia" w:ascii="宋体" w:hAnsi="宋体" w:cs="宋体"/>
          <w:color w:val="auto"/>
          <w:sz w:val="21"/>
          <w:szCs w:val="21"/>
          <w:highlight w:val="none"/>
        </w:rPr>
        <w:t>7.1.2 施工组织设计的提交和修改</w:t>
      </w:r>
      <w:bookmarkEnd w:id="328"/>
      <w:bookmarkEnd w:id="329"/>
    </w:p>
    <w:p w14:paraId="43F43D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w:t>
      </w:r>
      <w:r>
        <w:rPr>
          <w:rFonts w:hint="eastAsia" w:ascii="宋体" w:hAnsi="宋体" w:cs="宋体"/>
          <w:color w:val="auto"/>
          <w:spacing w:val="-4"/>
          <w:sz w:val="21"/>
          <w:szCs w:val="21"/>
          <w:highlight w:val="none"/>
        </w:rPr>
        <w:t>工程实际情况需要修改施工组织设计的，承包人应向发包人和监理人提交修改后的施工组织设计。</w:t>
      </w:r>
    </w:p>
    <w:p w14:paraId="0BF8F2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施工进度计划的编制和修改按照第7.2款〔施工进度计划〕执行。</w:t>
      </w:r>
    </w:p>
    <w:p w14:paraId="68749D89">
      <w:pPr>
        <w:keepNext/>
        <w:keepLines/>
        <w:spacing w:line="420" w:lineRule="exact"/>
        <w:ind w:firstLine="0" w:firstLineChars="0"/>
        <w:outlineLvl w:val="0"/>
        <w:rPr>
          <w:rFonts w:ascii="宋体" w:hAnsi="宋体" w:cs="宋体"/>
          <w:b/>
          <w:bCs/>
          <w:color w:val="auto"/>
          <w:kern w:val="44"/>
          <w:sz w:val="21"/>
          <w:szCs w:val="21"/>
          <w:highlight w:val="none"/>
        </w:rPr>
      </w:pPr>
      <w:bookmarkStart w:id="330" w:name="_Toc478389082"/>
      <w:bookmarkStart w:id="331" w:name="_Toc351203544"/>
      <w:r>
        <w:rPr>
          <w:rFonts w:hint="eastAsia" w:ascii="宋体" w:hAnsi="宋体" w:cs="宋体"/>
          <w:b/>
          <w:bCs/>
          <w:color w:val="auto"/>
          <w:kern w:val="44"/>
          <w:sz w:val="21"/>
          <w:szCs w:val="21"/>
          <w:highlight w:val="none"/>
        </w:rPr>
        <w:t>7</w:t>
      </w:r>
      <w:bookmarkStart w:id="332" w:name="_Toc337558769"/>
      <w:r>
        <w:rPr>
          <w:rFonts w:hint="eastAsia" w:ascii="宋体" w:hAnsi="宋体" w:cs="宋体"/>
          <w:b/>
          <w:bCs/>
          <w:color w:val="auto"/>
          <w:kern w:val="44"/>
          <w:sz w:val="21"/>
          <w:szCs w:val="21"/>
          <w:highlight w:val="none"/>
        </w:rPr>
        <w:t>.2 施工进度计划</w:t>
      </w:r>
      <w:bookmarkEnd w:id="330"/>
      <w:bookmarkEnd w:id="331"/>
    </w:p>
    <w:bookmarkEnd w:id="332"/>
    <w:p w14:paraId="5CCC6C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7.2.1 施工进度计划的编制</w:t>
      </w:r>
    </w:p>
    <w:p w14:paraId="297050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4DA98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7.2.2 施工进度计划的修订</w:t>
      </w:r>
    </w:p>
    <w:p w14:paraId="6115A6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692D306">
      <w:pPr>
        <w:keepNext/>
        <w:keepLines/>
        <w:spacing w:line="420" w:lineRule="exact"/>
        <w:ind w:firstLine="0" w:firstLineChars="0"/>
        <w:outlineLvl w:val="0"/>
        <w:rPr>
          <w:rFonts w:ascii="宋体" w:hAnsi="宋体" w:cs="宋体"/>
          <w:b/>
          <w:bCs/>
          <w:color w:val="auto"/>
          <w:kern w:val="44"/>
          <w:sz w:val="21"/>
          <w:szCs w:val="21"/>
          <w:highlight w:val="none"/>
        </w:rPr>
      </w:pPr>
      <w:bookmarkStart w:id="333" w:name="_Toc478389083"/>
      <w:bookmarkStart w:id="334" w:name="_Toc351203545"/>
      <w:r>
        <w:rPr>
          <w:rFonts w:hint="eastAsia" w:ascii="宋体" w:hAnsi="宋体" w:cs="宋体"/>
          <w:b/>
          <w:bCs/>
          <w:color w:val="auto"/>
          <w:kern w:val="44"/>
          <w:sz w:val="21"/>
          <w:szCs w:val="21"/>
          <w:highlight w:val="none"/>
        </w:rPr>
        <w:t>7</w:t>
      </w:r>
      <w:bookmarkStart w:id="335" w:name="_Toc337558770"/>
      <w:r>
        <w:rPr>
          <w:rFonts w:hint="eastAsia" w:ascii="宋体" w:hAnsi="宋体" w:cs="宋体"/>
          <w:b/>
          <w:bCs/>
          <w:color w:val="auto"/>
          <w:kern w:val="44"/>
          <w:sz w:val="21"/>
          <w:szCs w:val="21"/>
          <w:highlight w:val="none"/>
        </w:rPr>
        <w:t>.3 开工</w:t>
      </w:r>
      <w:bookmarkEnd w:id="333"/>
      <w:bookmarkEnd w:id="334"/>
    </w:p>
    <w:p w14:paraId="19B645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7.3.1 开工准备</w:t>
      </w:r>
    </w:p>
    <w:p w14:paraId="00A475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0424D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除专用合同条款另有约定外，合同当事人应按约定完成开工准备工作。</w:t>
      </w:r>
    </w:p>
    <w:p w14:paraId="4A95AD1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7.3.2 开工通知</w:t>
      </w:r>
    </w:p>
    <w:bookmarkEnd w:id="335"/>
    <w:p w14:paraId="6B1D9F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A6F48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4A31ACCF">
      <w:pPr>
        <w:keepNext/>
        <w:keepLines/>
        <w:spacing w:line="420" w:lineRule="exact"/>
        <w:ind w:firstLine="0" w:firstLineChars="0"/>
        <w:outlineLvl w:val="0"/>
        <w:rPr>
          <w:rFonts w:ascii="宋体" w:hAnsi="宋体" w:cs="宋体"/>
          <w:b/>
          <w:bCs/>
          <w:color w:val="auto"/>
          <w:kern w:val="44"/>
          <w:sz w:val="21"/>
          <w:szCs w:val="21"/>
          <w:highlight w:val="none"/>
        </w:rPr>
      </w:pPr>
      <w:bookmarkStart w:id="336" w:name="_Toc351203546"/>
      <w:bookmarkStart w:id="337" w:name="_Toc478389084"/>
      <w:r>
        <w:rPr>
          <w:rFonts w:hint="eastAsia" w:ascii="宋体" w:hAnsi="宋体" w:cs="宋体"/>
          <w:b/>
          <w:bCs/>
          <w:color w:val="auto"/>
          <w:kern w:val="44"/>
          <w:sz w:val="21"/>
          <w:szCs w:val="21"/>
          <w:highlight w:val="none"/>
        </w:rPr>
        <w:t>7.4测量放线</w:t>
      </w:r>
      <w:bookmarkEnd w:id="336"/>
      <w:bookmarkEnd w:id="337"/>
    </w:p>
    <w:p w14:paraId="6EBF6A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06D25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63BDC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7.4.2承包人负责施工过程中的全部施工测量放线工作，并配置具有相应资质的人员、合格的仪器、设备和其他物品。承包人应矫正工程的位置、标高、尺寸或准线中出现的任何差错，并对工程各部分的定位负责。</w:t>
      </w:r>
    </w:p>
    <w:p w14:paraId="31982D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施工过程中对施工现场内水准点等测量标志物的保护工作由承包人负责。</w:t>
      </w:r>
      <w:bookmarkStart w:id="338" w:name="_Toc351203547"/>
    </w:p>
    <w:p w14:paraId="3604E5E0">
      <w:pPr>
        <w:keepNext/>
        <w:keepLines/>
        <w:spacing w:line="420" w:lineRule="exact"/>
        <w:ind w:firstLine="0" w:firstLineChars="0"/>
        <w:outlineLvl w:val="0"/>
        <w:rPr>
          <w:rFonts w:ascii="宋体" w:hAnsi="宋体" w:cs="宋体"/>
          <w:b/>
          <w:bCs/>
          <w:color w:val="auto"/>
          <w:kern w:val="44"/>
          <w:sz w:val="21"/>
          <w:szCs w:val="21"/>
          <w:highlight w:val="none"/>
        </w:rPr>
      </w:pPr>
      <w:bookmarkStart w:id="339" w:name="_Toc478389085"/>
      <w:r>
        <w:rPr>
          <w:rFonts w:hint="eastAsia" w:ascii="宋体" w:hAnsi="宋体" w:cs="宋体"/>
          <w:b/>
          <w:bCs/>
          <w:color w:val="auto"/>
          <w:kern w:val="44"/>
          <w:sz w:val="21"/>
          <w:szCs w:val="21"/>
          <w:highlight w:val="none"/>
        </w:rPr>
        <w:t>7</w:t>
      </w:r>
      <w:bookmarkEnd w:id="324"/>
      <w:bookmarkEnd w:id="325"/>
      <w:bookmarkStart w:id="340" w:name="_Toc296503073"/>
      <w:bookmarkStart w:id="341" w:name="_Toc337558772"/>
      <w:bookmarkStart w:id="342" w:name="_Toc296346574"/>
      <w:r>
        <w:rPr>
          <w:rFonts w:hint="eastAsia" w:ascii="宋体" w:hAnsi="宋体" w:cs="宋体"/>
          <w:b/>
          <w:bCs/>
          <w:color w:val="auto"/>
          <w:kern w:val="44"/>
          <w:sz w:val="21"/>
          <w:szCs w:val="21"/>
          <w:highlight w:val="none"/>
        </w:rPr>
        <w:t>.5 工期延误</w:t>
      </w:r>
      <w:bookmarkEnd w:id="338"/>
      <w:bookmarkEnd w:id="339"/>
    </w:p>
    <w:bookmarkEnd w:id="340"/>
    <w:bookmarkEnd w:id="341"/>
    <w:bookmarkEnd w:id="342"/>
    <w:p w14:paraId="74F384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7.5.1 因发包人原因导致工期延误</w:t>
      </w:r>
    </w:p>
    <w:p w14:paraId="3D3EC3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在合同履行过程中，因下列情况导致工期延误和（或）费用增加的，由发包人承担由此延误的工期和（或）增加的费用，且发包人应支付承包人合理的利润： </w:t>
      </w:r>
    </w:p>
    <w:p w14:paraId="2BED2B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（1）发包人未能按合同约定提供图纸或所提供图纸不符合合同约定的；</w:t>
      </w:r>
    </w:p>
    <w:p w14:paraId="449CB17C">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（2）</w:t>
      </w:r>
      <w:r>
        <w:rPr>
          <w:rFonts w:hint="eastAsia" w:ascii="宋体" w:hAnsi="宋体" w:cs="宋体"/>
          <w:color w:val="auto"/>
          <w:spacing w:val="-4"/>
          <w:sz w:val="21"/>
          <w:szCs w:val="21"/>
          <w:highlight w:val="none"/>
        </w:rPr>
        <w:t>发包人未能按合同约定提供施工现场、施工条件、基础资料、许可、批准等开工条件的；</w:t>
      </w:r>
    </w:p>
    <w:p w14:paraId="4A51BE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（3）发包人提供的测量基准点、基准线和水准点及其书面资料存在错误或疏漏的；</w:t>
      </w:r>
    </w:p>
    <w:p w14:paraId="3D0F00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（4）发包人未能在计划开工日期之日起7天内同意下达开工通知的；</w:t>
      </w:r>
    </w:p>
    <w:p w14:paraId="038860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（5）发包人未能按合同约定日期支付工程预付款、进度款或竣工结算款的；</w:t>
      </w:r>
    </w:p>
    <w:p w14:paraId="21FC26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（6）监理人未按合同约定发出指示、批准等文件的；</w:t>
      </w:r>
    </w:p>
    <w:p w14:paraId="616700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（7）专用合同条款中约定的其他情形。</w:t>
      </w:r>
    </w:p>
    <w:p w14:paraId="4779889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C7A574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7.5.2 因承包人原因导致工期延误</w:t>
      </w:r>
    </w:p>
    <w:p w14:paraId="1C734F1B">
      <w:pPr>
        <w:spacing w:line="420" w:lineRule="exact"/>
        <w:ind w:firstLine="420"/>
        <w:rPr>
          <w:rFonts w:ascii="宋体" w:hAnsi="宋体" w:cs="宋体"/>
          <w:color w:val="auto"/>
          <w:sz w:val="21"/>
          <w:szCs w:val="21"/>
          <w:highlight w:val="none"/>
        </w:rPr>
      </w:pPr>
      <w:bookmarkStart w:id="343" w:name="_Toc296503076"/>
      <w:bookmarkStart w:id="344" w:name="_Toc296346577"/>
      <w:r>
        <w:rPr>
          <w:rFonts w:hint="eastAsia" w:ascii="宋体" w:hAnsi="宋体" w:cs="宋体"/>
          <w:color w:val="auto"/>
          <w:sz w:val="21"/>
          <w:szCs w:val="21"/>
          <w:highlight w:val="none"/>
        </w:rPr>
        <w:t>因</w:t>
      </w:r>
      <w:bookmarkEnd w:id="343"/>
      <w:bookmarkEnd w:id="344"/>
      <w:r>
        <w:rPr>
          <w:rFonts w:hint="eastAsia" w:ascii="宋体" w:hAnsi="宋体" w:cs="宋体"/>
          <w:color w:val="auto"/>
          <w:sz w:val="21"/>
          <w:szCs w:val="21"/>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0EAE9282">
      <w:pPr>
        <w:keepNext/>
        <w:keepLines/>
        <w:spacing w:line="420" w:lineRule="exact"/>
        <w:ind w:firstLine="0" w:firstLineChars="0"/>
        <w:outlineLvl w:val="0"/>
        <w:rPr>
          <w:rFonts w:ascii="宋体" w:hAnsi="宋体" w:cs="宋体"/>
          <w:b/>
          <w:bCs/>
          <w:color w:val="auto"/>
          <w:kern w:val="44"/>
          <w:sz w:val="21"/>
          <w:szCs w:val="21"/>
          <w:highlight w:val="none"/>
        </w:rPr>
      </w:pPr>
      <w:bookmarkStart w:id="345" w:name="_Toc351203548"/>
      <w:bookmarkStart w:id="346" w:name="_Toc478389086"/>
      <w:r>
        <w:rPr>
          <w:rFonts w:hint="eastAsia" w:ascii="宋体" w:hAnsi="宋体" w:cs="宋体"/>
          <w:b/>
          <w:bCs/>
          <w:color w:val="auto"/>
          <w:kern w:val="44"/>
          <w:sz w:val="21"/>
          <w:szCs w:val="21"/>
          <w:highlight w:val="none"/>
        </w:rPr>
        <w:t>7</w:t>
      </w:r>
      <w:bookmarkStart w:id="347" w:name="_Toc296503074"/>
      <w:bookmarkStart w:id="348" w:name="_Toc337558773"/>
      <w:bookmarkStart w:id="349" w:name="_Toc296346575"/>
      <w:bookmarkStart w:id="350" w:name="_Toc296346578"/>
      <w:bookmarkStart w:id="351" w:name="_Toc296503077"/>
      <w:r>
        <w:rPr>
          <w:rFonts w:hint="eastAsia" w:ascii="宋体" w:hAnsi="宋体" w:cs="宋体"/>
          <w:b/>
          <w:bCs/>
          <w:color w:val="auto"/>
          <w:kern w:val="44"/>
          <w:sz w:val="21"/>
          <w:szCs w:val="21"/>
          <w:highlight w:val="none"/>
        </w:rPr>
        <w:t>.6 不利物质条件</w:t>
      </w:r>
      <w:bookmarkEnd w:id="345"/>
      <w:bookmarkEnd w:id="346"/>
    </w:p>
    <w:bookmarkEnd w:id="347"/>
    <w:bookmarkEnd w:id="348"/>
    <w:bookmarkEnd w:id="349"/>
    <w:p w14:paraId="5A3734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12E90A2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1383638">
      <w:pPr>
        <w:keepNext/>
        <w:keepLines/>
        <w:spacing w:line="420" w:lineRule="exact"/>
        <w:ind w:firstLine="0" w:firstLineChars="0"/>
        <w:outlineLvl w:val="0"/>
        <w:rPr>
          <w:rFonts w:ascii="宋体" w:hAnsi="宋体" w:cs="宋体"/>
          <w:b/>
          <w:bCs/>
          <w:color w:val="auto"/>
          <w:kern w:val="44"/>
          <w:sz w:val="21"/>
          <w:szCs w:val="21"/>
          <w:highlight w:val="none"/>
        </w:rPr>
      </w:pPr>
      <w:bookmarkStart w:id="352" w:name="_Toc351203549"/>
      <w:bookmarkStart w:id="353" w:name="_Toc478389087"/>
      <w:r>
        <w:rPr>
          <w:rFonts w:hint="eastAsia" w:ascii="宋体" w:hAnsi="宋体" w:cs="宋体"/>
          <w:b/>
          <w:bCs/>
          <w:color w:val="auto"/>
          <w:kern w:val="44"/>
          <w:sz w:val="21"/>
          <w:szCs w:val="21"/>
          <w:highlight w:val="none"/>
        </w:rPr>
        <w:t>7</w:t>
      </w:r>
      <w:bookmarkStart w:id="354" w:name="_Toc296503075"/>
      <w:bookmarkStart w:id="355" w:name="_Toc337558774"/>
      <w:bookmarkStart w:id="356" w:name="_Toc296346576"/>
      <w:r>
        <w:rPr>
          <w:rFonts w:hint="eastAsia" w:ascii="宋体" w:hAnsi="宋体" w:cs="宋体"/>
          <w:b/>
          <w:bCs/>
          <w:color w:val="auto"/>
          <w:kern w:val="44"/>
          <w:sz w:val="21"/>
          <w:szCs w:val="21"/>
          <w:highlight w:val="none"/>
        </w:rPr>
        <w:t>.7 异常恶劣的气候条件</w:t>
      </w:r>
      <w:bookmarkEnd w:id="352"/>
      <w:bookmarkEnd w:id="353"/>
    </w:p>
    <w:bookmarkEnd w:id="354"/>
    <w:bookmarkEnd w:id="355"/>
    <w:bookmarkEnd w:id="356"/>
    <w:p w14:paraId="3484BBF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32BC0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357" w:name="_Toc351203550"/>
    </w:p>
    <w:p w14:paraId="207F43CB">
      <w:pPr>
        <w:keepNext/>
        <w:keepLines/>
        <w:spacing w:line="420" w:lineRule="exact"/>
        <w:ind w:firstLine="0" w:firstLineChars="0"/>
        <w:outlineLvl w:val="0"/>
        <w:rPr>
          <w:rFonts w:ascii="宋体" w:hAnsi="宋体" w:cs="宋体"/>
          <w:b/>
          <w:bCs/>
          <w:color w:val="auto"/>
          <w:kern w:val="44"/>
          <w:sz w:val="21"/>
          <w:szCs w:val="21"/>
          <w:highlight w:val="none"/>
        </w:rPr>
      </w:pPr>
      <w:bookmarkStart w:id="358" w:name="_Toc478389088"/>
      <w:r>
        <w:rPr>
          <w:rFonts w:hint="eastAsia" w:ascii="宋体" w:hAnsi="宋体" w:cs="宋体"/>
          <w:b/>
          <w:bCs/>
          <w:color w:val="auto"/>
          <w:kern w:val="44"/>
          <w:sz w:val="21"/>
          <w:szCs w:val="21"/>
          <w:highlight w:val="none"/>
        </w:rPr>
        <w:t>7</w:t>
      </w:r>
      <w:bookmarkStart w:id="359" w:name="_Toc337558775"/>
      <w:r>
        <w:rPr>
          <w:rFonts w:hint="eastAsia" w:ascii="宋体" w:hAnsi="宋体" w:cs="宋体"/>
          <w:b/>
          <w:bCs/>
          <w:color w:val="auto"/>
          <w:kern w:val="44"/>
          <w:sz w:val="21"/>
          <w:szCs w:val="21"/>
          <w:highlight w:val="none"/>
        </w:rPr>
        <w:t>.8 暂停施工</w:t>
      </w:r>
      <w:bookmarkEnd w:id="357"/>
      <w:bookmarkEnd w:id="358"/>
    </w:p>
    <w:bookmarkEnd w:id="350"/>
    <w:bookmarkEnd w:id="351"/>
    <w:bookmarkEnd w:id="359"/>
    <w:p w14:paraId="4D5889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7.8.1发包人原因引起的暂停施工</w:t>
      </w:r>
    </w:p>
    <w:p w14:paraId="589939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因发包人原因引起暂停施工的，监理人经发包人同意后，应及时下达暂停施工指示。情况紧急且监理人未及时下达暂停施工指示的，按照第7.8.4项〔紧急情况下的暂停施工〕执行。</w:t>
      </w:r>
    </w:p>
    <w:p w14:paraId="093BEE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因发包人原因引起的暂停施工，发包人应承担由此增加的费用和（或）延误的工期，并支付承包人合理的利润。</w:t>
      </w:r>
    </w:p>
    <w:p w14:paraId="5B42F6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7.8.2 承包人原因引起的暂停施工</w:t>
      </w:r>
    </w:p>
    <w:p w14:paraId="32F449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60ADE8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7.8.3 指示暂停施工</w:t>
      </w:r>
    </w:p>
    <w:p w14:paraId="0ACD4B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监理人认为有必要时，并经发包人批准后，可向承包人作出暂停施工的指示，承包人应按监理人指示暂停施工。</w:t>
      </w:r>
    </w:p>
    <w:p w14:paraId="00CAB6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7.8.4 紧急情况下的暂停施工</w:t>
      </w:r>
    </w:p>
    <w:p w14:paraId="7BC71CB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0A59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7.8.5 暂停施工后的复工</w:t>
      </w:r>
    </w:p>
    <w:p w14:paraId="0B2197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22B9E0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承包人无故拖延和拒绝复工的，承包人承担由此增加的费用和（或）延误的工期；因发包人原因无法按时复工的，按照第7.5.1项〔因发包人原因导致工期延误〕约定办理。</w:t>
      </w:r>
    </w:p>
    <w:p w14:paraId="4FE45E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7.8.6 暂停施工持续56天以上</w:t>
      </w:r>
    </w:p>
    <w:p w14:paraId="071167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41C1F96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98919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7.8.7 暂停施工期间的工程照管</w:t>
      </w:r>
    </w:p>
    <w:p w14:paraId="2BA977C7">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暂停施工期间，承包人应负责妥善照管工程并提供安全保障，由此增加的费用由责任方承担。</w:t>
      </w:r>
    </w:p>
    <w:p w14:paraId="1F64E6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7.8.8 暂停施工的措施</w:t>
      </w:r>
    </w:p>
    <w:p w14:paraId="7CFB35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暂停施工期间，发包人和承包人均应采取必要的措施确保工程质量及安全，防止因暂停施工扩大损失。</w:t>
      </w:r>
    </w:p>
    <w:p w14:paraId="4C3CE2E6">
      <w:pPr>
        <w:keepNext/>
        <w:keepLines/>
        <w:spacing w:line="420" w:lineRule="exact"/>
        <w:ind w:firstLine="0" w:firstLineChars="0"/>
        <w:outlineLvl w:val="0"/>
        <w:rPr>
          <w:rFonts w:ascii="宋体" w:hAnsi="宋体" w:cs="宋体"/>
          <w:b/>
          <w:bCs/>
          <w:color w:val="auto"/>
          <w:kern w:val="44"/>
          <w:sz w:val="21"/>
          <w:szCs w:val="21"/>
          <w:highlight w:val="none"/>
        </w:rPr>
      </w:pPr>
      <w:bookmarkStart w:id="360" w:name="_Toc351203551"/>
      <w:bookmarkStart w:id="361" w:name="_Toc478389089"/>
      <w:r>
        <w:rPr>
          <w:rFonts w:hint="eastAsia" w:ascii="宋体" w:hAnsi="宋体" w:cs="宋体"/>
          <w:b/>
          <w:bCs/>
          <w:color w:val="auto"/>
          <w:kern w:val="44"/>
          <w:sz w:val="21"/>
          <w:szCs w:val="21"/>
          <w:highlight w:val="none"/>
        </w:rPr>
        <w:t>7.9提前竣工</w:t>
      </w:r>
      <w:bookmarkEnd w:id="360"/>
      <w:bookmarkEnd w:id="361"/>
    </w:p>
    <w:p w14:paraId="56D95E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6C16E9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7.9.2发包人要求承包人提前竣工，或承包人提出提前竣工的建议能够给发包人带来效益的，合同当事人可以在专用合同条款中约定提前竣工的奖励。</w:t>
      </w:r>
    </w:p>
    <w:p w14:paraId="45F8F28B">
      <w:pPr>
        <w:keepNext/>
        <w:keepLines/>
        <w:spacing w:line="420" w:lineRule="exact"/>
        <w:ind w:firstLine="0" w:firstLineChars="0"/>
        <w:outlineLvl w:val="0"/>
        <w:rPr>
          <w:rFonts w:ascii="宋体" w:hAnsi="宋体" w:cs="宋体"/>
          <w:b/>
          <w:bCs/>
          <w:color w:val="auto"/>
          <w:kern w:val="44"/>
          <w:sz w:val="21"/>
          <w:szCs w:val="21"/>
          <w:highlight w:val="none"/>
        </w:rPr>
      </w:pPr>
      <w:bookmarkStart w:id="362" w:name="_Toc351203552"/>
      <w:bookmarkStart w:id="363" w:name="_Toc478389090"/>
      <w:r>
        <w:rPr>
          <w:rFonts w:hint="eastAsia" w:ascii="宋体" w:hAnsi="宋体" w:cs="宋体"/>
          <w:b/>
          <w:bCs/>
          <w:color w:val="auto"/>
          <w:kern w:val="44"/>
          <w:sz w:val="21"/>
          <w:szCs w:val="21"/>
          <w:highlight w:val="none"/>
        </w:rPr>
        <w:t>8</w:t>
      </w:r>
      <w:bookmarkStart w:id="364" w:name="_Toc296503058"/>
      <w:bookmarkStart w:id="365" w:name="_Toc337558776"/>
      <w:bookmarkStart w:id="366" w:name="_Toc296346559"/>
      <w:r>
        <w:rPr>
          <w:rFonts w:hint="eastAsia" w:ascii="宋体" w:hAnsi="宋体" w:cs="宋体"/>
          <w:b/>
          <w:bCs/>
          <w:color w:val="auto"/>
          <w:kern w:val="44"/>
          <w:sz w:val="21"/>
          <w:szCs w:val="21"/>
          <w:highlight w:val="none"/>
        </w:rPr>
        <w:t>. 材料与设备</w:t>
      </w:r>
      <w:bookmarkEnd w:id="362"/>
      <w:bookmarkEnd w:id="363"/>
    </w:p>
    <w:bookmarkEnd w:id="364"/>
    <w:bookmarkEnd w:id="365"/>
    <w:bookmarkEnd w:id="366"/>
    <w:p w14:paraId="7A7D9A94">
      <w:pPr>
        <w:keepNext/>
        <w:keepLines/>
        <w:spacing w:line="420" w:lineRule="exact"/>
        <w:ind w:firstLine="0" w:firstLineChars="0"/>
        <w:outlineLvl w:val="0"/>
        <w:rPr>
          <w:rFonts w:ascii="宋体" w:hAnsi="宋体" w:cs="宋体"/>
          <w:b/>
          <w:bCs/>
          <w:color w:val="auto"/>
          <w:kern w:val="44"/>
          <w:sz w:val="21"/>
          <w:szCs w:val="21"/>
          <w:highlight w:val="none"/>
        </w:rPr>
      </w:pPr>
      <w:bookmarkStart w:id="367" w:name="_Toc351203553"/>
      <w:bookmarkStart w:id="368" w:name="_Toc478389091"/>
      <w:r>
        <w:rPr>
          <w:rFonts w:hint="eastAsia" w:ascii="宋体" w:hAnsi="宋体" w:cs="宋体"/>
          <w:b/>
          <w:bCs/>
          <w:color w:val="auto"/>
          <w:kern w:val="44"/>
          <w:sz w:val="21"/>
          <w:szCs w:val="21"/>
          <w:highlight w:val="none"/>
        </w:rPr>
        <w:t>8</w:t>
      </w:r>
      <w:bookmarkStart w:id="369" w:name="_Toc296503059"/>
      <w:bookmarkStart w:id="370" w:name="_Toc296346560"/>
      <w:bookmarkStart w:id="371" w:name="_Toc337558777"/>
      <w:bookmarkStart w:id="372" w:name="_Toc468936960"/>
      <w:r>
        <w:rPr>
          <w:rFonts w:hint="eastAsia" w:ascii="宋体" w:hAnsi="宋体" w:cs="宋体"/>
          <w:b/>
          <w:bCs/>
          <w:color w:val="auto"/>
          <w:kern w:val="44"/>
          <w:sz w:val="21"/>
          <w:szCs w:val="21"/>
          <w:highlight w:val="none"/>
        </w:rPr>
        <w:t>.1发包人供应材料与工程设备</w:t>
      </w:r>
      <w:bookmarkEnd w:id="367"/>
      <w:bookmarkEnd w:id="368"/>
    </w:p>
    <w:bookmarkEnd w:id="369"/>
    <w:bookmarkEnd w:id="370"/>
    <w:bookmarkEnd w:id="371"/>
    <w:p w14:paraId="3FA029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发包人自行供应材料、工程设备的，应在签订合同时在专用合同条款的附件《发包人供应材料设备一览表》中明确材料、工程设备的品种、规格、型号、数量、单价、质量等级和送达地点。</w:t>
      </w:r>
    </w:p>
    <w:p w14:paraId="7E530F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377CB5D">
      <w:pPr>
        <w:keepNext/>
        <w:keepLines/>
        <w:spacing w:line="420" w:lineRule="exact"/>
        <w:ind w:firstLine="0" w:firstLineChars="0"/>
        <w:outlineLvl w:val="0"/>
        <w:rPr>
          <w:rFonts w:ascii="宋体" w:hAnsi="宋体" w:cs="宋体"/>
          <w:b/>
          <w:bCs/>
          <w:color w:val="auto"/>
          <w:kern w:val="44"/>
          <w:sz w:val="21"/>
          <w:szCs w:val="21"/>
          <w:highlight w:val="none"/>
        </w:rPr>
      </w:pPr>
      <w:bookmarkStart w:id="373" w:name="_Toc351203554"/>
      <w:bookmarkStart w:id="374" w:name="_Toc478389092"/>
      <w:r>
        <w:rPr>
          <w:rFonts w:hint="eastAsia" w:ascii="宋体" w:hAnsi="宋体" w:cs="宋体"/>
          <w:b/>
          <w:bCs/>
          <w:color w:val="auto"/>
          <w:kern w:val="44"/>
          <w:sz w:val="21"/>
          <w:szCs w:val="21"/>
          <w:highlight w:val="none"/>
        </w:rPr>
        <w:t>8</w:t>
      </w:r>
      <w:bookmarkStart w:id="375" w:name="_Toc337558778"/>
      <w:bookmarkStart w:id="376" w:name="_Toc296503060"/>
      <w:bookmarkStart w:id="377" w:name="_Toc296346561"/>
      <w:r>
        <w:rPr>
          <w:rFonts w:hint="eastAsia" w:ascii="宋体" w:hAnsi="宋体" w:cs="宋体"/>
          <w:b/>
          <w:bCs/>
          <w:color w:val="auto"/>
          <w:kern w:val="44"/>
          <w:sz w:val="21"/>
          <w:szCs w:val="21"/>
          <w:highlight w:val="none"/>
        </w:rPr>
        <w:t>.2承包人采购材料与工程设备</w:t>
      </w:r>
      <w:bookmarkEnd w:id="373"/>
      <w:bookmarkEnd w:id="374"/>
    </w:p>
    <w:bookmarkEnd w:id="375"/>
    <w:bookmarkEnd w:id="376"/>
    <w:bookmarkEnd w:id="377"/>
    <w:p w14:paraId="35C184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BF6BB8E">
      <w:pPr>
        <w:keepNext/>
        <w:keepLines/>
        <w:spacing w:line="420" w:lineRule="exact"/>
        <w:ind w:firstLine="0" w:firstLineChars="0"/>
        <w:outlineLvl w:val="0"/>
        <w:rPr>
          <w:rFonts w:ascii="宋体" w:hAnsi="宋体" w:cs="宋体"/>
          <w:b/>
          <w:bCs/>
          <w:color w:val="auto"/>
          <w:kern w:val="44"/>
          <w:sz w:val="21"/>
          <w:szCs w:val="21"/>
          <w:highlight w:val="none"/>
        </w:rPr>
      </w:pPr>
      <w:bookmarkStart w:id="378" w:name="_Toc478389093"/>
      <w:bookmarkStart w:id="379" w:name="_Toc351203555"/>
      <w:r>
        <w:rPr>
          <w:rFonts w:hint="eastAsia" w:ascii="宋体" w:hAnsi="宋体" w:cs="宋体"/>
          <w:b/>
          <w:bCs/>
          <w:color w:val="auto"/>
          <w:kern w:val="44"/>
          <w:sz w:val="21"/>
          <w:szCs w:val="21"/>
          <w:highlight w:val="none"/>
        </w:rPr>
        <w:t>8</w:t>
      </w:r>
      <w:bookmarkStart w:id="380" w:name="_Toc296503061"/>
      <w:bookmarkStart w:id="381" w:name="_Toc337558779"/>
      <w:bookmarkStart w:id="382" w:name="_Toc296346562"/>
      <w:r>
        <w:rPr>
          <w:rFonts w:hint="eastAsia" w:ascii="宋体" w:hAnsi="宋体" w:cs="宋体"/>
          <w:b/>
          <w:bCs/>
          <w:color w:val="auto"/>
          <w:kern w:val="44"/>
          <w:sz w:val="21"/>
          <w:szCs w:val="21"/>
          <w:highlight w:val="none"/>
        </w:rPr>
        <w:t>.3材料与工程设备的接收与拒收</w:t>
      </w:r>
      <w:bookmarkEnd w:id="378"/>
      <w:bookmarkEnd w:id="379"/>
    </w:p>
    <w:bookmarkEnd w:id="380"/>
    <w:bookmarkEnd w:id="381"/>
    <w:bookmarkEnd w:id="382"/>
    <w:p w14:paraId="238621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6BAF1A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发包人提供的材料和工程设备的规格、数量或质量不符合合同约定的，或因发包人原因导致交货日期延误或交货地点变更等情况的，按照第16.1款〔发包人违约〕约定办理。</w:t>
      </w:r>
    </w:p>
    <w:p w14:paraId="379ABF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8.3.2承包人采购的材料和工程设备，应保证产品质量合格，承包人应在材料和工程设备到货前24小时通知监理人检验。承</w:t>
      </w:r>
      <w:bookmarkStart w:id="383" w:name="_Toc250655469"/>
      <w:r>
        <w:rPr>
          <w:rFonts w:hint="eastAsia" w:ascii="宋体" w:hAnsi="宋体" w:cs="宋体"/>
          <w:color w:val="auto"/>
          <w:sz w:val="21"/>
          <w:szCs w:val="21"/>
          <w:highlight w:val="none"/>
        </w:rPr>
        <w:t>包人进行永久设备、材料的制造和生产的，应符合相关质量标准，并向监理人提交材料的样本以及有关资料，并应在使用该材料或工程设备之前获得监理人同意。</w:t>
      </w:r>
      <w:bookmarkEnd w:id="383"/>
      <w:r>
        <w:rPr>
          <w:rFonts w:hint="eastAsia" w:ascii="宋体" w:hAnsi="宋体" w:cs="宋体"/>
          <w:color w:val="auto"/>
          <w:sz w:val="21"/>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46A542D1">
      <w:pPr>
        <w:keepNext/>
        <w:keepLines/>
        <w:spacing w:line="420" w:lineRule="exact"/>
        <w:ind w:firstLine="0" w:firstLineChars="0"/>
        <w:outlineLvl w:val="0"/>
        <w:rPr>
          <w:rFonts w:ascii="宋体" w:hAnsi="宋体" w:cs="宋体"/>
          <w:b/>
          <w:bCs/>
          <w:color w:val="auto"/>
          <w:kern w:val="44"/>
          <w:sz w:val="21"/>
          <w:szCs w:val="21"/>
          <w:highlight w:val="none"/>
        </w:rPr>
      </w:pPr>
      <w:bookmarkStart w:id="384" w:name="_Toc478389094"/>
      <w:bookmarkStart w:id="385" w:name="_Toc351203556"/>
      <w:r>
        <w:rPr>
          <w:rFonts w:hint="eastAsia" w:ascii="宋体" w:hAnsi="宋体" w:cs="宋体"/>
          <w:b/>
          <w:bCs/>
          <w:color w:val="auto"/>
          <w:kern w:val="44"/>
          <w:sz w:val="21"/>
          <w:szCs w:val="21"/>
          <w:highlight w:val="none"/>
        </w:rPr>
        <w:t>8</w:t>
      </w:r>
      <w:bookmarkStart w:id="386" w:name="_Toc296503062"/>
      <w:bookmarkStart w:id="387" w:name="_Toc337558780"/>
      <w:bookmarkStart w:id="388" w:name="_Toc296346563"/>
      <w:r>
        <w:rPr>
          <w:rFonts w:hint="eastAsia" w:ascii="宋体" w:hAnsi="宋体" w:cs="宋体"/>
          <w:b/>
          <w:bCs/>
          <w:color w:val="auto"/>
          <w:kern w:val="44"/>
          <w:sz w:val="21"/>
          <w:szCs w:val="21"/>
          <w:highlight w:val="none"/>
        </w:rPr>
        <w:t>.4材料与工程设备的保管与使用</w:t>
      </w:r>
      <w:bookmarkEnd w:id="384"/>
      <w:bookmarkEnd w:id="385"/>
    </w:p>
    <w:bookmarkEnd w:id="386"/>
    <w:bookmarkEnd w:id="387"/>
    <w:bookmarkEnd w:id="388"/>
    <w:p w14:paraId="4D01367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8.4.1 发包人供应材料与工程设备的保管与使用</w:t>
      </w:r>
    </w:p>
    <w:p w14:paraId="4293A5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52F256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发包人供应的材料和工程设备使用前，由承包人负责检验，检验费用由发包人承担，不合格的不得使用。</w:t>
      </w:r>
    </w:p>
    <w:p w14:paraId="6CB9F5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8.4.2 承包人采购材料与工程设备的保管与使用</w:t>
      </w:r>
    </w:p>
    <w:p w14:paraId="35119B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F742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发包人或监理人发现承包人使用不符合设计或有关标准要求的材料和工程设备时，有权要求承包人进行修复、拆除或重新采购，由此增加的费用和（或）延误的工期，由承包人承担。</w:t>
      </w:r>
    </w:p>
    <w:p w14:paraId="258C1A93">
      <w:pPr>
        <w:keepNext/>
        <w:keepLines/>
        <w:spacing w:line="420" w:lineRule="exact"/>
        <w:ind w:firstLine="0" w:firstLineChars="0"/>
        <w:outlineLvl w:val="0"/>
        <w:rPr>
          <w:rFonts w:ascii="宋体" w:hAnsi="宋体" w:cs="宋体"/>
          <w:b/>
          <w:bCs/>
          <w:color w:val="auto"/>
          <w:kern w:val="44"/>
          <w:sz w:val="21"/>
          <w:szCs w:val="21"/>
          <w:highlight w:val="none"/>
        </w:rPr>
      </w:pPr>
      <w:bookmarkStart w:id="389" w:name="_Toc478389095"/>
      <w:bookmarkStart w:id="390" w:name="_Toc351203557"/>
      <w:r>
        <w:rPr>
          <w:rFonts w:hint="eastAsia" w:ascii="宋体" w:hAnsi="宋体" w:cs="宋体"/>
          <w:b/>
          <w:bCs/>
          <w:color w:val="auto"/>
          <w:kern w:val="44"/>
          <w:sz w:val="21"/>
          <w:szCs w:val="21"/>
          <w:highlight w:val="none"/>
        </w:rPr>
        <w:t>8.5禁止使用不合格的材料和工程设备</w:t>
      </w:r>
      <w:bookmarkEnd w:id="389"/>
      <w:bookmarkEnd w:id="390"/>
    </w:p>
    <w:p w14:paraId="0AE43845">
      <w:pPr>
        <w:snapToGrid w:val="0"/>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8.5.1监理人有权拒绝承包人提供的不合格材料或工程设备，并要求承包人立即进行更换。监理人应在更换后再次进行检查和检验，由此增加的费用和（或）延误的工期由承包人承担。</w:t>
      </w:r>
    </w:p>
    <w:p w14:paraId="704F71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8.5.2监理人发现承包人使用了不合格的材料和工程设备，承包人应按照监理人的指示立即改正，并禁止在工程中继续使用不合格的材料和工程设备。</w:t>
      </w:r>
    </w:p>
    <w:p w14:paraId="32CBC5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8.5.3发包人提供的材料或工程设备不符合合同要求的，承包人有权拒绝，并可要求发包人更换，由此增加的费用和（或）延误的工期由发包人承担，并支付承包人合理的利润。</w:t>
      </w:r>
    </w:p>
    <w:p w14:paraId="4E7482E4">
      <w:pPr>
        <w:keepNext/>
        <w:keepLines/>
        <w:spacing w:line="420" w:lineRule="exact"/>
        <w:ind w:firstLine="0" w:firstLineChars="0"/>
        <w:outlineLvl w:val="0"/>
        <w:rPr>
          <w:rFonts w:ascii="宋体" w:hAnsi="宋体" w:cs="宋体"/>
          <w:b/>
          <w:bCs/>
          <w:color w:val="auto"/>
          <w:kern w:val="44"/>
          <w:sz w:val="21"/>
          <w:szCs w:val="21"/>
          <w:highlight w:val="none"/>
        </w:rPr>
      </w:pPr>
      <w:bookmarkStart w:id="391" w:name="_Toc478389096"/>
      <w:bookmarkStart w:id="392" w:name="_Toc351203558"/>
      <w:r>
        <w:rPr>
          <w:rFonts w:hint="eastAsia" w:ascii="宋体" w:hAnsi="宋体" w:cs="宋体"/>
          <w:b/>
          <w:bCs/>
          <w:color w:val="auto"/>
          <w:kern w:val="44"/>
          <w:sz w:val="21"/>
          <w:szCs w:val="21"/>
          <w:highlight w:val="none"/>
        </w:rPr>
        <w:t>8.6 样品</w:t>
      </w:r>
      <w:bookmarkEnd w:id="391"/>
      <w:bookmarkEnd w:id="392"/>
    </w:p>
    <w:p w14:paraId="66CE395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8.6.1样品的报送与封存</w:t>
      </w:r>
    </w:p>
    <w:p w14:paraId="107AE0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需要承包人报送样品的材料或工程设备，样品的种类、名称、规格、数量等要求均应在专用合同条款中约定。样品的报送程序如下：</w:t>
      </w:r>
    </w:p>
    <w:p w14:paraId="5515A1E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39F0CE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（2）承包人每次报送样品时应随附申报单，申报单应载明报送样品的相关数据和资料，并标明每件样品对应的图纸号，预留监理人批复意见栏。监理人应在收到承包人报送的样品后7</w:t>
      </w:r>
      <w:r>
        <w:rPr>
          <w:rFonts w:hint="eastAsia" w:ascii="宋体" w:hAnsi="宋体" w:cs="宋体"/>
          <w:color w:val="auto"/>
          <w:sz w:val="21"/>
          <w:szCs w:val="21"/>
          <w:highlight w:val="none"/>
          <w:lang w:eastAsia="zh-CN"/>
        </w:rPr>
        <w:t>天内</w:t>
      </w:r>
      <w:r>
        <w:rPr>
          <w:rFonts w:hint="eastAsia" w:ascii="宋体" w:hAnsi="宋体" w:cs="宋体"/>
          <w:color w:val="auto"/>
          <w:sz w:val="21"/>
          <w:szCs w:val="21"/>
          <w:highlight w:val="none"/>
        </w:rPr>
        <w:t>向承包人回复经发包人签认的样品审批意见。</w:t>
      </w:r>
    </w:p>
    <w:p w14:paraId="66308A1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（3）经发包人和监理人审批确认的样品应按约定的方法封样，封存的样品作为检验工程相关部分的标准之一。承包人在施工过程中不得使用与样品不符的材料或工程设备。</w:t>
      </w:r>
    </w:p>
    <w:p w14:paraId="6F2EFE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（4）发包人和监理人对样品的审批确认仅为确认相关材料或工程设备的特征或用途，不得被理解为对合同的修改或改变，也并不减轻或免除承包人</w:t>
      </w:r>
      <w:r>
        <w:rPr>
          <w:rFonts w:hint="eastAsia" w:ascii="宋体" w:hAnsi="宋体" w:cs="宋体"/>
          <w:color w:val="auto"/>
          <w:sz w:val="21"/>
          <w:szCs w:val="21"/>
          <w:highlight w:val="none"/>
          <w:lang w:eastAsia="zh-CN"/>
        </w:rPr>
        <w:t>任何</w:t>
      </w:r>
      <w:r>
        <w:rPr>
          <w:rFonts w:hint="eastAsia" w:ascii="宋体" w:hAnsi="宋体" w:cs="宋体"/>
          <w:color w:val="auto"/>
          <w:sz w:val="21"/>
          <w:szCs w:val="21"/>
          <w:highlight w:val="none"/>
        </w:rPr>
        <w:t>责任和义务。如果封存的样品修改或改变了合同约定，合同当事人应当以书面协议予以确认。</w:t>
      </w:r>
    </w:p>
    <w:p w14:paraId="78F7CB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8.6.2 样品的保管</w:t>
      </w:r>
    </w:p>
    <w:p w14:paraId="555921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经批准的样品应由监理人负责封存于现场，承包人应在现场为保存样品提供适当和固定的场所并保持适当和良好的存储环境条件。</w:t>
      </w:r>
    </w:p>
    <w:p w14:paraId="57557A23">
      <w:pPr>
        <w:keepNext/>
        <w:keepLines/>
        <w:spacing w:line="420" w:lineRule="exact"/>
        <w:ind w:firstLine="0" w:firstLineChars="0"/>
        <w:outlineLvl w:val="0"/>
        <w:rPr>
          <w:rFonts w:ascii="宋体" w:hAnsi="宋体" w:cs="宋体"/>
          <w:b/>
          <w:bCs/>
          <w:color w:val="auto"/>
          <w:kern w:val="44"/>
          <w:sz w:val="21"/>
          <w:szCs w:val="21"/>
          <w:highlight w:val="none"/>
        </w:rPr>
      </w:pPr>
      <w:bookmarkStart w:id="393" w:name="_Toc478389097"/>
      <w:bookmarkStart w:id="394" w:name="_Toc351203559"/>
      <w:r>
        <w:rPr>
          <w:rFonts w:hint="eastAsia" w:ascii="宋体" w:hAnsi="宋体" w:cs="宋体"/>
          <w:b/>
          <w:bCs/>
          <w:color w:val="auto"/>
          <w:kern w:val="44"/>
          <w:sz w:val="21"/>
          <w:szCs w:val="21"/>
          <w:highlight w:val="none"/>
        </w:rPr>
        <w:t>8.7材料与工程设备的替代</w:t>
      </w:r>
      <w:bookmarkEnd w:id="393"/>
      <w:bookmarkEnd w:id="394"/>
    </w:p>
    <w:p w14:paraId="053B7413">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8.7.1</w:t>
      </w:r>
      <w:r>
        <w:rPr>
          <w:rFonts w:hint="eastAsia" w:ascii="宋体" w:hAnsi="宋体" w:cs="宋体"/>
          <w:color w:val="auto"/>
          <w:spacing w:val="-4"/>
          <w:sz w:val="21"/>
          <w:szCs w:val="21"/>
          <w:highlight w:val="none"/>
        </w:rPr>
        <w:t>出现下列情况需要使用替代材料和工程设备的，承包人应按照第8.7.2项约定的程序执行：</w:t>
      </w:r>
    </w:p>
    <w:p w14:paraId="54E0AAD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（1）基准日期后生效的法律规定禁止使用的；</w:t>
      </w:r>
    </w:p>
    <w:p w14:paraId="4A06947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（2）发包人要求使用替代品的；</w:t>
      </w:r>
    </w:p>
    <w:p w14:paraId="797B0A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（3）因其他原因必须使用替代品的。</w:t>
      </w:r>
    </w:p>
    <w:p w14:paraId="004046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8.7.2 承包人应在使用替代材料和工程设备28天前书面通知监理人，并附下列文件：</w:t>
      </w:r>
    </w:p>
    <w:p w14:paraId="3CDD13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（1）被替代的材料和工程设备的名称、数量、规格、型号、品牌、性能、价格及其他相关资料；</w:t>
      </w:r>
    </w:p>
    <w:p w14:paraId="084AE3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（2）替代品的名称、数量、规格、型号、品牌、性能、价格及其他相关资料；</w:t>
      </w:r>
    </w:p>
    <w:p w14:paraId="3C0568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（3）替代品与被替代产品之间的差异以及使用替代品可能对工程产生的影响；</w:t>
      </w:r>
    </w:p>
    <w:p w14:paraId="36851F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（4）替代品与被替代产品的价格差异；</w:t>
      </w:r>
    </w:p>
    <w:p w14:paraId="2C1B36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（5）使用替代品的理由和原因说明；</w:t>
      </w:r>
    </w:p>
    <w:p w14:paraId="2AF89D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（6）监理人要求的其他文件。</w:t>
      </w:r>
    </w:p>
    <w:p w14:paraId="1EC302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监理人应在收到通知后14天内向承包人发出经发包人签认的书面指示；监理人逾期发出书面指示的，视为发包人和监理人同意使用替代品。</w:t>
      </w:r>
    </w:p>
    <w:p w14:paraId="3A3CFAC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06D68DA">
      <w:pPr>
        <w:keepNext/>
        <w:keepLines/>
        <w:spacing w:line="420" w:lineRule="exact"/>
        <w:ind w:firstLine="0" w:firstLineChars="0"/>
        <w:outlineLvl w:val="0"/>
        <w:rPr>
          <w:rFonts w:ascii="宋体" w:hAnsi="宋体" w:cs="宋体"/>
          <w:b/>
          <w:bCs/>
          <w:color w:val="auto"/>
          <w:kern w:val="44"/>
          <w:sz w:val="21"/>
          <w:szCs w:val="21"/>
          <w:highlight w:val="none"/>
        </w:rPr>
      </w:pPr>
      <w:bookmarkStart w:id="395" w:name="_Toc478389098"/>
      <w:bookmarkStart w:id="396" w:name="_Toc351203560"/>
      <w:r>
        <w:rPr>
          <w:rFonts w:hint="eastAsia" w:ascii="宋体" w:hAnsi="宋体" w:cs="宋体"/>
          <w:b/>
          <w:bCs/>
          <w:color w:val="auto"/>
          <w:kern w:val="44"/>
          <w:sz w:val="21"/>
          <w:szCs w:val="21"/>
          <w:highlight w:val="none"/>
        </w:rPr>
        <w:t>8.8施工设备和临时设施</w:t>
      </w:r>
      <w:bookmarkEnd w:id="395"/>
      <w:bookmarkEnd w:id="396"/>
    </w:p>
    <w:p w14:paraId="105C54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8.8.1 承包人提供的施工设备和临时设施</w:t>
      </w:r>
    </w:p>
    <w:p w14:paraId="412C369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583848A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除专用合同条款另有约定外，承包人应自行承担修建临时设施的费用，需要临时占地的，应由发包人办理申请手续并承担相应费用。</w:t>
      </w:r>
    </w:p>
    <w:p w14:paraId="024909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8.8.2发包人提供的施工设备和临时设施</w:t>
      </w:r>
    </w:p>
    <w:p w14:paraId="470479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发包人提供的施工设备或临时设施在专用合同条款中约定。</w:t>
      </w:r>
    </w:p>
    <w:p w14:paraId="11A4CD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8.8.3要求承包人增加或更换施工设备</w:t>
      </w:r>
    </w:p>
    <w:p w14:paraId="7A7445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59895185">
      <w:pPr>
        <w:keepNext/>
        <w:keepLines/>
        <w:spacing w:line="420" w:lineRule="exact"/>
        <w:ind w:firstLine="0" w:firstLineChars="0"/>
        <w:outlineLvl w:val="0"/>
        <w:rPr>
          <w:rFonts w:ascii="宋体" w:hAnsi="宋体" w:cs="宋体"/>
          <w:b/>
          <w:bCs/>
          <w:color w:val="auto"/>
          <w:kern w:val="44"/>
          <w:sz w:val="21"/>
          <w:szCs w:val="21"/>
          <w:highlight w:val="none"/>
        </w:rPr>
      </w:pPr>
      <w:bookmarkStart w:id="397" w:name="_Toc351203561"/>
      <w:bookmarkStart w:id="398" w:name="_Toc478389099"/>
      <w:r>
        <w:rPr>
          <w:rFonts w:hint="eastAsia" w:ascii="宋体" w:hAnsi="宋体" w:cs="宋体"/>
          <w:b/>
          <w:bCs/>
          <w:color w:val="auto"/>
          <w:kern w:val="44"/>
          <w:sz w:val="21"/>
          <w:szCs w:val="21"/>
          <w:highlight w:val="none"/>
        </w:rPr>
        <w:t>8</w:t>
      </w:r>
      <w:bookmarkStart w:id="399" w:name="_Toc337558781"/>
      <w:bookmarkStart w:id="400" w:name="_Toc296503063"/>
      <w:bookmarkStart w:id="401" w:name="_Toc296346564"/>
      <w:r>
        <w:rPr>
          <w:rFonts w:hint="eastAsia" w:ascii="宋体" w:hAnsi="宋体" w:cs="宋体"/>
          <w:b/>
          <w:bCs/>
          <w:color w:val="auto"/>
          <w:kern w:val="44"/>
          <w:sz w:val="21"/>
          <w:szCs w:val="21"/>
          <w:highlight w:val="none"/>
        </w:rPr>
        <w:t>.9材料与设备专用</w:t>
      </w:r>
      <w:bookmarkEnd w:id="397"/>
      <w:r>
        <w:rPr>
          <w:rFonts w:hint="eastAsia" w:ascii="宋体" w:hAnsi="宋体" w:cs="宋体"/>
          <w:b/>
          <w:bCs/>
          <w:color w:val="auto"/>
          <w:kern w:val="44"/>
          <w:sz w:val="21"/>
          <w:szCs w:val="21"/>
          <w:highlight w:val="none"/>
        </w:rPr>
        <w:t>要求</w:t>
      </w:r>
      <w:bookmarkEnd w:id="398"/>
    </w:p>
    <w:bookmarkEnd w:id="399"/>
    <w:bookmarkEnd w:id="400"/>
    <w:bookmarkEnd w:id="401"/>
    <w:p w14:paraId="040940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372"/>
      <w:r>
        <w:rPr>
          <w:rFonts w:hint="eastAsia" w:ascii="宋体" w:hAnsi="宋体" w:cs="宋体"/>
          <w:color w:val="auto"/>
          <w:sz w:val="21"/>
          <w:szCs w:val="21"/>
          <w:highlight w:val="none"/>
        </w:rPr>
        <w:t>经发包人批准，承包人可以根据施工进度计划撤走闲置的施工设备和其他物品。</w:t>
      </w:r>
    </w:p>
    <w:p w14:paraId="72097D07">
      <w:pPr>
        <w:keepNext/>
        <w:keepLines/>
        <w:spacing w:line="420" w:lineRule="exact"/>
        <w:ind w:firstLine="0" w:firstLineChars="0"/>
        <w:outlineLvl w:val="0"/>
        <w:rPr>
          <w:rFonts w:ascii="宋体" w:hAnsi="宋体" w:cs="宋体"/>
          <w:b/>
          <w:bCs/>
          <w:color w:val="auto"/>
          <w:kern w:val="44"/>
          <w:sz w:val="21"/>
          <w:szCs w:val="21"/>
          <w:highlight w:val="none"/>
        </w:rPr>
      </w:pPr>
      <w:bookmarkStart w:id="402" w:name="_Toc351203562"/>
      <w:bookmarkStart w:id="403" w:name="_Toc478389100"/>
      <w:r>
        <w:rPr>
          <w:rFonts w:hint="eastAsia" w:ascii="宋体" w:hAnsi="宋体" w:cs="宋体"/>
          <w:b/>
          <w:bCs/>
          <w:color w:val="auto"/>
          <w:kern w:val="44"/>
          <w:sz w:val="21"/>
          <w:szCs w:val="21"/>
          <w:highlight w:val="none"/>
        </w:rPr>
        <w:t>9</w:t>
      </w:r>
      <w:bookmarkStart w:id="404" w:name="_Toc337558782"/>
      <w:bookmarkStart w:id="405" w:name="_Toc296503083"/>
      <w:bookmarkStart w:id="406" w:name="_Toc296346584"/>
      <w:r>
        <w:rPr>
          <w:rFonts w:hint="eastAsia" w:ascii="宋体" w:hAnsi="宋体" w:cs="宋体"/>
          <w:b/>
          <w:bCs/>
          <w:color w:val="auto"/>
          <w:kern w:val="44"/>
          <w:sz w:val="21"/>
          <w:szCs w:val="21"/>
          <w:highlight w:val="none"/>
        </w:rPr>
        <w:t>. 试验与检验</w:t>
      </w:r>
      <w:bookmarkEnd w:id="402"/>
      <w:bookmarkEnd w:id="403"/>
    </w:p>
    <w:bookmarkEnd w:id="404"/>
    <w:p w14:paraId="710E5839">
      <w:pPr>
        <w:keepNext/>
        <w:keepLines/>
        <w:spacing w:line="420" w:lineRule="exact"/>
        <w:ind w:firstLine="0" w:firstLineChars="0"/>
        <w:outlineLvl w:val="0"/>
        <w:rPr>
          <w:rFonts w:ascii="宋体" w:hAnsi="宋体" w:cs="宋体"/>
          <w:b/>
          <w:bCs/>
          <w:color w:val="auto"/>
          <w:kern w:val="44"/>
          <w:sz w:val="21"/>
          <w:szCs w:val="21"/>
          <w:highlight w:val="none"/>
        </w:rPr>
      </w:pPr>
      <w:bookmarkStart w:id="407" w:name="_Toc478389101"/>
      <w:bookmarkStart w:id="408" w:name="_Toc351203563"/>
      <w:r>
        <w:rPr>
          <w:rFonts w:hint="eastAsia" w:ascii="宋体" w:hAnsi="宋体" w:cs="宋体"/>
          <w:b/>
          <w:bCs/>
          <w:color w:val="auto"/>
          <w:kern w:val="44"/>
          <w:sz w:val="21"/>
          <w:szCs w:val="21"/>
          <w:highlight w:val="none"/>
        </w:rPr>
        <w:t>9</w:t>
      </w:r>
      <w:bookmarkStart w:id="409" w:name="_Toc337558783"/>
      <w:r>
        <w:rPr>
          <w:rFonts w:hint="eastAsia" w:ascii="宋体" w:hAnsi="宋体" w:cs="宋体"/>
          <w:b/>
          <w:bCs/>
          <w:color w:val="auto"/>
          <w:kern w:val="44"/>
          <w:sz w:val="21"/>
          <w:szCs w:val="21"/>
          <w:highlight w:val="none"/>
        </w:rPr>
        <w:t>.1试验设备与试验人员</w:t>
      </w:r>
      <w:bookmarkEnd w:id="407"/>
      <w:bookmarkEnd w:id="408"/>
    </w:p>
    <w:bookmarkEnd w:id="409"/>
    <w:p w14:paraId="4E5B65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341E9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9.1.2承包人应按专用合同条款的约定提供试验设备、取样装置、试验场所和试验条件，并向监理人提交相应进场计划表。</w:t>
      </w:r>
    </w:p>
    <w:p w14:paraId="32B59A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承包人配置的试验设备要符合相应试验规程的要求并经过具有资质的检测单位检测，且在正式使用该试验设备前，需要经过监理人与承包人共同校定。</w:t>
      </w:r>
    </w:p>
    <w:p w14:paraId="7BE98B5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9.1.3承包人应向监理人提交试验人员的名单及其岗位、资格等证明资料，试验人员必须能够熟练进行相应的检测试验，承包人对试验人员的试验程序和试验结果的正确性负责。</w:t>
      </w:r>
    </w:p>
    <w:p w14:paraId="49936943">
      <w:pPr>
        <w:keepNext/>
        <w:keepLines/>
        <w:spacing w:line="420" w:lineRule="exact"/>
        <w:ind w:firstLine="0" w:firstLineChars="0"/>
        <w:outlineLvl w:val="0"/>
        <w:rPr>
          <w:rFonts w:ascii="宋体" w:hAnsi="宋体" w:cs="宋体"/>
          <w:b/>
          <w:bCs/>
          <w:color w:val="auto"/>
          <w:kern w:val="44"/>
          <w:sz w:val="21"/>
          <w:szCs w:val="21"/>
          <w:highlight w:val="none"/>
        </w:rPr>
      </w:pPr>
      <w:bookmarkStart w:id="410" w:name="_Toc478389102"/>
      <w:bookmarkStart w:id="411" w:name="_Toc351203564"/>
      <w:r>
        <w:rPr>
          <w:rFonts w:hint="eastAsia" w:ascii="宋体" w:hAnsi="宋体" w:cs="宋体"/>
          <w:b/>
          <w:bCs/>
          <w:color w:val="auto"/>
          <w:kern w:val="44"/>
          <w:sz w:val="21"/>
          <w:szCs w:val="21"/>
          <w:highlight w:val="none"/>
        </w:rPr>
        <w:t>9</w:t>
      </w:r>
      <w:bookmarkStart w:id="412" w:name="_Toc337558784"/>
      <w:r>
        <w:rPr>
          <w:rFonts w:hint="eastAsia" w:ascii="宋体" w:hAnsi="宋体" w:cs="宋体"/>
          <w:b/>
          <w:bCs/>
          <w:color w:val="auto"/>
          <w:kern w:val="44"/>
          <w:sz w:val="21"/>
          <w:szCs w:val="21"/>
          <w:highlight w:val="none"/>
        </w:rPr>
        <w:t>.2取样</w:t>
      </w:r>
      <w:bookmarkEnd w:id="410"/>
      <w:bookmarkEnd w:id="411"/>
    </w:p>
    <w:bookmarkEnd w:id="412"/>
    <w:p w14:paraId="373A15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试验属于自检性质的，承包人可以单独取样。试验属于监理人抽检性质的，可由监理人取样，也可由承包人的试验人员在监理人的监督下取样。</w:t>
      </w:r>
    </w:p>
    <w:p w14:paraId="4A56662C">
      <w:pPr>
        <w:keepNext/>
        <w:keepLines/>
        <w:spacing w:line="420" w:lineRule="exact"/>
        <w:ind w:firstLine="0" w:firstLineChars="0"/>
        <w:outlineLvl w:val="0"/>
        <w:rPr>
          <w:rFonts w:ascii="宋体" w:hAnsi="宋体" w:cs="宋体"/>
          <w:b/>
          <w:bCs/>
          <w:color w:val="auto"/>
          <w:kern w:val="44"/>
          <w:sz w:val="21"/>
          <w:szCs w:val="21"/>
          <w:highlight w:val="none"/>
        </w:rPr>
      </w:pPr>
      <w:bookmarkStart w:id="413" w:name="_Toc351203565"/>
      <w:bookmarkStart w:id="414" w:name="_Toc478389103"/>
      <w:r>
        <w:rPr>
          <w:rFonts w:hint="eastAsia" w:ascii="宋体" w:hAnsi="宋体" w:cs="宋体"/>
          <w:b/>
          <w:bCs/>
          <w:color w:val="auto"/>
          <w:kern w:val="44"/>
          <w:sz w:val="21"/>
          <w:szCs w:val="21"/>
          <w:highlight w:val="none"/>
        </w:rPr>
        <w:t>9</w:t>
      </w:r>
      <w:bookmarkStart w:id="415" w:name="_Toc337558785"/>
      <w:r>
        <w:rPr>
          <w:rFonts w:hint="eastAsia" w:ascii="宋体" w:hAnsi="宋体" w:cs="宋体"/>
          <w:b/>
          <w:bCs/>
          <w:color w:val="auto"/>
          <w:kern w:val="44"/>
          <w:sz w:val="21"/>
          <w:szCs w:val="21"/>
          <w:highlight w:val="none"/>
        </w:rPr>
        <w:t>.3材料、工程设备和工程的试验和检验</w:t>
      </w:r>
      <w:bookmarkEnd w:id="413"/>
      <w:bookmarkEnd w:id="414"/>
    </w:p>
    <w:bookmarkEnd w:id="415"/>
    <w:p w14:paraId="6F9A8E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748BA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3147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99B193F">
      <w:pPr>
        <w:keepNext/>
        <w:keepLines/>
        <w:spacing w:line="420" w:lineRule="exact"/>
        <w:ind w:firstLine="0" w:firstLineChars="0"/>
        <w:outlineLvl w:val="0"/>
        <w:rPr>
          <w:rFonts w:ascii="宋体" w:hAnsi="宋体" w:cs="宋体"/>
          <w:b/>
          <w:bCs/>
          <w:color w:val="auto"/>
          <w:kern w:val="44"/>
          <w:sz w:val="21"/>
          <w:szCs w:val="21"/>
          <w:highlight w:val="none"/>
        </w:rPr>
      </w:pPr>
      <w:bookmarkStart w:id="416" w:name="_Toc478389104"/>
      <w:bookmarkStart w:id="417" w:name="_Toc351203566"/>
      <w:r>
        <w:rPr>
          <w:rFonts w:hint="eastAsia" w:ascii="宋体" w:hAnsi="宋体" w:cs="宋体"/>
          <w:b/>
          <w:bCs/>
          <w:color w:val="auto"/>
          <w:kern w:val="44"/>
          <w:sz w:val="21"/>
          <w:szCs w:val="21"/>
          <w:highlight w:val="none"/>
        </w:rPr>
        <w:t>9</w:t>
      </w:r>
      <w:bookmarkStart w:id="418" w:name="_Toc337558786"/>
      <w:r>
        <w:rPr>
          <w:rFonts w:hint="eastAsia" w:ascii="宋体" w:hAnsi="宋体" w:cs="宋体"/>
          <w:b/>
          <w:bCs/>
          <w:color w:val="auto"/>
          <w:kern w:val="44"/>
          <w:sz w:val="21"/>
          <w:szCs w:val="21"/>
          <w:highlight w:val="none"/>
        </w:rPr>
        <w:t>.4现场工艺试验</w:t>
      </w:r>
      <w:bookmarkEnd w:id="416"/>
      <w:bookmarkEnd w:id="417"/>
    </w:p>
    <w:bookmarkEnd w:id="418"/>
    <w:p w14:paraId="7E2467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14:paraId="5592E791">
      <w:pPr>
        <w:keepNext/>
        <w:keepLines/>
        <w:spacing w:line="420" w:lineRule="exact"/>
        <w:ind w:firstLine="0" w:firstLineChars="0"/>
        <w:outlineLvl w:val="0"/>
        <w:rPr>
          <w:rFonts w:ascii="宋体" w:hAnsi="宋体" w:cs="宋体"/>
          <w:b/>
          <w:bCs/>
          <w:color w:val="auto"/>
          <w:kern w:val="44"/>
          <w:sz w:val="21"/>
          <w:szCs w:val="21"/>
          <w:highlight w:val="none"/>
        </w:rPr>
      </w:pPr>
      <w:bookmarkStart w:id="419" w:name="_Toc478389105"/>
      <w:bookmarkStart w:id="420" w:name="_Toc351203567"/>
      <w:r>
        <w:rPr>
          <w:rFonts w:hint="eastAsia" w:ascii="宋体" w:hAnsi="宋体" w:cs="宋体"/>
          <w:b/>
          <w:bCs/>
          <w:color w:val="auto"/>
          <w:kern w:val="44"/>
          <w:sz w:val="21"/>
          <w:szCs w:val="21"/>
          <w:highlight w:val="none"/>
        </w:rPr>
        <w:t>1</w:t>
      </w:r>
      <w:bookmarkStart w:id="421" w:name="_Toc337558787"/>
      <w:r>
        <w:rPr>
          <w:rFonts w:hint="eastAsia" w:ascii="宋体" w:hAnsi="宋体" w:cs="宋体"/>
          <w:b/>
          <w:bCs/>
          <w:color w:val="auto"/>
          <w:kern w:val="44"/>
          <w:sz w:val="21"/>
          <w:szCs w:val="21"/>
          <w:highlight w:val="none"/>
        </w:rPr>
        <w:t>0. 变更</w:t>
      </w:r>
      <w:bookmarkEnd w:id="405"/>
      <w:bookmarkEnd w:id="406"/>
      <w:bookmarkEnd w:id="419"/>
      <w:bookmarkEnd w:id="420"/>
    </w:p>
    <w:bookmarkEnd w:id="421"/>
    <w:p w14:paraId="7FCA9132">
      <w:pPr>
        <w:keepNext/>
        <w:keepLines/>
        <w:spacing w:line="420" w:lineRule="exact"/>
        <w:ind w:firstLine="0" w:firstLineChars="0"/>
        <w:outlineLvl w:val="0"/>
        <w:rPr>
          <w:rFonts w:ascii="宋体" w:hAnsi="宋体" w:cs="宋体"/>
          <w:b/>
          <w:bCs/>
          <w:color w:val="auto"/>
          <w:kern w:val="44"/>
          <w:sz w:val="21"/>
          <w:szCs w:val="21"/>
          <w:highlight w:val="none"/>
        </w:rPr>
      </w:pPr>
      <w:bookmarkStart w:id="422" w:name="_Toc478389106"/>
      <w:bookmarkStart w:id="423" w:name="_Toc351203568"/>
      <w:r>
        <w:rPr>
          <w:rFonts w:hint="eastAsia" w:ascii="宋体" w:hAnsi="宋体" w:cs="宋体"/>
          <w:b/>
          <w:bCs/>
          <w:color w:val="auto"/>
          <w:kern w:val="44"/>
          <w:sz w:val="21"/>
          <w:szCs w:val="21"/>
          <w:highlight w:val="none"/>
        </w:rPr>
        <w:t>1</w:t>
      </w:r>
      <w:bookmarkStart w:id="424" w:name="_Toc296503084"/>
      <w:bookmarkStart w:id="425" w:name="_Toc337558788"/>
      <w:bookmarkStart w:id="426" w:name="_Toc296346585"/>
      <w:r>
        <w:rPr>
          <w:rFonts w:hint="eastAsia" w:ascii="宋体" w:hAnsi="宋体" w:cs="宋体"/>
          <w:b/>
          <w:bCs/>
          <w:color w:val="auto"/>
          <w:kern w:val="44"/>
          <w:sz w:val="21"/>
          <w:szCs w:val="21"/>
          <w:highlight w:val="none"/>
        </w:rPr>
        <w:t>0.1变更的范围</w:t>
      </w:r>
      <w:bookmarkEnd w:id="422"/>
      <w:bookmarkEnd w:id="423"/>
    </w:p>
    <w:bookmarkEnd w:id="424"/>
    <w:bookmarkEnd w:id="425"/>
    <w:bookmarkEnd w:id="426"/>
    <w:p w14:paraId="19311E1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除专用合同条款另有约定外，合同履行过程中发生以下情形的，应按照本条约定进行变更：</w:t>
      </w:r>
    </w:p>
    <w:p w14:paraId="0C5CBD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（1）增加或减少合同中任何工作，或追加额外的工作；</w:t>
      </w:r>
    </w:p>
    <w:p w14:paraId="5CEC88C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（2）取消合同中任何工作，但转由他人实施的工作除外；</w:t>
      </w:r>
    </w:p>
    <w:p w14:paraId="7947E4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（3）改变合同中任何工作的质量标准或其他特性；</w:t>
      </w:r>
    </w:p>
    <w:p w14:paraId="560F40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（4）改变工程的基线、标高、位置和尺寸；</w:t>
      </w:r>
    </w:p>
    <w:p w14:paraId="222B8F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（5）改变工程的时间安排或实施顺序。</w:t>
      </w:r>
    </w:p>
    <w:p w14:paraId="7C264EE5">
      <w:pPr>
        <w:keepNext/>
        <w:keepLines/>
        <w:spacing w:line="420" w:lineRule="exact"/>
        <w:ind w:firstLine="0" w:firstLineChars="0"/>
        <w:outlineLvl w:val="0"/>
        <w:rPr>
          <w:rFonts w:ascii="宋体" w:hAnsi="宋体" w:cs="宋体"/>
          <w:b/>
          <w:bCs/>
          <w:color w:val="auto"/>
          <w:kern w:val="44"/>
          <w:sz w:val="21"/>
          <w:szCs w:val="21"/>
          <w:highlight w:val="none"/>
        </w:rPr>
      </w:pPr>
      <w:bookmarkStart w:id="427" w:name="_Toc351203569"/>
      <w:bookmarkStart w:id="428" w:name="_Toc478389107"/>
      <w:r>
        <w:rPr>
          <w:rFonts w:hint="eastAsia" w:ascii="宋体" w:hAnsi="宋体" w:cs="宋体"/>
          <w:b/>
          <w:bCs/>
          <w:color w:val="auto"/>
          <w:kern w:val="44"/>
          <w:sz w:val="21"/>
          <w:szCs w:val="21"/>
          <w:highlight w:val="none"/>
        </w:rPr>
        <w:t>1</w:t>
      </w:r>
      <w:bookmarkStart w:id="429" w:name="_Toc296503085"/>
      <w:bookmarkStart w:id="430" w:name="_Toc337558789"/>
      <w:bookmarkStart w:id="431" w:name="_Toc296346586"/>
      <w:r>
        <w:rPr>
          <w:rFonts w:hint="eastAsia" w:ascii="宋体" w:hAnsi="宋体" w:cs="宋体"/>
          <w:b/>
          <w:bCs/>
          <w:color w:val="auto"/>
          <w:kern w:val="44"/>
          <w:sz w:val="21"/>
          <w:szCs w:val="21"/>
          <w:highlight w:val="none"/>
        </w:rPr>
        <w:t>0.2变更权</w:t>
      </w:r>
      <w:bookmarkEnd w:id="427"/>
      <w:bookmarkEnd w:id="428"/>
    </w:p>
    <w:bookmarkEnd w:id="429"/>
    <w:bookmarkEnd w:id="430"/>
    <w:bookmarkEnd w:id="431"/>
    <w:p w14:paraId="64ADAF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620D2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涉及设计变更的，应由设计人提供变更后的图纸和说明。如变更超过原设计标准或批准的建设规模时，发包人应及时办理规划、设计变更等审批手续。</w:t>
      </w:r>
    </w:p>
    <w:p w14:paraId="642E9CE4">
      <w:pPr>
        <w:keepNext/>
        <w:keepLines/>
        <w:spacing w:line="420" w:lineRule="exact"/>
        <w:ind w:firstLine="0" w:firstLineChars="0"/>
        <w:outlineLvl w:val="0"/>
        <w:rPr>
          <w:rFonts w:ascii="宋体" w:hAnsi="宋体" w:cs="宋体"/>
          <w:b/>
          <w:bCs/>
          <w:color w:val="auto"/>
          <w:kern w:val="44"/>
          <w:sz w:val="21"/>
          <w:szCs w:val="21"/>
          <w:highlight w:val="none"/>
        </w:rPr>
      </w:pPr>
      <w:bookmarkStart w:id="432" w:name="_Toc478389108"/>
      <w:bookmarkStart w:id="433" w:name="_Toc351203570"/>
      <w:r>
        <w:rPr>
          <w:rFonts w:hint="eastAsia" w:ascii="宋体" w:hAnsi="宋体" w:cs="宋体"/>
          <w:b/>
          <w:bCs/>
          <w:color w:val="auto"/>
          <w:kern w:val="44"/>
          <w:sz w:val="21"/>
          <w:szCs w:val="21"/>
          <w:highlight w:val="none"/>
        </w:rPr>
        <w:t>1</w:t>
      </w:r>
      <w:bookmarkStart w:id="434" w:name="_Toc296346587"/>
      <w:bookmarkStart w:id="435" w:name="_Toc296503086"/>
      <w:bookmarkStart w:id="436" w:name="_Toc337558790"/>
      <w:r>
        <w:rPr>
          <w:rFonts w:hint="eastAsia" w:ascii="宋体" w:hAnsi="宋体" w:cs="宋体"/>
          <w:b/>
          <w:bCs/>
          <w:color w:val="auto"/>
          <w:kern w:val="44"/>
          <w:sz w:val="21"/>
          <w:szCs w:val="21"/>
          <w:highlight w:val="none"/>
        </w:rPr>
        <w:t>0.3变更程序</w:t>
      </w:r>
      <w:bookmarkEnd w:id="432"/>
      <w:bookmarkEnd w:id="433"/>
    </w:p>
    <w:bookmarkEnd w:id="434"/>
    <w:bookmarkEnd w:id="435"/>
    <w:bookmarkEnd w:id="436"/>
    <w:p w14:paraId="6B45C7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10.3.1 发包人提出变更</w:t>
      </w:r>
    </w:p>
    <w:p w14:paraId="6EF5BA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发包人提出变更的，应通过监理人向承包人发出变更指示，变更指示应说明计划变更的工程范围和变更的内容。</w:t>
      </w:r>
    </w:p>
    <w:p w14:paraId="641399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10.3.2 监理人提出变更建议</w:t>
      </w:r>
    </w:p>
    <w:p w14:paraId="5EF403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23A6D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10.3.3 变更执行</w:t>
      </w:r>
    </w:p>
    <w:p w14:paraId="268D89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1EE2663A">
      <w:pPr>
        <w:keepNext/>
        <w:keepLines/>
        <w:spacing w:line="420" w:lineRule="exact"/>
        <w:ind w:firstLine="0" w:firstLineChars="0"/>
        <w:outlineLvl w:val="0"/>
        <w:rPr>
          <w:rFonts w:ascii="宋体" w:hAnsi="宋体" w:cs="宋体"/>
          <w:b/>
          <w:bCs/>
          <w:color w:val="auto"/>
          <w:kern w:val="44"/>
          <w:sz w:val="21"/>
          <w:szCs w:val="21"/>
          <w:highlight w:val="none"/>
        </w:rPr>
      </w:pPr>
      <w:bookmarkStart w:id="437" w:name="_Toc478389109"/>
      <w:bookmarkStart w:id="438" w:name="_Toc351203571"/>
      <w:r>
        <w:rPr>
          <w:rFonts w:hint="eastAsia" w:ascii="宋体" w:hAnsi="宋体" w:cs="宋体"/>
          <w:b/>
          <w:bCs/>
          <w:color w:val="auto"/>
          <w:kern w:val="44"/>
          <w:sz w:val="21"/>
          <w:szCs w:val="21"/>
          <w:highlight w:val="none"/>
        </w:rPr>
        <w:t>1</w:t>
      </w:r>
      <w:bookmarkStart w:id="439" w:name="_Toc337558791"/>
      <w:bookmarkStart w:id="440" w:name="_Toc296503087"/>
      <w:bookmarkStart w:id="441" w:name="_Toc296346588"/>
      <w:r>
        <w:rPr>
          <w:rFonts w:hint="eastAsia" w:ascii="宋体" w:hAnsi="宋体" w:cs="宋体"/>
          <w:b/>
          <w:bCs/>
          <w:color w:val="auto"/>
          <w:kern w:val="44"/>
          <w:sz w:val="21"/>
          <w:szCs w:val="21"/>
          <w:highlight w:val="none"/>
        </w:rPr>
        <w:t>0.4变更估价</w:t>
      </w:r>
      <w:bookmarkEnd w:id="437"/>
      <w:bookmarkEnd w:id="438"/>
    </w:p>
    <w:bookmarkEnd w:id="439"/>
    <w:bookmarkEnd w:id="440"/>
    <w:bookmarkEnd w:id="441"/>
    <w:p w14:paraId="6E7872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10.4.1 变更估价原则</w:t>
      </w:r>
    </w:p>
    <w:p w14:paraId="1DCF36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除专用合同条款另有约定外，变更估价按照本款约定处理：</w:t>
      </w:r>
    </w:p>
    <w:p w14:paraId="316BD8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（1）已标价工程量清单或预算书有相同项目的，按照相同项目单价认定；</w:t>
      </w:r>
    </w:p>
    <w:p w14:paraId="116E98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（2）已标价工程量清单或预算书中无相同项目，但有类似项目的，参照类似项目的单价认定；</w:t>
      </w:r>
    </w:p>
    <w:p w14:paraId="5ACCFAC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04BD71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10.4.2 变更估价程序</w:t>
      </w:r>
    </w:p>
    <w:p w14:paraId="72A5A6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7F74C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因变更引起的价格调整应计入最近一期的进度款中支付。</w:t>
      </w:r>
    </w:p>
    <w:p w14:paraId="45466EEE">
      <w:pPr>
        <w:keepNext/>
        <w:keepLines/>
        <w:spacing w:line="420" w:lineRule="exact"/>
        <w:ind w:firstLine="0" w:firstLineChars="0"/>
        <w:outlineLvl w:val="0"/>
        <w:rPr>
          <w:rFonts w:ascii="宋体" w:hAnsi="宋体" w:cs="宋体"/>
          <w:b/>
          <w:bCs/>
          <w:color w:val="auto"/>
          <w:kern w:val="44"/>
          <w:sz w:val="21"/>
          <w:szCs w:val="21"/>
          <w:highlight w:val="none"/>
        </w:rPr>
      </w:pPr>
      <w:bookmarkStart w:id="442" w:name="_Toc351203572"/>
      <w:bookmarkStart w:id="443" w:name="_Toc478389110"/>
      <w:r>
        <w:rPr>
          <w:rFonts w:hint="eastAsia" w:ascii="宋体" w:hAnsi="宋体" w:cs="宋体"/>
          <w:b/>
          <w:bCs/>
          <w:color w:val="auto"/>
          <w:kern w:val="44"/>
          <w:sz w:val="21"/>
          <w:szCs w:val="21"/>
          <w:highlight w:val="none"/>
        </w:rPr>
        <w:t>1</w:t>
      </w:r>
      <w:bookmarkStart w:id="444" w:name="_Toc296503094"/>
      <w:bookmarkStart w:id="445" w:name="_Toc296346595"/>
      <w:bookmarkStart w:id="446" w:name="_Toc337558792"/>
      <w:r>
        <w:rPr>
          <w:rFonts w:hint="eastAsia" w:ascii="宋体" w:hAnsi="宋体" w:cs="宋体"/>
          <w:b/>
          <w:bCs/>
          <w:color w:val="auto"/>
          <w:kern w:val="44"/>
          <w:sz w:val="21"/>
          <w:szCs w:val="21"/>
          <w:highlight w:val="none"/>
        </w:rPr>
        <w:t>0.5承包人的合理化建议</w:t>
      </w:r>
      <w:bookmarkEnd w:id="442"/>
      <w:bookmarkEnd w:id="443"/>
    </w:p>
    <w:bookmarkEnd w:id="444"/>
    <w:bookmarkEnd w:id="445"/>
    <w:bookmarkEnd w:id="446"/>
    <w:p w14:paraId="3A1A7C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承包人提出合理化建议的，应向监理人提交合理化建议说明，说明建议的内容和理由，以及实施该建议对合同价格和工期的影响。</w:t>
      </w:r>
    </w:p>
    <w:p w14:paraId="252BC9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1BE33E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合理化建议降低了合同价格或者提高了工程经济效益的，发包人可对承包人给予奖励，奖励的方法和金额在专用合同条款中约定。</w:t>
      </w:r>
    </w:p>
    <w:p w14:paraId="77F27D63">
      <w:pPr>
        <w:keepNext/>
        <w:keepLines/>
        <w:spacing w:line="420" w:lineRule="exact"/>
        <w:ind w:firstLine="0" w:firstLineChars="0"/>
        <w:outlineLvl w:val="0"/>
        <w:rPr>
          <w:rFonts w:ascii="宋体" w:hAnsi="宋体" w:cs="宋体"/>
          <w:b/>
          <w:bCs/>
          <w:color w:val="auto"/>
          <w:kern w:val="44"/>
          <w:sz w:val="21"/>
          <w:szCs w:val="21"/>
          <w:highlight w:val="none"/>
        </w:rPr>
      </w:pPr>
      <w:bookmarkStart w:id="447" w:name="_Toc478389111"/>
      <w:bookmarkStart w:id="448" w:name="_Toc351203573"/>
      <w:r>
        <w:rPr>
          <w:rFonts w:hint="eastAsia" w:ascii="宋体" w:hAnsi="宋体" w:cs="宋体"/>
          <w:b/>
          <w:bCs/>
          <w:color w:val="auto"/>
          <w:kern w:val="44"/>
          <w:sz w:val="21"/>
          <w:szCs w:val="21"/>
          <w:highlight w:val="none"/>
        </w:rPr>
        <w:t>1</w:t>
      </w:r>
      <w:bookmarkStart w:id="449" w:name="_Toc337558793"/>
      <w:r>
        <w:rPr>
          <w:rFonts w:hint="eastAsia" w:ascii="宋体" w:hAnsi="宋体" w:cs="宋体"/>
          <w:b/>
          <w:bCs/>
          <w:color w:val="auto"/>
          <w:kern w:val="44"/>
          <w:sz w:val="21"/>
          <w:szCs w:val="21"/>
          <w:highlight w:val="none"/>
        </w:rPr>
        <w:t>0.6变更引起的工期调整</w:t>
      </w:r>
      <w:bookmarkEnd w:id="447"/>
      <w:bookmarkEnd w:id="448"/>
      <w:bookmarkEnd w:id="449"/>
    </w:p>
    <w:p w14:paraId="2CC137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因变更引起工期变化的，合同当事人均可要求调整合同工期，由合同当事人按照第4.4款〔商定或确定〕并参考工程所在地的工期定额标准确定增减工期天数。</w:t>
      </w:r>
    </w:p>
    <w:p w14:paraId="0B67D48B">
      <w:pPr>
        <w:keepNext/>
        <w:keepLines/>
        <w:spacing w:line="420" w:lineRule="exact"/>
        <w:ind w:firstLine="0" w:firstLineChars="0"/>
        <w:outlineLvl w:val="0"/>
        <w:rPr>
          <w:rFonts w:ascii="宋体" w:hAnsi="宋体" w:cs="宋体"/>
          <w:b/>
          <w:bCs/>
          <w:color w:val="auto"/>
          <w:kern w:val="44"/>
          <w:sz w:val="21"/>
          <w:szCs w:val="21"/>
          <w:highlight w:val="none"/>
        </w:rPr>
      </w:pPr>
      <w:bookmarkStart w:id="450" w:name="_Toc351203574"/>
      <w:bookmarkStart w:id="451" w:name="_Toc478389112"/>
      <w:r>
        <w:rPr>
          <w:rFonts w:hint="eastAsia" w:ascii="宋体" w:hAnsi="宋体" w:cs="宋体"/>
          <w:b/>
          <w:bCs/>
          <w:color w:val="auto"/>
          <w:kern w:val="44"/>
          <w:sz w:val="21"/>
          <w:szCs w:val="21"/>
          <w:highlight w:val="none"/>
        </w:rPr>
        <w:t>10.7暂估价</w:t>
      </w:r>
      <w:bookmarkEnd w:id="450"/>
      <w:bookmarkEnd w:id="451"/>
    </w:p>
    <w:p w14:paraId="29518E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暂估价专业分包工程、服务、材料和工程设备的明细由合同当事人在专用合同条款中约定。</w:t>
      </w:r>
    </w:p>
    <w:p w14:paraId="38CCBD1F">
      <w:pPr>
        <w:spacing w:line="420" w:lineRule="exact"/>
        <w:ind w:firstLine="420"/>
        <w:outlineLvl w:val="0"/>
        <w:rPr>
          <w:rFonts w:ascii="宋体" w:hAnsi="宋体" w:cs="宋体"/>
          <w:color w:val="auto"/>
          <w:sz w:val="21"/>
          <w:szCs w:val="21"/>
          <w:highlight w:val="none"/>
        </w:rPr>
      </w:pPr>
      <w:bookmarkStart w:id="452" w:name="_Toc478389113"/>
      <w:r>
        <w:rPr>
          <w:rFonts w:hint="eastAsia" w:ascii="宋体" w:hAnsi="宋体" w:cs="宋体"/>
          <w:color w:val="auto"/>
          <w:sz w:val="21"/>
          <w:szCs w:val="21"/>
          <w:highlight w:val="none"/>
        </w:rPr>
        <w:t>10.7.1 依法必须招标的暂估价项目</w:t>
      </w:r>
      <w:bookmarkEnd w:id="452"/>
    </w:p>
    <w:p w14:paraId="21801A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对于依法必须招标的暂估价项目，采取以下第1种方式确定。合同当事人也可以在专用合同条款中选择其他招标方式。</w:t>
      </w:r>
    </w:p>
    <w:p w14:paraId="4A9835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第1种方式：对于依法必须招标的暂估价项目，由承包人招标，对该暂估价项目的确认和批准按照以下约定执行：</w:t>
      </w:r>
    </w:p>
    <w:p w14:paraId="4C52D86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214580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当根据施工进度计划，提前14天将采购文件通过监理人报送发包人审批，发包人应当在收到承包人报送的相关文件后7天内完成审批或提出修改意见；发包人有权确定最高投标限价并按照法律规定参加评标；</w:t>
      </w:r>
    </w:p>
    <w:p w14:paraId="026448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与供应商、分包人在签订暂估价合同前，应当提前7天将确定的成交候选人或成交候选分包人的资料报送发包人，发包人应在收到资料后3天内与承包人共同确定成交人；承包人应当在签订合同后7天内，将暂估价合同副本报送发包人留存。</w:t>
      </w:r>
    </w:p>
    <w:p w14:paraId="5C38707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成交人后，由发包人、承包人与成交人共同签订暂估价合同。</w:t>
      </w:r>
    </w:p>
    <w:p w14:paraId="7C3EB7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10.7.2不属于依法必须招标的暂估价项目</w:t>
      </w:r>
    </w:p>
    <w:p w14:paraId="0D1C5F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除专用合同条款另有约定外，对于不属于依法必须招标的暂估价项目，采取以下第1种方式确定： </w:t>
      </w:r>
    </w:p>
    <w:p w14:paraId="14754E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第1种方式：对于不属于依法必须招标的暂估价项目，按本项约定确认和批准：</w:t>
      </w:r>
    </w:p>
    <w:p w14:paraId="734F8E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E1EC1A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（2）发包人认为承包人确定的供应商、分包人无法满足工程质量或合同要求的，发包人可以要求承包人重新确定暂估价项目的供应商、分包人</w:t>
      </w:r>
      <w:r>
        <w:rPr>
          <w:rFonts w:hint="eastAsia" w:ascii="宋体" w:hAnsi="宋体" w:cs="宋体"/>
          <w:color w:val="auto"/>
          <w:sz w:val="21"/>
          <w:szCs w:val="21"/>
          <w:highlight w:val="none"/>
          <w:lang w:eastAsia="zh-CN"/>
        </w:rPr>
        <w:t>；</w:t>
      </w:r>
    </w:p>
    <w:p w14:paraId="0CF8DC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（3）承包人应当在签订暂估价合同后7天内，将暂估价合同副本报送发包人留存。</w:t>
      </w:r>
    </w:p>
    <w:p w14:paraId="4240F4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第2种方式：承包人按照第10.7.1项〔依法必须招标的暂估价项目〕约定的第1种方式确定暂估价项目。</w:t>
      </w:r>
    </w:p>
    <w:p w14:paraId="50E707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第3种方式：承包人直接实施的暂估价项目</w:t>
      </w:r>
    </w:p>
    <w:p w14:paraId="4A26F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承包人具备实施暂估价项目的资格和条件的，经发包人和承包人协商一致后，可由承包人自行实施暂估价项目，合同当事人可以在专用合同条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约定具体事项。</w:t>
      </w:r>
    </w:p>
    <w:p w14:paraId="54964A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24A8795D">
      <w:pPr>
        <w:keepNext/>
        <w:keepLines/>
        <w:spacing w:line="420" w:lineRule="exact"/>
        <w:ind w:firstLine="0" w:firstLineChars="0"/>
        <w:outlineLvl w:val="0"/>
        <w:rPr>
          <w:rFonts w:ascii="宋体" w:hAnsi="宋体" w:cs="宋体"/>
          <w:b/>
          <w:bCs/>
          <w:color w:val="auto"/>
          <w:kern w:val="44"/>
          <w:sz w:val="21"/>
          <w:szCs w:val="21"/>
          <w:highlight w:val="none"/>
        </w:rPr>
      </w:pPr>
      <w:bookmarkStart w:id="453" w:name="_Toc478389114"/>
      <w:bookmarkStart w:id="454" w:name="_Toc351203575"/>
      <w:r>
        <w:rPr>
          <w:rFonts w:hint="eastAsia" w:ascii="宋体" w:hAnsi="宋体" w:cs="宋体"/>
          <w:b/>
          <w:bCs/>
          <w:color w:val="auto"/>
          <w:kern w:val="44"/>
          <w:sz w:val="21"/>
          <w:szCs w:val="21"/>
          <w:highlight w:val="none"/>
        </w:rPr>
        <w:t>1</w:t>
      </w:r>
      <w:bookmarkStart w:id="455" w:name="_Toc337558794"/>
      <w:bookmarkStart w:id="456" w:name="_Toc296503090"/>
      <w:bookmarkStart w:id="457" w:name="_Toc322522561"/>
      <w:bookmarkStart w:id="458" w:name="_Toc296346591"/>
      <w:r>
        <w:rPr>
          <w:rFonts w:hint="eastAsia" w:ascii="宋体" w:hAnsi="宋体" w:cs="宋体"/>
          <w:b/>
          <w:bCs/>
          <w:color w:val="auto"/>
          <w:kern w:val="44"/>
          <w:sz w:val="21"/>
          <w:szCs w:val="21"/>
          <w:highlight w:val="none"/>
        </w:rPr>
        <w:t>0.8暂列金额</w:t>
      </w:r>
      <w:bookmarkEnd w:id="453"/>
      <w:bookmarkEnd w:id="454"/>
    </w:p>
    <w:bookmarkEnd w:id="455"/>
    <w:p w14:paraId="6E44B6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暂列金额应按照发包人的要求使用，发包人的要求应通过监理人发出。合同当事人可以在专用合同条款中协商确定有关事项。</w:t>
      </w:r>
    </w:p>
    <w:bookmarkEnd w:id="456"/>
    <w:bookmarkEnd w:id="457"/>
    <w:bookmarkEnd w:id="458"/>
    <w:p w14:paraId="5D1B5FC3">
      <w:pPr>
        <w:keepNext/>
        <w:keepLines/>
        <w:spacing w:line="420" w:lineRule="exact"/>
        <w:ind w:firstLine="0" w:firstLineChars="0"/>
        <w:outlineLvl w:val="0"/>
        <w:rPr>
          <w:rFonts w:ascii="宋体" w:hAnsi="宋体" w:cs="宋体"/>
          <w:b/>
          <w:bCs/>
          <w:color w:val="auto"/>
          <w:kern w:val="44"/>
          <w:sz w:val="21"/>
          <w:szCs w:val="21"/>
          <w:highlight w:val="none"/>
        </w:rPr>
      </w:pPr>
      <w:bookmarkStart w:id="459" w:name="_Toc351203576"/>
      <w:bookmarkStart w:id="460" w:name="_Toc478389115"/>
      <w:r>
        <w:rPr>
          <w:rFonts w:hint="eastAsia" w:ascii="宋体" w:hAnsi="宋体" w:cs="宋体"/>
          <w:b/>
          <w:bCs/>
          <w:color w:val="auto"/>
          <w:kern w:val="44"/>
          <w:sz w:val="21"/>
          <w:szCs w:val="21"/>
          <w:highlight w:val="none"/>
        </w:rPr>
        <w:t>1</w:t>
      </w:r>
      <w:bookmarkStart w:id="461" w:name="_Toc337558796"/>
      <w:bookmarkStart w:id="462" w:name="_Toc296346592"/>
      <w:bookmarkStart w:id="463" w:name="_Toc296503091"/>
      <w:r>
        <w:rPr>
          <w:rFonts w:hint="eastAsia" w:ascii="宋体" w:hAnsi="宋体" w:cs="宋体"/>
          <w:b/>
          <w:bCs/>
          <w:color w:val="auto"/>
          <w:kern w:val="44"/>
          <w:sz w:val="21"/>
          <w:szCs w:val="21"/>
          <w:highlight w:val="none"/>
        </w:rPr>
        <w:t>0.9计日工</w:t>
      </w:r>
      <w:bookmarkEnd w:id="459"/>
      <w:bookmarkEnd w:id="460"/>
      <w:bookmarkEnd w:id="461"/>
      <w:bookmarkEnd w:id="462"/>
      <w:bookmarkEnd w:id="463"/>
    </w:p>
    <w:p w14:paraId="7E35AC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6C25DE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采用计日工计价的任何一项工作，承包人应在该项工作实施过程中，每天提交以下报表和有关凭证报送监理人审查：</w:t>
      </w:r>
    </w:p>
    <w:p w14:paraId="03D847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（1）工作名称、内容和数量；</w:t>
      </w:r>
    </w:p>
    <w:p w14:paraId="1B3815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（2）投入该工作的所有人员的姓名、专业、工种、级别和耗用工时；</w:t>
      </w:r>
    </w:p>
    <w:p w14:paraId="519BF7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（3）投入该工作的材料类别和数量；</w:t>
      </w:r>
    </w:p>
    <w:p w14:paraId="6775CCF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（4）投入该工作的施工设备型号、台数和耗用台时；</w:t>
      </w:r>
    </w:p>
    <w:p w14:paraId="2D4434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（5）其他有关资料和凭证。</w:t>
      </w:r>
    </w:p>
    <w:p w14:paraId="2C90DC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计日工由承包人汇总后，列入最近一期进度付款申请单，由监理人审查并经发包人批准后列入进度付款。</w:t>
      </w:r>
    </w:p>
    <w:p w14:paraId="4C675C9C">
      <w:pPr>
        <w:keepNext/>
        <w:keepLines/>
        <w:spacing w:line="420" w:lineRule="exact"/>
        <w:ind w:firstLine="0" w:firstLineChars="0"/>
        <w:outlineLvl w:val="0"/>
        <w:rPr>
          <w:rFonts w:ascii="宋体" w:hAnsi="宋体" w:cs="宋体"/>
          <w:b/>
          <w:bCs/>
          <w:color w:val="auto"/>
          <w:kern w:val="44"/>
          <w:sz w:val="21"/>
          <w:szCs w:val="21"/>
          <w:highlight w:val="none"/>
        </w:rPr>
      </w:pPr>
      <w:bookmarkStart w:id="464" w:name="_Toc478389116"/>
      <w:bookmarkStart w:id="465" w:name="_Toc351203577"/>
      <w:r>
        <w:rPr>
          <w:rFonts w:hint="eastAsia" w:ascii="宋体" w:hAnsi="宋体" w:cs="宋体"/>
          <w:b/>
          <w:bCs/>
          <w:color w:val="auto"/>
          <w:kern w:val="44"/>
          <w:sz w:val="21"/>
          <w:szCs w:val="21"/>
          <w:highlight w:val="none"/>
        </w:rPr>
        <w:t>11. 价格调整</w:t>
      </w:r>
      <w:bookmarkEnd w:id="464"/>
      <w:bookmarkEnd w:id="465"/>
    </w:p>
    <w:p w14:paraId="3458A52A">
      <w:pPr>
        <w:keepNext/>
        <w:keepLines/>
        <w:spacing w:line="420" w:lineRule="exact"/>
        <w:ind w:firstLine="0" w:firstLineChars="0"/>
        <w:outlineLvl w:val="0"/>
        <w:rPr>
          <w:rFonts w:ascii="宋体" w:hAnsi="宋体" w:cs="宋体"/>
          <w:b/>
          <w:bCs/>
          <w:color w:val="auto"/>
          <w:kern w:val="44"/>
          <w:sz w:val="21"/>
          <w:szCs w:val="21"/>
          <w:highlight w:val="none"/>
        </w:rPr>
      </w:pPr>
      <w:bookmarkStart w:id="466" w:name="_Toc351203578"/>
      <w:bookmarkStart w:id="467" w:name="_Toc478389117"/>
      <w:bookmarkStart w:id="468" w:name="_Toc296346593"/>
      <w:bookmarkStart w:id="469" w:name="_Toc337558797"/>
      <w:bookmarkStart w:id="470" w:name="_Toc296503092"/>
      <w:r>
        <w:rPr>
          <w:rFonts w:hint="eastAsia" w:ascii="宋体" w:hAnsi="宋体" w:cs="宋体"/>
          <w:b/>
          <w:bCs/>
          <w:color w:val="auto"/>
          <w:kern w:val="44"/>
          <w:sz w:val="21"/>
          <w:szCs w:val="21"/>
          <w:highlight w:val="none"/>
        </w:rPr>
        <w:t>11.1市场价格波动引起的调整</w:t>
      </w:r>
      <w:bookmarkEnd w:id="466"/>
      <w:bookmarkEnd w:id="467"/>
    </w:p>
    <w:bookmarkEnd w:id="468"/>
    <w:bookmarkEnd w:id="469"/>
    <w:bookmarkEnd w:id="470"/>
    <w:p w14:paraId="47C50397">
      <w:pPr>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除专用合同条款另有约定外，市场价格波动超过合同当事人约定的范围，合同价格应当调整。合同当事人可以在专用合同条款中约定选择以下一种方式对合同价格进行调整：</w:t>
      </w:r>
    </w:p>
    <w:p w14:paraId="6C278EB2">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第1种方式：采用价格指数进行价格调整。</w:t>
      </w:r>
    </w:p>
    <w:p w14:paraId="449A3082">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（1）价格调整公式</w:t>
      </w:r>
    </w:p>
    <w:p w14:paraId="6A43D027">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因人工、材料和设备等价格波动影响合同价格时，根据专用合同条款中约定的数据，按以下公式计算差额并调整合同价格：</w:t>
      </w:r>
    </w:p>
    <w:p w14:paraId="46955BB5">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30"/>
          <w:sz w:val="21"/>
          <w:szCs w:val="21"/>
          <w:highlight w:val="none"/>
        </w:rPr>
        <w:drawing>
          <wp:inline distT="0" distB="0" distL="0" distR="0">
            <wp:extent cx="4572000" cy="552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572000" cy="552450"/>
                    </a:xfrm>
                    <a:prstGeom prst="rect">
                      <a:avLst/>
                    </a:prstGeom>
                    <a:noFill/>
                    <a:ln>
                      <a:noFill/>
                    </a:ln>
                  </pic:spPr>
                </pic:pic>
              </a:graphicData>
            </a:graphic>
          </wp:inline>
        </w:drawing>
      </w:r>
    </w:p>
    <w:p w14:paraId="6AEC0C0A">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公式中：ΔP——需调整的价格差额；</w:t>
      </w:r>
    </w:p>
    <w:p w14:paraId="7C96BAF0">
      <w:pPr>
        <w:tabs>
          <w:tab w:val="left" w:pos="0"/>
          <w:tab w:val="left" w:pos="360"/>
          <w:tab w:val="left" w:pos="540"/>
        </w:tabs>
        <w:ind w:firstLine="1260" w:firstLineChars="600"/>
        <w:rPr>
          <w:rFonts w:ascii="宋体" w:hAnsi="宋体" w:cs="宋体"/>
          <w:color w:val="auto"/>
          <w:sz w:val="21"/>
          <w:szCs w:val="21"/>
          <w:highlight w:val="none"/>
        </w:rPr>
      </w:pPr>
      <w:r>
        <w:rPr>
          <w:rFonts w:ascii="宋体" w:hAnsi="宋体" w:cs="宋体"/>
          <w:color w:val="auto"/>
          <w:position w:val="-6"/>
          <w:sz w:val="21"/>
          <w:szCs w:val="21"/>
          <w:highlight w:val="none"/>
        </w:rPr>
        <w:drawing>
          <wp:inline distT="0" distB="0" distL="0" distR="0">
            <wp:extent cx="219075" cy="2190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r>
        <w:rPr>
          <w:rFonts w:hint="eastAsia" w:ascii="宋体" w:hAnsi="宋体" w:cs="宋体"/>
          <w:color w:val="auto"/>
          <w:sz w:val="21"/>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3D8E8B30">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A——定值权重（即不调部分的权重）；</w:t>
      </w:r>
    </w:p>
    <w:p w14:paraId="207E8FF9">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276350" cy="266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76350" cy="266700"/>
                    </a:xfrm>
                    <a:prstGeom prst="rect">
                      <a:avLst/>
                    </a:prstGeom>
                    <a:noFill/>
                    <a:ln>
                      <a:noFill/>
                    </a:ln>
                  </pic:spPr>
                </pic:pic>
              </a:graphicData>
            </a:graphic>
          </wp:inline>
        </w:drawing>
      </w:r>
      <w:r>
        <w:rPr>
          <w:rFonts w:hint="eastAsia" w:ascii="宋体" w:hAnsi="宋体" w:cs="宋体"/>
          <w:color w:val="auto"/>
          <w:sz w:val="21"/>
          <w:szCs w:val="21"/>
          <w:highlight w:val="none"/>
        </w:rPr>
        <w:t>——各可调因子的变值权重（即可调部分的权重），为各可调因子在签约合同价中所占的比例；</w:t>
      </w:r>
    </w:p>
    <w:p w14:paraId="32660DA3">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295400" cy="266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95400" cy="266700"/>
                    </a:xfrm>
                    <a:prstGeom prst="rect">
                      <a:avLst/>
                    </a:prstGeom>
                    <a:noFill/>
                    <a:ln>
                      <a:noFill/>
                    </a:ln>
                  </pic:spPr>
                </pic:pic>
              </a:graphicData>
            </a:graphic>
          </wp:inline>
        </w:drawing>
      </w:r>
      <w:r>
        <w:rPr>
          <w:rFonts w:hint="eastAsia" w:ascii="宋体" w:hAnsi="宋体" w:cs="宋体"/>
          <w:color w:val="auto"/>
          <w:sz w:val="21"/>
          <w:szCs w:val="21"/>
          <w:highlight w:val="none"/>
        </w:rPr>
        <w:t>——各可调因子的现行价格指数，指约定的付款证书相关周期最后一天的前42天的各可调因子的价格指数；</w:t>
      </w:r>
    </w:p>
    <w:p w14:paraId="1025F950">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371600" cy="257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71600" cy="257175"/>
                    </a:xfrm>
                    <a:prstGeom prst="rect">
                      <a:avLst/>
                    </a:prstGeom>
                    <a:noFill/>
                    <a:ln>
                      <a:noFill/>
                    </a:ln>
                  </pic:spPr>
                </pic:pic>
              </a:graphicData>
            </a:graphic>
          </wp:inline>
        </w:drawing>
      </w:r>
      <w:r>
        <w:rPr>
          <w:rFonts w:hint="eastAsia" w:ascii="宋体" w:hAnsi="宋体" w:cs="宋体"/>
          <w:color w:val="auto"/>
          <w:sz w:val="21"/>
          <w:szCs w:val="21"/>
          <w:highlight w:val="none"/>
        </w:rPr>
        <w:t>——各可调因子的基本价格指数，指基准日期的各可调因子的价格指数。</w:t>
      </w:r>
    </w:p>
    <w:p w14:paraId="1BDA3666">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D65B3B5">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（2）暂时确定调整差额</w:t>
      </w:r>
    </w:p>
    <w:p w14:paraId="61ABF99F">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在计算调整差额时无现行价格指数的，合同当事人同意暂用前次价格指数计算。实际价格指数有调整的，合同当事人进行相应调整。</w:t>
      </w:r>
    </w:p>
    <w:p w14:paraId="1D9444EC">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（3）权重的调整</w:t>
      </w:r>
    </w:p>
    <w:p w14:paraId="5C24C462">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因变更导致合同约定的权重不合理时，按照第4.4款〔商定或确定〕执行。</w:t>
      </w:r>
    </w:p>
    <w:p w14:paraId="098EDBB7">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（4）因承包人原因工期延误后的价格调整</w:t>
      </w:r>
    </w:p>
    <w:p w14:paraId="488FB57A">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C31D36D">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第2种方式：采用造价信息进行价格调整。</w:t>
      </w:r>
    </w:p>
    <w:p w14:paraId="2E88C8BA">
      <w:pPr>
        <w:ind w:firstLine="420"/>
        <w:rPr>
          <w:rFonts w:ascii="宋体" w:hAnsi="宋体" w:cs="宋体"/>
          <w:color w:val="auto"/>
          <w:sz w:val="21"/>
          <w:szCs w:val="21"/>
          <w:highlight w:val="none"/>
        </w:rPr>
      </w:pPr>
      <w:r>
        <w:rPr>
          <w:rFonts w:hint="eastAsia" w:ascii="宋体" w:hAnsi="宋体" w:cs="宋体"/>
          <w:color w:val="auto"/>
          <w:sz w:val="21"/>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895006">
      <w:pPr>
        <w:ind w:firstLine="420"/>
        <w:rPr>
          <w:rFonts w:ascii="宋体" w:hAnsi="宋体" w:cs="宋体"/>
          <w:color w:val="auto"/>
          <w:sz w:val="21"/>
          <w:szCs w:val="21"/>
          <w:highlight w:val="none"/>
        </w:rPr>
      </w:pPr>
      <w:r>
        <w:rPr>
          <w:rFonts w:hint="eastAsia" w:ascii="宋体" w:hAnsi="宋体" w:cs="宋体"/>
          <w:color w:val="auto"/>
          <w:sz w:val="21"/>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3ECFE8D2">
      <w:pPr>
        <w:ind w:firstLine="420"/>
        <w:rPr>
          <w:rFonts w:ascii="宋体" w:hAnsi="宋体" w:cs="宋体"/>
          <w:color w:val="auto"/>
          <w:sz w:val="21"/>
          <w:szCs w:val="21"/>
          <w:highlight w:val="none"/>
        </w:rPr>
      </w:pPr>
      <w:r>
        <w:rPr>
          <w:rFonts w:hint="eastAsia" w:ascii="宋体" w:hAnsi="宋体" w:cs="宋体"/>
          <w:color w:val="auto"/>
          <w:sz w:val="21"/>
          <w:szCs w:val="21"/>
          <w:highlight w:val="none"/>
        </w:rPr>
        <w:t>（2）材料、工程设备价格变化的价款调整按照发包人提供的基准价格，按以下风险范围规定执行</w:t>
      </w:r>
      <w:r>
        <w:rPr>
          <w:rFonts w:hint="eastAsia" w:ascii="宋体" w:hAnsi="宋体" w:cs="宋体"/>
          <w:color w:val="auto"/>
          <w:sz w:val="21"/>
          <w:szCs w:val="21"/>
          <w:highlight w:val="none"/>
          <w:lang w:eastAsia="zh-CN"/>
        </w:rPr>
        <w:t>：</w:t>
      </w:r>
    </w:p>
    <w:p w14:paraId="492396AE">
      <w:pPr>
        <w:ind w:firstLine="420"/>
        <w:rPr>
          <w:rFonts w:ascii="宋体" w:hAnsi="宋体" w:cs="宋体"/>
          <w:color w:val="auto"/>
          <w:sz w:val="21"/>
          <w:szCs w:val="21"/>
          <w:highlight w:val="none"/>
        </w:rPr>
      </w:pPr>
      <w:r>
        <w:rPr>
          <w:rFonts w:hint="eastAsia" w:ascii="宋体" w:hAnsi="宋体" w:cs="宋体"/>
          <w:color w:val="auto"/>
          <w:sz w:val="21"/>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75587B9B">
      <w:pPr>
        <w:ind w:firstLine="420"/>
        <w:rPr>
          <w:rFonts w:ascii="宋体" w:hAnsi="宋体" w:cs="宋体"/>
          <w:color w:val="auto"/>
          <w:sz w:val="21"/>
          <w:szCs w:val="21"/>
          <w:highlight w:val="none"/>
        </w:rPr>
      </w:pPr>
      <w:r>
        <w:rPr>
          <w:rFonts w:hint="eastAsia" w:ascii="宋体" w:hAnsi="宋体" w:cs="宋体"/>
          <w:color w:val="auto"/>
          <w:sz w:val="21"/>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5E8AE6D0">
      <w:pPr>
        <w:ind w:firstLine="420"/>
        <w:rPr>
          <w:rFonts w:ascii="宋体" w:hAnsi="宋体" w:cs="宋体"/>
          <w:color w:val="auto"/>
          <w:sz w:val="21"/>
          <w:szCs w:val="21"/>
          <w:highlight w:val="none"/>
        </w:rPr>
      </w:pPr>
      <w:r>
        <w:rPr>
          <w:rFonts w:hint="eastAsia" w:ascii="宋体" w:hAnsi="宋体" w:cs="宋体"/>
          <w:color w:val="auto"/>
          <w:sz w:val="21"/>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11C59CFF">
      <w:pPr>
        <w:ind w:firstLine="420"/>
        <w:rPr>
          <w:rFonts w:ascii="宋体" w:hAnsi="宋体" w:cs="宋体"/>
          <w:color w:val="auto"/>
          <w:sz w:val="21"/>
          <w:szCs w:val="21"/>
          <w:highlight w:val="none"/>
        </w:rPr>
      </w:pPr>
      <w:r>
        <w:rPr>
          <w:rFonts w:hint="eastAsia" w:ascii="宋体" w:hAnsi="宋体" w:cs="宋体"/>
          <w:color w:val="auto"/>
          <w:sz w:val="21"/>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65249789">
      <w:pPr>
        <w:ind w:firstLine="420"/>
        <w:rPr>
          <w:rFonts w:ascii="宋体" w:hAnsi="宋体" w:cs="宋体"/>
          <w:color w:val="auto"/>
          <w:sz w:val="21"/>
          <w:szCs w:val="21"/>
          <w:highlight w:val="none"/>
        </w:rPr>
      </w:pPr>
      <w:r>
        <w:rPr>
          <w:rFonts w:hint="eastAsia" w:ascii="宋体" w:hAnsi="宋体" w:cs="宋体"/>
          <w:color w:val="auto"/>
          <w:sz w:val="21"/>
          <w:szCs w:val="21"/>
          <w:highlight w:val="none"/>
        </w:rPr>
        <w:t>前述基准价格是指由发包人在采购文件或专用合同条款中给定的材料、工程设备的价格，该价格原则上应当按照省级或行业建设主管部门或其授权的工程造价管理机构发布的信息价编制。</w:t>
      </w:r>
    </w:p>
    <w:p w14:paraId="47D645C0">
      <w:pPr>
        <w:ind w:firstLine="420"/>
        <w:rPr>
          <w:rFonts w:ascii="宋体" w:hAnsi="宋体" w:cs="宋体"/>
          <w:color w:val="auto"/>
          <w:sz w:val="21"/>
          <w:szCs w:val="21"/>
          <w:highlight w:val="none"/>
        </w:rPr>
      </w:pPr>
      <w:r>
        <w:rPr>
          <w:rFonts w:hint="eastAsia" w:ascii="宋体" w:hAnsi="宋体" w:cs="宋体"/>
          <w:color w:val="auto"/>
          <w:sz w:val="21"/>
          <w:szCs w:val="21"/>
          <w:highlight w:val="none"/>
        </w:rPr>
        <w:t>（3）施工机械台班单价或施工机械使用费发生变化超过省级或行业建设主管部门或其授权的工程造价管理机构规定的范围时，按规定调整合同价格。</w:t>
      </w:r>
    </w:p>
    <w:p w14:paraId="023EAE92">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第3种方式：专用合同条款约定的其他方式。</w:t>
      </w:r>
    </w:p>
    <w:p w14:paraId="39BBC605">
      <w:pPr>
        <w:keepNext/>
        <w:keepLines/>
        <w:spacing w:line="420" w:lineRule="exact"/>
        <w:ind w:firstLine="0" w:firstLineChars="0"/>
        <w:outlineLvl w:val="0"/>
        <w:rPr>
          <w:rFonts w:ascii="宋体" w:hAnsi="宋体" w:cs="宋体"/>
          <w:b/>
          <w:bCs/>
          <w:color w:val="auto"/>
          <w:kern w:val="44"/>
          <w:sz w:val="21"/>
          <w:szCs w:val="21"/>
          <w:highlight w:val="none"/>
        </w:rPr>
      </w:pPr>
      <w:bookmarkStart w:id="471" w:name="_Toc478389118"/>
      <w:bookmarkStart w:id="472" w:name="_Toc351203579"/>
      <w:bookmarkStart w:id="473" w:name="_Toc337558798"/>
      <w:bookmarkStart w:id="474" w:name="_Toc296346594"/>
      <w:bookmarkStart w:id="475" w:name="_Toc296503093"/>
      <w:r>
        <w:rPr>
          <w:rFonts w:hint="eastAsia" w:ascii="宋体" w:hAnsi="宋体" w:cs="宋体"/>
          <w:b/>
          <w:bCs/>
          <w:color w:val="auto"/>
          <w:kern w:val="44"/>
          <w:sz w:val="21"/>
          <w:szCs w:val="21"/>
          <w:highlight w:val="none"/>
        </w:rPr>
        <w:t>11.2法律变化引起的调整</w:t>
      </w:r>
      <w:bookmarkEnd w:id="471"/>
      <w:bookmarkEnd w:id="472"/>
    </w:p>
    <w:bookmarkEnd w:id="473"/>
    <w:bookmarkEnd w:id="474"/>
    <w:bookmarkEnd w:id="475"/>
    <w:p w14:paraId="73A8836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22C548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因法律变化引起的合同价格和工期调整，合同当事人无法达成一致的，由总监理工程师按第4.4款〔商定或确定〕的约定处理。</w:t>
      </w:r>
    </w:p>
    <w:p w14:paraId="056AFC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因承包人原因造成工期延误，在工期延误期间出现法律变化的，由此增加的费用和（或）延误的工期由承包人承担。</w:t>
      </w:r>
    </w:p>
    <w:p w14:paraId="745E42C1">
      <w:pPr>
        <w:keepNext/>
        <w:keepLines/>
        <w:spacing w:line="420" w:lineRule="exact"/>
        <w:ind w:firstLine="0" w:firstLineChars="0"/>
        <w:outlineLvl w:val="0"/>
        <w:rPr>
          <w:rFonts w:ascii="宋体" w:hAnsi="宋体" w:cs="宋体"/>
          <w:b/>
          <w:bCs/>
          <w:color w:val="auto"/>
          <w:kern w:val="44"/>
          <w:sz w:val="21"/>
          <w:szCs w:val="21"/>
          <w:highlight w:val="none"/>
        </w:rPr>
      </w:pPr>
      <w:bookmarkStart w:id="476" w:name="_Toc351203580"/>
      <w:bookmarkStart w:id="477" w:name="_Toc478389119"/>
      <w:bookmarkStart w:id="478" w:name="_Toc337558799"/>
      <w:bookmarkStart w:id="479" w:name="_Toc296503096"/>
      <w:bookmarkStart w:id="480" w:name="_Toc296346597"/>
      <w:r>
        <w:rPr>
          <w:rFonts w:hint="eastAsia" w:ascii="宋体" w:hAnsi="宋体" w:cs="宋体"/>
          <w:b/>
          <w:bCs/>
          <w:color w:val="auto"/>
          <w:kern w:val="44"/>
          <w:sz w:val="21"/>
          <w:szCs w:val="21"/>
          <w:highlight w:val="none"/>
        </w:rPr>
        <w:t>12. 合同价格、计量与支付</w:t>
      </w:r>
      <w:bookmarkEnd w:id="476"/>
      <w:bookmarkEnd w:id="477"/>
    </w:p>
    <w:bookmarkEnd w:id="478"/>
    <w:p w14:paraId="5F33E112">
      <w:pPr>
        <w:keepNext/>
        <w:keepLines/>
        <w:spacing w:line="420" w:lineRule="exact"/>
        <w:ind w:firstLine="0" w:firstLineChars="0"/>
        <w:outlineLvl w:val="0"/>
        <w:rPr>
          <w:rFonts w:ascii="宋体" w:hAnsi="宋体" w:cs="宋体"/>
          <w:b/>
          <w:bCs/>
          <w:color w:val="auto"/>
          <w:kern w:val="44"/>
          <w:sz w:val="21"/>
          <w:szCs w:val="21"/>
          <w:highlight w:val="none"/>
        </w:rPr>
      </w:pPr>
      <w:bookmarkStart w:id="481" w:name="_Toc478389120"/>
      <w:bookmarkStart w:id="482" w:name="_Toc351203581"/>
      <w:bookmarkStart w:id="483" w:name="_Toc337558800"/>
      <w:r>
        <w:rPr>
          <w:rFonts w:hint="eastAsia" w:ascii="宋体" w:hAnsi="宋体" w:cs="宋体"/>
          <w:b/>
          <w:bCs/>
          <w:color w:val="auto"/>
          <w:kern w:val="44"/>
          <w:sz w:val="21"/>
          <w:szCs w:val="21"/>
          <w:highlight w:val="none"/>
        </w:rPr>
        <w:t>12.1 合同价</w:t>
      </w:r>
      <w:bookmarkEnd w:id="479"/>
      <w:bookmarkEnd w:id="480"/>
      <w:r>
        <w:rPr>
          <w:rFonts w:hint="eastAsia" w:ascii="宋体" w:hAnsi="宋体" w:cs="宋体"/>
          <w:b/>
          <w:bCs/>
          <w:color w:val="auto"/>
          <w:kern w:val="44"/>
          <w:sz w:val="21"/>
          <w:szCs w:val="21"/>
          <w:highlight w:val="none"/>
        </w:rPr>
        <w:t>格形式</w:t>
      </w:r>
      <w:bookmarkEnd w:id="481"/>
      <w:bookmarkEnd w:id="482"/>
    </w:p>
    <w:bookmarkEnd w:id="483"/>
    <w:p w14:paraId="644E4C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发包人和承包人应在合同协议书中选择下列一种合同价格形式： </w:t>
      </w:r>
    </w:p>
    <w:p w14:paraId="2ACF1A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w:t>
      </w:r>
    </w:p>
    <w:p w14:paraId="664B7EE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794F5A3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w:t>
      </w:r>
    </w:p>
    <w:p w14:paraId="744435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77D50E5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eastAsia="zh-CN"/>
        </w:rPr>
        <w:t>其他</w:t>
      </w:r>
      <w:r>
        <w:rPr>
          <w:rFonts w:hint="eastAsia" w:ascii="宋体" w:hAnsi="宋体" w:cs="宋体"/>
          <w:color w:val="auto"/>
          <w:sz w:val="21"/>
          <w:szCs w:val="21"/>
          <w:highlight w:val="none"/>
        </w:rPr>
        <w:t>价格形式</w:t>
      </w:r>
    </w:p>
    <w:p w14:paraId="439368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合同当事人可在专用合同条款中约定其他合同价格形式。</w:t>
      </w:r>
    </w:p>
    <w:p w14:paraId="091E1648">
      <w:pPr>
        <w:keepNext/>
        <w:keepLines/>
        <w:spacing w:line="420" w:lineRule="exact"/>
        <w:ind w:firstLine="0" w:firstLineChars="0"/>
        <w:outlineLvl w:val="0"/>
        <w:rPr>
          <w:rFonts w:ascii="宋体" w:hAnsi="宋体" w:cs="宋体"/>
          <w:b/>
          <w:bCs/>
          <w:color w:val="auto"/>
          <w:kern w:val="44"/>
          <w:sz w:val="21"/>
          <w:szCs w:val="21"/>
          <w:highlight w:val="none"/>
        </w:rPr>
      </w:pPr>
      <w:bookmarkStart w:id="484" w:name="_Toc296346598"/>
      <w:bookmarkStart w:id="485" w:name="_Toc296503097"/>
      <w:bookmarkStart w:id="486" w:name="_Toc478389121"/>
      <w:bookmarkStart w:id="487" w:name="_Toc351203582"/>
      <w:bookmarkStart w:id="488" w:name="_Toc337558801"/>
      <w:r>
        <w:rPr>
          <w:rFonts w:hint="eastAsia" w:ascii="宋体" w:hAnsi="宋体" w:cs="宋体"/>
          <w:b/>
          <w:bCs/>
          <w:color w:val="auto"/>
          <w:kern w:val="44"/>
          <w:sz w:val="21"/>
          <w:szCs w:val="21"/>
          <w:highlight w:val="none"/>
        </w:rPr>
        <w:t>12.2预</w:t>
      </w:r>
      <w:bookmarkEnd w:id="484"/>
      <w:bookmarkEnd w:id="485"/>
      <w:bookmarkStart w:id="489" w:name="_Toc296503100"/>
      <w:bookmarkStart w:id="490" w:name="_Toc296346601"/>
      <w:r>
        <w:rPr>
          <w:rFonts w:hint="eastAsia" w:ascii="宋体" w:hAnsi="宋体" w:cs="宋体"/>
          <w:b/>
          <w:bCs/>
          <w:color w:val="auto"/>
          <w:kern w:val="44"/>
          <w:sz w:val="21"/>
          <w:szCs w:val="21"/>
          <w:highlight w:val="none"/>
        </w:rPr>
        <w:t>付款</w:t>
      </w:r>
      <w:bookmarkEnd w:id="486"/>
      <w:bookmarkEnd w:id="487"/>
    </w:p>
    <w:bookmarkEnd w:id="488"/>
    <w:bookmarkEnd w:id="489"/>
    <w:bookmarkEnd w:id="490"/>
    <w:p w14:paraId="624978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12.2.1预付款的支付</w:t>
      </w:r>
    </w:p>
    <w:p w14:paraId="37A8AC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预付款的支付按照专用合同条款约定执行，但至迟应在开工通知载明的开工日期7天前支付。预付款应当用于材料、工程设备、施工设备的采购及修建临时工程、组织施工队伍进场等。</w:t>
      </w:r>
    </w:p>
    <w:p w14:paraId="5CF117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除专用合同条款另有约定外，预付款在进度付款中同比例扣回。在颁发工程接收证书前，提前解除合同的，尚未扣完的预付款应与合同价款一并结算。</w:t>
      </w:r>
    </w:p>
    <w:p w14:paraId="2818FDD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发包人逾期支付预付款超过7天的，承包人有权向发包人发出要求预付的催告通知，发包人收到通知后7天内仍未支付的，承包人有权暂停施工，并按第16.1.1项〔发包人违约的情形〕执行。</w:t>
      </w:r>
    </w:p>
    <w:p w14:paraId="61CF9C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12.2.2 预付款担保</w:t>
      </w:r>
    </w:p>
    <w:p w14:paraId="74B630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0C7475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发包人在工程款中逐期扣回预付款后，预付款担保额度应相应减少，但剩余的预付款担保金额不得低于未被扣回的预付款金额。</w:t>
      </w:r>
    </w:p>
    <w:p w14:paraId="6ABAF7D7">
      <w:pPr>
        <w:keepNext/>
        <w:keepLines/>
        <w:spacing w:line="420" w:lineRule="exact"/>
        <w:ind w:firstLine="0" w:firstLineChars="0"/>
        <w:outlineLvl w:val="0"/>
        <w:rPr>
          <w:rFonts w:ascii="宋体" w:hAnsi="宋体" w:cs="宋体"/>
          <w:b/>
          <w:bCs/>
          <w:color w:val="auto"/>
          <w:kern w:val="44"/>
          <w:sz w:val="21"/>
          <w:szCs w:val="21"/>
          <w:highlight w:val="none"/>
        </w:rPr>
      </w:pPr>
      <w:bookmarkStart w:id="491" w:name="_Toc351203583"/>
      <w:bookmarkStart w:id="492" w:name="_Toc478389122"/>
      <w:bookmarkStart w:id="493" w:name="_Toc337558802"/>
      <w:r>
        <w:rPr>
          <w:rFonts w:hint="eastAsia" w:ascii="宋体" w:hAnsi="宋体" w:cs="宋体"/>
          <w:b/>
          <w:bCs/>
          <w:color w:val="auto"/>
          <w:kern w:val="44"/>
          <w:sz w:val="21"/>
          <w:szCs w:val="21"/>
          <w:highlight w:val="none"/>
        </w:rPr>
        <w:t>12.3计量</w:t>
      </w:r>
      <w:bookmarkEnd w:id="491"/>
      <w:bookmarkEnd w:id="492"/>
    </w:p>
    <w:bookmarkEnd w:id="493"/>
    <w:p w14:paraId="21C2F2EF">
      <w:pPr>
        <w:spacing w:line="420" w:lineRule="exact"/>
        <w:ind w:firstLine="420"/>
        <w:outlineLvl w:val="0"/>
        <w:rPr>
          <w:rFonts w:ascii="宋体" w:hAnsi="宋体" w:cs="宋体"/>
          <w:color w:val="auto"/>
          <w:sz w:val="21"/>
          <w:szCs w:val="21"/>
          <w:highlight w:val="none"/>
        </w:rPr>
      </w:pPr>
      <w:bookmarkStart w:id="494" w:name="_Toc406419279"/>
      <w:bookmarkStart w:id="495" w:name="_Toc478389123"/>
      <w:bookmarkStart w:id="496" w:name="_Toc406522154"/>
      <w:r>
        <w:rPr>
          <w:rFonts w:hint="eastAsia" w:ascii="宋体" w:hAnsi="宋体" w:cs="宋体"/>
          <w:color w:val="auto"/>
          <w:sz w:val="21"/>
          <w:szCs w:val="21"/>
          <w:highlight w:val="none"/>
        </w:rPr>
        <w:t>12.3.1 计量原则</w:t>
      </w:r>
      <w:bookmarkEnd w:id="494"/>
      <w:bookmarkEnd w:id="495"/>
      <w:bookmarkEnd w:id="496"/>
    </w:p>
    <w:p w14:paraId="4EEE90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工程量计量按照合同约定的工程量计算规则、图纸及变更指示等进行计量。工程量计算规则应以相关的国家标准、行业标准等为依据，由合同当事人在专用合同条款中约定。</w:t>
      </w:r>
    </w:p>
    <w:p w14:paraId="3117D7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12.3.2 计量周期</w:t>
      </w:r>
    </w:p>
    <w:p w14:paraId="7AB123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除专用合同条款另有约定外，工程量的计量按月进行。</w:t>
      </w:r>
    </w:p>
    <w:p w14:paraId="789D86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12.3.3 单价合同的计量</w:t>
      </w:r>
    </w:p>
    <w:p w14:paraId="4E37EA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除专用合同条款另有约定外，单价合同的计量按照本项约定执行：</w:t>
      </w:r>
    </w:p>
    <w:p w14:paraId="5235FA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（1）承包人应于每月25日向监理人报送上月20日至当月19日已完成的工程量报告，并附具进度付款申请单、已完成工程量报表和有关资料。</w:t>
      </w:r>
    </w:p>
    <w:p w14:paraId="7BC4D6E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4975FE6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（3）监理人未在收到承包人提交的工程量报表后的7天内完成审核的，承包人报送的工程量报告中的工程量视为承包人实际完成的工程量，据此计算工程价款。</w:t>
      </w:r>
    </w:p>
    <w:p w14:paraId="4EAE0A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12.3.4 总价合同的计量</w:t>
      </w:r>
    </w:p>
    <w:p w14:paraId="05E493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除专用合同条款另有约定外，按月计量支付的总价合同，按照本项约定执行：</w:t>
      </w:r>
    </w:p>
    <w:p w14:paraId="2CF2414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（1）承包人应于每月25日向监理人报送上月20日至当月19日已完成的工程量报告，并附具进度付款申请单、已完成工程量报表和有关资料。</w:t>
      </w:r>
    </w:p>
    <w:p w14:paraId="64BF86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2295F06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（3）监理人未在收到承包人提交的工程量报表后的7天内完成复核的，承包人提交的工程量报告中的工程量视为承包人实际完成的工程量。</w:t>
      </w:r>
    </w:p>
    <w:p w14:paraId="6D3548BB">
      <w:pPr>
        <w:spacing w:line="420" w:lineRule="exact"/>
        <w:ind w:firstLine="420"/>
        <w:outlineLvl w:val="0"/>
        <w:rPr>
          <w:rFonts w:ascii="宋体" w:hAnsi="宋体" w:cs="宋体"/>
          <w:color w:val="auto"/>
          <w:sz w:val="21"/>
          <w:szCs w:val="21"/>
          <w:highlight w:val="none"/>
        </w:rPr>
      </w:pPr>
      <w:bookmarkStart w:id="497" w:name="_Toc406522155"/>
      <w:bookmarkStart w:id="498" w:name="_Toc406419280"/>
      <w:bookmarkStart w:id="499" w:name="_Toc478389124"/>
      <w:r>
        <w:rPr>
          <w:rFonts w:hint="eastAsia" w:ascii="宋体" w:hAnsi="宋体" w:cs="宋体"/>
          <w:color w:val="auto"/>
          <w:sz w:val="21"/>
          <w:szCs w:val="21"/>
          <w:highlight w:val="none"/>
        </w:rPr>
        <w:t>12.3.5总价合同采用支付分解表计量支付的，可以按照第12.3.4项〔总价合同的计量〕约定进行计量，但合同价款按照支付分解表进行支付。</w:t>
      </w:r>
      <w:bookmarkEnd w:id="497"/>
      <w:bookmarkEnd w:id="498"/>
      <w:bookmarkEnd w:id="499"/>
    </w:p>
    <w:p w14:paraId="303424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12.3.6 其他价格形式合同的计量</w:t>
      </w:r>
    </w:p>
    <w:p w14:paraId="5B6AD7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合同当事人可在专用合同条款中约定其他价格形式合同的计量方式和程序。</w:t>
      </w:r>
    </w:p>
    <w:p w14:paraId="2CC78B39">
      <w:pPr>
        <w:keepNext/>
        <w:keepLines/>
        <w:spacing w:line="420" w:lineRule="exact"/>
        <w:ind w:firstLine="0" w:firstLineChars="0"/>
        <w:outlineLvl w:val="0"/>
        <w:rPr>
          <w:rFonts w:ascii="宋体" w:hAnsi="宋体" w:cs="宋体"/>
          <w:b/>
          <w:bCs/>
          <w:color w:val="auto"/>
          <w:kern w:val="44"/>
          <w:sz w:val="21"/>
          <w:szCs w:val="21"/>
          <w:highlight w:val="none"/>
        </w:rPr>
      </w:pPr>
      <w:bookmarkStart w:id="500" w:name="_Toc296346602"/>
      <w:bookmarkStart w:id="501" w:name="_Toc296503101"/>
      <w:bookmarkStart w:id="502" w:name="_Toc478389125"/>
      <w:bookmarkStart w:id="503" w:name="_Toc351203584"/>
      <w:bookmarkStart w:id="504" w:name="_Toc337558803"/>
      <w:r>
        <w:rPr>
          <w:rFonts w:hint="eastAsia" w:ascii="宋体" w:hAnsi="宋体" w:cs="宋体"/>
          <w:b/>
          <w:bCs/>
          <w:color w:val="auto"/>
          <w:kern w:val="44"/>
          <w:sz w:val="21"/>
          <w:szCs w:val="21"/>
          <w:highlight w:val="none"/>
        </w:rPr>
        <w:t>12.4工程进度款支</w:t>
      </w:r>
      <w:bookmarkEnd w:id="500"/>
      <w:bookmarkEnd w:id="501"/>
      <w:r>
        <w:rPr>
          <w:rFonts w:hint="eastAsia" w:ascii="宋体" w:hAnsi="宋体" w:cs="宋体"/>
          <w:b/>
          <w:bCs/>
          <w:color w:val="auto"/>
          <w:kern w:val="44"/>
          <w:sz w:val="21"/>
          <w:szCs w:val="21"/>
          <w:highlight w:val="none"/>
        </w:rPr>
        <w:t>付</w:t>
      </w:r>
      <w:bookmarkEnd w:id="502"/>
      <w:bookmarkEnd w:id="503"/>
    </w:p>
    <w:bookmarkEnd w:id="504"/>
    <w:p w14:paraId="7E34CA38">
      <w:pPr>
        <w:spacing w:line="420" w:lineRule="exact"/>
        <w:ind w:firstLine="420"/>
        <w:outlineLvl w:val="0"/>
        <w:rPr>
          <w:rFonts w:ascii="宋体" w:hAnsi="宋体" w:cs="宋体"/>
          <w:color w:val="auto"/>
          <w:sz w:val="21"/>
          <w:szCs w:val="21"/>
          <w:highlight w:val="none"/>
        </w:rPr>
      </w:pPr>
      <w:bookmarkStart w:id="505" w:name="_Toc406419282"/>
      <w:bookmarkStart w:id="506" w:name="_Toc478389126"/>
      <w:bookmarkStart w:id="507" w:name="_Toc406522157"/>
      <w:r>
        <w:rPr>
          <w:rFonts w:hint="eastAsia" w:ascii="宋体" w:hAnsi="宋体" w:cs="宋体"/>
          <w:color w:val="auto"/>
          <w:sz w:val="21"/>
          <w:szCs w:val="21"/>
          <w:highlight w:val="none"/>
        </w:rPr>
        <w:t>12.4.1 付款周期</w:t>
      </w:r>
      <w:bookmarkEnd w:id="505"/>
      <w:bookmarkEnd w:id="506"/>
      <w:bookmarkEnd w:id="507"/>
    </w:p>
    <w:p w14:paraId="4A3EAF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除专用合同条款另有约定外，付款周期应按照第12.3.2项〔计量周期〕的约定与计量周期保持一致。</w:t>
      </w:r>
    </w:p>
    <w:p w14:paraId="61D5C2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12.4.2 进度付款申请单的编制</w:t>
      </w:r>
    </w:p>
    <w:p w14:paraId="609D28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除专用合同条款另有约定外，进度付款申请单应包括下列内容：</w:t>
      </w:r>
    </w:p>
    <w:p w14:paraId="08330D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（1）截至本次付款周期已完成工作对应的金额；</w:t>
      </w:r>
    </w:p>
    <w:p w14:paraId="299117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（2）根据第10条〔变更〕应增加和扣减的变更金额；</w:t>
      </w:r>
    </w:p>
    <w:p w14:paraId="3E354C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（3）根据第12.2款〔预付款〕约定应支付的预付款和扣减的返还预付款；</w:t>
      </w:r>
    </w:p>
    <w:p w14:paraId="1DCCBB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（4）根据第15.3款〔质量保证金〕约定应扣减的质量保证金；</w:t>
      </w:r>
    </w:p>
    <w:p w14:paraId="525097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（5）根据第19条〔索赔〕应增加和扣减的索赔金额；</w:t>
      </w:r>
    </w:p>
    <w:p w14:paraId="78DC9758">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（6）</w:t>
      </w:r>
      <w:r>
        <w:rPr>
          <w:rFonts w:hint="eastAsia" w:ascii="宋体" w:hAnsi="宋体" w:cs="宋体"/>
          <w:color w:val="auto"/>
          <w:spacing w:val="-4"/>
          <w:sz w:val="21"/>
          <w:szCs w:val="21"/>
          <w:highlight w:val="none"/>
        </w:rPr>
        <w:t>对已签发的进度款支付证书中出现错误的修正，应在本次进度付款中支付或扣除的金额；</w:t>
      </w:r>
    </w:p>
    <w:p w14:paraId="41A6FF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（7）根据合同约定应增加和扣减的其他金额。</w:t>
      </w:r>
    </w:p>
    <w:p w14:paraId="3E987D6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12.4.3 进度付款申请单的提交</w:t>
      </w:r>
    </w:p>
    <w:p w14:paraId="7B107F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（1）单价合同进度付款申请单的提交</w:t>
      </w:r>
    </w:p>
    <w:p w14:paraId="43031C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6978D6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（2）总价合同进度付款申请单的提交</w:t>
      </w:r>
    </w:p>
    <w:p w14:paraId="5BD782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总价合同按月计量支付的，承包人按照第12.3.4项〔总价合同的计量〕约定的时间按月向监理人提交进度付款申请单，并附上已完成工程量报表和有关资料。</w:t>
      </w:r>
    </w:p>
    <w:p w14:paraId="75C773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总价合同按支付分解表支付的，承包人应按照第12.4.6项〔支付分解表〕及第12.4.2项〔进度付款申请单的编制〕的约定向监理人提交进度付款申请单。</w:t>
      </w:r>
    </w:p>
    <w:p w14:paraId="7FABA8A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（3）其他价格形式合同的进度付款申请单的提交</w:t>
      </w:r>
    </w:p>
    <w:p w14:paraId="7772CFE2">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合同当事人可在专用合同条款中约定其他价格形式合同的进度付款申请单的编制和提交程序。</w:t>
      </w:r>
    </w:p>
    <w:p w14:paraId="0A9E05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12.4.4 进度款审核和支付</w:t>
      </w:r>
    </w:p>
    <w:p w14:paraId="6B4A434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1B0312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5FD80C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7E65A3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（3）发包人签发进度款支付证书或临时进度款支付证书，不表明发包人已同意、批准或接受了承包人完成的相应部分的工作。</w:t>
      </w:r>
    </w:p>
    <w:p w14:paraId="1C4827F7">
      <w:pPr>
        <w:spacing w:line="420" w:lineRule="exact"/>
        <w:ind w:firstLine="420"/>
        <w:outlineLvl w:val="0"/>
        <w:rPr>
          <w:rFonts w:ascii="宋体" w:hAnsi="宋体" w:cs="宋体"/>
          <w:color w:val="auto"/>
          <w:sz w:val="21"/>
          <w:szCs w:val="21"/>
          <w:highlight w:val="none"/>
        </w:rPr>
      </w:pPr>
      <w:bookmarkStart w:id="508" w:name="_Toc406419283"/>
      <w:bookmarkStart w:id="509" w:name="_Toc406522158"/>
      <w:bookmarkStart w:id="510" w:name="_Toc478389127"/>
      <w:r>
        <w:rPr>
          <w:rFonts w:hint="eastAsia" w:ascii="宋体" w:hAnsi="宋体" w:cs="宋体"/>
          <w:color w:val="auto"/>
          <w:sz w:val="21"/>
          <w:szCs w:val="21"/>
          <w:highlight w:val="none"/>
        </w:rPr>
        <w:t>12.4.5 进度付款的修正</w:t>
      </w:r>
      <w:bookmarkEnd w:id="508"/>
      <w:bookmarkEnd w:id="509"/>
      <w:bookmarkEnd w:id="510"/>
    </w:p>
    <w:p w14:paraId="1731E42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700A99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12.4.6 支付分解表</w:t>
      </w:r>
    </w:p>
    <w:p w14:paraId="61B20A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1.支付分解表的编制要求</w:t>
      </w:r>
    </w:p>
    <w:p w14:paraId="064F33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（1）支付分解表中所列的每期付款金额，应为第12.4.2项〔进度付款申请单的编制〕第（1）目的估算金额；</w:t>
      </w:r>
    </w:p>
    <w:p w14:paraId="278A0E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（2）实际进度与施工进度计划不一致的，合同当事人可按照第4.4款〔商定或确定〕修改支付分解表；</w:t>
      </w:r>
    </w:p>
    <w:p w14:paraId="7658818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（3）不采用支付分解表的，承包人应向发包人和监理人提交按季度编制的支付估算分解表，用于支付参考。</w:t>
      </w:r>
    </w:p>
    <w:p w14:paraId="3C6E03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2.总价合同支付分解表的编制与审批</w:t>
      </w:r>
    </w:p>
    <w:p w14:paraId="638E7E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6C89596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（2）监理人应在收到支付分解表后7天内完成审核并报送发包人。发包人应在收到经监理人审核的支付分解表后7天内完成审批，经发包人批准的支付分解表为有约束力的支付分解表。</w:t>
      </w:r>
    </w:p>
    <w:p w14:paraId="6C37C5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（3）发包人逾期未完成支付分解表审批的，也未及时要求承包人进行修正和提供补充资料的，则承包人提交的支付分解表视为已经获得发包人批准。</w:t>
      </w:r>
    </w:p>
    <w:p w14:paraId="329018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3.单价合同的总价项目支付分解表的编制与审批</w:t>
      </w:r>
    </w:p>
    <w:p w14:paraId="5D11AC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A0075B0">
      <w:pPr>
        <w:keepNext/>
        <w:keepLines/>
        <w:spacing w:line="420" w:lineRule="exact"/>
        <w:ind w:firstLine="0" w:firstLineChars="0"/>
        <w:outlineLvl w:val="0"/>
        <w:rPr>
          <w:rFonts w:ascii="宋体" w:hAnsi="宋体" w:cs="宋体"/>
          <w:b/>
          <w:bCs/>
          <w:color w:val="auto"/>
          <w:kern w:val="44"/>
          <w:sz w:val="21"/>
          <w:szCs w:val="21"/>
          <w:highlight w:val="none"/>
        </w:rPr>
      </w:pPr>
      <w:bookmarkStart w:id="511" w:name="_Toc478389128"/>
      <w:bookmarkStart w:id="512" w:name="_Toc351203585"/>
      <w:r>
        <w:rPr>
          <w:rFonts w:hint="eastAsia" w:ascii="宋体" w:hAnsi="宋体" w:cs="宋体"/>
          <w:b/>
          <w:bCs/>
          <w:color w:val="auto"/>
          <w:kern w:val="44"/>
          <w:sz w:val="21"/>
          <w:szCs w:val="21"/>
          <w:highlight w:val="none"/>
        </w:rPr>
        <w:t>12.5支付账户</w:t>
      </w:r>
      <w:bookmarkEnd w:id="511"/>
      <w:bookmarkEnd w:id="512"/>
    </w:p>
    <w:p w14:paraId="4EAF93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发包人应将合同价款支付至合同协议书中约定的承包人账户。</w:t>
      </w:r>
    </w:p>
    <w:p w14:paraId="40C67937">
      <w:pPr>
        <w:keepNext/>
        <w:keepLines/>
        <w:spacing w:line="420" w:lineRule="exact"/>
        <w:ind w:firstLine="0" w:firstLineChars="0"/>
        <w:outlineLvl w:val="0"/>
        <w:rPr>
          <w:rFonts w:ascii="宋体" w:hAnsi="宋体" w:cs="宋体"/>
          <w:b/>
          <w:bCs/>
          <w:color w:val="auto"/>
          <w:kern w:val="44"/>
          <w:sz w:val="21"/>
          <w:szCs w:val="21"/>
          <w:highlight w:val="none"/>
        </w:rPr>
      </w:pPr>
      <w:bookmarkStart w:id="513" w:name="_Toc478389129"/>
      <w:bookmarkStart w:id="514" w:name="_Toc351203586"/>
      <w:bookmarkStart w:id="515" w:name="_Toc296503106"/>
      <w:bookmarkStart w:id="516" w:name="_Toc296346607"/>
      <w:bookmarkStart w:id="517" w:name="_Toc322522574"/>
      <w:bookmarkStart w:id="518" w:name="_Toc337558804"/>
      <w:r>
        <w:rPr>
          <w:rFonts w:hint="eastAsia" w:ascii="宋体" w:hAnsi="宋体" w:cs="宋体"/>
          <w:b/>
          <w:bCs/>
          <w:color w:val="auto"/>
          <w:kern w:val="44"/>
          <w:sz w:val="21"/>
          <w:szCs w:val="21"/>
          <w:highlight w:val="none"/>
        </w:rPr>
        <w:t>13. 验收和工程试车</w:t>
      </w:r>
      <w:bookmarkEnd w:id="513"/>
      <w:bookmarkEnd w:id="514"/>
    </w:p>
    <w:bookmarkEnd w:id="515"/>
    <w:bookmarkEnd w:id="516"/>
    <w:bookmarkEnd w:id="517"/>
    <w:bookmarkEnd w:id="518"/>
    <w:p w14:paraId="192506FA">
      <w:pPr>
        <w:keepNext/>
        <w:keepLines/>
        <w:spacing w:line="420" w:lineRule="exact"/>
        <w:ind w:firstLine="0" w:firstLineChars="0"/>
        <w:outlineLvl w:val="0"/>
        <w:rPr>
          <w:rFonts w:ascii="宋体" w:hAnsi="宋体" w:cs="宋体"/>
          <w:b/>
          <w:bCs/>
          <w:color w:val="auto"/>
          <w:kern w:val="44"/>
          <w:sz w:val="21"/>
          <w:szCs w:val="21"/>
          <w:highlight w:val="none"/>
        </w:rPr>
      </w:pPr>
      <w:bookmarkStart w:id="519" w:name="_Toc478389130"/>
      <w:bookmarkStart w:id="520" w:name="_Toc351203587"/>
      <w:bookmarkStart w:id="521" w:name="_Toc337558805"/>
      <w:bookmarkStart w:id="522" w:name="_Toc296503110"/>
      <w:bookmarkStart w:id="523" w:name="_Toc296346611"/>
      <w:r>
        <w:rPr>
          <w:rFonts w:hint="eastAsia" w:ascii="宋体" w:hAnsi="宋体" w:cs="宋体"/>
          <w:b/>
          <w:bCs/>
          <w:color w:val="auto"/>
          <w:kern w:val="44"/>
          <w:sz w:val="21"/>
          <w:szCs w:val="21"/>
          <w:highlight w:val="none"/>
        </w:rPr>
        <w:t>13.1分部分项工程验收</w:t>
      </w:r>
      <w:bookmarkEnd w:id="519"/>
      <w:bookmarkEnd w:id="520"/>
    </w:p>
    <w:bookmarkEnd w:id="521"/>
    <w:p w14:paraId="3C8970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13.1.1分部分项工程质量应符合国家有关工程施工验收规范、标准及合同约定，承包人应按照施工组织设计的要求完成分部分项工程施工。</w:t>
      </w:r>
    </w:p>
    <w:p w14:paraId="7F9C644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2DC01B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分部分项工程的验收资料应当作为竣工资料的组成部分。</w:t>
      </w:r>
    </w:p>
    <w:p w14:paraId="3DFAA583">
      <w:pPr>
        <w:keepNext/>
        <w:keepLines/>
        <w:spacing w:line="420" w:lineRule="exact"/>
        <w:ind w:firstLine="0" w:firstLineChars="0"/>
        <w:outlineLvl w:val="0"/>
        <w:rPr>
          <w:rFonts w:ascii="宋体" w:hAnsi="宋体" w:cs="宋体"/>
          <w:b/>
          <w:bCs/>
          <w:color w:val="auto"/>
          <w:kern w:val="44"/>
          <w:sz w:val="21"/>
          <w:szCs w:val="21"/>
          <w:highlight w:val="none"/>
        </w:rPr>
      </w:pPr>
      <w:bookmarkStart w:id="524" w:name="_Toc351203588"/>
      <w:bookmarkStart w:id="525" w:name="_Toc478389131"/>
      <w:bookmarkStart w:id="526" w:name="_Toc337558806"/>
      <w:r>
        <w:rPr>
          <w:rFonts w:hint="eastAsia" w:ascii="宋体" w:hAnsi="宋体" w:cs="宋体"/>
          <w:b/>
          <w:bCs/>
          <w:color w:val="auto"/>
          <w:kern w:val="44"/>
          <w:sz w:val="21"/>
          <w:szCs w:val="21"/>
          <w:highlight w:val="none"/>
        </w:rPr>
        <w:t>13.2竣工验收</w:t>
      </w:r>
      <w:bookmarkEnd w:id="524"/>
      <w:bookmarkEnd w:id="525"/>
    </w:p>
    <w:bookmarkEnd w:id="522"/>
    <w:bookmarkEnd w:id="523"/>
    <w:bookmarkEnd w:id="526"/>
    <w:p w14:paraId="53AC6875">
      <w:pPr>
        <w:spacing w:line="420" w:lineRule="exact"/>
        <w:ind w:firstLine="420"/>
        <w:outlineLvl w:val="0"/>
        <w:rPr>
          <w:rFonts w:ascii="宋体" w:hAnsi="宋体" w:cs="宋体"/>
          <w:color w:val="auto"/>
          <w:sz w:val="21"/>
          <w:szCs w:val="21"/>
          <w:highlight w:val="none"/>
        </w:rPr>
      </w:pPr>
      <w:bookmarkStart w:id="527" w:name="_Toc406522163"/>
      <w:bookmarkStart w:id="528" w:name="_Toc478389132"/>
      <w:bookmarkStart w:id="529" w:name="_Toc406419288"/>
      <w:r>
        <w:rPr>
          <w:rFonts w:hint="eastAsia" w:ascii="宋体" w:hAnsi="宋体" w:cs="宋体"/>
          <w:color w:val="auto"/>
          <w:sz w:val="21"/>
          <w:szCs w:val="21"/>
          <w:highlight w:val="none"/>
        </w:rPr>
        <w:t>13.2.1竣工验收条件</w:t>
      </w:r>
      <w:bookmarkEnd w:id="527"/>
      <w:bookmarkEnd w:id="528"/>
      <w:bookmarkEnd w:id="529"/>
    </w:p>
    <w:p w14:paraId="1830307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工程具备以下条件的，承包人可以申请竣工验收：</w:t>
      </w:r>
    </w:p>
    <w:p w14:paraId="0BC0F9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（1）除发包人同意的甩项工作和缺陷修补工作外，合同范围内的全部工程以及有关工作，包括合同要求的试验、试运行以及检验均已完成，并符合合同要求；</w:t>
      </w:r>
    </w:p>
    <w:p w14:paraId="051EAF0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（2）已按合同约定编制了甩项工作和缺陷修补工作清单以及相应的施工计划；</w:t>
      </w:r>
    </w:p>
    <w:p w14:paraId="052C7F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（3）已按合同约定的内容和份数备齐竣工资料。</w:t>
      </w:r>
    </w:p>
    <w:p w14:paraId="173544C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13.2.2竣工验收程序</w:t>
      </w:r>
    </w:p>
    <w:p w14:paraId="719D36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除专用合同条款另有约定外，承包人申请竣工验收的，应当按照以下程序进行：</w:t>
      </w:r>
    </w:p>
    <w:p w14:paraId="374C37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1FA32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6C21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（3）竣工验收合格的，发包人应在验收合格后14天内向承包人签发工程接收证书。发包人无正当理由逾期不颁发工程接收证书的，自验收合格后第15天起视为已颁发工程接收证书。</w:t>
      </w:r>
    </w:p>
    <w:p w14:paraId="2D3D2A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E951A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92BD5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01B40E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13.2.3竣工日期</w:t>
      </w:r>
    </w:p>
    <w:p w14:paraId="73929A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530" w:name="#go14"/>
      <w:bookmarkEnd w:id="530"/>
      <w:r>
        <w:rPr>
          <w:rFonts w:hint="eastAsia" w:ascii="宋体" w:hAnsi="宋体" w:cs="宋体"/>
          <w:color w:val="auto"/>
          <w:sz w:val="21"/>
          <w:szCs w:val="21"/>
          <w:highlight w:val="none"/>
        </w:rPr>
        <w:t>收申请报告的日期为实际竣工日期；工程未经竣工验收，发包人擅自使用的，以转移占有工程之日为实际竣工日期。</w:t>
      </w:r>
    </w:p>
    <w:p w14:paraId="5A50C6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13.2.4 拒绝接收全部或部分工程</w:t>
      </w:r>
    </w:p>
    <w:p w14:paraId="67DD52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0B1206E">
      <w:pPr>
        <w:spacing w:line="420" w:lineRule="exact"/>
        <w:ind w:firstLine="420"/>
        <w:outlineLvl w:val="0"/>
        <w:rPr>
          <w:rFonts w:ascii="宋体" w:hAnsi="宋体" w:cs="宋体"/>
          <w:color w:val="auto"/>
          <w:sz w:val="21"/>
          <w:szCs w:val="21"/>
          <w:highlight w:val="none"/>
        </w:rPr>
      </w:pPr>
      <w:bookmarkStart w:id="531" w:name="_Toc478389133"/>
      <w:bookmarkStart w:id="532" w:name="_Toc406419289"/>
      <w:bookmarkStart w:id="533" w:name="_Toc406522164"/>
      <w:r>
        <w:rPr>
          <w:rFonts w:hint="eastAsia" w:ascii="宋体" w:hAnsi="宋体" w:cs="宋体"/>
          <w:color w:val="auto"/>
          <w:sz w:val="21"/>
          <w:szCs w:val="21"/>
          <w:highlight w:val="none"/>
        </w:rPr>
        <w:t>13.2.5 移交、接收全部与部分工程</w:t>
      </w:r>
      <w:bookmarkEnd w:id="531"/>
      <w:bookmarkEnd w:id="532"/>
      <w:bookmarkEnd w:id="533"/>
    </w:p>
    <w:p w14:paraId="1635F235">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除专用合同条款另有约定外，合同当事人应当在颁发工程接收证书后7天内完成工程的移交。</w:t>
      </w:r>
    </w:p>
    <w:p w14:paraId="2E9991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46A09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02EB26E0">
      <w:pPr>
        <w:keepNext/>
        <w:keepLines/>
        <w:spacing w:line="420" w:lineRule="exact"/>
        <w:ind w:firstLine="0" w:firstLineChars="0"/>
        <w:outlineLvl w:val="0"/>
        <w:rPr>
          <w:rFonts w:ascii="宋体" w:hAnsi="宋体" w:cs="宋体"/>
          <w:b/>
          <w:bCs/>
          <w:color w:val="auto"/>
          <w:kern w:val="44"/>
          <w:sz w:val="21"/>
          <w:szCs w:val="21"/>
          <w:highlight w:val="none"/>
        </w:rPr>
      </w:pPr>
      <w:bookmarkStart w:id="534" w:name="_Toc351203589"/>
      <w:bookmarkStart w:id="535" w:name="_Toc478389134"/>
      <w:bookmarkStart w:id="536" w:name="_Toc296346612"/>
      <w:bookmarkStart w:id="537" w:name="_Toc296503111"/>
      <w:bookmarkStart w:id="538" w:name="_Toc337558807"/>
      <w:r>
        <w:rPr>
          <w:rFonts w:hint="eastAsia" w:ascii="宋体" w:hAnsi="宋体" w:cs="宋体"/>
          <w:b/>
          <w:bCs/>
          <w:color w:val="auto"/>
          <w:kern w:val="44"/>
          <w:sz w:val="21"/>
          <w:szCs w:val="21"/>
          <w:highlight w:val="none"/>
        </w:rPr>
        <w:t>13.3工程试车</w:t>
      </w:r>
      <w:bookmarkEnd w:id="534"/>
      <w:bookmarkEnd w:id="535"/>
    </w:p>
    <w:bookmarkEnd w:id="536"/>
    <w:bookmarkEnd w:id="537"/>
    <w:bookmarkEnd w:id="538"/>
    <w:p w14:paraId="123F14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13.3.1试车程序</w:t>
      </w:r>
    </w:p>
    <w:p w14:paraId="18FC844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工程需要试车的，除专用合同条款另有约定外，试车内容应与承包人承包范围相一致，试车费用由承包人承担。工程试车应按如下程序进行：</w:t>
      </w:r>
    </w:p>
    <w:p w14:paraId="2A6BA8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7F39A63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1AA3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（2）具备无负荷联动试车条件，发包人组织试车，并在试车前48小时以书面形式通知承包人。通知中应载明试车内容、时间、地点和对承包人的要求，承包人按要求做好准备工作。</w:t>
      </w:r>
      <w:r>
        <w:rPr>
          <w:rFonts w:hint="eastAsia" w:ascii="宋体" w:hAnsi="宋体" w:cs="宋体"/>
          <w:color w:val="auto"/>
          <w:spacing w:val="-4"/>
          <w:sz w:val="21"/>
          <w:szCs w:val="21"/>
          <w:highlight w:val="none"/>
        </w:rPr>
        <w:t>试车合格，合同当事人在试车记录上签字。承包人无正当理由不参加试车的，视为认可试车记录。</w:t>
      </w:r>
    </w:p>
    <w:p w14:paraId="5A45E9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13.3.2 试车中的责任</w:t>
      </w:r>
    </w:p>
    <w:p w14:paraId="471608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35691C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1B2493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13.3.3 投料试车</w:t>
      </w:r>
    </w:p>
    <w:p w14:paraId="653400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如需进行投料试车的，发包人应在工程竣工验收后组织投料试车。发包人要求在工程竣工验收前进行或需要承包人配合时，应征得承包人同意，并在专用合同条款中约定有关事项。</w:t>
      </w:r>
    </w:p>
    <w:p w14:paraId="170E02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0F742B78">
      <w:pPr>
        <w:keepNext/>
        <w:keepLines/>
        <w:spacing w:line="420" w:lineRule="exact"/>
        <w:ind w:firstLine="0" w:firstLineChars="0"/>
        <w:outlineLvl w:val="0"/>
        <w:rPr>
          <w:rFonts w:ascii="宋体" w:hAnsi="宋体" w:cs="宋体"/>
          <w:b/>
          <w:bCs/>
          <w:color w:val="auto"/>
          <w:kern w:val="44"/>
          <w:sz w:val="21"/>
          <w:szCs w:val="21"/>
          <w:highlight w:val="none"/>
        </w:rPr>
      </w:pPr>
      <w:bookmarkStart w:id="539" w:name="_Toc351203590"/>
      <w:bookmarkStart w:id="540" w:name="_Toc478389135"/>
      <w:bookmarkStart w:id="541" w:name="_Toc337558808"/>
      <w:r>
        <w:rPr>
          <w:rFonts w:hint="eastAsia" w:ascii="宋体" w:hAnsi="宋体" w:cs="宋体"/>
          <w:b/>
          <w:bCs/>
          <w:color w:val="auto"/>
          <w:kern w:val="44"/>
          <w:sz w:val="21"/>
          <w:szCs w:val="21"/>
          <w:highlight w:val="none"/>
        </w:rPr>
        <w:t>13.4提前交付单位工程的验收</w:t>
      </w:r>
      <w:bookmarkEnd w:id="539"/>
      <w:bookmarkEnd w:id="540"/>
    </w:p>
    <w:bookmarkEnd w:id="541"/>
    <w:p w14:paraId="76B443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13.4.1 发包人需要在工程竣工前使用单位工程的，或承包人提出提前交付已经竣工的单位工程且经发包人同意的，可进行单位工程验收，验收的程序按照第13.2款〔竣工验收〕的约定进行。</w:t>
      </w:r>
    </w:p>
    <w:p w14:paraId="7C944C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603BA4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13.4.2 发包人要求在工程竣工前交付单位工程，由此导致承包人费用增加和（或）工期延误的，由发包人承担由此增加的费用和（或）延误的工期，并支付承包人合理的利润。</w:t>
      </w:r>
    </w:p>
    <w:p w14:paraId="6B1A25B6">
      <w:pPr>
        <w:keepNext/>
        <w:keepLines/>
        <w:spacing w:line="420" w:lineRule="exact"/>
        <w:ind w:firstLine="0" w:firstLineChars="0"/>
        <w:outlineLvl w:val="0"/>
        <w:rPr>
          <w:rFonts w:ascii="宋体" w:hAnsi="宋体" w:cs="宋体"/>
          <w:b/>
          <w:bCs/>
          <w:color w:val="auto"/>
          <w:kern w:val="44"/>
          <w:sz w:val="21"/>
          <w:szCs w:val="21"/>
          <w:highlight w:val="none"/>
        </w:rPr>
      </w:pPr>
      <w:bookmarkStart w:id="542" w:name="_Toc478389136"/>
      <w:bookmarkStart w:id="543" w:name="_Toc351203591"/>
      <w:r>
        <w:rPr>
          <w:rFonts w:hint="eastAsia" w:ascii="宋体" w:hAnsi="宋体" w:cs="宋体"/>
          <w:b/>
          <w:bCs/>
          <w:color w:val="auto"/>
          <w:kern w:val="44"/>
          <w:sz w:val="21"/>
          <w:szCs w:val="21"/>
          <w:highlight w:val="none"/>
        </w:rPr>
        <w:t>13.5 施工期运行</w:t>
      </w:r>
      <w:bookmarkEnd w:id="542"/>
      <w:bookmarkEnd w:id="543"/>
    </w:p>
    <w:p w14:paraId="6525A2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13.5.1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6FE5D9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13.5.2在施工期运行中发现工程或工程设备损坏或存在缺陷的，由承包人按第15.2款〔缺陷责任期〕约定进行修复。</w:t>
      </w:r>
    </w:p>
    <w:p w14:paraId="5FE5D9D8">
      <w:pPr>
        <w:keepNext/>
        <w:keepLines/>
        <w:spacing w:line="420" w:lineRule="exact"/>
        <w:ind w:firstLine="0" w:firstLineChars="0"/>
        <w:outlineLvl w:val="0"/>
        <w:rPr>
          <w:rFonts w:ascii="宋体" w:hAnsi="宋体" w:cs="宋体"/>
          <w:b/>
          <w:bCs/>
          <w:color w:val="auto"/>
          <w:kern w:val="44"/>
          <w:sz w:val="21"/>
          <w:szCs w:val="21"/>
          <w:highlight w:val="none"/>
        </w:rPr>
      </w:pPr>
      <w:bookmarkStart w:id="544" w:name="_Toc296503112"/>
      <w:bookmarkStart w:id="545" w:name="_Toc296346613"/>
      <w:bookmarkStart w:id="546" w:name="_Toc351203592"/>
      <w:bookmarkStart w:id="547" w:name="_Toc478389137"/>
      <w:bookmarkStart w:id="548" w:name="_Toc337558809"/>
      <w:r>
        <w:rPr>
          <w:rFonts w:hint="eastAsia" w:ascii="宋体" w:hAnsi="宋体" w:cs="宋体"/>
          <w:b/>
          <w:bCs/>
          <w:color w:val="auto"/>
          <w:kern w:val="44"/>
          <w:sz w:val="21"/>
          <w:szCs w:val="21"/>
          <w:highlight w:val="none"/>
        </w:rPr>
        <w:t>13.6 竣工退</w:t>
      </w:r>
      <w:bookmarkEnd w:id="544"/>
      <w:bookmarkEnd w:id="545"/>
      <w:r>
        <w:rPr>
          <w:rFonts w:hint="eastAsia" w:ascii="宋体" w:hAnsi="宋体" w:cs="宋体"/>
          <w:b/>
          <w:bCs/>
          <w:color w:val="auto"/>
          <w:kern w:val="44"/>
          <w:sz w:val="21"/>
          <w:szCs w:val="21"/>
          <w:highlight w:val="none"/>
        </w:rPr>
        <w:t>场</w:t>
      </w:r>
      <w:bookmarkEnd w:id="546"/>
      <w:bookmarkEnd w:id="547"/>
    </w:p>
    <w:bookmarkEnd w:id="548"/>
    <w:p w14:paraId="0FE32C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13.6.1 竣工退场</w:t>
      </w:r>
    </w:p>
    <w:p w14:paraId="1939AB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颁发工程接收证书后，承包人应按以下要求对施工现场进行清理：</w:t>
      </w:r>
    </w:p>
    <w:p w14:paraId="54640C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（1）施工现场内残留的垃圾已全部清除出场；</w:t>
      </w:r>
    </w:p>
    <w:p w14:paraId="1D52CB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（2）临时工程已拆除，场地已进行清理、平整或复原；</w:t>
      </w:r>
    </w:p>
    <w:p w14:paraId="0C4E4C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（3）按合同约定应撤离的人员、承包人施工设备和剩余的材料，包括废弃的施工设备和材料，已按计划撤离施工现场；</w:t>
      </w:r>
    </w:p>
    <w:p w14:paraId="32CD0F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（4）施工现场周边及其附近道路、河道的施工堆积物，已全部清理；</w:t>
      </w:r>
    </w:p>
    <w:p w14:paraId="7FE5C5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（5）施工现场其他场地清理工作已全部完成。</w:t>
      </w:r>
    </w:p>
    <w:p w14:paraId="2CE359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28F0CE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13.6.2 地表还原</w:t>
      </w:r>
    </w:p>
    <w:p w14:paraId="392333E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168BC3D2">
      <w:pPr>
        <w:keepNext/>
        <w:keepLines/>
        <w:spacing w:line="420" w:lineRule="exact"/>
        <w:ind w:firstLine="0" w:firstLineChars="0"/>
        <w:outlineLvl w:val="0"/>
        <w:rPr>
          <w:rFonts w:ascii="宋体" w:hAnsi="宋体" w:cs="宋体"/>
          <w:b/>
          <w:bCs/>
          <w:color w:val="auto"/>
          <w:kern w:val="44"/>
          <w:sz w:val="21"/>
          <w:szCs w:val="21"/>
          <w:highlight w:val="none"/>
        </w:rPr>
      </w:pPr>
      <w:bookmarkStart w:id="549" w:name="_Toc478389138"/>
      <w:bookmarkStart w:id="550" w:name="_Toc351203593"/>
      <w:bookmarkStart w:id="551" w:name="_Toc337558810"/>
      <w:bookmarkStart w:id="552" w:name="_Toc296503113"/>
      <w:bookmarkStart w:id="553" w:name="_Toc296346614"/>
      <w:r>
        <w:rPr>
          <w:rFonts w:hint="eastAsia" w:ascii="宋体" w:hAnsi="宋体" w:cs="宋体"/>
          <w:b/>
          <w:bCs/>
          <w:color w:val="auto"/>
          <w:kern w:val="44"/>
          <w:sz w:val="21"/>
          <w:szCs w:val="21"/>
          <w:highlight w:val="none"/>
        </w:rPr>
        <w:t>14. 竣工结算</w:t>
      </w:r>
      <w:bookmarkEnd w:id="549"/>
      <w:bookmarkEnd w:id="550"/>
    </w:p>
    <w:bookmarkEnd w:id="551"/>
    <w:p w14:paraId="0AE41606">
      <w:pPr>
        <w:keepNext/>
        <w:keepLines/>
        <w:spacing w:line="420" w:lineRule="exact"/>
        <w:ind w:firstLine="0" w:firstLineChars="0"/>
        <w:outlineLvl w:val="0"/>
        <w:rPr>
          <w:rFonts w:ascii="宋体" w:hAnsi="宋体" w:cs="宋体"/>
          <w:b/>
          <w:bCs/>
          <w:color w:val="auto"/>
          <w:kern w:val="44"/>
          <w:sz w:val="21"/>
          <w:szCs w:val="21"/>
          <w:highlight w:val="none"/>
        </w:rPr>
      </w:pPr>
      <w:bookmarkStart w:id="554" w:name="_Toc351203594"/>
      <w:bookmarkStart w:id="555" w:name="_Toc478389139"/>
      <w:bookmarkStart w:id="556" w:name="_Toc337558811"/>
      <w:r>
        <w:rPr>
          <w:rFonts w:hint="eastAsia" w:ascii="宋体" w:hAnsi="宋体" w:cs="宋体"/>
          <w:b/>
          <w:bCs/>
          <w:color w:val="auto"/>
          <w:kern w:val="44"/>
          <w:sz w:val="21"/>
          <w:szCs w:val="21"/>
          <w:highlight w:val="none"/>
        </w:rPr>
        <w:t>14.1 竣工结算申请</w:t>
      </w:r>
      <w:bookmarkEnd w:id="554"/>
      <w:bookmarkEnd w:id="555"/>
    </w:p>
    <w:bookmarkEnd w:id="556"/>
    <w:p w14:paraId="6B2DA9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51D1BA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除专用合同条款另有约定外，竣工结算申请单应包括以下内容：</w:t>
      </w:r>
    </w:p>
    <w:p w14:paraId="75F2ED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（1）竣工结算合同价格；</w:t>
      </w:r>
    </w:p>
    <w:p w14:paraId="0395624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（2）发包人已支付承包人的款项；</w:t>
      </w:r>
    </w:p>
    <w:p w14:paraId="14E873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（3）应扣留的质量保证金； </w:t>
      </w:r>
    </w:p>
    <w:p w14:paraId="349DD5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（4）发包人应支付承包人的合同价款。</w:t>
      </w:r>
    </w:p>
    <w:p w14:paraId="2609FF3E">
      <w:pPr>
        <w:keepNext/>
        <w:keepLines/>
        <w:spacing w:line="420" w:lineRule="exact"/>
        <w:ind w:firstLine="0" w:firstLineChars="0"/>
        <w:outlineLvl w:val="0"/>
        <w:rPr>
          <w:rFonts w:ascii="宋体" w:hAnsi="宋体" w:cs="宋体"/>
          <w:b/>
          <w:bCs/>
          <w:color w:val="auto"/>
          <w:kern w:val="44"/>
          <w:sz w:val="21"/>
          <w:szCs w:val="21"/>
          <w:highlight w:val="none"/>
        </w:rPr>
      </w:pPr>
      <w:bookmarkStart w:id="557" w:name="_Toc478389140"/>
      <w:bookmarkStart w:id="558" w:name="_Toc351203595"/>
      <w:bookmarkStart w:id="559" w:name="_Toc337558812"/>
      <w:r>
        <w:rPr>
          <w:rFonts w:hint="eastAsia" w:ascii="宋体" w:hAnsi="宋体" w:cs="宋体"/>
          <w:b/>
          <w:bCs/>
          <w:color w:val="auto"/>
          <w:kern w:val="44"/>
          <w:sz w:val="21"/>
          <w:szCs w:val="21"/>
          <w:highlight w:val="none"/>
        </w:rPr>
        <w:t>14.2 竣工结算审核</w:t>
      </w:r>
      <w:bookmarkEnd w:id="557"/>
      <w:bookmarkEnd w:id="558"/>
    </w:p>
    <w:bookmarkEnd w:id="559"/>
    <w:p w14:paraId="6891B9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399783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04A0B3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2411B4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5637E593">
      <w:pPr>
        <w:keepNext/>
        <w:keepLines/>
        <w:spacing w:line="420" w:lineRule="exact"/>
        <w:ind w:firstLine="0" w:firstLineChars="0"/>
        <w:outlineLvl w:val="0"/>
        <w:rPr>
          <w:rFonts w:ascii="宋体" w:hAnsi="宋体" w:cs="宋体"/>
          <w:b/>
          <w:bCs/>
          <w:color w:val="auto"/>
          <w:kern w:val="44"/>
          <w:sz w:val="21"/>
          <w:szCs w:val="21"/>
          <w:highlight w:val="none"/>
        </w:rPr>
      </w:pPr>
      <w:bookmarkStart w:id="560" w:name="_Toc351203596"/>
      <w:bookmarkStart w:id="561" w:name="_Toc478389141"/>
      <w:bookmarkStart w:id="562" w:name="_Toc337558813"/>
      <w:r>
        <w:rPr>
          <w:rFonts w:hint="eastAsia" w:ascii="宋体" w:hAnsi="宋体" w:cs="宋体"/>
          <w:b/>
          <w:bCs/>
          <w:color w:val="auto"/>
          <w:kern w:val="44"/>
          <w:sz w:val="21"/>
          <w:szCs w:val="21"/>
          <w:highlight w:val="none"/>
        </w:rPr>
        <w:t>14.3 甩项竣工协议</w:t>
      </w:r>
      <w:bookmarkEnd w:id="560"/>
      <w:bookmarkEnd w:id="561"/>
    </w:p>
    <w:bookmarkEnd w:id="562"/>
    <w:p w14:paraId="396F09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73D9B4AD">
      <w:pPr>
        <w:keepNext/>
        <w:keepLines/>
        <w:spacing w:line="420" w:lineRule="exact"/>
        <w:ind w:firstLine="0" w:firstLineChars="0"/>
        <w:outlineLvl w:val="0"/>
        <w:rPr>
          <w:rFonts w:ascii="宋体" w:hAnsi="宋体" w:cs="宋体"/>
          <w:b/>
          <w:bCs/>
          <w:color w:val="auto"/>
          <w:kern w:val="44"/>
          <w:sz w:val="21"/>
          <w:szCs w:val="21"/>
          <w:highlight w:val="none"/>
        </w:rPr>
      </w:pPr>
      <w:bookmarkStart w:id="563" w:name="_Toc351203597"/>
      <w:bookmarkStart w:id="564" w:name="_Toc478389142"/>
      <w:bookmarkStart w:id="565" w:name="_Toc337558814"/>
      <w:r>
        <w:rPr>
          <w:rFonts w:hint="eastAsia" w:ascii="宋体" w:hAnsi="宋体" w:cs="宋体"/>
          <w:b/>
          <w:bCs/>
          <w:color w:val="auto"/>
          <w:kern w:val="44"/>
          <w:sz w:val="21"/>
          <w:szCs w:val="21"/>
          <w:highlight w:val="none"/>
        </w:rPr>
        <w:t>14.4 最终结清</w:t>
      </w:r>
      <w:bookmarkEnd w:id="563"/>
      <w:bookmarkEnd w:id="564"/>
    </w:p>
    <w:bookmarkEnd w:id="565"/>
    <w:p w14:paraId="01F551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14.4.1 最终结清申请单</w:t>
      </w:r>
    </w:p>
    <w:p w14:paraId="3B4FF0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（1）除专用合同条款另有约定外，承包人应在缺陷责任期终止证书颁发后7天内，按专用合同条款约定的份数向发包人提交最终结清申请单，并提供相关证明材料。</w:t>
      </w:r>
    </w:p>
    <w:p w14:paraId="04BDCB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除专用合同条款另有约定外，最终结清申请单应列明质量保证金、应扣除的质量保证金、缺陷责任期内发生的增减费用。</w:t>
      </w:r>
    </w:p>
    <w:p w14:paraId="00429B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（2）发包人对最终结清申请单内容有异议的，有权要求承包人进行修正和提供补充资料，承包人应向发包人提交修正后的最终结清申请单。</w:t>
      </w:r>
    </w:p>
    <w:p w14:paraId="165EE7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14.4.2 最终结清证书和支付</w:t>
      </w:r>
    </w:p>
    <w:p w14:paraId="51E3FA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21D83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14DCD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（3）承包人对发包人颁发的最终结清证书有异议的，按第20条〔争议解决〕的约定办理。</w:t>
      </w:r>
    </w:p>
    <w:p w14:paraId="10CC2149">
      <w:pPr>
        <w:keepNext/>
        <w:keepLines/>
        <w:spacing w:line="420" w:lineRule="exact"/>
        <w:ind w:firstLine="0" w:firstLineChars="0"/>
        <w:outlineLvl w:val="0"/>
        <w:rPr>
          <w:rFonts w:ascii="宋体" w:hAnsi="宋体" w:cs="宋体"/>
          <w:b/>
          <w:bCs/>
          <w:color w:val="auto"/>
          <w:kern w:val="44"/>
          <w:sz w:val="21"/>
          <w:szCs w:val="21"/>
          <w:highlight w:val="none"/>
        </w:rPr>
      </w:pPr>
      <w:bookmarkStart w:id="566" w:name="_Toc478389143"/>
      <w:bookmarkStart w:id="567" w:name="_Toc351203598"/>
      <w:bookmarkStart w:id="568" w:name="_Toc337558815"/>
      <w:r>
        <w:rPr>
          <w:rFonts w:hint="eastAsia" w:ascii="宋体" w:hAnsi="宋体" w:cs="宋体"/>
          <w:b/>
          <w:bCs/>
          <w:color w:val="auto"/>
          <w:kern w:val="44"/>
          <w:sz w:val="21"/>
          <w:szCs w:val="21"/>
          <w:highlight w:val="none"/>
        </w:rPr>
        <w:t>15. 缺陷责任与保修</w:t>
      </w:r>
      <w:bookmarkEnd w:id="566"/>
      <w:bookmarkEnd w:id="567"/>
    </w:p>
    <w:bookmarkEnd w:id="552"/>
    <w:bookmarkEnd w:id="553"/>
    <w:bookmarkEnd w:id="568"/>
    <w:p w14:paraId="02259F5A">
      <w:pPr>
        <w:keepNext/>
        <w:keepLines/>
        <w:spacing w:line="420" w:lineRule="exact"/>
        <w:ind w:firstLine="0" w:firstLineChars="0"/>
        <w:outlineLvl w:val="0"/>
        <w:rPr>
          <w:rFonts w:ascii="宋体" w:hAnsi="宋体" w:cs="宋体"/>
          <w:b/>
          <w:bCs/>
          <w:color w:val="auto"/>
          <w:kern w:val="44"/>
          <w:sz w:val="21"/>
          <w:szCs w:val="21"/>
          <w:highlight w:val="none"/>
        </w:rPr>
      </w:pPr>
      <w:bookmarkStart w:id="569" w:name="_Toc351203599"/>
      <w:bookmarkStart w:id="570" w:name="_Toc478389144"/>
      <w:bookmarkStart w:id="571" w:name="_Toc337558816"/>
      <w:bookmarkStart w:id="572" w:name="_Toc296503114"/>
      <w:bookmarkStart w:id="573" w:name="_Toc296346615"/>
      <w:r>
        <w:rPr>
          <w:rFonts w:hint="eastAsia" w:ascii="宋体" w:hAnsi="宋体" w:cs="宋体"/>
          <w:b/>
          <w:bCs/>
          <w:color w:val="auto"/>
          <w:kern w:val="44"/>
          <w:sz w:val="21"/>
          <w:szCs w:val="21"/>
          <w:highlight w:val="none"/>
        </w:rPr>
        <w:t>15.1 工程保修的原则</w:t>
      </w:r>
      <w:bookmarkEnd w:id="569"/>
      <w:bookmarkEnd w:id="570"/>
    </w:p>
    <w:bookmarkEnd w:id="571"/>
    <w:p w14:paraId="785EEB2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在工程移交发包人后，因承包人原因产生的质量缺陷，承包人应承担质量缺陷责任和保修义务。缺陷责任期届满，承包人仍应按合同约定的工程各部位保修年限承担保修义务。</w:t>
      </w:r>
    </w:p>
    <w:p w14:paraId="6C701E7E">
      <w:pPr>
        <w:keepNext/>
        <w:keepLines/>
        <w:spacing w:line="420" w:lineRule="exact"/>
        <w:ind w:firstLine="0" w:firstLineChars="0"/>
        <w:outlineLvl w:val="0"/>
        <w:rPr>
          <w:rFonts w:ascii="宋体" w:hAnsi="宋体" w:cs="宋体"/>
          <w:b/>
          <w:bCs/>
          <w:color w:val="auto"/>
          <w:kern w:val="44"/>
          <w:sz w:val="21"/>
          <w:szCs w:val="21"/>
          <w:highlight w:val="none"/>
        </w:rPr>
      </w:pPr>
      <w:bookmarkStart w:id="574" w:name="_Toc351203600"/>
      <w:bookmarkStart w:id="575" w:name="_Toc478389145"/>
      <w:bookmarkStart w:id="576" w:name="_Toc337558817"/>
      <w:r>
        <w:rPr>
          <w:rFonts w:hint="eastAsia" w:ascii="宋体" w:hAnsi="宋体" w:cs="宋体"/>
          <w:b/>
          <w:bCs/>
          <w:color w:val="auto"/>
          <w:kern w:val="44"/>
          <w:sz w:val="21"/>
          <w:szCs w:val="21"/>
          <w:highlight w:val="none"/>
        </w:rPr>
        <w:t>15.2 缺陷责任期</w:t>
      </w:r>
      <w:bookmarkEnd w:id="572"/>
      <w:bookmarkEnd w:id="573"/>
      <w:bookmarkEnd w:id="574"/>
      <w:bookmarkEnd w:id="575"/>
    </w:p>
    <w:bookmarkEnd w:id="576"/>
    <w:p w14:paraId="244ECB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15.2.1缺陷责任期自实际竣工日期起计算，合同当事人应在专用合同条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约定缺陷责任期的具体期限。</w:t>
      </w:r>
    </w:p>
    <w:p w14:paraId="7DD34E2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2E69617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15.2.2工程竣工验收合格后，因承包人原因导致的缺陷或损坏致使工程、单位工程或某项主要设备不能按原定目的使用的，则发包人有权要求承</w:t>
      </w:r>
      <w:r>
        <w:rPr>
          <w:rFonts w:hint="eastAsia" w:ascii="宋体" w:hAnsi="宋体" w:cs="宋体"/>
          <w:bCs/>
          <w:color w:val="auto"/>
          <w:sz w:val="21"/>
          <w:szCs w:val="21"/>
          <w:highlight w:val="none"/>
        </w:rPr>
        <w:t>包人延长缺陷责任期，</w:t>
      </w:r>
      <w:r>
        <w:rPr>
          <w:rFonts w:hint="eastAsia" w:ascii="宋体" w:hAnsi="宋体" w:cs="宋体"/>
          <w:color w:val="auto"/>
          <w:sz w:val="21"/>
          <w:szCs w:val="21"/>
          <w:highlight w:val="none"/>
        </w:rPr>
        <w:t>并应在原缺陷责任期届满前发出延长通知。</w:t>
      </w:r>
    </w:p>
    <w:p w14:paraId="1BCC05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15.2.3任何一项缺陷或损坏修复后，经检查证明其影响了工程或工程设备的使用性能，承包人应重新进行合同约定的试验和试运行，试验和试运行的全部费用应由责任方承担。</w:t>
      </w:r>
    </w:p>
    <w:p w14:paraId="7D0ACD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227A80E4">
      <w:pPr>
        <w:keepNext/>
        <w:keepLines/>
        <w:spacing w:line="420" w:lineRule="exact"/>
        <w:ind w:firstLine="0" w:firstLineChars="0"/>
        <w:outlineLvl w:val="0"/>
        <w:rPr>
          <w:rFonts w:ascii="宋体" w:hAnsi="宋体" w:cs="宋体"/>
          <w:b/>
          <w:bCs/>
          <w:color w:val="auto"/>
          <w:kern w:val="44"/>
          <w:sz w:val="21"/>
          <w:szCs w:val="21"/>
          <w:highlight w:val="none"/>
        </w:rPr>
      </w:pPr>
      <w:bookmarkStart w:id="577" w:name="_Toc351203601"/>
      <w:bookmarkStart w:id="578" w:name="_Toc478389146"/>
      <w:bookmarkStart w:id="579" w:name="_Toc337558818"/>
      <w:bookmarkStart w:id="580" w:name="_Toc296503115"/>
      <w:bookmarkStart w:id="581" w:name="_Toc296346616"/>
      <w:r>
        <w:rPr>
          <w:rFonts w:hint="eastAsia" w:ascii="宋体" w:hAnsi="宋体" w:cs="宋体"/>
          <w:b/>
          <w:bCs/>
          <w:color w:val="auto"/>
          <w:kern w:val="44"/>
          <w:sz w:val="21"/>
          <w:szCs w:val="21"/>
          <w:highlight w:val="none"/>
        </w:rPr>
        <w:t>15.3 质量保证金</w:t>
      </w:r>
      <w:bookmarkEnd w:id="577"/>
      <w:bookmarkEnd w:id="578"/>
    </w:p>
    <w:bookmarkEnd w:id="579"/>
    <w:p w14:paraId="50AF79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经合同当事人协商一致扣留质量保证金的，应在专用合同条款中予以明确。</w:t>
      </w:r>
    </w:p>
    <w:p w14:paraId="76C6B9B5">
      <w:pPr>
        <w:spacing w:line="420" w:lineRule="exact"/>
        <w:ind w:firstLine="420"/>
        <w:outlineLvl w:val="0"/>
        <w:rPr>
          <w:rFonts w:ascii="宋体" w:hAnsi="宋体" w:cs="宋体"/>
          <w:color w:val="auto"/>
          <w:sz w:val="21"/>
          <w:szCs w:val="21"/>
          <w:highlight w:val="none"/>
        </w:rPr>
      </w:pPr>
      <w:bookmarkStart w:id="582" w:name="_Toc478389147"/>
      <w:bookmarkStart w:id="583" w:name="_Toc406522178"/>
      <w:bookmarkStart w:id="584" w:name="_Toc406419303"/>
      <w:r>
        <w:rPr>
          <w:rFonts w:hint="eastAsia" w:ascii="宋体" w:hAnsi="宋体" w:cs="宋体"/>
          <w:color w:val="auto"/>
          <w:sz w:val="21"/>
          <w:szCs w:val="21"/>
          <w:highlight w:val="none"/>
        </w:rPr>
        <w:t>15.3.1 承包人提供质量保证金的方式</w:t>
      </w:r>
      <w:bookmarkEnd w:id="582"/>
      <w:bookmarkEnd w:id="583"/>
      <w:bookmarkEnd w:id="584"/>
    </w:p>
    <w:p w14:paraId="40CF42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承包人提供质量保证金有以下三种方式：</w:t>
      </w:r>
    </w:p>
    <w:p w14:paraId="6A492BC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（1）质量保证金保函； </w:t>
      </w:r>
    </w:p>
    <w:p w14:paraId="1421BC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（2）相应比例的工程款；</w:t>
      </w:r>
    </w:p>
    <w:p w14:paraId="6D43859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（3）双方约定的其他方式。</w:t>
      </w:r>
    </w:p>
    <w:p w14:paraId="5269A5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除专用合同条款另有约定外，质量保证金原则上采用上述第（1）种方式。</w:t>
      </w:r>
    </w:p>
    <w:p w14:paraId="39F9A5A5">
      <w:pPr>
        <w:spacing w:line="420" w:lineRule="exact"/>
        <w:ind w:firstLine="420"/>
        <w:outlineLvl w:val="0"/>
        <w:rPr>
          <w:rFonts w:ascii="宋体" w:hAnsi="宋体" w:cs="宋体"/>
          <w:color w:val="auto"/>
          <w:sz w:val="21"/>
          <w:szCs w:val="21"/>
          <w:highlight w:val="none"/>
        </w:rPr>
      </w:pPr>
      <w:bookmarkStart w:id="585" w:name="_Toc478389148"/>
      <w:bookmarkStart w:id="586" w:name="_Toc406419304"/>
      <w:bookmarkStart w:id="587" w:name="_Toc406522179"/>
      <w:r>
        <w:rPr>
          <w:rFonts w:hint="eastAsia" w:ascii="宋体" w:hAnsi="宋体" w:cs="宋体"/>
          <w:color w:val="auto"/>
          <w:sz w:val="21"/>
          <w:szCs w:val="21"/>
          <w:highlight w:val="none"/>
        </w:rPr>
        <w:t>15.3.2 质量保证金的扣留</w:t>
      </w:r>
      <w:bookmarkEnd w:id="585"/>
      <w:bookmarkEnd w:id="586"/>
      <w:bookmarkEnd w:id="587"/>
    </w:p>
    <w:p w14:paraId="3954820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质量保证金的扣留有以下三种方式：</w:t>
      </w:r>
    </w:p>
    <w:p w14:paraId="7A0C631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（1）在支付工程进度款时逐次扣留，在此情形下，质量保证金的计算基数不包括预付款的支付、扣回以及价格调整的金额；</w:t>
      </w:r>
    </w:p>
    <w:p w14:paraId="484327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w:t>
      </w:r>
      <w:bookmarkStart w:id="588" w:name="#go6"/>
      <w:bookmarkEnd w:id="588"/>
      <w:r>
        <w:rPr>
          <w:rFonts w:hint="eastAsia" w:ascii="宋体" w:hAnsi="宋体" w:cs="宋体"/>
          <w:color w:val="auto"/>
          <w:sz w:val="21"/>
          <w:szCs w:val="21"/>
          <w:highlight w:val="none"/>
        </w:rPr>
        <w:t>程竣工结算时一次性扣留质量保证金；</w:t>
      </w:r>
    </w:p>
    <w:p w14:paraId="53607C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（3）双方约定的其他扣留方式。</w:t>
      </w:r>
    </w:p>
    <w:p w14:paraId="37820D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除专用合同条款另有约定外，质量保证金的扣留原则上采用上述第（1）种方式。</w:t>
      </w:r>
    </w:p>
    <w:p w14:paraId="134616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w:t>
      </w:r>
      <w:bookmarkStart w:id="589" w:name="#go4"/>
      <w:bookmarkEnd w:id="589"/>
      <w:r>
        <w:rPr>
          <w:rFonts w:hint="eastAsia" w:ascii="宋体" w:hAnsi="宋体" w:cs="宋体"/>
          <w:color w:val="auto"/>
          <w:sz w:val="21"/>
          <w:szCs w:val="21"/>
          <w:highlight w:val="none"/>
        </w:rPr>
        <w:t>包人累计扣留的质量保证金不得超过结算合同价格的</w:t>
      </w:r>
      <w:r>
        <w:rPr>
          <w:rFonts w:ascii="宋体" w:hAnsi="宋体" w:cs="宋体"/>
          <w:color w:val="auto"/>
          <w:sz w:val="21"/>
          <w:szCs w:val="21"/>
          <w:highlight w:val="none"/>
        </w:rPr>
        <w:t>3</w:t>
      </w:r>
      <w:r>
        <w:rPr>
          <w:rFonts w:hint="eastAsia" w:ascii="宋体" w:hAnsi="宋体" w:cs="宋体"/>
          <w:color w:val="auto"/>
          <w:sz w:val="21"/>
          <w:szCs w:val="21"/>
          <w:highlight w:val="none"/>
        </w:rPr>
        <w:t>%，如承包人在发包人签发竣工付款证书后28天内提交质量保证金保函，发包人应同时退还扣留的作为质量保证金的工程价款。</w:t>
      </w:r>
    </w:p>
    <w:p w14:paraId="02DEBA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15.3.3 质量保证金的退还</w:t>
      </w:r>
    </w:p>
    <w:p w14:paraId="3594CBA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发包人应按14.4款〔最终结清〕的约定退还质量保证金。</w:t>
      </w:r>
    </w:p>
    <w:p w14:paraId="2855CFB1">
      <w:pPr>
        <w:keepNext/>
        <w:keepLines/>
        <w:spacing w:line="420" w:lineRule="exact"/>
        <w:ind w:firstLine="0" w:firstLineChars="0"/>
        <w:outlineLvl w:val="0"/>
        <w:rPr>
          <w:rFonts w:ascii="宋体" w:hAnsi="宋体" w:cs="宋体"/>
          <w:b/>
          <w:bCs/>
          <w:color w:val="auto"/>
          <w:kern w:val="44"/>
          <w:sz w:val="21"/>
          <w:szCs w:val="21"/>
          <w:highlight w:val="none"/>
        </w:rPr>
      </w:pPr>
      <w:bookmarkStart w:id="590" w:name="_Toc478389149"/>
      <w:bookmarkStart w:id="591" w:name="_Toc351203602"/>
      <w:bookmarkStart w:id="592" w:name="_Toc337558819"/>
      <w:r>
        <w:rPr>
          <w:rFonts w:hint="eastAsia" w:ascii="宋体" w:hAnsi="宋体" w:cs="宋体"/>
          <w:b/>
          <w:bCs/>
          <w:color w:val="auto"/>
          <w:kern w:val="44"/>
          <w:sz w:val="21"/>
          <w:szCs w:val="21"/>
          <w:highlight w:val="none"/>
        </w:rPr>
        <w:t>15.4 保修</w:t>
      </w:r>
      <w:bookmarkEnd w:id="590"/>
      <w:bookmarkEnd w:id="591"/>
    </w:p>
    <w:bookmarkEnd w:id="580"/>
    <w:bookmarkEnd w:id="581"/>
    <w:bookmarkEnd w:id="592"/>
    <w:p w14:paraId="7F0D7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15.4.1保修责任</w:t>
      </w:r>
    </w:p>
    <w:p w14:paraId="421E33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1BBB580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发包人未经竣工验收擅自使用工程的，保修期自转移占有之日起算。</w:t>
      </w:r>
    </w:p>
    <w:p w14:paraId="7D2CD636">
      <w:pPr>
        <w:spacing w:line="420" w:lineRule="exact"/>
        <w:ind w:firstLine="420"/>
        <w:outlineLvl w:val="0"/>
        <w:rPr>
          <w:rFonts w:ascii="宋体" w:hAnsi="宋体" w:cs="宋体"/>
          <w:color w:val="auto"/>
          <w:sz w:val="21"/>
          <w:szCs w:val="21"/>
          <w:highlight w:val="none"/>
        </w:rPr>
      </w:pPr>
      <w:bookmarkStart w:id="593" w:name="_Toc478389150"/>
      <w:r>
        <w:rPr>
          <w:rFonts w:hint="eastAsia" w:ascii="宋体" w:hAnsi="宋体" w:cs="宋体"/>
          <w:color w:val="auto"/>
          <w:sz w:val="21"/>
          <w:szCs w:val="21"/>
          <w:highlight w:val="none"/>
        </w:rPr>
        <w:t>15.4.2 修复费用</w:t>
      </w:r>
      <w:bookmarkEnd w:id="593"/>
    </w:p>
    <w:p w14:paraId="3C22D55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保修期内，修复的费用按照以下约定处理：</w:t>
      </w:r>
    </w:p>
    <w:p w14:paraId="1F606B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（1）保修期内，因承包人原因造成工程的缺陷、损坏，承包人应负责修复，并承担修复的费用以及因工程的缺陷、损坏造成的人身伤害和财产损失；</w:t>
      </w:r>
    </w:p>
    <w:p w14:paraId="5114DD4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（2）保修期内，因发包人使用不当造成工程的缺陷、损坏，可以委托承包人修复，但发包人应承担修复的费用，并支付承包人合理利润；</w:t>
      </w:r>
    </w:p>
    <w:p w14:paraId="287A01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（3）因其他原因造成工程的缺陷、损坏，可以委托承包人修复，发包人应承担修复的费用，并支付承包人合理的利润，因工程的缺陷、损坏造成的人身伤害和财产损失由责任方承担。</w:t>
      </w:r>
    </w:p>
    <w:p w14:paraId="6B93A1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15.4.3 修复通知</w:t>
      </w:r>
    </w:p>
    <w:p w14:paraId="199966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2CF84BCF">
      <w:pPr>
        <w:spacing w:line="420" w:lineRule="exact"/>
        <w:ind w:firstLine="420"/>
        <w:outlineLvl w:val="0"/>
        <w:rPr>
          <w:rFonts w:ascii="宋体" w:hAnsi="宋体" w:cs="宋体"/>
          <w:color w:val="auto"/>
          <w:sz w:val="21"/>
          <w:szCs w:val="21"/>
          <w:highlight w:val="none"/>
        </w:rPr>
      </w:pPr>
      <w:bookmarkStart w:id="594" w:name="_Toc478389151"/>
      <w:r>
        <w:rPr>
          <w:rFonts w:hint="eastAsia" w:ascii="宋体" w:hAnsi="宋体" w:cs="宋体"/>
          <w:color w:val="auto"/>
          <w:sz w:val="21"/>
          <w:szCs w:val="21"/>
          <w:highlight w:val="none"/>
        </w:rPr>
        <w:t>15.4.4 未能修复</w:t>
      </w:r>
      <w:bookmarkEnd w:id="594"/>
    </w:p>
    <w:p w14:paraId="4C8118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F8721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15.4.5 承包人出入权</w:t>
      </w:r>
    </w:p>
    <w:p w14:paraId="4E1DD75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69DBE1C6">
      <w:pPr>
        <w:keepNext/>
        <w:keepLines/>
        <w:spacing w:line="420" w:lineRule="exact"/>
        <w:ind w:firstLine="0" w:firstLineChars="0"/>
        <w:outlineLvl w:val="0"/>
        <w:rPr>
          <w:rFonts w:ascii="宋体" w:hAnsi="宋体" w:cs="宋体"/>
          <w:b/>
          <w:bCs/>
          <w:color w:val="auto"/>
          <w:kern w:val="44"/>
          <w:sz w:val="21"/>
          <w:szCs w:val="21"/>
          <w:highlight w:val="none"/>
        </w:rPr>
      </w:pPr>
      <w:bookmarkStart w:id="595" w:name="_Toc351203603"/>
      <w:bookmarkStart w:id="596" w:name="_Toc478389152"/>
      <w:bookmarkStart w:id="597" w:name="_Toc337558820"/>
      <w:r>
        <w:rPr>
          <w:rFonts w:hint="eastAsia" w:ascii="宋体" w:hAnsi="宋体" w:cs="宋体"/>
          <w:b/>
          <w:bCs/>
          <w:color w:val="auto"/>
          <w:kern w:val="44"/>
          <w:sz w:val="21"/>
          <w:szCs w:val="21"/>
          <w:highlight w:val="none"/>
        </w:rPr>
        <w:t>16. 违约</w:t>
      </w:r>
      <w:bookmarkEnd w:id="595"/>
      <w:bookmarkEnd w:id="596"/>
    </w:p>
    <w:bookmarkEnd w:id="597"/>
    <w:p w14:paraId="337164B6">
      <w:pPr>
        <w:keepNext/>
        <w:keepLines/>
        <w:spacing w:line="420" w:lineRule="exact"/>
        <w:ind w:firstLine="0" w:firstLineChars="0"/>
        <w:outlineLvl w:val="0"/>
        <w:rPr>
          <w:rFonts w:ascii="宋体" w:hAnsi="宋体" w:cs="宋体"/>
          <w:b/>
          <w:bCs/>
          <w:color w:val="auto"/>
          <w:kern w:val="44"/>
          <w:sz w:val="21"/>
          <w:szCs w:val="21"/>
          <w:highlight w:val="none"/>
        </w:rPr>
      </w:pPr>
      <w:bookmarkStart w:id="598" w:name="_Toc296503129"/>
      <w:bookmarkStart w:id="599" w:name="_Toc296346630"/>
      <w:bookmarkStart w:id="600" w:name="_Toc478389153"/>
      <w:bookmarkStart w:id="601" w:name="_Toc351203604"/>
      <w:bookmarkStart w:id="602" w:name="_Toc337558821"/>
      <w:r>
        <w:rPr>
          <w:rFonts w:hint="eastAsia" w:ascii="宋体" w:hAnsi="宋体" w:cs="宋体"/>
          <w:b/>
          <w:bCs/>
          <w:color w:val="auto"/>
          <w:kern w:val="44"/>
          <w:sz w:val="21"/>
          <w:szCs w:val="21"/>
          <w:highlight w:val="none"/>
        </w:rPr>
        <w:t>16.1 发</w:t>
      </w:r>
      <w:bookmarkEnd w:id="598"/>
      <w:bookmarkEnd w:id="599"/>
      <w:r>
        <w:rPr>
          <w:rFonts w:hint="eastAsia" w:ascii="宋体" w:hAnsi="宋体" w:cs="宋体"/>
          <w:b/>
          <w:bCs/>
          <w:color w:val="auto"/>
          <w:kern w:val="44"/>
          <w:sz w:val="21"/>
          <w:szCs w:val="21"/>
          <w:highlight w:val="none"/>
        </w:rPr>
        <w:t>包人违约</w:t>
      </w:r>
      <w:bookmarkEnd w:id="600"/>
      <w:bookmarkEnd w:id="601"/>
    </w:p>
    <w:bookmarkEnd w:id="602"/>
    <w:p w14:paraId="203176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16.1.1 发包人违约的情形</w:t>
      </w:r>
    </w:p>
    <w:p w14:paraId="24A1CB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在合同履行过程中发生的下列情形，属于发包人违约：</w:t>
      </w:r>
    </w:p>
    <w:p w14:paraId="6DF65D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（1）因发包人原因未能在计划开工日期前7天内下达开工通知的；</w:t>
      </w:r>
    </w:p>
    <w:p w14:paraId="1F662E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（2）因发包人原因未能按合同约定支付合同价款的；</w:t>
      </w:r>
    </w:p>
    <w:p w14:paraId="2E19D6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（3）发包人违反第10.1款〔变更的范围〕第（2）项约定，自行实施被取消的工作或转由他人实施的；</w:t>
      </w:r>
    </w:p>
    <w:p w14:paraId="3033A3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（4）发包人提供的材料、工程设备的规格、数量或质量不符合合同约定，或因发包人原因导致交货日期延误或交货地点变更等情况的；</w:t>
      </w:r>
    </w:p>
    <w:p w14:paraId="481270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（5）因发包人违反合同约定造成暂停施工的；</w:t>
      </w:r>
    </w:p>
    <w:p w14:paraId="067B9CB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（6）发包人无正当理由没有在约定期限内发出复工指示，导致承包人无法复工的；</w:t>
      </w:r>
    </w:p>
    <w:p w14:paraId="4F38BA3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（7）发包人明确表示或者以其行为表明不履行合同主要义务的；</w:t>
      </w:r>
    </w:p>
    <w:p w14:paraId="4E4D2C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（8）发包人未能按照合同约定履行其他义务的。</w:t>
      </w:r>
    </w:p>
    <w:p w14:paraId="01ADED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087EE4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16.1.2 发包人违约的责任</w:t>
      </w:r>
    </w:p>
    <w:p w14:paraId="0704AE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发包人应承担因其违约给承包人增加的费用和（或）延误的工期，并支付承包人合理的利润。此外，合同当事人可在专用合同条款中另行约定发包人违约责任的承担方式和计算方法。</w:t>
      </w:r>
    </w:p>
    <w:p w14:paraId="5998E4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16.1.3 因发包人违约解除合同</w:t>
      </w:r>
    </w:p>
    <w:p w14:paraId="597B0A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6054BA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16.1.4 因发包人违约解除合同后的付款</w:t>
      </w:r>
    </w:p>
    <w:p w14:paraId="2D7746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承包人按照本款约定解除合同的，发包人应在解除合同后28天内支付下列款项，并解除履约保证金：</w:t>
      </w:r>
    </w:p>
    <w:p w14:paraId="53E453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（1）合同解除前所完成工作的价款；</w:t>
      </w:r>
    </w:p>
    <w:p w14:paraId="796C1E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（2）承包人为工程施工订购并已付款的材料、工程设备和其他物品的价款；</w:t>
      </w:r>
    </w:p>
    <w:p w14:paraId="43E63B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（3）承包人撤离施工现场以及遣散承包人人员的款项；</w:t>
      </w:r>
    </w:p>
    <w:p w14:paraId="72986E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（4）按照合同约定在合同解除前应支付的违约金；</w:t>
      </w:r>
    </w:p>
    <w:p w14:paraId="5CE6D97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（5）按照合同约定应当支付给承包人的其他款项；</w:t>
      </w:r>
    </w:p>
    <w:p w14:paraId="1F30B5D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（6）按照合同约定应退还的质量保证金；</w:t>
      </w:r>
    </w:p>
    <w:p w14:paraId="2ABDDC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（7）因解除合同给承包人造成的损失。</w:t>
      </w:r>
    </w:p>
    <w:p w14:paraId="50B235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合同当事人未能就解除合同后的结清达成一致的，按照第20条〔争议解决〕的约定处理。</w:t>
      </w:r>
    </w:p>
    <w:p w14:paraId="5FCAB1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承包人应妥善做好已完工程和与工程有关的已购材料、工程设备的保护和移交工作，并将施工设备和人员撤出施工现场，发包人应为承包人撤出提供必要条件。</w:t>
      </w:r>
    </w:p>
    <w:p w14:paraId="7E1927EA">
      <w:pPr>
        <w:keepNext/>
        <w:keepLines/>
        <w:spacing w:line="420" w:lineRule="exact"/>
        <w:ind w:firstLine="0" w:firstLineChars="0"/>
        <w:outlineLvl w:val="0"/>
        <w:rPr>
          <w:rFonts w:ascii="宋体" w:hAnsi="宋体" w:cs="宋体"/>
          <w:b/>
          <w:bCs/>
          <w:color w:val="auto"/>
          <w:kern w:val="44"/>
          <w:sz w:val="21"/>
          <w:szCs w:val="21"/>
          <w:highlight w:val="none"/>
        </w:rPr>
      </w:pPr>
      <w:bookmarkStart w:id="603" w:name="_Toc351203605"/>
      <w:bookmarkStart w:id="604" w:name="_Toc478389154"/>
      <w:bookmarkStart w:id="605" w:name="_Toc337558822"/>
      <w:bookmarkStart w:id="606" w:name="_Toc296346632"/>
      <w:bookmarkStart w:id="607" w:name="_Toc296503131"/>
      <w:r>
        <w:rPr>
          <w:rFonts w:hint="eastAsia" w:ascii="宋体" w:hAnsi="宋体" w:cs="宋体"/>
          <w:b/>
          <w:bCs/>
          <w:color w:val="auto"/>
          <w:kern w:val="44"/>
          <w:sz w:val="21"/>
          <w:szCs w:val="21"/>
          <w:highlight w:val="none"/>
        </w:rPr>
        <w:t>16.2 承包人违约</w:t>
      </w:r>
      <w:bookmarkEnd w:id="603"/>
      <w:bookmarkEnd w:id="604"/>
    </w:p>
    <w:bookmarkEnd w:id="605"/>
    <w:bookmarkEnd w:id="606"/>
    <w:bookmarkEnd w:id="607"/>
    <w:p w14:paraId="261D33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16.2.1 承包人违约的情形</w:t>
      </w:r>
    </w:p>
    <w:p w14:paraId="493FE5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在合同履行过程中发生的下列情形，属于承包人违约：</w:t>
      </w:r>
    </w:p>
    <w:p w14:paraId="334464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（1）承包人违反合同约定进行转包或违法分包的；</w:t>
      </w:r>
    </w:p>
    <w:p w14:paraId="61C683E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（2）承包人违反合同约定采购和使用不合格的材料和工程设备的；</w:t>
      </w:r>
    </w:p>
    <w:p w14:paraId="17BF05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（3）因承包人原因导致工程质量不符合合同要求的； </w:t>
      </w:r>
    </w:p>
    <w:p w14:paraId="16446A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（4）承包人违反第8.9款〔材料与设备专用要求〕的约定，未经批准，私自将已按照合同约定进入施工现场的材料或设备撤离施工现场的；</w:t>
      </w:r>
    </w:p>
    <w:p w14:paraId="59A57C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（5）承包人未能按施工进度计划及时完成合同约定的工作，造成工期延误的；</w:t>
      </w:r>
    </w:p>
    <w:p w14:paraId="3CAB8C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（6）承包人在缺陷责任期及保修期内，未能在合理期</w:t>
      </w:r>
      <w:r>
        <w:rPr>
          <w:rFonts w:hint="eastAsia" w:ascii="宋体" w:hAnsi="宋体" w:cs="宋体"/>
          <w:color w:val="auto"/>
          <w:sz w:val="21"/>
          <w:szCs w:val="21"/>
          <w:highlight w:val="none"/>
          <w:lang w:eastAsia="zh-CN"/>
        </w:rPr>
        <w:t>限内</w:t>
      </w:r>
      <w:r>
        <w:rPr>
          <w:rFonts w:hint="eastAsia" w:ascii="宋体" w:hAnsi="宋体" w:cs="宋体"/>
          <w:color w:val="auto"/>
          <w:sz w:val="21"/>
          <w:szCs w:val="21"/>
          <w:highlight w:val="none"/>
        </w:rPr>
        <w:t>对工程缺陷进行修复，或拒绝按发包人要求进行修复的；</w:t>
      </w:r>
    </w:p>
    <w:p w14:paraId="1C37EE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（7）承包人明确表示或者以其行为表明不履行合同主要义务的；</w:t>
      </w:r>
    </w:p>
    <w:p w14:paraId="28CCF1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（8）承包人未能按照合同约定履行其他义务的。</w:t>
      </w:r>
    </w:p>
    <w:p w14:paraId="594AC6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承包人发生除本项第（7）目约定以外的其他违约情况时，监理人可向承包人发出整改通知，要求其在指定的期限内改正。</w:t>
      </w:r>
    </w:p>
    <w:p w14:paraId="24A22B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16.2.2 承包人违约的责任</w:t>
      </w:r>
    </w:p>
    <w:p w14:paraId="7C7653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承包人应承担因其违约行为而增加的费用和（或）延误的工期。此外，合同当事人可在专用合同条款中另行约定承包人违约责任的承担方式和计算方法。</w:t>
      </w:r>
    </w:p>
    <w:p w14:paraId="62667AE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16.2.3 因承包人违约解除合同</w:t>
      </w:r>
    </w:p>
    <w:p w14:paraId="1086BA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约定相应费用的承担方式。发包人继续使用的行为不免除或减轻承包人应承担的违约责任。</w:t>
      </w:r>
    </w:p>
    <w:p w14:paraId="1BB649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16.2.4因承包人违约解除合同后的处理</w:t>
      </w:r>
    </w:p>
    <w:p w14:paraId="3B2470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因承包人原因导致合同解除的，则合同当事人应在合同解除后28天内完成估价、付款和清算，并按以下约定执行：</w:t>
      </w:r>
    </w:p>
    <w:p w14:paraId="7FFF4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（1）合同解除后，按第4.4款〔商定或确定〕商定或确定承包人实际完成工作对应的合同价款，以及承包人已提供的材料、工程设备、施工设备和临时工程等的价值；</w:t>
      </w:r>
    </w:p>
    <w:p w14:paraId="7F8CA6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（2）合同解除后，承包人应支付的违约金；</w:t>
      </w:r>
    </w:p>
    <w:p w14:paraId="51E6B8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（3）合同解除后，因解除合同给发包人造成的损失；</w:t>
      </w:r>
    </w:p>
    <w:p w14:paraId="1B4C2C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（4）合同解除后，承包人应按照发包人要求和监理人的指示完成现场的清理和撤离；</w:t>
      </w:r>
    </w:p>
    <w:p w14:paraId="54623A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（5）发包人和承包人应在合同解除后进行清算，出具最终结清付款证书，结清全部款项。</w:t>
      </w:r>
    </w:p>
    <w:p w14:paraId="5775E75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6138E8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16.2.5采购合同权益转让</w:t>
      </w:r>
    </w:p>
    <w:p w14:paraId="5F4B6F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6BFED1C9">
      <w:pPr>
        <w:keepNext/>
        <w:keepLines/>
        <w:spacing w:line="420" w:lineRule="exact"/>
        <w:ind w:firstLine="0" w:firstLineChars="0"/>
        <w:outlineLvl w:val="0"/>
        <w:rPr>
          <w:rFonts w:ascii="宋体" w:hAnsi="宋体" w:cs="宋体"/>
          <w:b/>
          <w:bCs/>
          <w:color w:val="auto"/>
          <w:kern w:val="44"/>
          <w:sz w:val="21"/>
          <w:szCs w:val="21"/>
          <w:highlight w:val="none"/>
        </w:rPr>
      </w:pPr>
      <w:bookmarkStart w:id="608" w:name="_Toc351203606"/>
      <w:bookmarkStart w:id="609" w:name="_Toc478389155"/>
      <w:r>
        <w:rPr>
          <w:rFonts w:hint="eastAsia" w:ascii="宋体" w:hAnsi="宋体" w:cs="宋体"/>
          <w:b/>
          <w:bCs/>
          <w:color w:val="auto"/>
          <w:kern w:val="44"/>
          <w:sz w:val="21"/>
          <w:szCs w:val="21"/>
          <w:highlight w:val="none"/>
        </w:rPr>
        <w:t>16.3 第三人造成的违约</w:t>
      </w:r>
      <w:bookmarkEnd w:id="608"/>
      <w:bookmarkEnd w:id="609"/>
    </w:p>
    <w:p w14:paraId="29C2EB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在履行合同过程中，一方当事人因第三人的原因造成违约的，应当向对方当事人承担违约责任。一方当事人和第三人之间的纠纷，依照法律规定或者按照约定解决。</w:t>
      </w:r>
    </w:p>
    <w:p w14:paraId="35CDB119">
      <w:pPr>
        <w:keepNext/>
        <w:keepLines/>
        <w:spacing w:line="420" w:lineRule="exact"/>
        <w:ind w:firstLine="0" w:firstLineChars="0"/>
        <w:outlineLvl w:val="0"/>
        <w:rPr>
          <w:rFonts w:ascii="宋体" w:hAnsi="宋体" w:cs="宋体"/>
          <w:b/>
          <w:bCs/>
          <w:color w:val="auto"/>
          <w:kern w:val="44"/>
          <w:sz w:val="21"/>
          <w:szCs w:val="21"/>
          <w:highlight w:val="none"/>
        </w:rPr>
      </w:pPr>
      <w:bookmarkStart w:id="610" w:name="_Toc478389156"/>
      <w:bookmarkStart w:id="611" w:name="_Toc296503116"/>
      <w:bookmarkStart w:id="612" w:name="_Toc296346617"/>
      <w:bookmarkStart w:id="613" w:name="_Toc337558823"/>
      <w:bookmarkStart w:id="614" w:name="_Toc351203607"/>
      <w:r>
        <w:rPr>
          <w:rFonts w:hint="eastAsia" w:ascii="宋体" w:hAnsi="宋体" w:cs="宋体"/>
          <w:b/>
          <w:bCs/>
          <w:color w:val="auto"/>
          <w:kern w:val="44"/>
          <w:sz w:val="21"/>
          <w:szCs w:val="21"/>
          <w:highlight w:val="none"/>
        </w:rPr>
        <w:t>17. 不可抗力</w:t>
      </w:r>
      <w:bookmarkEnd w:id="610"/>
      <w:bookmarkEnd w:id="611"/>
      <w:bookmarkEnd w:id="612"/>
      <w:bookmarkEnd w:id="613"/>
      <w:bookmarkEnd w:id="614"/>
    </w:p>
    <w:p w14:paraId="2F0FEE64">
      <w:pPr>
        <w:keepNext/>
        <w:keepLines/>
        <w:spacing w:line="420" w:lineRule="exact"/>
        <w:ind w:firstLine="0" w:firstLineChars="0"/>
        <w:outlineLvl w:val="0"/>
        <w:rPr>
          <w:rFonts w:ascii="宋体" w:hAnsi="宋体" w:cs="宋体"/>
          <w:b/>
          <w:bCs/>
          <w:color w:val="auto"/>
          <w:kern w:val="44"/>
          <w:sz w:val="21"/>
          <w:szCs w:val="21"/>
          <w:highlight w:val="none"/>
        </w:rPr>
      </w:pPr>
      <w:bookmarkStart w:id="615" w:name="_Toc478389157"/>
      <w:bookmarkStart w:id="616" w:name="_Toc351203608"/>
      <w:bookmarkStart w:id="617" w:name="_Toc296346618"/>
      <w:bookmarkStart w:id="618" w:name="_Toc296503117"/>
      <w:bookmarkStart w:id="619" w:name="_Toc337558824"/>
      <w:r>
        <w:rPr>
          <w:rFonts w:hint="eastAsia" w:ascii="宋体" w:hAnsi="宋体" w:cs="宋体"/>
          <w:b/>
          <w:bCs/>
          <w:color w:val="auto"/>
          <w:kern w:val="44"/>
          <w:sz w:val="21"/>
          <w:szCs w:val="21"/>
          <w:highlight w:val="none"/>
        </w:rPr>
        <w:t>17.1 不可抗力的确认</w:t>
      </w:r>
      <w:bookmarkEnd w:id="615"/>
      <w:bookmarkEnd w:id="616"/>
    </w:p>
    <w:bookmarkEnd w:id="617"/>
    <w:bookmarkEnd w:id="618"/>
    <w:bookmarkEnd w:id="619"/>
    <w:p w14:paraId="113931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5A380C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33508020">
      <w:pPr>
        <w:keepNext/>
        <w:keepLines/>
        <w:spacing w:line="420" w:lineRule="exact"/>
        <w:ind w:firstLine="0" w:firstLineChars="0"/>
        <w:outlineLvl w:val="0"/>
        <w:rPr>
          <w:rFonts w:ascii="宋体" w:hAnsi="宋体" w:cs="宋体"/>
          <w:b/>
          <w:bCs/>
          <w:color w:val="auto"/>
          <w:kern w:val="44"/>
          <w:sz w:val="21"/>
          <w:szCs w:val="21"/>
          <w:highlight w:val="none"/>
        </w:rPr>
      </w:pPr>
      <w:bookmarkStart w:id="620" w:name="_Toc351203609"/>
      <w:bookmarkStart w:id="621" w:name="_Toc478389158"/>
      <w:bookmarkStart w:id="622" w:name="_Toc296503118"/>
      <w:bookmarkStart w:id="623" w:name="_Toc296346619"/>
      <w:bookmarkStart w:id="624" w:name="_Toc337558825"/>
      <w:r>
        <w:rPr>
          <w:rFonts w:hint="eastAsia" w:ascii="宋体" w:hAnsi="宋体" w:cs="宋体"/>
          <w:b/>
          <w:bCs/>
          <w:color w:val="auto"/>
          <w:kern w:val="44"/>
          <w:sz w:val="21"/>
          <w:szCs w:val="21"/>
          <w:highlight w:val="none"/>
        </w:rPr>
        <w:t>17.2 不可抗力的通知</w:t>
      </w:r>
      <w:bookmarkEnd w:id="620"/>
      <w:bookmarkEnd w:id="621"/>
    </w:p>
    <w:bookmarkEnd w:id="622"/>
    <w:bookmarkEnd w:id="623"/>
    <w:bookmarkEnd w:id="624"/>
    <w:p w14:paraId="325009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合同一方当事人遇到不可抗力事件，使其履行合同义务受到阻碍时，应立即通知合同另一方当事人和监理人，书面说明不可抗力和受阻碍的详细情况，并提供必要的证明。</w:t>
      </w:r>
    </w:p>
    <w:p w14:paraId="4378A8EB">
      <w:pPr>
        <w:spacing w:line="42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06F50DC0">
      <w:pPr>
        <w:keepNext/>
        <w:keepLines/>
        <w:spacing w:line="420" w:lineRule="exact"/>
        <w:ind w:firstLine="0" w:firstLineChars="0"/>
        <w:outlineLvl w:val="0"/>
        <w:rPr>
          <w:rFonts w:ascii="宋体" w:hAnsi="宋体" w:cs="宋体"/>
          <w:b/>
          <w:bCs/>
          <w:color w:val="auto"/>
          <w:kern w:val="44"/>
          <w:sz w:val="21"/>
          <w:szCs w:val="21"/>
          <w:highlight w:val="none"/>
        </w:rPr>
      </w:pPr>
      <w:bookmarkStart w:id="625" w:name="_Toc478389159"/>
      <w:bookmarkStart w:id="626" w:name="_Toc351203610"/>
      <w:bookmarkStart w:id="627" w:name="_Toc296503119"/>
      <w:bookmarkStart w:id="628" w:name="_Toc296346620"/>
      <w:bookmarkStart w:id="629" w:name="_Toc337558826"/>
      <w:r>
        <w:rPr>
          <w:rFonts w:hint="eastAsia" w:ascii="宋体" w:hAnsi="宋体" w:cs="宋体"/>
          <w:b/>
          <w:bCs/>
          <w:color w:val="auto"/>
          <w:kern w:val="44"/>
          <w:sz w:val="21"/>
          <w:szCs w:val="21"/>
          <w:highlight w:val="none"/>
        </w:rPr>
        <w:t>17.3 不可抗力后果的承担</w:t>
      </w:r>
      <w:bookmarkEnd w:id="625"/>
      <w:bookmarkEnd w:id="626"/>
    </w:p>
    <w:bookmarkEnd w:id="627"/>
    <w:bookmarkEnd w:id="628"/>
    <w:bookmarkEnd w:id="629"/>
    <w:p w14:paraId="021D32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17.3.1不可抗力引起的后果及造成的损失由合同当事人按照法律规定及合同约定各自承担。不可抗力发生前已完成的工程应当按照合同约定进行计量支付。</w:t>
      </w:r>
    </w:p>
    <w:p w14:paraId="3516ED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17.3.2不可抗力导致的人员伤亡、财产损失、费用增加和（或）工期延误等后果，由合同当事人按以下原则承担：</w:t>
      </w:r>
    </w:p>
    <w:p w14:paraId="4B8EFAA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（1）永久工程、已运至施工现场的材料和工程设备的损坏，以及因工程损坏造成的第三人人员伤亡和财产损失由发包人承担；</w:t>
      </w:r>
    </w:p>
    <w:p w14:paraId="4731FD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（2）承包人施工设备的损坏由承包人承担；</w:t>
      </w:r>
    </w:p>
    <w:p w14:paraId="63D06F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（3）发包人和承包人承担各自人员伤亡和财产的损失；</w:t>
      </w:r>
    </w:p>
    <w:p w14:paraId="4E56835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7F8BD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（5）因不可抗力引起或将引起工期延误，发包人要求赶工的，由此增加的赶工费用由发包人承担；</w:t>
      </w:r>
    </w:p>
    <w:p w14:paraId="4C981E9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（6）承包人在停工期间按照发包人要求照管、清理和修复工程的费用由发包人承担。</w:t>
      </w:r>
    </w:p>
    <w:p w14:paraId="02DABB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不可抗力发生后，合同当事人均应采取措施尽量避免和减少损失的扩大，任何一方当事人没有采取有效措施导致损失扩大的，应对扩大的损失承担责任。</w:t>
      </w:r>
    </w:p>
    <w:p w14:paraId="1C5B217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因合同一方迟延履行合同义务，在迟延履行期间遭遇不可抗力的，不免除其违约责任。</w:t>
      </w:r>
    </w:p>
    <w:p w14:paraId="6F1FA001">
      <w:pPr>
        <w:keepNext/>
        <w:keepLines/>
        <w:spacing w:line="420" w:lineRule="exact"/>
        <w:ind w:firstLine="0" w:firstLineChars="0"/>
        <w:outlineLvl w:val="0"/>
        <w:rPr>
          <w:rFonts w:ascii="宋体" w:hAnsi="宋体" w:cs="宋体"/>
          <w:b/>
          <w:bCs/>
          <w:color w:val="auto"/>
          <w:kern w:val="44"/>
          <w:sz w:val="21"/>
          <w:szCs w:val="21"/>
          <w:highlight w:val="none"/>
        </w:rPr>
      </w:pPr>
      <w:bookmarkStart w:id="630" w:name="_Toc351203611"/>
      <w:bookmarkStart w:id="631" w:name="_Toc478389160"/>
      <w:bookmarkStart w:id="632" w:name="_Toc337558827"/>
      <w:r>
        <w:rPr>
          <w:rFonts w:hint="eastAsia" w:ascii="宋体" w:hAnsi="宋体" w:cs="宋体"/>
          <w:b/>
          <w:bCs/>
          <w:color w:val="auto"/>
          <w:kern w:val="44"/>
          <w:sz w:val="21"/>
          <w:szCs w:val="21"/>
          <w:highlight w:val="none"/>
        </w:rPr>
        <w:t>17.4 因不可抗力解除合同</w:t>
      </w:r>
      <w:bookmarkEnd w:id="630"/>
      <w:bookmarkEnd w:id="631"/>
    </w:p>
    <w:bookmarkEnd w:id="632"/>
    <w:p w14:paraId="2B4A4C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C53D0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（1）合同解除前承包人已完成工作的价款；</w:t>
      </w:r>
    </w:p>
    <w:p w14:paraId="16823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（2）承包人为工程订购的并已交付给承包人，或承包人有责任接受交付的材料、工程设备和其他物品的价款；</w:t>
      </w:r>
    </w:p>
    <w:p w14:paraId="1C07C3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（3）发包人要求承包人退货或解除订货合同而产生的费用，或因不能退货或解除合同而产生的损失；</w:t>
      </w:r>
    </w:p>
    <w:p w14:paraId="70D9AC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（4）承包人撤离施工现场以及遣散承包人人员的费用；</w:t>
      </w:r>
    </w:p>
    <w:p w14:paraId="69A8D96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（5）按照合同约定在合同解除前应支付给承包人的其他款项；</w:t>
      </w:r>
    </w:p>
    <w:p w14:paraId="0DA987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（6）扣减承包人按照合同约定应向发包人支付的款项；</w:t>
      </w:r>
    </w:p>
    <w:p w14:paraId="3BC9E5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（7）双方商定或确定的其他款项。</w:t>
      </w:r>
    </w:p>
    <w:p w14:paraId="4B786EB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除专用合同条款另有约定外，合同解除后，发包人应在商定或确定上述款项后28天内完成上述款项的支付。</w:t>
      </w:r>
    </w:p>
    <w:p w14:paraId="663D8062">
      <w:pPr>
        <w:keepNext/>
        <w:keepLines/>
        <w:spacing w:line="420" w:lineRule="exact"/>
        <w:ind w:firstLine="0" w:firstLineChars="0"/>
        <w:outlineLvl w:val="0"/>
        <w:rPr>
          <w:rFonts w:ascii="宋体" w:hAnsi="宋体" w:cs="宋体"/>
          <w:b/>
          <w:bCs/>
          <w:color w:val="auto"/>
          <w:kern w:val="44"/>
          <w:sz w:val="21"/>
          <w:szCs w:val="21"/>
          <w:highlight w:val="none"/>
        </w:rPr>
      </w:pPr>
      <w:bookmarkStart w:id="633" w:name="_Toc351203612"/>
      <w:bookmarkStart w:id="634" w:name="_Toc478389161"/>
      <w:bookmarkStart w:id="635" w:name="_Toc337558828"/>
      <w:bookmarkStart w:id="636" w:name="_Toc296503120"/>
      <w:bookmarkStart w:id="637" w:name="_Toc296346621"/>
      <w:r>
        <w:rPr>
          <w:rFonts w:hint="eastAsia" w:ascii="宋体" w:hAnsi="宋体" w:cs="宋体"/>
          <w:b/>
          <w:bCs/>
          <w:color w:val="auto"/>
          <w:kern w:val="44"/>
          <w:sz w:val="21"/>
          <w:szCs w:val="21"/>
          <w:highlight w:val="none"/>
        </w:rPr>
        <w:t>18. 保险</w:t>
      </w:r>
      <w:bookmarkEnd w:id="633"/>
      <w:bookmarkEnd w:id="634"/>
    </w:p>
    <w:bookmarkEnd w:id="635"/>
    <w:bookmarkEnd w:id="636"/>
    <w:bookmarkEnd w:id="637"/>
    <w:p w14:paraId="60731820">
      <w:pPr>
        <w:keepNext/>
        <w:keepLines/>
        <w:spacing w:line="420" w:lineRule="exact"/>
        <w:ind w:firstLine="0" w:firstLineChars="0"/>
        <w:outlineLvl w:val="0"/>
        <w:rPr>
          <w:rFonts w:ascii="宋体" w:hAnsi="宋体" w:cs="宋体"/>
          <w:b/>
          <w:bCs/>
          <w:color w:val="auto"/>
          <w:kern w:val="44"/>
          <w:sz w:val="21"/>
          <w:szCs w:val="21"/>
          <w:highlight w:val="none"/>
        </w:rPr>
      </w:pPr>
      <w:bookmarkStart w:id="638" w:name="_Toc478389162"/>
      <w:bookmarkStart w:id="639" w:name="_Toc351203613"/>
      <w:bookmarkStart w:id="640" w:name="_Toc337558829"/>
      <w:bookmarkStart w:id="641" w:name="_Toc296346622"/>
      <w:bookmarkStart w:id="642" w:name="_Toc296503121"/>
      <w:r>
        <w:rPr>
          <w:rFonts w:hint="eastAsia" w:ascii="宋体" w:hAnsi="宋体" w:cs="宋体"/>
          <w:b/>
          <w:bCs/>
          <w:color w:val="auto"/>
          <w:kern w:val="44"/>
          <w:sz w:val="21"/>
          <w:szCs w:val="21"/>
          <w:highlight w:val="none"/>
        </w:rPr>
        <w:t>18.1 工程保险</w:t>
      </w:r>
      <w:bookmarkEnd w:id="638"/>
      <w:bookmarkEnd w:id="639"/>
    </w:p>
    <w:bookmarkEnd w:id="640"/>
    <w:bookmarkEnd w:id="641"/>
    <w:bookmarkEnd w:id="642"/>
    <w:p w14:paraId="3A716C6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除专用合同条款另有约定外，发包人应投保建筑工程一切险或安装工程一切险；发包人委托承包人投保的，因投保产生的保险费和其他相关费用由发包人承担。</w:t>
      </w:r>
    </w:p>
    <w:p w14:paraId="2C57762B">
      <w:pPr>
        <w:keepNext/>
        <w:keepLines/>
        <w:spacing w:line="420" w:lineRule="exact"/>
        <w:ind w:firstLine="0" w:firstLineChars="0"/>
        <w:outlineLvl w:val="0"/>
        <w:rPr>
          <w:rFonts w:ascii="宋体" w:hAnsi="宋体" w:cs="宋体"/>
          <w:b/>
          <w:bCs/>
          <w:color w:val="auto"/>
          <w:kern w:val="44"/>
          <w:sz w:val="21"/>
          <w:szCs w:val="21"/>
          <w:highlight w:val="none"/>
        </w:rPr>
      </w:pPr>
      <w:bookmarkStart w:id="643" w:name="_Toc478389163"/>
      <w:bookmarkStart w:id="644" w:name="_Toc351203614"/>
      <w:bookmarkStart w:id="645" w:name="_Toc296346623"/>
      <w:bookmarkStart w:id="646" w:name="_Toc337558830"/>
      <w:bookmarkStart w:id="647" w:name="_Toc296503122"/>
      <w:r>
        <w:rPr>
          <w:rFonts w:hint="eastAsia" w:ascii="宋体" w:hAnsi="宋体" w:cs="宋体"/>
          <w:b/>
          <w:bCs/>
          <w:color w:val="auto"/>
          <w:kern w:val="44"/>
          <w:sz w:val="21"/>
          <w:szCs w:val="21"/>
          <w:highlight w:val="none"/>
        </w:rPr>
        <w:t>18.2 工伤保险</w:t>
      </w:r>
      <w:bookmarkEnd w:id="643"/>
      <w:bookmarkEnd w:id="644"/>
    </w:p>
    <w:bookmarkEnd w:id="645"/>
    <w:bookmarkEnd w:id="646"/>
    <w:bookmarkEnd w:id="647"/>
    <w:p w14:paraId="325D1A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18.2.1发包人应依照法律规定参加工伤保险，并为在施工现场的全部员工办理工伤保险，缴纳工伤保险费，并要求监理人及由发包人为履行合同聘请的第三方依法参加工伤保险。</w:t>
      </w:r>
    </w:p>
    <w:p w14:paraId="38D05F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18.2.2承包人应依照法律规定参加工伤保险，并为其履行合同的全部员工办理工伤保险，缴纳工伤保险费，并要求分包人及由承包人为履行合同聘请的第三方依法参加工伤保险。</w:t>
      </w:r>
    </w:p>
    <w:p w14:paraId="2CE3E848">
      <w:pPr>
        <w:keepNext/>
        <w:keepLines/>
        <w:spacing w:line="420" w:lineRule="exact"/>
        <w:ind w:firstLine="0" w:firstLineChars="0"/>
        <w:outlineLvl w:val="0"/>
        <w:rPr>
          <w:rFonts w:ascii="宋体" w:hAnsi="宋体" w:cs="宋体"/>
          <w:b/>
          <w:bCs/>
          <w:color w:val="auto"/>
          <w:kern w:val="44"/>
          <w:sz w:val="21"/>
          <w:szCs w:val="21"/>
          <w:highlight w:val="none"/>
        </w:rPr>
      </w:pPr>
      <w:bookmarkStart w:id="648" w:name="_Toc351203615"/>
      <w:bookmarkStart w:id="649" w:name="_Toc478389164"/>
      <w:bookmarkStart w:id="650" w:name="_Toc337558831"/>
      <w:bookmarkStart w:id="651" w:name="_Toc296346626"/>
      <w:bookmarkStart w:id="652" w:name="_Toc296503125"/>
      <w:r>
        <w:rPr>
          <w:rFonts w:hint="eastAsia" w:ascii="宋体" w:hAnsi="宋体" w:cs="宋体"/>
          <w:b/>
          <w:bCs/>
          <w:color w:val="auto"/>
          <w:kern w:val="44"/>
          <w:sz w:val="21"/>
          <w:szCs w:val="21"/>
          <w:highlight w:val="none"/>
        </w:rPr>
        <w:t>18.3其他保险</w:t>
      </w:r>
      <w:bookmarkEnd w:id="648"/>
      <w:bookmarkEnd w:id="649"/>
    </w:p>
    <w:bookmarkEnd w:id="650"/>
    <w:bookmarkEnd w:id="651"/>
    <w:bookmarkEnd w:id="652"/>
    <w:p w14:paraId="3E52E28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发包人和承包人可以为其施工现场的全部人员办理意外伤害保险并支付保险费，包括其员工及为履行合同聘请的第三方的人员，具体事项由合同当事人在专用合同条款约定。</w:t>
      </w:r>
    </w:p>
    <w:p w14:paraId="0CCA37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除专用合同条款另有约定外，承包人应为其施工设备等办理财产保险。</w:t>
      </w:r>
    </w:p>
    <w:p w14:paraId="44C3FCDD">
      <w:pPr>
        <w:keepNext/>
        <w:keepLines/>
        <w:spacing w:line="420" w:lineRule="exact"/>
        <w:ind w:firstLine="0" w:firstLineChars="0"/>
        <w:outlineLvl w:val="0"/>
        <w:rPr>
          <w:rFonts w:ascii="宋体" w:hAnsi="宋体" w:cs="宋体"/>
          <w:b/>
          <w:bCs/>
          <w:color w:val="auto"/>
          <w:kern w:val="44"/>
          <w:sz w:val="21"/>
          <w:szCs w:val="21"/>
          <w:highlight w:val="none"/>
        </w:rPr>
      </w:pPr>
      <w:bookmarkStart w:id="653" w:name="_Toc478389165"/>
      <w:bookmarkStart w:id="654" w:name="_Toc351203616"/>
      <w:r>
        <w:rPr>
          <w:rFonts w:hint="eastAsia" w:ascii="宋体" w:hAnsi="宋体" w:cs="宋体"/>
          <w:b/>
          <w:bCs/>
          <w:color w:val="auto"/>
          <w:kern w:val="44"/>
          <w:sz w:val="21"/>
          <w:szCs w:val="21"/>
          <w:highlight w:val="none"/>
        </w:rPr>
        <w:t>18.4持续保险</w:t>
      </w:r>
      <w:bookmarkEnd w:id="653"/>
      <w:bookmarkEnd w:id="654"/>
    </w:p>
    <w:p w14:paraId="2DC896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合同当事人应与保险人保持联系，使保险人能够随时了解工程实施中的变动，并确保按保险合同条款要求持续保险。</w:t>
      </w:r>
    </w:p>
    <w:p w14:paraId="03309264">
      <w:pPr>
        <w:keepNext/>
        <w:keepLines/>
        <w:spacing w:line="420" w:lineRule="exact"/>
        <w:ind w:firstLine="0" w:firstLineChars="0"/>
        <w:outlineLvl w:val="0"/>
        <w:rPr>
          <w:rFonts w:ascii="宋体" w:hAnsi="宋体" w:cs="宋体"/>
          <w:b/>
          <w:bCs/>
          <w:color w:val="auto"/>
          <w:kern w:val="44"/>
          <w:sz w:val="21"/>
          <w:szCs w:val="21"/>
          <w:highlight w:val="none"/>
        </w:rPr>
      </w:pPr>
      <w:bookmarkStart w:id="655" w:name="_Toc351203617"/>
      <w:bookmarkStart w:id="656" w:name="_Toc478389166"/>
      <w:bookmarkStart w:id="657" w:name="_Toc296346627"/>
      <w:bookmarkStart w:id="658" w:name="_Toc296503126"/>
      <w:bookmarkStart w:id="659" w:name="_Toc337558832"/>
      <w:r>
        <w:rPr>
          <w:rFonts w:hint="eastAsia" w:ascii="宋体" w:hAnsi="宋体" w:cs="宋体"/>
          <w:b/>
          <w:bCs/>
          <w:color w:val="auto"/>
          <w:kern w:val="44"/>
          <w:sz w:val="21"/>
          <w:szCs w:val="21"/>
          <w:highlight w:val="none"/>
        </w:rPr>
        <w:t>18.5 保险凭证</w:t>
      </w:r>
      <w:bookmarkEnd w:id="655"/>
      <w:bookmarkEnd w:id="656"/>
    </w:p>
    <w:bookmarkEnd w:id="657"/>
    <w:bookmarkEnd w:id="658"/>
    <w:bookmarkEnd w:id="659"/>
    <w:p w14:paraId="796CC5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合同当事人应及时向另一方当事人提交其已投保的各项保险的凭证和保险单复印件。</w:t>
      </w:r>
    </w:p>
    <w:p w14:paraId="5CEFB0B0">
      <w:pPr>
        <w:keepNext/>
        <w:keepLines/>
        <w:spacing w:line="420" w:lineRule="exact"/>
        <w:ind w:firstLine="0" w:firstLineChars="0"/>
        <w:outlineLvl w:val="0"/>
        <w:rPr>
          <w:rFonts w:ascii="宋体" w:hAnsi="宋体" w:cs="宋体"/>
          <w:b/>
          <w:bCs/>
          <w:color w:val="auto"/>
          <w:kern w:val="44"/>
          <w:sz w:val="21"/>
          <w:szCs w:val="21"/>
          <w:highlight w:val="none"/>
        </w:rPr>
      </w:pPr>
      <w:bookmarkStart w:id="660" w:name="_Toc478389167"/>
      <w:bookmarkStart w:id="661" w:name="_Toc351203618"/>
      <w:bookmarkStart w:id="662" w:name="_Toc296503127"/>
      <w:bookmarkStart w:id="663" w:name="_Toc296346628"/>
      <w:bookmarkStart w:id="664" w:name="_Toc337558833"/>
      <w:r>
        <w:rPr>
          <w:rFonts w:hint="eastAsia" w:ascii="宋体" w:hAnsi="宋体" w:cs="宋体"/>
          <w:b/>
          <w:bCs/>
          <w:color w:val="auto"/>
          <w:kern w:val="44"/>
          <w:sz w:val="21"/>
          <w:szCs w:val="21"/>
          <w:highlight w:val="none"/>
        </w:rPr>
        <w:t>18.6 未按约定投保的补救</w:t>
      </w:r>
      <w:bookmarkEnd w:id="660"/>
      <w:bookmarkEnd w:id="661"/>
    </w:p>
    <w:bookmarkEnd w:id="662"/>
    <w:bookmarkEnd w:id="663"/>
    <w:bookmarkEnd w:id="664"/>
    <w:p w14:paraId="725A35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14:paraId="09B0B5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14:paraId="5B3250B8">
      <w:pPr>
        <w:keepNext/>
        <w:keepLines/>
        <w:spacing w:line="420" w:lineRule="exact"/>
        <w:ind w:firstLine="0" w:firstLineChars="0"/>
        <w:outlineLvl w:val="0"/>
        <w:rPr>
          <w:rFonts w:ascii="宋体" w:hAnsi="宋体" w:cs="宋体"/>
          <w:b/>
          <w:bCs/>
          <w:color w:val="auto"/>
          <w:kern w:val="44"/>
          <w:sz w:val="21"/>
          <w:szCs w:val="21"/>
          <w:highlight w:val="none"/>
        </w:rPr>
      </w:pPr>
      <w:bookmarkStart w:id="665" w:name="_Toc351203619"/>
      <w:bookmarkStart w:id="666" w:name="_Toc478389168"/>
      <w:bookmarkStart w:id="667" w:name="_Toc337558834"/>
      <w:r>
        <w:rPr>
          <w:rFonts w:hint="eastAsia" w:ascii="宋体" w:hAnsi="宋体" w:cs="宋体"/>
          <w:b/>
          <w:bCs/>
          <w:color w:val="auto"/>
          <w:kern w:val="44"/>
          <w:sz w:val="21"/>
          <w:szCs w:val="21"/>
          <w:highlight w:val="none"/>
        </w:rPr>
        <w:t>18.7 通知义务</w:t>
      </w:r>
      <w:bookmarkEnd w:id="665"/>
      <w:bookmarkEnd w:id="666"/>
    </w:p>
    <w:bookmarkEnd w:id="667"/>
    <w:p w14:paraId="344F82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695DAC8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保险事故发生时，投保人应按照保险合同规定的条件和期限及时向保险人报告。发包人和承包人应当在知道保险事故发生后及时通知对方。</w:t>
      </w:r>
    </w:p>
    <w:p w14:paraId="49AFFA33">
      <w:pPr>
        <w:keepNext/>
        <w:keepLines/>
        <w:spacing w:line="420" w:lineRule="exact"/>
        <w:ind w:firstLine="0" w:firstLineChars="0"/>
        <w:outlineLvl w:val="0"/>
        <w:rPr>
          <w:rFonts w:ascii="宋体" w:hAnsi="宋体" w:cs="宋体"/>
          <w:b/>
          <w:bCs/>
          <w:color w:val="auto"/>
          <w:kern w:val="44"/>
          <w:sz w:val="21"/>
          <w:szCs w:val="21"/>
          <w:highlight w:val="none"/>
        </w:rPr>
      </w:pPr>
      <w:bookmarkStart w:id="668" w:name="_Toc351203620"/>
      <w:bookmarkStart w:id="669" w:name="_Toc478389169"/>
      <w:bookmarkStart w:id="670" w:name="_Toc296346641"/>
      <w:bookmarkStart w:id="671" w:name="_Toc296503140"/>
      <w:bookmarkStart w:id="672" w:name="_Toc337558835"/>
      <w:r>
        <w:rPr>
          <w:rFonts w:hint="eastAsia" w:ascii="宋体" w:hAnsi="宋体" w:cs="宋体"/>
          <w:b/>
          <w:bCs/>
          <w:color w:val="auto"/>
          <w:kern w:val="44"/>
          <w:sz w:val="21"/>
          <w:szCs w:val="21"/>
          <w:highlight w:val="none"/>
        </w:rPr>
        <w:t>19. 索赔</w:t>
      </w:r>
      <w:bookmarkEnd w:id="668"/>
      <w:bookmarkEnd w:id="669"/>
    </w:p>
    <w:bookmarkEnd w:id="670"/>
    <w:bookmarkEnd w:id="671"/>
    <w:bookmarkEnd w:id="672"/>
    <w:p w14:paraId="7F1E63D8">
      <w:pPr>
        <w:keepNext/>
        <w:keepLines/>
        <w:spacing w:line="420" w:lineRule="exact"/>
        <w:ind w:firstLine="0" w:firstLineChars="0"/>
        <w:outlineLvl w:val="0"/>
        <w:rPr>
          <w:rFonts w:ascii="宋体" w:hAnsi="宋体" w:cs="宋体"/>
          <w:b/>
          <w:bCs/>
          <w:color w:val="auto"/>
          <w:kern w:val="44"/>
          <w:sz w:val="21"/>
          <w:szCs w:val="21"/>
          <w:highlight w:val="none"/>
        </w:rPr>
      </w:pPr>
      <w:bookmarkStart w:id="673" w:name="_Toc478389170"/>
      <w:bookmarkStart w:id="674" w:name="_Toc351203621"/>
      <w:bookmarkStart w:id="675" w:name="_Toc337558836"/>
      <w:bookmarkStart w:id="676" w:name="_Toc296503141"/>
      <w:bookmarkStart w:id="677" w:name="_Toc296346642"/>
      <w:r>
        <w:rPr>
          <w:rFonts w:hint="eastAsia" w:ascii="宋体" w:hAnsi="宋体" w:cs="宋体"/>
          <w:b/>
          <w:bCs/>
          <w:color w:val="auto"/>
          <w:kern w:val="44"/>
          <w:sz w:val="21"/>
          <w:szCs w:val="21"/>
          <w:highlight w:val="none"/>
        </w:rPr>
        <w:t>19.1承包人的索赔</w:t>
      </w:r>
      <w:bookmarkEnd w:id="673"/>
      <w:bookmarkEnd w:id="674"/>
    </w:p>
    <w:bookmarkEnd w:id="675"/>
    <w:bookmarkEnd w:id="676"/>
    <w:bookmarkEnd w:id="677"/>
    <w:p w14:paraId="4BE9563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根据合同约定，承包人认为有权得到追加付款和（或）延长工期的，应按以下程序向发包人提出索赔：</w:t>
      </w:r>
    </w:p>
    <w:p w14:paraId="519C98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F8F71E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（2）承包人应在发出索赔意向通知书后28天内，向监理人正式递交索赔报告；索赔报告应详细说明索赔理由以及要求追加的付款金额和（或）延长的工期，并附必要的记录和证明材料；</w:t>
      </w:r>
    </w:p>
    <w:p w14:paraId="3D114D2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（3）索赔事件具有持续影响的，承包人应按合理时间间隔继续递交延续索赔通知，说明持续影响的实际情况和记录，列出累计的追加付款金额和（或）工期延长天数；</w:t>
      </w:r>
    </w:p>
    <w:p w14:paraId="5BC9F8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（4）在索赔事件影响结束后28天内，承包人应向监理人递交最终索赔报告，说明最终要求索赔的追加付款金额和（或）延长的工期，并附必要的记录和证明材料。</w:t>
      </w:r>
    </w:p>
    <w:p w14:paraId="6E42F831">
      <w:pPr>
        <w:keepNext/>
        <w:keepLines/>
        <w:spacing w:line="420" w:lineRule="exact"/>
        <w:ind w:firstLine="0" w:firstLineChars="0"/>
        <w:outlineLvl w:val="0"/>
        <w:rPr>
          <w:rFonts w:ascii="宋体" w:hAnsi="宋体" w:cs="宋体"/>
          <w:b/>
          <w:bCs/>
          <w:color w:val="auto"/>
          <w:kern w:val="44"/>
          <w:sz w:val="21"/>
          <w:szCs w:val="21"/>
          <w:highlight w:val="none"/>
        </w:rPr>
      </w:pPr>
      <w:bookmarkStart w:id="678" w:name="_Toc478389171"/>
      <w:bookmarkStart w:id="679" w:name="_Toc351203622"/>
      <w:bookmarkStart w:id="680" w:name="_Toc296503142"/>
      <w:bookmarkStart w:id="681" w:name="_Toc296346643"/>
      <w:bookmarkStart w:id="682" w:name="_Toc337558837"/>
      <w:r>
        <w:rPr>
          <w:rFonts w:hint="eastAsia" w:ascii="宋体" w:hAnsi="宋体" w:cs="宋体"/>
          <w:b/>
          <w:bCs/>
          <w:color w:val="auto"/>
          <w:kern w:val="44"/>
          <w:sz w:val="21"/>
          <w:szCs w:val="21"/>
          <w:highlight w:val="none"/>
        </w:rPr>
        <w:t>19.2 对承包人索赔的处理</w:t>
      </w:r>
      <w:bookmarkEnd w:id="678"/>
      <w:bookmarkEnd w:id="679"/>
    </w:p>
    <w:bookmarkEnd w:id="680"/>
    <w:bookmarkEnd w:id="681"/>
    <w:bookmarkEnd w:id="682"/>
    <w:p w14:paraId="1A3856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对承包人索赔的处理如下：</w:t>
      </w:r>
    </w:p>
    <w:p w14:paraId="7E67D3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（1）监理人应在收到索赔报告后14天内完成审查并报送发包人。监理人对索赔报告存在异议的，有权要求承包人提交全部原始记录副本；</w:t>
      </w:r>
    </w:p>
    <w:p w14:paraId="702C1F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14:paraId="67B8598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（3）承包人接受索赔处理结果的，索赔款项在当期进度款中进行支付；承包人不接受索赔处理结果的，按照第20条〔争议解决〕约定处理。</w:t>
      </w:r>
    </w:p>
    <w:p w14:paraId="264F8A8D">
      <w:pPr>
        <w:keepNext/>
        <w:keepLines/>
        <w:spacing w:line="420" w:lineRule="exact"/>
        <w:ind w:firstLine="0" w:firstLineChars="0"/>
        <w:outlineLvl w:val="0"/>
        <w:rPr>
          <w:rFonts w:ascii="宋体" w:hAnsi="宋体" w:cs="宋体"/>
          <w:b/>
          <w:bCs/>
          <w:color w:val="auto"/>
          <w:kern w:val="44"/>
          <w:sz w:val="21"/>
          <w:szCs w:val="21"/>
          <w:highlight w:val="none"/>
        </w:rPr>
      </w:pPr>
      <w:bookmarkStart w:id="683" w:name="_Toc478389172"/>
      <w:bookmarkStart w:id="684" w:name="_Toc351203623"/>
      <w:bookmarkStart w:id="685" w:name="_Toc296503143"/>
      <w:bookmarkStart w:id="686" w:name="_Toc337558838"/>
      <w:bookmarkStart w:id="687" w:name="_Toc296346644"/>
      <w:r>
        <w:rPr>
          <w:rFonts w:hint="eastAsia" w:ascii="宋体" w:hAnsi="宋体" w:cs="宋体"/>
          <w:b/>
          <w:bCs/>
          <w:color w:val="auto"/>
          <w:kern w:val="44"/>
          <w:sz w:val="21"/>
          <w:szCs w:val="21"/>
          <w:highlight w:val="none"/>
        </w:rPr>
        <w:t>19.3发包人的索赔</w:t>
      </w:r>
      <w:bookmarkEnd w:id="683"/>
      <w:bookmarkEnd w:id="684"/>
    </w:p>
    <w:bookmarkEnd w:id="685"/>
    <w:bookmarkEnd w:id="686"/>
    <w:bookmarkEnd w:id="687"/>
    <w:p w14:paraId="54831C6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根据合同约定，发包人认为有权得到赔付金额和（或）延长缺陷责任期的，监理人应向承包人发出通知并附有详细的证明。</w:t>
      </w:r>
    </w:p>
    <w:p w14:paraId="44E4E1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1BB1756C">
      <w:pPr>
        <w:keepNext/>
        <w:keepLines/>
        <w:spacing w:line="420" w:lineRule="exact"/>
        <w:ind w:firstLine="0" w:firstLineChars="0"/>
        <w:outlineLvl w:val="0"/>
        <w:rPr>
          <w:rFonts w:ascii="宋体" w:hAnsi="宋体" w:cs="宋体"/>
          <w:b/>
          <w:bCs/>
          <w:color w:val="auto"/>
          <w:kern w:val="44"/>
          <w:sz w:val="21"/>
          <w:szCs w:val="21"/>
          <w:highlight w:val="none"/>
        </w:rPr>
      </w:pPr>
      <w:bookmarkStart w:id="688" w:name="_Toc351203624"/>
      <w:bookmarkStart w:id="689" w:name="_Toc478389173"/>
      <w:bookmarkStart w:id="690" w:name="_Toc296503144"/>
      <w:bookmarkStart w:id="691" w:name="_Toc337558839"/>
      <w:bookmarkStart w:id="692" w:name="_Toc296346645"/>
      <w:r>
        <w:rPr>
          <w:rFonts w:hint="eastAsia" w:ascii="宋体" w:hAnsi="宋体" w:cs="宋体"/>
          <w:b/>
          <w:bCs/>
          <w:color w:val="auto"/>
          <w:kern w:val="44"/>
          <w:sz w:val="21"/>
          <w:szCs w:val="21"/>
          <w:highlight w:val="none"/>
        </w:rPr>
        <w:t>19.4 对发包人索赔的处理</w:t>
      </w:r>
      <w:bookmarkEnd w:id="688"/>
      <w:bookmarkEnd w:id="689"/>
    </w:p>
    <w:bookmarkEnd w:id="690"/>
    <w:bookmarkEnd w:id="691"/>
    <w:bookmarkEnd w:id="692"/>
    <w:p w14:paraId="01F27B1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对发包人索赔的处理如下：</w:t>
      </w:r>
    </w:p>
    <w:p w14:paraId="4E68E67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（1）承包人收到发包人提交的索赔报告后，应及时审查索赔报告的内容、查验发包人证明材料；</w:t>
      </w:r>
    </w:p>
    <w:p w14:paraId="295D42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（2）承包人应在收到索赔报告或有关索赔的进一步证明材料后28天内，将索赔处理结果答复发包人。如果承包人未在上述期限内作出答复的，则视为对发包人索赔要求的认可；</w:t>
      </w:r>
    </w:p>
    <w:p w14:paraId="79D334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（3）承包人接受索赔处理结果的，发包人可从应支付给承包人的合同价款中扣除赔付的金额或延长缺陷责任期；发包人不接受索赔处理结果的，按第20条〔争议解决〕约定处理。</w:t>
      </w:r>
    </w:p>
    <w:p w14:paraId="368EE3B5">
      <w:pPr>
        <w:keepNext/>
        <w:keepLines/>
        <w:spacing w:line="420" w:lineRule="exact"/>
        <w:ind w:firstLine="0" w:firstLineChars="0"/>
        <w:outlineLvl w:val="0"/>
        <w:rPr>
          <w:rFonts w:ascii="宋体" w:hAnsi="宋体" w:cs="宋体"/>
          <w:b/>
          <w:bCs/>
          <w:color w:val="auto"/>
          <w:kern w:val="44"/>
          <w:sz w:val="21"/>
          <w:szCs w:val="21"/>
          <w:highlight w:val="none"/>
        </w:rPr>
      </w:pPr>
      <w:bookmarkStart w:id="693" w:name="_Toc478389174"/>
      <w:bookmarkStart w:id="694" w:name="_Toc351203625"/>
      <w:r>
        <w:rPr>
          <w:rFonts w:hint="eastAsia" w:ascii="宋体" w:hAnsi="宋体" w:cs="宋体"/>
          <w:b/>
          <w:bCs/>
          <w:color w:val="auto"/>
          <w:kern w:val="44"/>
          <w:sz w:val="21"/>
          <w:szCs w:val="21"/>
          <w:highlight w:val="none"/>
        </w:rPr>
        <w:t>19.5 提出索赔的期限</w:t>
      </w:r>
      <w:bookmarkEnd w:id="693"/>
      <w:bookmarkEnd w:id="694"/>
    </w:p>
    <w:p w14:paraId="22C273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（1）承包人按第14.2款〔竣工结算审核〕约定接收竣工付款证书后，应被视为已无权再提出在工程接收证书颁发前所发生的任何索赔。</w:t>
      </w:r>
    </w:p>
    <w:p w14:paraId="18E4C3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（2）承包人按第14.4款〔最终结清〕提交的最终结清申请单中，只限于提出工程接收证书颁发后发生的索赔。提出索赔的期限自接受最终结清证书时终止。</w:t>
      </w:r>
    </w:p>
    <w:p w14:paraId="1B215F69">
      <w:pPr>
        <w:keepNext/>
        <w:keepLines/>
        <w:spacing w:line="380" w:lineRule="exact"/>
        <w:ind w:firstLine="0" w:firstLineChars="0"/>
        <w:outlineLvl w:val="0"/>
        <w:rPr>
          <w:rFonts w:ascii="宋体" w:hAnsi="宋体" w:cs="宋体"/>
          <w:b/>
          <w:bCs/>
          <w:color w:val="auto"/>
          <w:kern w:val="44"/>
          <w:sz w:val="21"/>
          <w:szCs w:val="21"/>
          <w:highlight w:val="none"/>
        </w:rPr>
      </w:pPr>
      <w:bookmarkStart w:id="695" w:name="_Toc351203626"/>
      <w:bookmarkStart w:id="696" w:name="_Toc478389175"/>
      <w:r>
        <w:rPr>
          <w:rFonts w:hint="eastAsia" w:ascii="宋体" w:hAnsi="宋体" w:cs="宋体"/>
          <w:b/>
          <w:bCs/>
          <w:color w:val="auto"/>
          <w:kern w:val="44"/>
          <w:sz w:val="21"/>
          <w:szCs w:val="21"/>
          <w:highlight w:val="none"/>
        </w:rPr>
        <w:t>20</w:t>
      </w:r>
      <w:bookmarkStart w:id="697" w:name="_Toc337558840"/>
      <w:bookmarkStart w:id="698" w:name="_Toc296503146"/>
      <w:bookmarkStart w:id="699" w:name="_Toc296346647"/>
      <w:r>
        <w:rPr>
          <w:rFonts w:hint="eastAsia" w:ascii="宋体" w:hAnsi="宋体" w:cs="宋体"/>
          <w:b/>
          <w:bCs/>
          <w:color w:val="auto"/>
          <w:kern w:val="44"/>
          <w:sz w:val="21"/>
          <w:szCs w:val="21"/>
          <w:highlight w:val="none"/>
        </w:rPr>
        <w:t>. 争议解决</w:t>
      </w:r>
      <w:bookmarkEnd w:id="695"/>
      <w:bookmarkEnd w:id="696"/>
    </w:p>
    <w:bookmarkEnd w:id="697"/>
    <w:bookmarkEnd w:id="698"/>
    <w:bookmarkEnd w:id="699"/>
    <w:p w14:paraId="6A55F77D">
      <w:pPr>
        <w:keepNext/>
        <w:keepLines/>
        <w:spacing w:line="380" w:lineRule="exact"/>
        <w:ind w:firstLine="0" w:firstLineChars="0"/>
        <w:outlineLvl w:val="0"/>
        <w:rPr>
          <w:rFonts w:ascii="宋体" w:hAnsi="宋体" w:cs="宋体"/>
          <w:b/>
          <w:bCs/>
          <w:color w:val="auto"/>
          <w:kern w:val="44"/>
          <w:sz w:val="21"/>
          <w:szCs w:val="21"/>
          <w:highlight w:val="none"/>
        </w:rPr>
      </w:pPr>
      <w:bookmarkStart w:id="700" w:name="_Toc478389176"/>
      <w:bookmarkStart w:id="701" w:name="_Toc351203627"/>
      <w:bookmarkStart w:id="702" w:name="_Toc296346648"/>
      <w:bookmarkStart w:id="703" w:name="_Toc337558841"/>
      <w:bookmarkStart w:id="704" w:name="_Toc296503147"/>
      <w:r>
        <w:rPr>
          <w:rFonts w:hint="eastAsia" w:ascii="宋体" w:hAnsi="宋体" w:cs="宋体"/>
          <w:b/>
          <w:bCs/>
          <w:color w:val="auto"/>
          <w:kern w:val="44"/>
          <w:sz w:val="21"/>
          <w:szCs w:val="21"/>
          <w:highlight w:val="none"/>
        </w:rPr>
        <w:t>20.1和解</w:t>
      </w:r>
      <w:bookmarkEnd w:id="700"/>
      <w:bookmarkEnd w:id="701"/>
    </w:p>
    <w:bookmarkEnd w:id="702"/>
    <w:bookmarkEnd w:id="703"/>
    <w:bookmarkEnd w:id="704"/>
    <w:p w14:paraId="7F046706">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合同当事人可以就争议自行和解，自行和解达成协议的经双方签字并盖章后作为合同补充文件，双方均应遵照执行。</w:t>
      </w:r>
    </w:p>
    <w:p w14:paraId="66F1519B">
      <w:pPr>
        <w:keepNext/>
        <w:keepLines/>
        <w:spacing w:line="380" w:lineRule="exact"/>
        <w:ind w:firstLine="0" w:firstLineChars="0"/>
        <w:outlineLvl w:val="0"/>
        <w:rPr>
          <w:rFonts w:ascii="宋体" w:hAnsi="宋体" w:cs="宋体"/>
          <w:b/>
          <w:bCs/>
          <w:color w:val="auto"/>
          <w:kern w:val="44"/>
          <w:sz w:val="21"/>
          <w:szCs w:val="21"/>
          <w:highlight w:val="none"/>
        </w:rPr>
      </w:pPr>
      <w:bookmarkStart w:id="705" w:name="_Toc478389177"/>
      <w:bookmarkStart w:id="706" w:name="_Toc351203628"/>
      <w:r>
        <w:rPr>
          <w:rFonts w:hint="eastAsia" w:ascii="宋体" w:hAnsi="宋体" w:cs="宋体"/>
          <w:b/>
          <w:bCs/>
          <w:color w:val="auto"/>
          <w:kern w:val="44"/>
          <w:sz w:val="21"/>
          <w:szCs w:val="21"/>
          <w:highlight w:val="none"/>
        </w:rPr>
        <w:t>20</w:t>
      </w:r>
      <w:bookmarkStart w:id="707" w:name="_Toc296503148"/>
      <w:bookmarkStart w:id="708" w:name="_Toc337558842"/>
      <w:bookmarkStart w:id="709" w:name="_Toc296346649"/>
      <w:r>
        <w:rPr>
          <w:rFonts w:hint="eastAsia" w:ascii="宋体" w:hAnsi="宋体" w:cs="宋体"/>
          <w:b/>
          <w:bCs/>
          <w:color w:val="auto"/>
          <w:kern w:val="44"/>
          <w:sz w:val="21"/>
          <w:szCs w:val="21"/>
          <w:highlight w:val="none"/>
        </w:rPr>
        <w:t>.2调解</w:t>
      </w:r>
      <w:bookmarkEnd w:id="705"/>
      <w:bookmarkEnd w:id="706"/>
    </w:p>
    <w:bookmarkEnd w:id="707"/>
    <w:bookmarkEnd w:id="708"/>
    <w:bookmarkEnd w:id="709"/>
    <w:p w14:paraId="52D48E09">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合同当事人可以就争议请求建设行政主管部门、行业协会或其他第三方进行调解，调解达成协议的，经双方签字并盖章后作为合同补充文件，双方均应遵照执行。</w:t>
      </w:r>
    </w:p>
    <w:p w14:paraId="3F59CA3C">
      <w:pPr>
        <w:keepNext/>
        <w:keepLines/>
        <w:spacing w:line="380" w:lineRule="exact"/>
        <w:ind w:firstLine="0" w:firstLineChars="0"/>
        <w:outlineLvl w:val="0"/>
        <w:rPr>
          <w:rFonts w:ascii="宋体" w:hAnsi="宋体" w:cs="宋体"/>
          <w:b/>
          <w:bCs/>
          <w:color w:val="auto"/>
          <w:kern w:val="44"/>
          <w:sz w:val="21"/>
          <w:szCs w:val="21"/>
          <w:highlight w:val="none"/>
        </w:rPr>
      </w:pPr>
      <w:bookmarkStart w:id="710" w:name="_Toc478389178"/>
      <w:bookmarkStart w:id="711" w:name="_Toc351203629"/>
      <w:bookmarkStart w:id="712" w:name="_Toc296346650"/>
      <w:bookmarkStart w:id="713" w:name="_Toc296503149"/>
      <w:bookmarkStart w:id="714" w:name="_Toc337558843"/>
      <w:r>
        <w:rPr>
          <w:rFonts w:hint="eastAsia" w:ascii="宋体" w:hAnsi="宋体" w:cs="宋体"/>
          <w:b/>
          <w:bCs/>
          <w:color w:val="auto"/>
          <w:kern w:val="44"/>
          <w:sz w:val="21"/>
          <w:szCs w:val="21"/>
          <w:highlight w:val="none"/>
        </w:rPr>
        <w:t>20.3争议评审</w:t>
      </w:r>
      <w:bookmarkEnd w:id="710"/>
      <w:bookmarkEnd w:id="711"/>
    </w:p>
    <w:bookmarkEnd w:id="712"/>
    <w:bookmarkEnd w:id="713"/>
    <w:bookmarkEnd w:id="714"/>
    <w:p w14:paraId="72B026E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合同当事人在专用合同条款中约定采取争议评审方式解决争议以及评审规则，并按下列约定执行： </w:t>
      </w:r>
    </w:p>
    <w:p w14:paraId="6AD1543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20.3.1 争议评审小组的确定</w:t>
      </w:r>
    </w:p>
    <w:p w14:paraId="7B98BC2F">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合同当事人可以共同选择一名或三名争议评审员，组成争议评审小组。除专用合同条款另有约定外，合同当事人应当自合同签订后28天内，或者争议发生后14天内，选定争议评审员。</w:t>
      </w:r>
    </w:p>
    <w:p w14:paraId="2D78612B">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7E347F7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除专用合同条款另有约定外，评审员报酬由发包人和承包人各承担一半。</w:t>
      </w:r>
    </w:p>
    <w:p w14:paraId="3F0AF80F">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20.3.2 争议评审小组的决定</w:t>
      </w:r>
    </w:p>
    <w:p w14:paraId="22DB2CCB">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4D523D50">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20.3.3 争议评审小组决定的效力</w:t>
      </w:r>
    </w:p>
    <w:p w14:paraId="67071089">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争议评审小组作出的书面决定经合同当事人签字确认后，对双方具有约束力，双方应遵照执行。</w:t>
      </w:r>
    </w:p>
    <w:p w14:paraId="151235E2">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任何一方当事人不接受争议评审小组决定或不履行争议评审小组决定的，双方可选择采用其他争议解决方式。</w:t>
      </w:r>
    </w:p>
    <w:p w14:paraId="76A9D7F8">
      <w:pPr>
        <w:keepNext/>
        <w:keepLines/>
        <w:spacing w:line="380" w:lineRule="exact"/>
        <w:ind w:firstLine="0" w:firstLineChars="0"/>
        <w:outlineLvl w:val="0"/>
        <w:rPr>
          <w:rFonts w:ascii="宋体" w:hAnsi="宋体" w:cs="宋体"/>
          <w:b/>
          <w:bCs/>
          <w:color w:val="auto"/>
          <w:kern w:val="44"/>
          <w:sz w:val="21"/>
          <w:szCs w:val="21"/>
          <w:highlight w:val="none"/>
        </w:rPr>
      </w:pPr>
      <w:bookmarkStart w:id="715" w:name="_Toc351203630"/>
      <w:bookmarkStart w:id="716" w:name="_Toc478389179"/>
      <w:bookmarkStart w:id="717" w:name="_Toc296346651"/>
      <w:bookmarkStart w:id="718" w:name="_Toc296503150"/>
      <w:bookmarkStart w:id="719" w:name="_Toc337558844"/>
      <w:r>
        <w:rPr>
          <w:rFonts w:hint="eastAsia" w:ascii="宋体" w:hAnsi="宋体" w:cs="宋体"/>
          <w:b/>
          <w:bCs/>
          <w:color w:val="auto"/>
          <w:kern w:val="44"/>
          <w:sz w:val="21"/>
          <w:szCs w:val="21"/>
          <w:highlight w:val="none"/>
        </w:rPr>
        <w:t>20.4仲裁或诉讼</w:t>
      </w:r>
      <w:bookmarkEnd w:id="715"/>
      <w:bookmarkEnd w:id="716"/>
    </w:p>
    <w:bookmarkEnd w:id="717"/>
    <w:bookmarkEnd w:id="718"/>
    <w:bookmarkEnd w:id="719"/>
    <w:p w14:paraId="6CCF4020">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因合同及合同有关事项产生的争议，合同当事人可以在专用合同条款中约定以下一种方式解决争议：</w:t>
      </w:r>
    </w:p>
    <w:p w14:paraId="65DBEF5A">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（1）向约定的仲裁委员会申请仲裁；</w:t>
      </w:r>
    </w:p>
    <w:p w14:paraId="417A46E8">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（2）向有管辖权的人民法院起诉。</w:t>
      </w:r>
    </w:p>
    <w:p w14:paraId="0AFF0BC0">
      <w:pPr>
        <w:keepNext/>
        <w:keepLines/>
        <w:spacing w:line="320" w:lineRule="exact"/>
        <w:ind w:firstLine="0" w:firstLineChars="0"/>
        <w:outlineLvl w:val="0"/>
        <w:rPr>
          <w:rFonts w:ascii="宋体" w:hAnsi="宋体" w:cs="宋体"/>
          <w:b/>
          <w:bCs/>
          <w:color w:val="auto"/>
          <w:kern w:val="44"/>
          <w:sz w:val="21"/>
          <w:szCs w:val="21"/>
          <w:highlight w:val="none"/>
        </w:rPr>
      </w:pPr>
      <w:bookmarkStart w:id="720" w:name="_Toc478389180"/>
      <w:bookmarkStart w:id="721" w:name="_Toc351203631"/>
      <w:bookmarkStart w:id="722" w:name="_Toc296503152"/>
      <w:bookmarkStart w:id="723" w:name="_Toc296346653"/>
      <w:bookmarkStart w:id="724" w:name="_Toc337558845"/>
      <w:r>
        <w:rPr>
          <w:rFonts w:hint="eastAsia" w:ascii="宋体" w:hAnsi="宋体" w:cs="宋体"/>
          <w:b/>
          <w:bCs/>
          <w:color w:val="auto"/>
          <w:kern w:val="44"/>
          <w:sz w:val="21"/>
          <w:szCs w:val="21"/>
          <w:highlight w:val="none"/>
        </w:rPr>
        <w:t>20.5争议解决条款效力</w:t>
      </w:r>
      <w:bookmarkEnd w:id="720"/>
      <w:bookmarkEnd w:id="721"/>
    </w:p>
    <w:bookmarkEnd w:id="722"/>
    <w:bookmarkEnd w:id="723"/>
    <w:bookmarkEnd w:id="724"/>
    <w:p w14:paraId="75727394">
      <w:pPr>
        <w:spacing w:line="3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合同有关争议解决的条款独立存在，合同的变更、解除、终止、无效或者被撤销均不影响其效力。 </w:t>
      </w:r>
      <w:bookmarkEnd w:id="81"/>
      <w:bookmarkEnd w:id="82"/>
      <w:bookmarkEnd w:id="83"/>
      <w:bookmarkStart w:id="725" w:name="_Toc478389181"/>
    </w:p>
    <w:p w14:paraId="42C8E2C3">
      <w:pPr>
        <w:spacing w:line="380" w:lineRule="exact"/>
        <w:ind w:firstLine="420"/>
        <w:rPr>
          <w:rFonts w:ascii="宋体" w:hAnsi="宋体" w:cs="宋体"/>
          <w:color w:val="auto"/>
          <w:sz w:val="21"/>
          <w:highlight w:val="none"/>
        </w:rPr>
      </w:pPr>
    </w:p>
    <w:p w14:paraId="2FB01F31">
      <w:pPr>
        <w:spacing w:line="380" w:lineRule="exact"/>
        <w:ind w:firstLine="420"/>
        <w:rPr>
          <w:rFonts w:ascii="宋体" w:hAnsi="宋体" w:cs="宋体"/>
          <w:color w:val="auto"/>
          <w:sz w:val="21"/>
          <w:highlight w:val="none"/>
        </w:rPr>
      </w:pPr>
    </w:p>
    <w:p w14:paraId="12A9782A">
      <w:pPr>
        <w:keepNext/>
        <w:keepLines/>
        <w:widowControl/>
        <w:ind w:firstLine="0" w:firstLineChars="0"/>
        <w:jc w:val="center"/>
        <w:outlineLvl w:val="0"/>
        <w:rPr>
          <w:rFonts w:ascii="宋体" w:hAnsi="宋体" w:eastAsia="黑体" w:cs="宋体"/>
          <w:b/>
          <w:bCs/>
          <w:color w:val="auto"/>
          <w:kern w:val="44"/>
          <w:sz w:val="28"/>
          <w:szCs w:val="28"/>
          <w:highlight w:val="none"/>
          <w:lang w:val="zh-CN"/>
        </w:rPr>
      </w:pPr>
    </w:p>
    <w:p w14:paraId="0A73A32D">
      <w:pPr>
        <w:widowControl/>
        <w:spacing w:line="240" w:lineRule="auto"/>
        <w:ind w:firstLine="0" w:firstLineChars="0"/>
        <w:jc w:val="left"/>
        <w:rPr>
          <w:rFonts w:ascii="宋体" w:hAnsi="宋体" w:eastAsia="黑体" w:cs="宋体"/>
          <w:b/>
          <w:bCs/>
          <w:color w:val="auto"/>
          <w:kern w:val="44"/>
          <w:sz w:val="28"/>
          <w:szCs w:val="28"/>
          <w:highlight w:val="none"/>
          <w:lang w:val="zh-CN"/>
        </w:rPr>
      </w:pPr>
      <w:r>
        <w:rPr>
          <w:rFonts w:ascii="宋体" w:hAnsi="宋体" w:cs="宋体"/>
          <w:color w:val="auto"/>
          <w:highlight w:val="none"/>
        </w:rPr>
        <w:br w:type="page"/>
      </w:r>
    </w:p>
    <w:p w14:paraId="1147A681">
      <w:pPr>
        <w:keepNext/>
        <w:keepLines/>
        <w:widowControl/>
        <w:ind w:firstLine="0" w:firstLineChars="0"/>
        <w:jc w:val="center"/>
        <w:outlineLvl w:val="0"/>
        <w:rPr>
          <w:rFonts w:ascii="宋体" w:hAnsi="宋体" w:eastAsia="黑体" w:cs="宋体"/>
          <w:b/>
          <w:bCs/>
          <w:color w:val="auto"/>
          <w:kern w:val="44"/>
          <w:sz w:val="28"/>
          <w:szCs w:val="28"/>
          <w:highlight w:val="none"/>
          <w:lang w:val="zh-CN"/>
        </w:rPr>
      </w:pPr>
      <w:r>
        <w:rPr>
          <w:rFonts w:hint="eastAsia" w:ascii="宋体" w:hAnsi="宋体" w:eastAsia="黑体" w:cs="宋体"/>
          <w:b/>
          <w:bCs/>
          <w:color w:val="auto"/>
          <w:kern w:val="44"/>
          <w:sz w:val="28"/>
          <w:szCs w:val="28"/>
          <w:highlight w:val="none"/>
          <w:lang w:val="zh-CN"/>
        </w:rPr>
        <w:t>第三部分 专用合同条款</w:t>
      </w:r>
    </w:p>
    <w:bookmarkEnd w:id="725"/>
    <w:p w14:paraId="04CB5C56">
      <w:pPr>
        <w:keepNext/>
        <w:keepLines/>
        <w:spacing w:line="420" w:lineRule="exact"/>
        <w:ind w:firstLine="0" w:firstLineChars="0"/>
        <w:outlineLvl w:val="0"/>
        <w:rPr>
          <w:rFonts w:ascii="宋体" w:hAnsi="宋体" w:cs="宋体"/>
          <w:b/>
          <w:bCs/>
          <w:color w:val="auto"/>
          <w:kern w:val="44"/>
          <w:sz w:val="21"/>
          <w:szCs w:val="21"/>
          <w:highlight w:val="none"/>
        </w:rPr>
      </w:pPr>
      <w:bookmarkStart w:id="726" w:name="_Toc478389182"/>
      <w:bookmarkStart w:id="727" w:name="_Toc351203633"/>
      <w:bookmarkStart w:id="728" w:name="_Toc417904268"/>
      <w:r>
        <w:rPr>
          <w:rFonts w:hint="eastAsia" w:ascii="宋体" w:hAnsi="宋体" w:cs="宋体"/>
          <w:b/>
          <w:bCs/>
          <w:color w:val="auto"/>
          <w:kern w:val="44"/>
          <w:sz w:val="21"/>
          <w:szCs w:val="21"/>
          <w:highlight w:val="none"/>
        </w:rPr>
        <w:t>1</w:t>
      </w:r>
      <w:bookmarkStart w:id="729" w:name="_Toc297120456"/>
      <w:bookmarkStart w:id="730" w:name="_Toc296346657"/>
      <w:bookmarkStart w:id="731" w:name="_Toc296891196"/>
      <w:bookmarkStart w:id="732" w:name="_Toc292559866"/>
      <w:bookmarkStart w:id="733" w:name="_Toc296890984"/>
      <w:bookmarkStart w:id="734" w:name="_Toc296944495"/>
      <w:bookmarkStart w:id="735" w:name="_Toc296503156"/>
      <w:bookmarkStart w:id="736" w:name="_Toc296347155"/>
      <w:bookmarkStart w:id="737" w:name="_Toc297048342"/>
      <w:bookmarkStart w:id="738" w:name="_Toc292559361"/>
      <w:r>
        <w:rPr>
          <w:rFonts w:hint="eastAsia" w:ascii="宋体" w:hAnsi="宋体" w:cs="宋体"/>
          <w:b/>
          <w:bCs/>
          <w:color w:val="auto"/>
          <w:kern w:val="44"/>
          <w:sz w:val="21"/>
          <w:szCs w:val="21"/>
          <w:highlight w:val="none"/>
        </w:rPr>
        <w:t>. 一般约定</w:t>
      </w:r>
      <w:bookmarkEnd w:id="726"/>
      <w:bookmarkEnd w:id="727"/>
      <w:bookmarkEnd w:id="728"/>
    </w:p>
    <w:bookmarkEnd w:id="729"/>
    <w:bookmarkEnd w:id="730"/>
    <w:bookmarkEnd w:id="731"/>
    <w:bookmarkEnd w:id="732"/>
    <w:bookmarkEnd w:id="733"/>
    <w:bookmarkEnd w:id="734"/>
    <w:bookmarkEnd w:id="735"/>
    <w:bookmarkEnd w:id="736"/>
    <w:bookmarkEnd w:id="737"/>
    <w:bookmarkEnd w:id="738"/>
    <w:p w14:paraId="08A20EEF">
      <w:pPr>
        <w:keepNext/>
        <w:keepLines/>
        <w:spacing w:line="420" w:lineRule="exact"/>
        <w:ind w:firstLine="0" w:firstLineChars="0"/>
        <w:outlineLvl w:val="0"/>
        <w:rPr>
          <w:rFonts w:ascii="宋体" w:hAnsi="宋体" w:cs="宋体"/>
          <w:b/>
          <w:bCs/>
          <w:color w:val="auto"/>
          <w:kern w:val="44"/>
          <w:sz w:val="21"/>
          <w:szCs w:val="21"/>
          <w:highlight w:val="none"/>
        </w:rPr>
      </w:pPr>
      <w:bookmarkStart w:id="739" w:name="_Toc478389183"/>
      <w:bookmarkStart w:id="740" w:name="_Toc417904269"/>
      <w:r>
        <w:rPr>
          <w:rFonts w:hint="eastAsia" w:ascii="宋体" w:hAnsi="宋体" w:cs="宋体"/>
          <w:b/>
          <w:bCs/>
          <w:color w:val="auto"/>
          <w:kern w:val="44"/>
          <w:sz w:val="21"/>
          <w:szCs w:val="21"/>
          <w:highlight w:val="none"/>
        </w:rPr>
        <w:t>1.1 词语定义</w:t>
      </w:r>
      <w:bookmarkEnd w:id="739"/>
      <w:bookmarkEnd w:id="740"/>
    </w:p>
    <w:p w14:paraId="4C23A9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1.1.1合同</w:t>
      </w:r>
    </w:p>
    <w:p w14:paraId="0F27F3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1.1.1.10其他合同文件包括：</w:t>
      </w:r>
      <w:r>
        <w:rPr>
          <w:rFonts w:hint="eastAsia" w:ascii="宋体" w:hAnsi="宋体" w:cs="宋体"/>
          <w:color w:val="auto"/>
          <w:sz w:val="21"/>
          <w:szCs w:val="21"/>
          <w:highlight w:val="none"/>
          <w:u w:val="single"/>
        </w:rPr>
        <w:t>（1）本合同协议书；（2）成交通知书；（3）磋商书及其附件；（4）本合同专用条款及补充条款；（5）本合同通用条款；（6）标准、规范及有关技术文件；（7）工程量清单；（8）本工程预算控制价造价成果文件及其他合同文件。</w:t>
      </w:r>
    </w:p>
    <w:p w14:paraId="0AB61A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 合同当事人及其他相关方</w:t>
      </w:r>
    </w:p>
    <w:p w14:paraId="0719B0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1.1.2.4监理人：</w:t>
      </w:r>
    </w:p>
    <w:p w14:paraId="7F84331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A925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资质类别和等级：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D0C48F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B580B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BB21A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A9CBC4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1.1.2.5 设计人：</w:t>
      </w:r>
    </w:p>
    <w:p w14:paraId="79F0E6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9CDB1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资质类别和等级：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321EF4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7E63E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7052D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CAB6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 工程和设备</w:t>
      </w:r>
    </w:p>
    <w:p w14:paraId="36D453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1.1.3.7 作为施工现场组成部分的其他场所包括：</w:t>
      </w:r>
      <w:r>
        <w:rPr>
          <w:rFonts w:hint="eastAsia" w:ascii="宋体" w:hAnsi="宋体" w:cs="宋体"/>
          <w:color w:val="auto"/>
          <w:sz w:val="21"/>
          <w:szCs w:val="21"/>
          <w:highlight w:val="none"/>
          <w:u w:val="single"/>
        </w:rPr>
        <w:t xml:space="preserve">  临时设施和临时用地 </w:t>
      </w:r>
      <w:r>
        <w:rPr>
          <w:rFonts w:hint="eastAsia" w:ascii="宋体" w:hAnsi="宋体" w:cs="宋体"/>
          <w:color w:val="auto"/>
          <w:sz w:val="21"/>
          <w:szCs w:val="21"/>
          <w:highlight w:val="none"/>
        </w:rPr>
        <w:t>。</w:t>
      </w:r>
    </w:p>
    <w:p w14:paraId="0A8EC2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1.1.3.9 永久占地包括：</w:t>
      </w:r>
      <w:r>
        <w:rPr>
          <w:rFonts w:hint="eastAsia" w:ascii="宋体" w:hAnsi="宋体" w:cs="宋体"/>
          <w:color w:val="auto"/>
          <w:sz w:val="21"/>
          <w:szCs w:val="21"/>
          <w:highlight w:val="none"/>
          <w:u w:val="single"/>
        </w:rPr>
        <w:t xml:space="preserve">      建、构筑物用地                </w:t>
      </w:r>
      <w:r>
        <w:rPr>
          <w:rFonts w:hint="eastAsia" w:ascii="宋体" w:hAnsi="宋体" w:cs="宋体"/>
          <w:color w:val="auto"/>
          <w:sz w:val="21"/>
          <w:szCs w:val="21"/>
          <w:highlight w:val="none"/>
        </w:rPr>
        <w:t>。</w:t>
      </w:r>
    </w:p>
    <w:p w14:paraId="21DB6A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1.1.3.10 临时占地包括：</w:t>
      </w:r>
      <w:r>
        <w:rPr>
          <w:rFonts w:hint="eastAsia" w:ascii="宋体" w:hAnsi="宋体" w:cs="宋体"/>
          <w:color w:val="auto"/>
          <w:sz w:val="21"/>
          <w:szCs w:val="21"/>
          <w:highlight w:val="none"/>
          <w:u w:val="single"/>
        </w:rPr>
        <w:t xml:space="preserve">      临时设施和临时用地                  </w:t>
      </w:r>
      <w:r>
        <w:rPr>
          <w:rFonts w:hint="eastAsia" w:ascii="宋体" w:hAnsi="宋体" w:cs="宋体"/>
          <w:color w:val="auto"/>
          <w:sz w:val="21"/>
          <w:szCs w:val="21"/>
          <w:highlight w:val="none"/>
        </w:rPr>
        <w:t>。</w:t>
      </w:r>
    </w:p>
    <w:p w14:paraId="7993B315">
      <w:pPr>
        <w:keepNext/>
        <w:keepLines/>
        <w:spacing w:line="420" w:lineRule="exact"/>
        <w:ind w:firstLine="0" w:firstLineChars="0"/>
        <w:outlineLvl w:val="0"/>
        <w:rPr>
          <w:rFonts w:ascii="宋体" w:hAnsi="宋体" w:cs="宋体"/>
          <w:b/>
          <w:bCs/>
          <w:color w:val="auto"/>
          <w:kern w:val="44"/>
          <w:sz w:val="21"/>
          <w:szCs w:val="21"/>
          <w:highlight w:val="none"/>
        </w:rPr>
      </w:pPr>
      <w:bookmarkStart w:id="741" w:name="_Toc417904270"/>
      <w:bookmarkStart w:id="742" w:name="_Toc478389184"/>
      <w:r>
        <w:rPr>
          <w:rFonts w:hint="eastAsia" w:ascii="宋体" w:hAnsi="宋体" w:cs="宋体"/>
          <w:b/>
          <w:bCs/>
          <w:color w:val="auto"/>
          <w:kern w:val="44"/>
          <w:sz w:val="21"/>
          <w:szCs w:val="21"/>
          <w:highlight w:val="none"/>
        </w:rPr>
        <w:t>1.3法律</w:t>
      </w:r>
      <w:bookmarkEnd w:id="741"/>
      <w:bookmarkEnd w:id="742"/>
    </w:p>
    <w:p w14:paraId="324A23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适用于合同的其他规范性文件：</w:t>
      </w:r>
      <w:r>
        <w:rPr>
          <w:rFonts w:hint="eastAsia" w:ascii="宋体" w:hAnsi="宋体" w:cs="宋体"/>
          <w:color w:val="auto"/>
          <w:sz w:val="21"/>
          <w:szCs w:val="21"/>
          <w:highlight w:val="none"/>
          <w:u w:val="single"/>
        </w:rPr>
        <w:t xml:space="preserve">  现行的国家法律、行政法规及部门规章，工程所在地政府、行政主管部门的有关法规和规章及规范性文件 </w:t>
      </w:r>
      <w:r>
        <w:rPr>
          <w:rFonts w:hint="eastAsia" w:ascii="宋体" w:hAnsi="宋体" w:cs="宋体"/>
          <w:color w:val="auto"/>
          <w:sz w:val="21"/>
          <w:szCs w:val="21"/>
          <w:highlight w:val="none"/>
        </w:rPr>
        <w:t>。</w:t>
      </w:r>
    </w:p>
    <w:p w14:paraId="6136C9AD">
      <w:pPr>
        <w:keepNext/>
        <w:keepLines/>
        <w:spacing w:line="420" w:lineRule="exact"/>
        <w:ind w:firstLine="0" w:firstLineChars="0"/>
        <w:outlineLvl w:val="0"/>
        <w:rPr>
          <w:rFonts w:ascii="宋体" w:hAnsi="宋体" w:cs="宋体"/>
          <w:b/>
          <w:bCs/>
          <w:color w:val="auto"/>
          <w:kern w:val="44"/>
          <w:sz w:val="21"/>
          <w:szCs w:val="21"/>
          <w:highlight w:val="none"/>
        </w:rPr>
      </w:pPr>
      <w:bookmarkStart w:id="743" w:name="_Toc478389185"/>
      <w:bookmarkStart w:id="744" w:name="_Toc417904271"/>
      <w:r>
        <w:rPr>
          <w:rFonts w:hint="eastAsia" w:ascii="宋体" w:hAnsi="宋体" w:cs="宋体"/>
          <w:b/>
          <w:bCs/>
          <w:color w:val="auto"/>
          <w:kern w:val="44"/>
          <w:sz w:val="21"/>
          <w:szCs w:val="21"/>
          <w:highlight w:val="none"/>
        </w:rPr>
        <w:t>1.4 标准和规范</w:t>
      </w:r>
      <w:bookmarkEnd w:id="743"/>
      <w:bookmarkEnd w:id="744"/>
    </w:p>
    <w:p w14:paraId="0DE3EE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1.4.1适用于工程的标准规范包括：</w:t>
      </w:r>
      <w:r>
        <w:rPr>
          <w:rFonts w:hint="eastAsia" w:ascii="宋体" w:hAnsi="宋体" w:cs="宋体"/>
          <w:color w:val="auto"/>
          <w:sz w:val="21"/>
          <w:szCs w:val="21"/>
          <w:highlight w:val="none"/>
          <w:u w:val="single"/>
        </w:rPr>
        <w:t xml:space="preserve">     国家和地方性规范    </w:t>
      </w:r>
      <w:r>
        <w:rPr>
          <w:rFonts w:hint="eastAsia" w:ascii="宋体" w:hAnsi="宋体" w:cs="宋体"/>
          <w:color w:val="auto"/>
          <w:sz w:val="21"/>
          <w:szCs w:val="21"/>
          <w:highlight w:val="none"/>
        </w:rPr>
        <w:t>。</w:t>
      </w:r>
    </w:p>
    <w:p w14:paraId="7C53D3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1.4.2 发包人提供国外标准、规范的名称：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36ED3C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发包人提供国外标准、规范的份数：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4639458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发包人提供国外标准、规范的名称：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E2DA8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1.4.3发包人对工程的技术标准和功能要求的特殊要求：</w:t>
      </w:r>
      <w:r>
        <w:rPr>
          <w:rFonts w:hint="eastAsia" w:ascii="宋体" w:hAnsi="宋体" w:cs="宋体"/>
          <w:color w:val="auto"/>
          <w:sz w:val="21"/>
          <w:szCs w:val="21"/>
          <w:highlight w:val="none"/>
          <w:u w:val="single"/>
        </w:rPr>
        <w:t xml:space="preserve">无    </w:t>
      </w:r>
      <w:r>
        <w:rPr>
          <w:rFonts w:hint="eastAsia" w:ascii="宋体" w:hAnsi="宋体" w:cs="宋体"/>
          <w:color w:val="auto"/>
          <w:sz w:val="21"/>
          <w:szCs w:val="21"/>
          <w:highlight w:val="none"/>
        </w:rPr>
        <w:t>。</w:t>
      </w:r>
    </w:p>
    <w:p w14:paraId="5899DFE0">
      <w:pPr>
        <w:keepNext/>
        <w:keepLines/>
        <w:spacing w:line="420" w:lineRule="exact"/>
        <w:ind w:firstLine="0" w:firstLineChars="0"/>
        <w:outlineLvl w:val="0"/>
        <w:rPr>
          <w:rFonts w:ascii="宋体" w:hAnsi="宋体" w:cs="宋体"/>
          <w:b/>
          <w:bCs/>
          <w:color w:val="auto"/>
          <w:kern w:val="44"/>
          <w:sz w:val="21"/>
          <w:szCs w:val="21"/>
          <w:highlight w:val="none"/>
        </w:rPr>
      </w:pPr>
      <w:bookmarkStart w:id="745" w:name="_Toc478389186"/>
      <w:bookmarkStart w:id="746" w:name="_Toc417904272"/>
      <w:r>
        <w:rPr>
          <w:rFonts w:hint="eastAsia" w:ascii="宋体" w:hAnsi="宋体" w:cs="宋体"/>
          <w:b/>
          <w:bCs/>
          <w:color w:val="auto"/>
          <w:kern w:val="44"/>
          <w:sz w:val="21"/>
          <w:szCs w:val="21"/>
          <w:highlight w:val="none"/>
        </w:rPr>
        <w:t>1.5 合同文件的优先顺序</w:t>
      </w:r>
      <w:bookmarkEnd w:id="745"/>
      <w:bookmarkEnd w:id="746"/>
    </w:p>
    <w:p w14:paraId="222E752F">
      <w:pPr>
        <w:spacing w:line="400" w:lineRule="exact"/>
        <w:ind w:firstLine="525" w:firstLineChars="250"/>
        <w:rPr>
          <w:rFonts w:ascii="宋体" w:hAnsi="宋体" w:cs="宋体"/>
          <w:color w:val="auto"/>
          <w:sz w:val="21"/>
          <w:szCs w:val="21"/>
          <w:highlight w:val="none"/>
        </w:rPr>
      </w:pPr>
      <w:r>
        <w:rPr>
          <w:rFonts w:hint="eastAsia" w:ascii="宋体" w:hAnsi="宋体" w:cs="宋体"/>
          <w:color w:val="auto"/>
          <w:sz w:val="21"/>
          <w:szCs w:val="21"/>
          <w:highlight w:val="none"/>
        </w:rPr>
        <w:t>合同文件组成及优先顺序为：</w:t>
      </w:r>
      <w:r>
        <w:rPr>
          <w:rFonts w:hint="eastAsia" w:ascii="宋体" w:hAnsi="宋体" w:cs="宋体"/>
          <w:color w:val="auto"/>
          <w:sz w:val="21"/>
          <w:szCs w:val="21"/>
          <w:highlight w:val="none"/>
          <w:u w:val="single"/>
        </w:rPr>
        <w:t>（1）本合同协议书；（2）成交通知书；（3）</w:t>
      </w:r>
      <w:r>
        <w:rPr>
          <w:rFonts w:hint="eastAsia" w:ascii="宋体" w:hAnsi="宋体" w:cs="宋体"/>
          <w:color w:val="auto"/>
          <w:sz w:val="21"/>
          <w:szCs w:val="21"/>
          <w:highlight w:val="none"/>
          <w:u w:val="single"/>
          <w:lang w:eastAsia="zh-CN"/>
        </w:rPr>
        <w:t>磋商</w:t>
      </w:r>
      <w:r>
        <w:rPr>
          <w:rFonts w:hint="eastAsia" w:ascii="宋体" w:hAnsi="宋体" w:cs="宋体"/>
          <w:color w:val="auto"/>
          <w:sz w:val="21"/>
          <w:szCs w:val="21"/>
          <w:highlight w:val="none"/>
          <w:u w:val="single"/>
        </w:rPr>
        <w:t>书及其附件；（4）本合同专用条款及补充条款；（5）本合同通用条款；（6）标准、规范及有关技术文件；（7）工程量清单；（8）本</w:t>
      </w:r>
      <w:r>
        <w:rPr>
          <w:rFonts w:hint="eastAsia" w:ascii="宋体" w:hAnsi="宋体" w:cs="宋体"/>
          <w:color w:val="auto"/>
          <w:sz w:val="21"/>
          <w:szCs w:val="21"/>
          <w:highlight w:val="none"/>
          <w:u w:val="single"/>
          <w:lang w:eastAsia="zh-CN"/>
        </w:rPr>
        <w:t>工程预算控制价</w:t>
      </w:r>
      <w:r>
        <w:rPr>
          <w:rFonts w:hint="eastAsia" w:ascii="宋体" w:hAnsi="宋体" w:cs="宋体"/>
          <w:color w:val="auto"/>
          <w:sz w:val="21"/>
          <w:szCs w:val="21"/>
          <w:highlight w:val="none"/>
          <w:u w:val="single"/>
        </w:rPr>
        <w:t>成果文件及其他合同文件。</w:t>
      </w:r>
    </w:p>
    <w:p w14:paraId="6B52599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图纸与技术标准和要求之间有矛盾或者不一致的，以其中要求较严格的标准为准。</w:t>
      </w:r>
    </w:p>
    <w:p w14:paraId="514528E3">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合同双方在合同履行过程中签订的补充协议亦构成合同文件的组成部分，其解释顺序视其内容与其他合同文件的相互关系而定。</w:t>
      </w:r>
    </w:p>
    <w:p w14:paraId="653E7DAE">
      <w:pPr>
        <w:keepNext/>
        <w:keepLines/>
        <w:spacing w:line="420" w:lineRule="exact"/>
        <w:ind w:firstLine="0" w:firstLineChars="0"/>
        <w:outlineLvl w:val="0"/>
        <w:rPr>
          <w:rFonts w:ascii="宋体" w:hAnsi="宋体" w:cs="宋体"/>
          <w:b/>
          <w:bCs/>
          <w:color w:val="auto"/>
          <w:kern w:val="44"/>
          <w:sz w:val="21"/>
          <w:szCs w:val="21"/>
          <w:highlight w:val="none"/>
        </w:rPr>
      </w:pPr>
      <w:bookmarkStart w:id="747" w:name="_Toc478389187"/>
      <w:bookmarkStart w:id="748" w:name="_Toc417904273"/>
      <w:r>
        <w:rPr>
          <w:rFonts w:hint="eastAsia" w:ascii="宋体" w:hAnsi="宋体" w:cs="宋体"/>
          <w:b/>
          <w:bCs/>
          <w:color w:val="auto"/>
          <w:kern w:val="44"/>
          <w:sz w:val="21"/>
          <w:szCs w:val="21"/>
          <w:highlight w:val="none"/>
        </w:rPr>
        <w:t>1.6 图纸和承包人文件</w:t>
      </w:r>
      <w:bookmarkEnd w:id="747"/>
      <w:bookmarkEnd w:id="748"/>
      <w:r>
        <w:rPr>
          <w:rFonts w:hint="eastAsia" w:ascii="宋体" w:hAnsi="宋体" w:cs="宋体"/>
          <w:b/>
          <w:bCs/>
          <w:color w:val="auto"/>
          <w:kern w:val="44"/>
          <w:sz w:val="21"/>
          <w:szCs w:val="21"/>
          <w:highlight w:val="none"/>
        </w:rPr>
        <w:tab/>
      </w:r>
    </w:p>
    <w:p w14:paraId="296867A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 图纸的提供</w:t>
      </w:r>
    </w:p>
    <w:p w14:paraId="255D8401">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发包人向承包人提供图纸的期限：</w:t>
      </w:r>
      <w:r>
        <w:rPr>
          <w:rFonts w:hint="eastAsia" w:ascii="宋体" w:hAnsi="宋体" w:cs="宋体"/>
          <w:color w:val="auto"/>
          <w:sz w:val="21"/>
          <w:szCs w:val="21"/>
          <w:highlight w:val="none"/>
          <w:u w:val="single"/>
        </w:rPr>
        <w:t>合同生效后7天内；</w:t>
      </w:r>
    </w:p>
    <w:p w14:paraId="0F9DEA6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发包人向承包人提供图纸的数量：</w:t>
      </w:r>
      <w:r>
        <w:rPr>
          <w:rFonts w:hint="eastAsia" w:ascii="宋体" w:hAnsi="宋体" w:cs="宋体"/>
          <w:color w:val="auto"/>
          <w:sz w:val="21"/>
          <w:szCs w:val="21"/>
          <w:highlight w:val="none"/>
          <w:u w:val="single"/>
        </w:rPr>
        <w:t>图纸和其他技术资料壹份（标准图集由承包人自备）</w:t>
      </w:r>
      <w:r>
        <w:rPr>
          <w:rFonts w:hint="eastAsia" w:ascii="宋体" w:hAnsi="宋体" w:cs="宋体"/>
          <w:color w:val="auto"/>
          <w:sz w:val="21"/>
          <w:szCs w:val="21"/>
          <w:highlight w:val="none"/>
        </w:rPr>
        <w:t>；</w:t>
      </w:r>
    </w:p>
    <w:p w14:paraId="3835B1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发包人向承包人提供图纸的内容：</w:t>
      </w:r>
      <w:r>
        <w:rPr>
          <w:rFonts w:hint="eastAsia" w:ascii="宋体" w:hAnsi="宋体" w:cs="宋体"/>
          <w:color w:val="auto"/>
          <w:sz w:val="21"/>
          <w:szCs w:val="21"/>
          <w:highlight w:val="none"/>
          <w:u w:val="single"/>
        </w:rPr>
        <w:t xml:space="preserve">   与本项目相关             </w:t>
      </w:r>
      <w:r>
        <w:rPr>
          <w:rFonts w:hint="eastAsia" w:ascii="宋体" w:hAnsi="宋体" w:cs="宋体"/>
          <w:color w:val="auto"/>
          <w:sz w:val="21"/>
          <w:szCs w:val="21"/>
          <w:highlight w:val="none"/>
        </w:rPr>
        <w:t>。</w:t>
      </w:r>
    </w:p>
    <w:p w14:paraId="7EE77E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1.6.4 承包人文件</w:t>
      </w:r>
    </w:p>
    <w:p w14:paraId="11DA96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需要由承包人提供的文件，包括：</w:t>
      </w:r>
      <w:r>
        <w:rPr>
          <w:rFonts w:hint="eastAsia" w:ascii="宋体" w:hAnsi="宋体" w:cs="宋体"/>
          <w:color w:val="auto"/>
          <w:sz w:val="21"/>
          <w:szCs w:val="21"/>
          <w:highlight w:val="none"/>
          <w:u w:val="single"/>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ascii="宋体" w:hAnsi="宋体" w:cs="宋体"/>
          <w:color w:val="auto"/>
          <w:sz w:val="21"/>
          <w:szCs w:val="21"/>
          <w:highlight w:val="none"/>
        </w:rPr>
        <w:t>；</w:t>
      </w:r>
    </w:p>
    <w:p w14:paraId="09BB63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承包人提供的文件的期限为：</w:t>
      </w:r>
      <w:r>
        <w:rPr>
          <w:rFonts w:hint="eastAsia" w:ascii="宋体" w:hAnsi="宋体" w:cs="宋体"/>
          <w:color w:val="auto"/>
          <w:sz w:val="21"/>
          <w:szCs w:val="21"/>
          <w:highlight w:val="none"/>
          <w:u w:val="single"/>
        </w:rPr>
        <w:t xml:space="preserve">  构件开始施工前7天内  </w:t>
      </w:r>
      <w:r>
        <w:rPr>
          <w:rFonts w:hint="eastAsia" w:ascii="宋体" w:hAnsi="宋体" w:cs="宋体"/>
          <w:color w:val="auto"/>
          <w:sz w:val="21"/>
          <w:szCs w:val="21"/>
          <w:highlight w:val="none"/>
        </w:rPr>
        <w:t>；</w:t>
      </w:r>
    </w:p>
    <w:p w14:paraId="74F3DC4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承包人提供的文件的数量为：</w:t>
      </w:r>
      <w:r>
        <w:rPr>
          <w:rFonts w:hint="eastAsia" w:ascii="宋体" w:hAnsi="宋体" w:cs="宋体"/>
          <w:color w:val="auto"/>
          <w:sz w:val="21"/>
          <w:szCs w:val="21"/>
          <w:highlight w:val="none"/>
          <w:u w:val="single"/>
        </w:rPr>
        <w:t xml:space="preserve">      5份                </w:t>
      </w:r>
      <w:r>
        <w:rPr>
          <w:rFonts w:hint="eastAsia" w:ascii="宋体" w:hAnsi="宋体" w:cs="宋体"/>
          <w:color w:val="auto"/>
          <w:sz w:val="21"/>
          <w:szCs w:val="21"/>
          <w:highlight w:val="none"/>
        </w:rPr>
        <w:t>；</w:t>
      </w:r>
    </w:p>
    <w:p w14:paraId="4A5636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承包人提供的文件的形式为：</w:t>
      </w:r>
      <w:r>
        <w:rPr>
          <w:rFonts w:hint="eastAsia" w:ascii="宋体" w:hAnsi="宋体" w:cs="宋体"/>
          <w:color w:val="auto"/>
          <w:sz w:val="21"/>
          <w:szCs w:val="21"/>
          <w:highlight w:val="none"/>
          <w:u w:val="single"/>
        </w:rPr>
        <w:t xml:space="preserve">      书面                 </w:t>
      </w:r>
      <w:r>
        <w:rPr>
          <w:rFonts w:hint="eastAsia" w:ascii="宋体" w:hAnsi="宋体" w:cs="宋体"/>
          <w:color w:val="auto"/>
          <w:sz w:val="21"/>
          <w:szCs w:val="21"/>
          <w:highlight w:val="none"/>
        </w:rPr>
        <w:t>；</w:t>
      </w:r>
    </w:p>
    <w:p w14:paraId="6888150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发包人审批承包人文件的期限：</w:t>
      </w:r>
      <w:r>
        <w:rPr>
          <w:rFonts w:hint="eastAsia" w:ascii="宋体" w:hAnsi="宋体" w:cs="宋体"/>
          <w:color w:val="auto"/>
          <w:sz w:val="21"/>
          <w:szCs w:val="21"/>
          <w:highlight w:val="none"/>
          <w:u w:val="single"/>
        </w:rPr>
        <w:t xml:space="preserve">     15天内                </w:t>
      </w:r>
      <w:r>
        <w:rPr>
          <w:rFonts w:hint="eastAsia" w:ascii="宋体" w:hAnsi="宋体" w:cs="宋体"/>
          <w:color w:val="auto"/>
          <w:sz w:val="21"/>
          <w:szCs w:val="21"/>
          <w:highlight w:val="none"/>
        </w:rPr>
        <w:t>。</w:t>
      </w:r>
    </w:p>
    <w:p w14:paraId="479B58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1.6.5 现场图纸准备</w:t>
      </w:r>
    </w:p>
    <w:p w14:paraId="2DAC7C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关于现场图纸准备的约定：</w:t>
      </w:r>
      <w:r>
        <w:rPr>
          <w:rFonts w:hint="eastAsia" w:ascii="宋体" w:hAnsi="宋体" w:cs="宋体"/>
          <w:color w:val="auto"/>
          <w:sz w:val="21"/>
          <w:szCs w:val="21"/>
          <w:highlight w:val="none"/>
          <w:u w:val="single"/>
        </w:rPr>
        <w:t xml:space="preserve">    按规定            </w:t>
      </w:r>
      <w:r>
        <w:rPr>
          <w:rFonts w:hint="eastAsia" w:ascii="宋体" w:hAnsi="宋体" w:cs="宋体"/>
          <w:color w:val="auto"/>
          <w:sz w:val="21"/>
          <w:szCs w:val="21"/>
          <w:highlight w:val="none"/>
        </w:rPr>
        <w:t>。</w:t>
      </w:r>
    </w:p>
    <w:p w14:paraId="4D3454B8">
      <w:pPr>
        <w:keepNext/>
        <w:keepLines/>
        <w:spacing w:line="420" w:lineRule="exact"/>
        <w:ind w:firstLine="0" w:firstLineChars="0"/>
        <w:outlineLvl w:val="0"/>
        <w:rPr>
          <w:rFonts w:ascii="宋体" w:hAnsi="宋体" w:cs="宋体"/>
          <w:b/>
          <w:bCs/>
          <w:color w:val="auto"/>
          <w:kern w:val="44"/>
          <w:sz w:val="21"/>
          <w:szCs w:val="21"/>
          <w:highlight w:val="none"/>
        </w:rPr>
      </w:pPr>
      <w:bookmarkStart w:id="749" w:name="_Toc417904274"/>
      <w:bookmarkStart w:id="750" w:name="_Toc478389188"/>
      <w:r>
        <w:rPr>
          <w:rFonts w:hint="eastAsia" w:ascii="宋体" w:hAnsi="宋体" w:cs="宋体"/>
          <w:b/>
          <w:bCs/>
          <w:color w:val="auto"/>
          <w:kern w:val="44"/>
          <w:sz w:val="21"/>
          <w:szCs w:val="21"/>
          <w:highlight w:val="none"/>
        </w:rPr>
        <w:t>1.7 联络</w:t>
      </w:r>
      <w:bookmarkEnd w:id="749"/>
      <w:bookmarkEnd w:id="750"/>
    </w:p>
    <w:p w14:paraId="6BA2E29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1.7.1发包人和承包人应当在</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天内将与合同有关的通知、批准、证明、证书、指示、指令、要求、请求、同意、意见、确定和决定等书面函件送达对方当事人。</w:t>
      </w:r>
    </w:p>
    <w:p w14:paraId="62DBD3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1.7.2 发包人接收文件的地点：</w:t>
      </w:r>
      <w:r>
        <w:rPr>
          <w:rFonts w:hint="eastAsia" w:ascii="宋体" w:hAnsi="宋体" w:cs="宋体"/>
          <w:color w:val="auto"/>
          <w:sz w:val="21"/>
          <w:szCs w:val="21"/>
          <w:highlight w:val="none"/>
          <w:u w:val="single"/>
        </w:rPr>
        <w:t xml:space="preserve">  桂林市内  </w:t>
      </w:r>
      <w:r>
        <w:rPr>
          <w:rFonts w:hint="eastAsia" w:ascii="宋体" w:hAnsi="宋体" w:cs="宋体"/>
          <w:color w:val="auto"/>
          <w:sz w:val="21"/>
          <w:szCs w:val="21"/>
          <w:highlight w:val="none"/>
        </w:rPr>
        <w:t>；</w:t>
      </w:r>
    </w:p>
    <w:p w14:paraId="264FF5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发包人指定的接收人为：</w:t>
      </w:r>
      <w:r>
        <w:rPr>
          <w:rFonts w:hint="eastAsia" w:ascii="宋体" w:hAnsi="宋体" w:cs="宋体"/>
          <w:color w:val="auto"/>
          <w:sz w:val="21"/>
          <w:szCs w:val="21"/>
          <w:highlight w:val="none"/>
          <w:u w:val="single"/>
        </w:rPr>
        <w:t xml:space="preserve">   双方按实际情况现场约定        </w:t>
      </w:r>
      <w:r>
        <w:rPr>
          <w:rFonts w:hint="eastAsia" w:ascii="宋体" w:hAnsi="宋体" w:cs="宋体"/>
          <w:color w:val="auto"/>
          <w:sz w:val="21"/>
          <w:szCs w:val="21"/>
          <w:highlight w:val="none"/>
        </w:rPr>
        <w:t>。</w:t>
      </w:r>
    </w:p>
    <w:p w14:paraId="649C8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承包人接收文件的地点：</w:t>
      </w:r>
      <w:r>
        <w:rPr>
          <w:rFonts w:hint="eastAsia" w:ascii="宋体" w:hAnsi="宋体" w:cs="宋体"/>
          <w:color w:val="auto"/>
          <w:sz w:val="21"/>
          <w:szCs w:val="21"/>
          <w:highlight w:val="none"/>
          <w:u w:val="single"/>
        </w:rPr>
        <w:t xml:space="preserve">     发包人资料室               </w:t>
      </w:r>
      <w:r>
        <w:rPr>
          <w:rFonts w:hint="eastAsia" w:ascii="宋体" w:hAnsi="宋体" w:cs="宋体"/>
          <w:color w:val="auto"/>
          <w:sz w:val="21"/>
          <w:szCs w:val="21"/>
          <w:highlight w:val="none"/>
        </w:rPr>
        <w:t>；</w:t>
      </w:r>
    </w:p>
    <w:p w14:paraId="62FFE0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承包人指定的接收人为：</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66C9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监理人接收文件的地点：</w:t>
      </w:r>
      <w:r>
        <w:rPr>
          <w:rFonts w:hint="eastAsia" w:ascii="宋体" w:hAnsi="宋体" w:cs="宋体"/>
          <w:color w:val="auto"/>
          <w:sz w:val="21"/>
          <w:szCs w:val="21"/>
          <w:highlight w:val="none"/>
          <w:u w:val="single"/>
        </w:rPr>
        <w:t xml:space="preserve">     发包人资料室                        </w:t>
      </w:r>
      <w:r>
        <w:rPr>
          <w:rFonts w:hint="eastAsia" w:ascii="宋体" w:hAnsi="宋体" w:cs="宋体"/>
          <w:color w:val="auto"/>
          <w:sz w:val="21"/>
          <w:szCs w:val="21"/>
          <w:highlight w:val="none"/>
        </w:rPr>
        <w:t>；</w:t>
      </w:r>
    </w:p>
    <w:p w14:paraId="3B3A4B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监理人指定的接收人为：</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65D7508">
      <w:pPr>
        <w:keepNext/>
        <w:keepLines/>
        <w:spacing w:line="420" w:lineRule="exact"/>
        <w:ind w:firstLine="0" w:firstLineChars="0"/>
        <w:outlineLvl w:val="0"/>
        <w:rPr>
          <w:rFonts w:ascii="宋体" w:hAnsi="宋体" w:cs="宋体"/>
          <w:b/>
          <w:bCs/>
          <w:color w:val="auto"/>
          <w:kern w:val="44"/>
          <w:sz w:val="21"/>
          <w:szCs w:val="21"/>
          <w:highlight w:val="none"/>
        </w:rPr>
      </w:pPr>
      <w:bookmarkStart w:id="751" w:name="_Toc478389189"/>
      <w:bookmarkStart w:id="752" w:name="_Toc417904275"/>
      <w:r>
        <w:rPr>
          <w:rFonts w:hint="eastAsia" w:ascii="宋体" w:hAnsi="宋体" w:cs="宋体"/>
          <w:b/>
          <w:bCs/>
          <w:color w:val="auto"/>
          <w:kern w:val="44"/>
          <w:sz w:val="21"/>
          <w:szCs w:val="21"/>
          <w:highlight w:val="none"/>
        </w:rPr>
        <w:t>1.10 交通运输</w:t>
      </w:r>
      <w:bookmarkEnd w:id="751"/>
      <w:bookmarkEnd w:id="752"/>
    </w:p>
    <w:p w14:paraId="0A5F88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Start w:id="753" w:name="_Toc304295521"/>
      <w:bookmarkStart w:id="754" w:name="_Toc312677986"/>
      <w:bookmarkStart w:id="755" w:name="_Toc300934943"/>
      <w:bookmarkStart w:id="756" w:name="_Toc303539100"/>
      <w:bookmarkStart w:id="757" w:name="_Toc318581155"/>
      <w:r>
        <w:rPr>
          <w:rFonts w:hint="eastAsia" w:ascii="宋体" w:hAnsi="宋体" w:cs="宋体"/>
          <w:color w:val="auto"/>
          <w:sz w:val="21"/>
          <w:szCs w:val="21"/>
          <w:highlight w:val="none"/>
        </w:rPr>
        <w:t>.10.1 出入现场的权利</w:t>
      </w:r>
    </w:p>
    <w:p w14:paraId="0E0FF299">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关于出入现场的权利的约定：</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bookmarkEnd w:id="753"/>
    <w:bookmarkEnd w:id="754"/>
    <w:bookmarkEnd w:id="755"/>
    <w:bookmarkEnd w:id="756"/>
    <w:bookmarkEnd w:id="757"/>
    <w:p w14:paraId="14DA8E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Start w:id="758" w:name="_Toc318581156"/>
      <w:bookmarkStart w:id="759" w:name="_Toc312677987"/>
      <w:bookmarkStart w:id="760" w:name="_Toc304295522"/>
      <w:bookmarkStart w:id="761" w:name="_Toc303539101"/>
      <w:bookmarkStart w:id="762" w:name="_Toc300934944"/>
      <w:r>
        <w:rPr>
          <w:rFonts w:hint="eastAsia" w:ascii="宋体" w:hAnsi="宋体" w:cs="宋体"/>
          <w:color w:val="auto"/>
          <w:sz w:val="21"/>
          <w:szCs w:val="21"/>
          <w:highlight w:val="none"/>
        </w:rPr>
        <w:t>.10.3 场内交通</w:t>
      </w:r>
    </w:p>
    <w:p w14:paraId="1F888AF3">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关于场外交通和场内交通的边界的约定：</w:t>
      </w:r>
      <w:r>
        <w:rPr>
          <w:rFonts w:hint="eastAsia" w:ascii="宋体" w:hAnsi="宋体" w:cs="宋体"/>
          <w:color w:val="auto"/>
          <w:sz w:val="21"/>
          <w:szCs w:val="21"/>
          <w:highlight w:val="none"/>
          <w:u w:val="single"/>
        </w:rPr>
        <w:t xml:space="preserve">   规划用边线     </w:t>
      </w:r>
      <w:r>
        <w:rPr>
          <w:rFonts w:hint="eastAsia" w:ascii="宋体" w:hAnsi="宋体" w:cs="宋体"/>
          <w:color w:val="auto"/>
          <w:sz w:val="21"/>
          <w:szCs w:val="21"/>
          <w:highlight w:val="none"/>
        </w:rPr>
        <w:t>。</w:t>
      </w:r>
    </w:p>
    <w:p w14:paraId="54475A47">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关于发包人向承包人免费提供满足工程施工需要的场内道路和交通设施的约定：</w:t>
      </w:r>
      <w:r>
        <w:rPr>
          <w:rFonts w:hint="eastAsia" w:ascii="宋体" w:hAnsi="宋体" w:cs="宋体"/>
          <w:color w:val="auto"/>
          <w:sz w:val="21"/>
          <w:szCs w:val="21"/>
          <w:highlight w:val="none"/>
          <w:u w:val="single"/>
        </w:rPr>
        <w:t>货运通道及相关设施  。</w:t>
      </w:r>
      <w:bookmarkEnd w:id="758"/>
      <w:bookmarkEnd w:id="759"/>
      <w:bookmarkEnd w:id="760"/>
      <w:bookmarkEnd w:id="761"/>
      <w:bookmarkEnd w:id="762"/>
      <w:bookmarkStart w:id="763" w:name="_Toc318581157"/>
    </w:p>
    <w:p w14:paraId="505F33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1.10.4超大件和超重件的运输</w:t>
      </w:r>
    </w:p>
    <w:p w14:paraId="6F3485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运输超大件或超重件所需的道路和桥梁临时加固改造费用和其他有关费用由</w:t>
      </w:r>
      <w:r>
        <w:rPr>
          <w:rFonts w:hint="eastAsia" w:ascii="宋体" w:hAnsi="宋体" w:cs="宋体"/>
          <w:color w:val="auto"/>
          <w:sz w:val="21"/>
          <w:szCs w:val="21"/>
          <w:highlight w:val="none"/>
          <w:u w:val="single"/>
        </w:rPr>
        <w:t>承包人</w:t>
      </w:r>
      <w:r>
        <w:rPr>
          <w:rFonts w:hint="eastAsia" w:ascii="宋体" w:hAnsi="宋体" w:cs="宋体"/>
          <w:color w:val="auto"/>
          <w:sz w:val="21"/>
          <w:szCs w:val="21"/>
          <w:highlight w:val="none"/>
        </w:rPr>
        <w:t>承担。</w:t>
      </w:r>
    </w:p>
    <w:bookmarkEnd w:id="763"/>
    <w:p w14:paraId="4CFA2A26">
      <w:pPr>
        <w:keepNext/>
        <w:keepLines/>
        <w:spacing w:line="420" w:lineRule="exact"/>
        <w:ind w:firstLine="0" w:firstLineChars="0"/>
        <w:outlineLvl w:val="0"/>
        <w:rPr>
          <w:rFonts w:ascii="宋体" w:hAnsi="宋体" w:cs="宋体"/>
          <w:b/>
          <w:bCs/>
          <w:color w:val="auto"/>
          <w:kern w:val="44"/>
          <w:sz w:val="21"/>
          <w:szCs w:val="21"/>
          <w:highlight w:val="none"/>
        </w:rPr>
      </w:pPr>
      <w:bookmarkStart w:id="764" w:name="_Toc417904276"/>
      <w:bookmarkStart w:id="765" w:name="_Toc478389190"/>
      <w:r>
        <w:rPr>
          <w:rFonts w:hint="eastAsia" w:ascii="宋体" w:hAnsi="宋体" w:cs="宋体"/>
          <w:b/>
          <w:bCs/>
          <w:color w:val="auto"/>
          <w:kern w:val="44"/>
          <w:sz w:val="21"/>
          <w:szCs w:val="21"/>
          <w:highlight w:val="none"/>
        </w:rPr>
        <w:t>1.11 知识产权</w:t>
      </w:r>
      <w:bookmarkEnd w:id="764"/>
      <w:bookmarkEnd w:id="765"/>
    </w:p>
    <w:p w14:paraId="342FD3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1"/>
          <w:szCs w:val="21"/>
          <w:highlight w:val="none"/>
          <w:u w:val="single"/>
        </w:rPr>
        <w:t xml:space="preserve">    发包人   </w:t>
      </w:r>
      <w:r>
        <w:rPr>
          <w:rFonts w:hint="eastAsia" w:ascii="宋体" w:hAnsi="宋体" w:cs="宋体"/>
          <w:color w:val="auto"/>
          <w:sz w:val="21"/>
          <w:szCs w:val="21"/>
          <w:highlight w:val="none"/>
        </w:rPr>
        <w:t>。</w:t>
      </w:r>
    </w:p>
    <w:p w14:paraId="29BFFB4E">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关于发包人提供的上述文件的使用限制的要求：</w:t>
      </w:r>
      <w:r>
        <w:rPr>
          <w:rFonts w:hint="eastAsia" w:ascii="宋体" w:hAnsi="宋体" w:cs="宋体"/>
          <w:color w:val="auto"/>
          <w:sz w:val="21"/>
          <w:szCs w:val="21"/>
          <w:highlight w:val="none"/>
          <w:u w:val="single"/>
        </w:rPr>
        <w:t xml:space="preserve">    本项目   </w:t>
      </w:r>
      <w:r>
        <w:rPr>
          <w:rFonts w:hint="eastAsia" w:ascii="宋体" w:hAnsi="宋体" w:cs="宋体"/>
          <w:color w:val="auto"/>
          <w:sz w:val="21"/>
          <w:szCs w:val="21"/>
          <w:highlight w:val="none"/>
        </w:rPr>
        <w:t>。</w:t>
      </w:r>
    </w:p>
    <w:p w14:paraId="45189C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 关于承包人为实施工程所编制文件的著作权的归属：</w:t>
      </w:r>
      <w:r>
        <w:rPr>
          <w:rFonts w:hint="eastAsia" w:ascii="宋体" w:hAnsi="宋体" w:cs="宋体"/>
          <w:color w:val="auto"/>
          <w:sz w:val="21"/>
          <w:szCs w:val="21"/>
          <w:highlight w:val="none"/>
          <w:u w:val="single"/>
        </w:rPr>
        <w:t xml:space="preserve">      发包人     </w:t>
      </w:r>
      <w:r>
        <w:rPr>
          <w:rFonts w:hint="eastAsia" w:ascii="宋体" w:hAnsi="宋体" w:cs="宋体"/>
          <w:color w:val="auto"/>
          <w:sz w:val="21"/>
          <w:szCs w:val="21"/>
          <w:highlight w:val="none"/>
        </w:rPr>
        <w:t>。</w:t>
      </w:r>
    </w:p>
    <w:p w14:paraId="5C3AB66C">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关于承包人提供的上述文件的使用限制的要求：</w:t>
      </w:r>
      <w:r>
        <w:rPr>
          <w:rFonts w:hint="eastAsia" w:ascii="宋体" w:hAnsi="宋体" w:cs="宋体"/>
          <w:color w:val="auto"/>
          <w:sz w:val="21"/>
          <w:szCs w:val="21"/>
          <w:highlight w:val="none"/>
          <w:u w:val="single"/>
        </w:rPr>
        <w:t xml:space="preserve">       本项目            </w:t>
      </w:r>
      <w:r>
        <w:rPr>
          <w:rFonts w:hint="eastAsia" w:ascii="宋体" w:hAnsi="宋体" w:cs="宋体"/>
          <w:color w:val="auto"/>
          <w:sz w:val="21"/>
          <w:szCs w:val="21"/>
          <w:highlight w:val="none"/>
        </w:rPr>
        <w:t>。</w:t>
      </w:r>
    </w:p>
    <w:p w14:paraId="537527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1.11.4承包人在施工过程中所采用的专利、专有技术、技术秘密的使用费的承担方式：</w:t>
      </w:r>
      <w:r>
        <w:rPr>
          <w:rFonts w:hint="eastAsia" w:ascii="宋体" w:hAnsi="宋体" w:cs="宋体"/>
          <w:color w:val="auto"/>
          <w:sz w:val="21"/>
          <w:szCs w:val="21"/>
          <w:highlight w:val="none"/>
          <w:u w:val="single"/>
        </w:rPr>
        <w:t xml:space="preserve">  承包人承担  </w:t>
      </w:r>
      <w:r>
        <w:rPr>
          <w:rFonts w:hint="eastAsia" w:ascii="宋体" w:hAnsi="宋体" w:cs="宋体"/>
          <w:color w:val="auto"/>
          <w:sz w:val="21"/>
          <w:szCs w:val="21"/>
          <w:highlight w:val="none"/>
        </w:rPr>
        <w:t>。</w:t>
      </w:r>
    </w:p>
    <w:p w14:paraId="508B54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1.13工程量清单错误的修正</w:t>
      </w:r>
    </w:p>
    <w:p w14:paraId="0C233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出现工程量清单错误时，是否调整合同价格：</w:t>
      </w:r>
      <w:r>
        <w:rPr>
          <w:rFonts w:hint="eastAsia" w:ascii="宋体" w:hAnsi="宋体" w:cs="宋体"/>
          <w:color w:val="auto"/>
          <w:sz w:val="21"/>
          <w:szCs w:val="21"/>
          <w:highlight w:val="none"/>
          <w:u w:val="single"/>
        </w:rPr>
        <w:t xml:space="preserve"> 调整</w:t>
      </w:r>
      <w:r>
        <w:rPr>
          <w:rFonts w:hint="eastAsia" w:ascii="宋体" w:hAnsi="宋体" w:cs="宋体"/>
          <w:color w:val="auto"/>
          <w:sz w:val="21"/>
          <w:szCs w:val="21"/>
          <w:highlight w:val="none"/>
        </w:rPr>
        <w:t>。</w:t>
      </w:r>
    </w:p>
    <w:p w14:paraId="3E3A99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允许调整合同价格的工程量偏差范围：</w:t>
      </w:r>
      <w:r>
        <w:rPr>
          <w:rFonts w:hint="eastAsia" w:ascii="宋体" w:hAnsi="宋体" w:cs="宋体"/>
          <w:color w:val="auto"/>
          <w:sz w:val="21"/>
          <w:szCs w:val="21"/>
          <w:highlight w:val="none"/>
          <w:u w:val="single"/>
        </w:rPr>
        <w:t xml:space="preserve">  15%   </w:t>
      </w:r>
      <w:r>
        <w:rPr>
          <w:rFonts w:hint="eastAsia" w:ascii="宋体" w:hAnsi="宋体" w:cs="宋体"/>
          <w:color w:val="auto"/>
          <w:sz w:val="21"/>
          <w:szCs w:val="21"/>
          <w:highlight w:val="none"/>
        </w:rPr>
        <w:t>。</w:t>
      </w:r>
    </w:p>
    <w:p w14:paraId="691BF2A3">
      <w:pPr>
        <w:keepNext/>
        <w:keepLines/>
        <w:spacing w:line="420" w:lineRule="exact"/>
        <w:ind w:firstLine="0" w:firstLineChars="0"/>
        <w:outlineLvl w:val="0"/>
        <w:rPr>
          <w:rFonts w:ascii="宋体" w:hAnsi="宋体" w:cs="宋体"/>
          <w:b/>
          <w:bCs/>
          <w:color w:val="auto"/>
          <w:kern w:val="44"/>
          <w:sz w:val="21"/>
          <w:szCs w:val="21"/>
          <w:highlight w:val="none"/>
        </w:rPr>
      </w:pPr>
      <w:bookmarkStart w:id="766" w:name="_Toc417904277"/>
      <w:bookmarkStart w:id="767" w:name="_Toc478389191"/>
      <w:bookmarkStart w:id="768" w:name="_Toc351203634"/>
      <w:r>
        <w:rPr>
          <w:rFonts w:hint="eastAsia" w:ascii="宋体" w:hAnsi="宋体" w:cs="宋体"/>
          <w:b/>
          <w:bCs/>
          <w:color w:val="auto"/>
          <w:kern w:val="44"/>
          <w:sz w:val="21"/>
          <w:szCs w:val="21"/>
          <w:highlight w:val="none"/>
        </w:rPr>
        <w:t>2</w:t>
      </w:r>
      <w:bookmarkStart w:id="769" w:name="_Toc296891197"/>
      <w:bookmarkStart w:id="770" w:name="_Toc296944496"/>
      <w:bookmarkStart w:id="771" w:name="_Toc292559867"/>
      <w:bookmarkStart w:id="772" w:name="_Toc296890985"/>
      <w:bookmarkStart w:id="773" w:name="_Toc297120457"/>
      <w:bookmarkStart w:id="774" w:name="_Toc296503157"/>
      <w:bookmarkStart w:id="775" w:name="_Toc292559362"/>
      <w:bookmarkStart w:id="776" w:name="_Toc296346658"/>
      <w:bookmarkStart w:id="777" w:name="_Toc297048343"/>
      <w:bookmarkStart w:id="778" w:name="_Toc296347156"/>
      <w:r>
        <w:rPr>
          <w:rFonts w:hint="eastAsia" w:ascii="宋体" w:hAnsi="宋体" w:cs="宋体"/>
          <w:b/>
          <w:bCs/>
          <w:color w:val="auto"/>
          <w:kern w:val="44"/>
          <w:sz w:val="21"/>
          <w:szCs w:val="21"/>
          <w:highlight w:val="none"/>
        </w:rPr>
        <w:t>. 发包人</w:t>
      </w:r>
      <w:bookmarkEnd w:id="766"/>
      <w:bookmarkEnd w:id="767"/>
      <w:bookmarkEnd w:id="768"/>
    </w:p>
    <w:bookmarkEnd w:id="769"/>
    <w:bookmarkEnd w:id="770"/>
    <w:bookmarkEnd w:id="771"/>
    <w:bookmarkEnd w:id="772"/>
    <w:bookmarkEnd w:id="773"/>
    <w:bookmarkEnd w:id="774"/>
    <w:bookmarkEnd w:id="775"/>
    <w:bookmarkEnd w:id="776"/>
    <w:bookmarkEnd w:id="777"/>
    <w:bookmarkEnd w:id="778"/>
    <w:p w14:paraId="70383878">
      <w:pPr>
        <w:keepNext/>
        <w:keepLines/>
        <w:spacing w:line="420" w:lineRule="exact"/>
        <w:ind w:firstLine="0" w:firstLineChars="0"/>
        <w:outlineLvl w:val="0"/>
        <w:rPr>
          <w:rFonts w:ascii="宋体" w:hAnsi="宋体" w:cs="宋体"/>
          <w:b/>
          <w:bCs/>
          <w:color w:val="auto"/>
          <w:kern w:val="44"/>
          <w:sz w:val="21"/>
          <w:szCs w:val="21"/>
          <w:highlight w:val="none"/>
        </w:rPr>
      </w:pPr>
      <w:bookmarkStart w:id="779" w:name="_Toc478389192"/>
      <w:bookmarkStart w:id="780" w:name="_Toc417904278"/>
      <w:r>
        <w:rPr>
          <w:rFonts w:hint="eastAsia" w:ascii="宋体" w:hAnsi="宋体" w:cs="宋体"/>
          <w:b/>
          <w:bCs/>
          <w:color w:val="auto"/>
          <w:kern w:val="44"/>
          <w:sz w:val="21"/>
          <w:szCs w:val="21"/>
          <w:highlight w:val="none"/>
        </w:rPr>
        <w:t>2.2 发包人代表</w:t>
      </w:r>
      <w:bookmarkEnd w:id="779"/>
      <w:bookmarkEnd w:id="780"/>
    </w:p>
    <w:p w14:paraId="37DB4AF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发包人代表：</w:t>
      </w:r>
    </w:p>
    <w:p w14:paraId="72D75A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AA904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12AB0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DC3D6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1859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A25A7E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11A7EC3E">
      <w:pPr>
        <w:spacing w:line="42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发包人对发包人代表的授权范围如下：</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21EC263">
      <w:pPr>
        <w:keepNext/>
        <w:keepLines/>
        <w:spacing w:line="420" w:lineRule="exact"/>
        <w:ind w:firstLine="0" w:firstLineChars="0"/>
        <w:outlineLvl w:val="0"/>
        <w:rPr>
          <w:rFonts w:ascii="宋体" w:hAnsi="宋体" w:cs="宋体"/>
          <w:b/>
          <w:bCs/>
          <w:color w:val="auto"/>
          <w:kern w:val="44"/>
          <w:sz w:val="21"/>
          <w:szCs w:val="21"/>
          <w:highlight w:val="none"/>
        </w:rPr>
      </w:pPr>
      <w:bookmarkStart w:id="781" w:name="_Toc417904279"/>
      <w:bookmarkStart w:id="782" w:name="_Toc478389193"/>
      <w:r>
        <w:rPr>
          <w:rFonts w:hint="eastAsia" w:ascii="宋体" w:hAnsi="宋体" w:cs="宋体"/>
          <w:b/>
          <w:bCs/>
          <w:color w:val="auto"/>
          <w:kern w:val="44"/>
          <w:sz w:val="21"/>
          <w:szCs w:val="21"/>
          <w:highlight w:val="none"/>
        </w:rPr>
        <w:t>2.4 施工现场、施工条件和基础资料的提供</w:t>
      </w:r>
      <w:bookmarkEnd w:id="781"/>
      <w:bookmarkEnd w:id="782"/>
    </w:p>
    <w:p w14:paraId="211455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2414EA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关于发包人移交施工现场的期限要求：</w:t>
      </w:r>
      <w:r>
        <w:rPr>
          <w:rFonts w:hint="eastAsia" w:ascii="宋体" w:hAnsi="宋体" w:cs="宋体"/>
          <w:color w:val="auto"/>
          <w:sz w:val="21"/>
          <w:szCs w:val="21"/>
          <w:highlight w:val="none"/>
          <w:u w:val="single"/>
        </w:rPr>
        <w:t xml:space="preserve">  以发包人发出的开工令为准　</w:t>
      </w:r>
      <w:r>
        <w:rPr>
          <w:rFonts w:hint="eastAsia" w:ascii="宋体" w:hAnsi="宋体" w:cs="宋体"/>
          <w:color w:val="auto"/>
          <w:sz w:val="21"/>
          <w:szCs w:val="21"/>
          <w:highlight w:val="none"/>
        </w:rPr>
        <w:t>。</w:t>
      </w:r>
    </w:p>
    <w:p w14:paraId="517FB4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2B2B35CF">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关于发包人应负责提供施工所需要的条件，包括：</w:t>
      </w:r>
      <w:r>
        <w:rPr>
          <w:rFonts w:hint="eastAsia" w:ascii="宋体" w:hAnsi="宋体" w:cs="宋体"/>
          <w:color w:val="auto"/>
          <w:sz w:val="21"/>
          <w:szCs w:val="21"/>
          <w:highlight w:val="none"/>
          <w:u w:val="single"/>
          <w:lang w:val="zh-CN"/>
        </w:rPr>
        <w:t>发包人按承包人的施工现场总平面布置图的要</w:t>
      </w:r>
      <w:r>
        <w:rPr>
          <w:rFonts w:hint="eastAsia" w:ascii="宋体" w:hAnsi="宋体" w:cs="宋体"/>
          <w:color w:val="auto"/>
          <w:sz w:val="21"/>
          <w:szCs w:val="21"/>
          <w:highlight w:val="none"/>
        </w:rPr>
        <w:t>求于开工7日前达到三通一平的施工要求，</w:t>
      </w:r>
      <w:r>
        <w:rPr>
          <w:rFonts w:hint="eastAsia" w:ascii="宋体" w:hAnsi="宋体" w:cs="宋体"/>
          <w:color w:val="auto"/>
          <w:sz w:val="21"/>
          <w:szCs w:val="21"/>
          <w:highlight w:val="none"/>
          <w:u w:val="single"/>
          <w:lang w:val="zh-CN"/>
        </w:rPr>
        <w:t>将水、电接至距拟建建筑物外墙（或构筑物外边线）200米范围内。电讯线路的接通由承包人自费解决；</w:t>
      </w:r>
      <w:r>
        <w:rPr>
          <w:rFonts w:hint="eastAsia" w:ascii="宋体" w:hAnsi="宋体" w:cs="宋体"/>
          <w:color w:val="auto"/>
          <w:sz w:val="21"/>
          <w:szCs w:val="21"/>
          <w:highlight w:val="none"/>
          <w:u w:val="single"/>
        </w:rPr>
        <w:t>电气管线</w:t>
      </w:r>
      <w:r>
        <w:rPr>
          <w:rFonts w:hint="eastAsia" w:ascii="宋体" w:hAnsi="宋体" w:cs="宋体"/>
          <w:color w:val="auto"/>
          <w:sz w:val="21"/>
          <w:szCs w:val="21"/>
          <w:highlight w:val="none"/>
          <w:u w:val="single"/>
          <w:lang w:val="zh-CN"/>
        </w:rPr>
        <w:t>的接通由承包人自费解决；承包人施工期间的生活用水、电、电讯、</w:t>
      </w:r>
      <w:r>
        <w:rPr>
          <w:rFonts w:hint="eastAsia" w:ascii="宋体" w:hAnsi="宋体" w:cs="宋体"/>
          <w:color w:val="auto"/>
          <w:sz w:val="21"/>
          <w:szCs w:val="21"/>
          <w:highlight w:val="none"/>
          <w:u w:val="single"/>
        </w:rPr>
        <w:t>电气</w:t>
      </w:r>
      <w:r>
        <w:rPr>
          <w:rFonts w:hint="eastAsia" w:ascii="宋体" w:hAnsi="宋体" w:cs="宋体"/>
          <w:color w:val="auto"/>
          <w:sz w:val="21"/>
          <w:szCs w:val="21"/>
          <w:highlight w:val="none"/>
          <w:u w:val="single"/>
          <w:lang w:val="zh-CN"/>
        </w:rPr>
        <w:t>费用由承包人支付；承包人负责在发包人指定的部位安装计量表，水电费按表计量度数</w:t>
      </w:r>
      <w:r>
        <w:rPr>
          <w:rFonts w:hint="eastAsia" w:ascii="宋体" w:hAnsi="宋体" w:cs="宋体"/>
          <w:color w:val="auto"/>
          <w:sz w:val="21"/>
          <w:szCs w:val="21"/>
          <w:highlight w:val="none"/>
        </w:rPr>
        <w:t>。</w:t>
      </w:r>
    </w:p>
    <w:p w14:paraId="33BC0CEF">
      <w:pPr>
        <w:keepNext/>
        <w:keepLines/>
        <w:spacing w:line="420" w:lineRule="exact"/>
        <w:ind w:firstLine="0" w:firstLineChars="0"/>
        <w:outlineLvl w:val="0"/>
        <w:rPr>
          <w:rFonts w:ascii="宋体" w:hAnsi="宋体" w:cs="宋体"/>
          <w:b/>
          <w:bCs/>
          <w:color w:val="auto"/>
          <w:kern w:val="44"/>
          <w:sz w:val="21"/>
          <w:szCs w:val="21"/>
          <w:highlight w:val="none"/>
        </w:rPr>
      </w:pPr>
      <w:bookmarkStart w:id="783" w:name="_Toc417904280"/>
      <w:bookmarkStart w:id="784" w:name="_Toc478389194"/>
      <w:r>
        <w:rPr>
          <w:rFonts w:hint="eastAsia" w:ascii="宋体" w:hAnsi="宋体" w:cs="宋体"/>
          <w:b/>
          <w:bCs/>
          <w:color w:val="auto"/>
          <w:kern w:val="44"/>
          <w:sz w:val="21"/>
          <w:szCs w:val="21"/>
          <w:highlight w:val="none"/>
        </w:rPr>
        <w:t>2.5 资金来源证明及支付担保</w:t>
      </w:r>
      <w:bookmarkEnd w:id="783"/>
      <w:bookmarkEnd w:id="784"/>
    </w:p>
    <w:p w14:paraId="5048F248">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发包人提供资金来源证明的期限要求：</w:t>
      </w:r>
      <w:r>
        <w:rPr>
          <w:rFonts w:hint="eastAsia" w:ascii="宋体" w:hAnsi="宋体" w:cs="宋体"/>
          <w:color w:val="auto"/>
          <w:sz w:val="21"/>
          <w:szCs w:val="21"/>
          <w:highlight w:val="none"/>
          <w:u w:val="single"/>
        </w:rPr>
        <w:t>本合同生效之日起至发包人实际支付竣工付款之日止。</w:t>
      </w:r>
    </w:p>
    <w:p w14:paraId="19839C9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发包人是否提供支付担保：</w:t>
      </w:r>
      <w:r>
        <w:rPr>
          <w:rFonts w:hint="eastAsia" w:ascii="宋体" w:hAnsi="宋体" w:cs="宋体"/>
          <w:color w:val="auto"/>
          <w:sz w:val="21"/>
          <w:szCs w:val="21"/>
          <w:highlight w:val="none"/>
          <w:u w:val="single"/>
        </w:rPr>
        <w:t>不提供。</w:t>
      </w:r>
    </w:p>
    <w:p w14:paraId="691BC816">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发包人提供支付担保的形式：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9D7F5C4">
      <w:pPr>
        <w:keepNext/>
        <w:keepLines/>
        <w:spacing w:line="420" w:lineRule="exact"/>
        <w:ind w:firstLine="0" w:firstLineChars="0"/>
        <w:outlineLvl w:val="0"/>
        <w:rPr>
          <w:rFonts w:ascii="宋体" w:hAnsi="宋体" w:cs="宋体"/>
          <w:b/>
          <w:bCs/>
          <w:color w:val="auto"/>
          <w:kern w:val="44"/>
          <w:sz w:val="21"/>
          <w:szCs w:val="21"/>
          <w:highlight w:val="none"/>
        </w:rPr>
      </w:pPr>
      <w:bookmarkStart w:id="785" w:name="_Toc478389195"/>
      <w:bookmarkStart w:id="786" w:name="_Toc417904281"/>
      <w:bookmarkStart w:id="787" w:name="_Toc351203635"/>
      <w:r>
        <w:rPr>
          <w:rFonts w:hint="eastAsia" w:ascii="宋体" w:hAnsi="宋体" w:cs="宋体"/>
          <w:b/>
          <w:bCs/>
          <w:color w:val="auto"/>
          <w:kern w:val="44"/>
          <w:sz w:val="21"/>
          <w:szCs w:val="21"/>
          <w:highlight w:val="none"/>
        </w:rPr>
        <w:t>3</w:t>
      </w:r>
      <w:bookmarkStart w:id="788" w:name="_Toc296346659"/>
      <w:bookmarkStart w:id="789" w:name="_Toc296890986"/>
      <w:bookmarkStart w:id="790" w:name="_Toc297048344"/>
      <w:bookmarkStart w:id="791" w:name="_Toc296347157"/>
      <w:bookmarkStart w:id="792" w:name="_Toc296891198"/>
      <w:bookmarkStart w:id="793" w:name="_Toc297120458"/>
      <w:bookmarkStart w:id="794" w:name="_Toc292559363"/>
      <w:bookmarkStart w:id="795" w:name="_Toc296944497"/>
      <w:bookmarkStart w:id="796" w:name="_Toc292559868"/>
      <w:bookmarkStart w:id="797" w:name="_Toc296503158"/>
      <w:r>
        <w:rPr>
          <w:rFonts w:hint="eastAsia" w:ascii="宋体" w:hAnsi="宋体" w:cs="宋体"/>
          <w:b/>
          <w:bCs/>
          <w:color w:val="auto"/>
          <w:kern w:val="44"/>
          <w:sz w:val="21"/>
          <w:szCs w:val="21"/>
          <w:highlight w:val="none"/>
        </w:rPr>
        <w:t>. 承包人</w:t>
      </w:r>
      <w:bookmarkEnd w:id="785"/>
      <w:bookmarkEnd w:id="786"/>
      <w:bookmarkEnd w:id="787"/>
    </w:p>
    <w:bookmarkEnd w:id="788"/>
    <w:bookmarkEnd w:id="789"/>
    <w:bookmarkEnd w:id="790"/>
    <w:bookmarkEnd w:id="791"/>
    <w:bookmarkEnd w:id="792"/>
    <w:bookmarkEnd w:id="793"/>
    <w:bookmarkEnd w:id="794"/>
    <w:bookmarkEnd w:id="795"/>
    <w:bookmarkEnd w:id="796"/>
    <w:bookmarkEnd w:id="797"/>
    <w:p w14:paraId="1CFC511F">
      <w:pPr>
        <w:keepNext/>
        <w:keepLines/>
        <w:spacing w:line="420" w:lineRule="exact"/>
        <w:ind w:firstLine="0" w:firstLineChars="0"/>
        <w:outlineLvl w:val="0"/>
        <w:rPr>
          <w:rFonts w:ascii="宋体" w:hAnsi="宋体" w:cs="宋体"/>
          <w:b/>
          <w:bCs/>
          <w:color w:val="auto"/>
          <w:kern w:val="44"/>
          <w:sz w:val="21"/>
          <w:szCs w:val="21"/>
          <w:highlight w:val="none"/>
        </w:rPr>
      </w:pPr>
      <w:bookmarkStart w:id="798" w:name="_Toc417904282"/>
      <w:bookmarkStart w:id="799" w:name="_Toc478389196"/>
      <w:r>
        <w:rPr>
          <w:rFonts w:hint="eastAsia" w:ascii="宋体" w:hAnsi="宋体" w:cs="宋体"/>
          <w:b/>
          <w:bCs/>
          <w:color w:val="auto"/>
          <w:kern w:val="44"/>
          <w:sz w:val="21"/>
          <w:szCs w:val="21"/>
          <w:highlight w:val="none"/>
        </w:rPr>
        <w:t>3.1 承包人的一般义务</w:t>
      </w:r>
      <w:bookmarkEnd w:id="798"/>
      <w:bookmarkEnd w:id="799"/>
    </w:p>
    <w:p w14:paraId="16C0E1D7">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（9）承包人提交的竣工资料的内容：</w:t>
      </w:r>
      <w:r>
        <w:rPr>
          <w:rFonts w:hint="eastAsia" w:ascii="宋体" w:hAnsi="宋体" w:cs="宋体"/>
          <w:color w:val="auto"/>
          <w:sz w:val="21"/>
          <w:szCs w:val="21"/>
          <w:highlight w:val="none"/>
          <w:u w:val="single"/>
        </w:rPr>
        <w:t>按相关规定</w:t>
      </w:r>
      <w:r>
        <w:rPr>
          <w:rFonts w:hint="eastAsia" w:ascii="宋体" w:hAnsi="宋体" w:cs="宋体"/>
          <w:color w:val="auto"/>
          <w:sz w:val="21"/>
          <w:szCs w:val="21"/>
          <w:highlight w:val="none"/>
        </w:rPr>
        <w:t>。</w:t>
      </w:r>
    </w:p>
    <w:p w14:paraId="00A4A4D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承包人需要提交的竣工资料套数：</w:t>
      </w:r>
      <w:r>
        <w:rPr>
          <w:rFonts w:hint="eastAsia" w:ascii="宋体" w:hAnsi="宋体" w:cs="宋体"/>
          <w:color w:val="auto"/>
          <w:sz w:val="21"/>
          <w:szCs w:val="21"/>
          <w:highlight w:val="none"/>
          <w:u w:val="single"/>
        </w:rPr>
        <w:t xml:space="preserve">      8份           </w:t>
      </w:r>
      <w:r>
        <w:rPr>
          <w:rFonts w:hint="eastAsia" w:ascii="宋体" w:hAnsi="宋体" w:cs="宋体"/>
          <w:color w:val="auto"/>
          <w:sz w:val="21"/>
          <w:szCs w:val="21"/>
          <w:highlight w:val="none"/>
        </w:rPr>
        <w:t>。</w:t>
      </w:r>
    </w:p>
    <w:p w14:paraId="475474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承包人提交的竣工资料的费用承担：</w:t>
      </w:r>
      <w:r>
        <w:rPr>
          <w:rFonts w:hint="eastAsia" w:ascii="宋体" w:hAnsi="宋体" w:cs="宋体"/>
          <w:color w:val="auto"/>
          <w:sz w:val="21"/>
          <w:szCs w:val="21"/>
          <w:highlight w:val="none"/>
          <w:u w:val="single"/>
        </w:rPr>
        <w:t xml:space="preserve">     由承包人自行承担         </w:t>
      </w:r>
      <w:r>
        <w:rPr>
          <w:rFonts w:hint="eastAsia" w:ascii="宋体" w:hAnsi="宋体" w:cs="宋体"/>
          <w:color w:val="auto"/>
          <w:sz w:val="21"/>
          <w:szCs w:val="21"/>
          <w:highlight w:val="none"/>
        </w:rPr>
        <w:t>。</w:t>
      </w:r>
    </w:p>
    <w:p w14:paraId="0DFD3C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承包人提交的竣工资料移交时间：</w:t>
      </w:r>
      <w:r>
        <w:rPr>
          <w:rFonts w:hint="eastAsia" w:ascii="宋体" w:hAnsi="宋体" w:cs="宋体"/>
          <w:color w:val="auto"/>
          <w:sz w:val="21"/>
          <w:szCs w:val="21"/>
          <w:highlight w:val="none"/>
          <w:u w:val="single"/>
        </w:rPr>
        <w:t xml:space="preserve">    竣工验收15天内       </w:t>
      </w:r>
      <w:r>
        <w:rPr>
          <w:rFonts w:hint="eastAsia" w:ascii="宋体" w:hAnsi="宋体" w:cs="宋体"/>
          <w:color w:val="auto"/>
          <w:sz w:val="21"/>
          <w:szCs w:val="21"/>
          <w:highlight w:val="none"/>
        </w:rPr>
        <w:t>。</w:t>
      </w:r>
    </w:p>
    <w:p w14:paraId="47004FD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承包人提交的竣工资料形式要求：</w:t>
      </w:r>
      <w:r>
        <w:rPr>
          <w:rFonts w:hint="eastAsia" w:ascii="宋体" w:hAnsi="宋体" w:cs="宋体"/>
          <w:color w:val="auto"/>
          <w:sz w:val="21"/>
          <w:szCs w:val="21"/>
          <w:highlight w:val="none"/>
          <w:u w:val="single"/>
        </w:rPr>
        <w:t xml:space="preserve">     纸质和电子文档       </w:t>
      </w:r>
      <w:r>
        <w:rPr>
          <w:rFonts w:hint="eastAsia" w:ascii="宋体" w:hAnsi="宋体" w:cs="宋体"/>
          <w:color w:val="auto"/>
          <w:sz w:val="21"/>
          <w:szCs w:val="21"/>
          <w:highlight w:val="none"/>
        </w:rPr>
        <w:t>。</w:t>
      </w:r>
    </w:p>
    <w:p w14:paraId="72039F1A">
      <w:pPr>
        <w:spacing w:line="420" w:lineRule="exact"/>
        <w:ind w:firstLine="420"/>
        <w:rPr>
          <w:rFonts w:ascii="宋体" w:hAnsi="宋体"/>
          <w:color w:val="auto"/>
          <w:sz w:val="21"/>
          <w:szCs w:val="21"/>
          <w:highlight w:val="none"/>
        </w:rPr>
      </w:pPr>
      <w:r>
        <w:rPr>
          <w:rFonts w:hint="eastAsia" w:ascii="宋体" w:hAnsi="宋体" w:cs="宋体"/>
          <w:color w:val="auto"/>
          <w:sz w:val="21"/>
          <w:szCs w:val="21"/>
          <w:highlight w:val="none"/>
        </w:rPr>
        <w:t>（10）承包人应履行的其他义务：</w:t>
      </w:r>
      <w:r>
        <w:rPr>
          <w:rFonts w:hint="eastAsia" w:ascii="宋体" w:hAnsi="宋体" w:cs="宋体"/>
          <w:color w:val="auto"/>
          <w:sz w:val="21"/>
          <w:szCs w:val="21"/>
          <w:highlight w:val="none"/>
          <w:u w:val="single"/>
        </w:rPr>
        <w:t>①承包人应当主动配合发包人协调与施工现场周边农村及村民的关系，确保项目施工顺利进行；</w:t>
      </w:r>
      <w:r>
        <w:rPr>
          <w:rFonts w:hint="eastAsia" w:ascii="宋体" w:hAnsi="宋体"/>
          <w:color w:val="auto"/>
          <w:sz w:val="21"/>
          <w:szCs w:val="21"/>
          <w:highlight w:val="none"/>
          <w:u w:val="single"/>
        </w:rPr>
        <w:t>②中标单位应按时支付农民工工资，发包人支付到合同价款的80％时，承包人应全部支付完农民工工资，之后如有农民工到发包方单位及上级部门反映索要工资现象视为违约，每发生一次</w:t>
      </w:r>
      <w:r>
        <w:rPr>
          <w:rFonts w:hint="eastAsia" w:ascii="宋体" w:hAnsi="宋体"/>
          <w:color w:val="auto"/>
          <w:sz w:val="21"/>
          <w:szCs w:val="21"/>
          <w:highlight w:val="none"/>
          <w:u w:val="single"/>
          <w:lang w:eastAsia="zh-CN"/>
        </w:rPr>
        <w:t>扣除</w:t>
      </w:r>
      <w:r>
        <w:rPr>
          <w:rFonts w:hint="eastAsia" w:ascii="宋体" w:hAnsi="宋体"/>
          <w:color w:val="auto"/>
          <w:sz w:val="21"/>
          <w:szCs w:val="21"/>
          <w:highlight w:val="none"/>
          <w:u w:val="single"/>
        </w:rPr>
        <w:t>最终结算价的1％，发包方可从应向承包方支付的款项中扣除；③本工程必须是中标人独立完成，不得转包。如一经发现转包，发包人有权终止合同，依法另行选择承包人，原承包人无条件退出现场；④发包人另行发包的招标范围以外的工程，承包人必须无条件配合；⑤承包人在承包工程施工期间所发生的一切责任事故，全部由承包人承担经济责任和法律责任。⑥承包人应负责协调解决来自当地居民对工程施工的人为干扰，并承担相关费用。⑦承包人应始终采取各种合理的预防措施，防止承包人员或其内部发生任何非法的、骚动的或无序的行为，以保持安定，保护现场及第三人的财产和人身安全。⑧为发包人依法发包的专业工程承包商提供总承包管理与协调服务，并为专业工程承包商提供一切施工方便。为发包人和监理人在施工现场提供必要的办公室和办公桌椅等设备。⑨按相关部门有关规定配合发包人其他工程的施工等。</w:t>
      </w:r>
    </w:p>
    <w:p w14:paraId="0FFBAAE6">
      <w:pPr>
        <w:keepNext/>
        <w:keepLines/>
        <w:spacing w:line="420" w:lineRule="exact"/>
        <w:ind w:firstLine="0" w:firstLineChars="0"/>
        <w:outlineLvl w:val="0"/>
        <w:rPr>
          <w:rFonts w:ascii="宋体" w:hAnsi="宋体" w:cs="宋体"/>
          <w:b/>
          <w:bCs/>
          <w:color w:val="auto"/>
          <w:kern w:val="44"/>
          <w:sz w:val="21"/>
          <w:szCs w:val="21"/>
          <w:highlight w:val="none"/>
        </w:rPr>
      </w:pPr>
      <w:bookmarkStart w:id="800" w:name="_Toc417904283"/>
      <w:bookmarkStart w:id="801" w:name="_Toc478389197"/>
      <w:r>
        <w:rPr>
          <w:rFonts w:hint="eastAsia" w:ascii="宋体" w:hAnsi="宋体" w:cs="宋体"/>
          <w:b/>
          <w:bCs/>
          <w:color w:val="auto"/>
          <w:kern w:val="44"/>
          <w:sz w:val="21"/>
          <w:szCs w:val="21"/>
          <w:highlight w:val="none"/>
        </w:rPr>
        <w:t>3.2 项目经理</w:t>
      </w:r>
      <w:bookmarkEnd w:id="800"/>
      <w:bookmarkEnd w:id="801"/>
    </w:p>
    <w:p w14:paraId="44D7F62C">
      <w:pPr>
        <w:spacing w:line="420" w:lineRule="exact"/>
        <w:ind w:left="480" w:leftChars="200"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3.2.1项目经理：（注：若发包人发现承包人投入本项目的项目经理已在其他在建项目中担任项目经理，发包人有权要求承包人更换，且更换的项目经理必须满足本项目的要求并同时经过发包人同意，否则按违约处理。）</w:t>
      </w:r>
    </w:p>
    <w:p w14:paraId="2C0BCDC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BE306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F8955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建造师执业资格等级：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2A1AD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建造师注册证书号：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F8027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建造师执业印章号：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28B40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安全生产考核合格证书号：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3447FA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5E319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4615A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5DCFE2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承包人对项目经理的授权范围如下：</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A0F6AA5">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关于项目经理每月在施工现场的时间要求：</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24</w:t>
      </w:r>
      <w:r>
        <w:rPr>
          <w:rFonts w:hint="eastAsia" w:ascii="宋体" w:hAnsi="宋体" w:cs="宋体"/>
          <w:color w:val="auto"/>
          <w:sz w:val="21"/>
          <w:szCs w:val="21"/>
          <w:highlight w:val="none"/>
          <w:u w:val="single"/>
        </w:rPr>
        <w:t>天　　</w:t>
      </w:r>
    </w:p>
    <w:p w14:paraId="3C7B3088">
      <w:pPr>
        <w:spacing w:line="420" w:lineRule="exact"/>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项目经理未经批准，擅自离开施工现场的违约责任：</w:t>
      </w:r>
      <w:r>
        <w:rPr>
          <w:rFonts w:hint="eastAsia" w:ascii="宋体" w:hAnsi="宋体" w:cs="宋体"/>
          <w:color w:val="auto"/>
          <w:sz w:val="21"/>
          <w:szCs w:val="21"/>
          <w:highlight w:val="none"/>
          <w:u w:val="single"/>
        </w:rPr>
        <w:t>项目经理每月在岗带班时间不得少于当月施工时间的80%。未经发包人同意或正当理由，项目经理每月在岗带班时间少于当月施工时间80%的，少在岗带班一天，发包人有权处违约金1000元/日（人民币），累计超过3次（含3次），业主有权解除承包合同，所完成工程量不予以支付工程款，依法另行选择承包人，原承包人三日内无条件退出现场，但原承包人仍应当对已做工程的质量承担责任。</w:t>
      </w:r>
    </w:p>
    <w:p w14:paraId="5D019D2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承包人未提交劳动合同，以及没有为项目经理缴纳社会保险证明的违约责任：</w:t>
      </w:r>
      <w:r>
        <w:rPr>
          <w:rFonts w:hint="eastAsia" w:ascii="宋体" w:hAnsi="宋体" w:cs="宋体"/>
          <w:color w:val="auto"/>
          <w:sz w:val="21"/>
          <w:szCs w:val="21"/>
          <w:highlight w:val="none"/>
          <w:u w:val="single"/>
        </w:rPr>
        <w:t xml:space="preserve">若经发包人检查发现承包人违约则扣款2万元，若承包人不按要求及时整改，发包人有权解除合同   </w:t>
      </w:r>
      <w:r>
        <w:rPr>
          <w:rFonts w:hint="eastAsia" w:ascii="宋体" w:hAnsi="宋体" w:cs="宋体"/>
          <w:color w:val="auto"/>
          <w:sz w:val="21"/>
          <w:szCs w:val="21"/>
          <w:highlight w:val="none"/>
        </w:rPr>
        <w:t>。</w:t>
      </w:r>
    </w:p>
    <w:p w14:paraId="21F6F9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3.2.3承包人擅自更换项目经理的违约责任：</w:t>
      </w:r>
      <w:r>
        <w:rPr>
          <w:rFonts w:hint="eastAsia" w:ascii="宋体" w:hAnsi="宋体" w:cs="宋体"/>
          <w:color w:val="auto"/>
          <w:sz w:val="21"/>
          <w:szCs w:val="21"/>
          <w:highlight w:val="none"/>
          <w:u w:val="single"/>
        </w:rPr>
        <w:t>承包人项目经理必须与承包人投标时所承诺的人员一致，并在约定开工日期前到任。在监理人向承包人颁发竣工证明材料名称前，项目经理不得同时兼任其他任何项目的项目经理（符合桂建管﹝2013﹞17号和桂建管﹝201</w:t>
      </w:r>
      <w:r>
        <w:rPr>
          <w:rFonts w:ascii="宋体" w:hAnsi="宋体" w:cs="宋体"/>
          <w:color w:val="auto"/>
          <w:sz w:val="21"/>
          <w:szCs w:val="21"/>
          <w:highlight w:val="none"/>
          <w:u w:val="single"/>
        </w:rPr>
        <w:t>6</w:t>
      </w:r>
      <w:r>
        <w:rPr>
          <w:rFonts w:hint="eastAsia" w:ascii="宋体" w:hAnsi="宋体" w:cs="宋体"/>
          <w:color w:val="auto"/>
          <w:sz w:val="21"/>
          <w:szCs w:val="21"/>
          <w:highlight w:val="none"/>
          <w:u w:val="single"/>
        </w:rPr>
        <w:t>﹞</w:t>
      </w:r>
      <w:r>
        <w:rPr>
          <w:rFonts w:ascii="宋体" w:hAnsi="宋体" w:cs="宋体"/>
          <w:color w:val="auto"/>
          <w:sz w:val="21"/>
          <w:szCs w:val="21"/>
          <w:highlight w:val="none"/>
          <w:u w:val="single"/>
        </w:rPr>
        <w:t>70</w:t>
      </w:r>
      <w:r>
        <w:rPr>
          <w:rFonts w:hint="eastAsia" w:ascii="宋体" w:hAnsi="宋体" w:cs="宋体"/>
          <w:color w:val="auto"/>
          <w:sz w:val="21"/>
          <w:szCs w:val="21"/>
          <w:highlight w:val="none"/>
          <w:u w:val="single"/>
        </w:rPr>
        <w:t>号文除外）。未经发包人书面同意，承包人擅自更换项目经理的视为违约，违约金处20000.00元/人•次（人民币）</w:t>
      </w:r>
      <w:r>
        <w:rPr>
          <w:rFonts w:hint="eastAsia" w:ascii="宋体" w:hAnsi="宋体" w:cs="宋体"/>
          <w:color w:val="auto"/>
          <w:sz w:val="21"/>
          <w:szCs w:val="21"/>
          <w:highlight w:val="none"/>
        </w:rPr>
        <w:t>。</w:t>
      </w:r>
    </w:p>
    <w:p w14:paraId="1ADCC0E6">
      <w:pPr>
        <w:spacing w:line="420" w:lineRule="exact"/>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3.2.4承包人无正当理由拒绝更换项目经理的违约责任：</w:t>
      </w:r>
      <w:r>
        <w:rPr>
          <w:rFonts w:hint="eastAsia" w:ascii="宋体" w:hAnsi="宋体" w:cs="宋体"/>
          <w:color w:val="auto"/>
          <w:sz w:val="21"/>
          <w:szCs w:val="21"/>
          <w:highlight w:val="none"/>
          <w:u w:val="single"/>
        </w:rPr>
        <w:t>因承包人项目经理不称职，发包人要求调换而未及时调换的，视为承包人违约，必须向发包人交纳处罚5000.00元/人•次（人民币），累计超过3次（含3次）发包人有权解除承包合同，所完成工程量不予以支付工程款，依法另行选择承包人，原承包人三日内无条件退出现场，但原承包人仍应当对已做工程的质量承担责任。</w:t>
      </w:r>
    </w:p>
    <w:p w14:paraId="21E0E5B6">
      <w:pPr>
        <w:keepNext/>
        <w:keepLines/>
        <w:spacing w:line="420" w:lineRule="exact"/>
        <w:ind w:firstLine="0" w:firstLineChars="0"/>
        <w:outlineLvl w:val="0"/>
        <w:rPr>
          <w:rFonts w:ascii="宋体" w:hAnsi="宋体" w:cs="宋体"/>
          <w:b/>
          <w:bCs/>
          <w:color w:val="auto"/>
          <w:kern w:val="44"/>
          <w:sz w:val="21"/>
          <w:szCs w:val="21"/>
          <w:highlight w:val="none"/>
        </w:rPr>
      </w:pPr>
      <w:bookmarkStart w:id="802" w:name="_Toc417904284"/>
      <w:bookmarkStart w:id="803" w:name="_Toc373227709"/>
      <w:bookmarkStart w:id="804" w:name="_Toc373478356"/>
      <w:bookmarkStart w:id="805" w:name="_Toc395382511"/>
      <w:bookmarkStart w:id="806" w:name="_Toc478389198"/>
      <w:bookmarkStart w:id="807" w:name="_Toc389065275"/>
      <w:r>
        <w:rPr>
          <w:rFonts w:hint="eastAsia" w:ascii="宋体" w:hAnsi="宋体" w:cs="宋体"/>
          <w:b/>
          <w:bCs/>
          <w:color w:val="auto"/>
          <w:kern w:val="44"/>
          <w:sz w:val="21"/>
          <w:szCs w:val="21"/>
          <w:highlight w:val="none"/>
        </w:rPr>
        <w:t>3.3 承包人人员</w:t>
      </w:r>
      <w:bookmarkEnd w:id="802"/>
      <w:bookmarkEnd w:id="803"/>
      <w:bookmarkEnd w:id="804"/>
      <w:bookmarkEnd w:id="805"/>
      <w:bookmarkEnd w:id="806"/>
      <w:bookmarkEnd w:id="807"/>
    </w:p>
    <w:p w14:paraId="4BD94CC3">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3.3.1</w:t>
      </w:r>
      <w:r>
        <w:rPr>
          <w:rFonts w:hint="eastAsia" w:ascii="宋体" w:hAnsi="宋体" w:cs="宋体"/>
          <w:color w:val="auto"/>
          <w:sz w:val="21"/>
          <w:szCs w:val="21"/>
          <w:highlight w:val="none"/>
          <w:u w:val="single"/>
        </w:rPr>
        <w:t>承包人提交项目管理机构及施工现场管理人员安排报告（格式见合同附件</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rPr>
        <w:t>的期限：合同签订后3天内。</w:t>
      </w:r>
    </w:p>
    <w:p w14:paraId="6A629FEA">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3.3.3承包人无正当理由拒绝撤换主要施工管理人员的违约责任：</w:t>
      </w:r>
      <w:r>
        <w:rPr>
          <w:rFonts w:hint="eastAsia" w:ascii="宋体" w:hAnsi="宋体" w:cs="宋体"/>
          <w:color w:val="auto"/>
          <w:sz w:val="21"/>
          <w:szCs w:val="21"/>
          <w:highlight w:val="none"/>
          <w:u w:val="single"/>
        </w:rPr>
        <w:t>因承包人主要施工管理人员不称职，发包人要求调换而无正当理由拒绝撤换或未及时调换的，视为承包人违约，必须向发包人交纳处罚金，处罚标准：技术负责人5000元/人•次（人民币）；专业工程师2000元/人•次（人民币），累计超过3次（含3次）发包人有权解除承包合同，所完成工程量不予以支付工程款，依法另行选择承包人，原承包人三日内无条件退出现场，但原承包人仍应当对已做工程的质量承担责任。</w:t>
      </w:r>
    </w:p>
    <w:p w14:paraId="649DD45C">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3.3.4 承包人主要施工管理人员离开施工现场的批准要求：</w:t>
      </w:r>
      <w:r>
        <w:rPr>
          <w:rFonts w:hint="eastAsia" w:ascii="宋体" w:hAnsi="宋体" w:cs="宋体"/>
          <w:color w:val="auto"/>
          <w:sz w:val="21"/>
          <w:szCs w:val="21"/>
          <w:highlight w:val="none"/>
          <w:u w:val="single"/>
        </w:rPr>
        <w:t xml:space="preserve">  向发包人书面申请  </w:t>
      </w:r>
      <w:r>
        <w:rPr>
          <w:rFonts w:hint="eastAsia" w:ascii="宋体" w:hAnsi="宋体" w:cs="宋体"/>
          <w:color w:val="auto"/>
          <w:sz w:val="21"/>
          <w:szCs w:val="21"/>
          <w:highlight w:val="none"/>
        </w:rPr>
        <w:t>。</w:t>
      </w:r>
    </w:p>
    <w:p w14:paraId="15E8AD09">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3.3.5承包人擅自更换主要施工管理人员的违约责任：</w:t>
      </w:r>
      <w:r>
        <w:rPr>
          <w:rFonts w:hint="eastAsia" w:ascii="宋体" w:hAnsi="宋体" w:cs="宋体"/>
          <w:color w:val="auto"/>
          <w:sz w:val="21"/>
          <w:szCs w:val="21"/>
          <w:highlight w:val="none"/>
          <w:u w:val="single"/>
        </w:rPr>
        <w:t>项目技术负责人、专职安全员及其承诺的</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在场管理人员未经发包人书面同意不准擅自更换，擅自更换项目技术负责人处5000元/人•次（人民币）违约金；擅自更换专职安全员处2000元/人•次（人民币）违约金；擅自更换</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在场管理人员处1000元/人•次（人民币）违约金，累计超过3次（含3次）发包人有权解除承包合同，所完成工程量不予以支付工程款，依法另行选择承包人，原承包人三日内无条件退出现场，但原承包人仍应当对已做工程的质量承担责任。</w:t>
      </w:r>
    </w:p>
    <w:p w14:paraId="1A42DD0E">
      <w:pPr>
        <w:spacing w:line="440" w:lineRule="exact"/>
        <w:ind w:firstLine="424" w:firstLineChars="202"/>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承包人主要施工管理人员擅自离开施工现场的违约责任：</w:t>
      </w:r>
      <w:r>
        <w:rPr>
          <w:rFonts w:hint="eastAsia" w:ascii="宋体" w:hAnsi="宋体" w:cs="宋体"/>
          <w:color w:val="auto"/>
          <w:sz w:val="21"/>
          <w:szCs w:val="21"/>
          <w:highlight w:val="none"/>
          <w:u w:val="single"/>
        </w:rPr>
        <w:t>未经发包人同意，项目技术负责人擅自离岗的，视为承包人违约，发包人有权处违约金2000元/人•次（人民币）；未经发包人同意，专职安全员擅自离岗的，视为承包人违约，发包人有权处违约金1000元/人•次（人民币）；</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 xml:space="preserve">在场管理人员擅自离岗的，视为承包人违约，发包人有权处违约金5000元/人•次（人民币），累计超过3次（含3次）发包人有权解除承包合同，所完成工程量不予以支付工程款，依法另行选择承包人，原承包人三日内无条件退出现场，但原承包人仍应当对已做工程的质量承担责任。 </w:t>
      </w:r>
    </w:p>
    <w:p w14:paraId="12273110">
      <w:pPr>
        <w:keepNext/>
        <w:keepLines/>
        <w:spacing w:line="440" w:lineRule="exact"/>
        <w:ind w:firstLine="0" w:firstLineChars="0"/>
        <w:outlineLvl w:val="0"/>
        <w:rPr>
          <w:rFonts w:ascii="宋体" w:hAnsi="宋体" w:cs="宋体"/>
          <w:b/>
          <w:bCs/>
          <w:color w:val="auto"/>
          <w:kern w:val="44"/>
          <w:sz w:val="21"/>
          <w:szCs w:val="21"/>
          <w:highlight w:val="none"/>
        </w:rPr>
      </w:pPr>
      <w:bookmarkStart w:id="808" w:name="_Toc417904285"/>
      <w:bookmarkStart w:id="809" w:name="_Toc478389199"/>
      <w:r>
        <w:rPr>
          <w:rFonts w:hint="eastAsia" w:ascii="宋体" w:hAnsi="宋体" w:cs="宋体"/>
          <w:b/>
          <w:bCs/>
          <w:color w:val="auto"/>
          <w:kern w:val="44"/>
          <w:sz w:val="21"/>
          <w:szCs w:val="21"/>
          <w:highlight w:val="none"/>
        </w:rPr>
        <w:t>3</w:t>
      </w:r>
      <w:bookmarkStart w:id="810" w:name="_Toc297048345"/>
      <w:bookmarkStart w:id="811" w:name="_Toc296503159"/>
      <w:bookmarkStart w:id="812" w:name="_Toc297123492"/>
      <w:bookmarkStart w:id="813" w:name="_Toc300934945"/>
      <w:bookmarkStart w:id="814" w:name="_Toc297216151"/>
      <w:bookmarkStart w:id="815" w:name="_Toc292559364"/>
      <w:bookmarkStart w:id="816" w:name="_Toc296346660"/>
      <w:bookmarkStart w:id="817" w:name="_Toc292559869"/>
      <w:bookmarkStart w:id="818" w:name="_Toc296347158"/>
      <w:bookmarkStart w:id="819" w:name="_Toc296891199"/>
      <w:bookmarkStart w:id="820" w:name="_Toc312677988"/>
      <w:bookmarkStart w:id="821" w:name="_Toc297120459"/>
      <w:bookmarkStart w:id="822" w:name="_Toc296890987"/>
      <w:bookmarkStart w:id="823" w:name="_Toc296944498"/>
      <w:bookmarkStart w:id="824" w:name="_Toc303539102"/>
      <w:bookmarkStart w:id="825" w:name="_Toc304295523"/>
      <w:r>
        <w:rPr>
          <w:rFonts w:hint="eastAsia" w:ascii="宋体" w:hAnsi="宋体" w:cs="宋体"/>
          <w:b/>
          <w:bCs/>
          <w:color w:val="auto"/>
          <w:kern w:val="44"/>
          <w:sz w:val="21"/>
          <w:szCs w:val="21"/>
          <w:highlight w:val="none"/>
        </w:rPr>
        <w:t>.5 分包</w:t>
      </w:r>
      <w:bookmarkEnd w:id="808"/>
      <w:bookmarkEnd w:id="809"/>
    </w:p>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14:paraId="0491F78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bookmarkStart w:id="826" w:name="_Toc297216152"/>
      <w:bookmarkStart w:id="827" w:name="_Toc300934946"/>
      <w:bookmarkStart w:id="828" w:name="_Toc297120460"/>
      <w:bookmarkStart w:id="829" w:name="_Toc304295524"/>
      <w:bookmarkStart w:id="830" w:name="_Toc296890988"/>
      <w:bookmarkStart w:id="831" w:name="_Toc296346661"/>
      <w:bookmarkStart w:id="832" w:name="_Toc296944499"/>
      <w:bookmarkStart w:id="833" w:name="_Toc296891200"/>
      <w:bookmarkStart w:id="834" w:name="_Toc296503160"/>
      <w:bookmarkStart w:id="835" w:name="_Toc292559365"/>
      <w:bookmarkStart w:id="836" w:name="_Toc297123493"/>
      <w:bookmarkStart w:id="837" w:name="_Toc292559870"/>
      <w:bookmarkStart w:id="838" w:name="_Toc303539103"/>
      <w:bookmarkStart w:id="839" w:name="_Toc296347159"/>
      <w:bookmarkStart w:id="840" w:name="_Toc297048346"/>
      <w:bookmarkStart w:id="841" w:name="_Toc312677989"/>
      <w:bookmarkStart w:id="842" w:name="_Toc318581158"/>
      <w:r>
        <w:rPr>
          <w:rFonts w:hint="eastAsia" w:ascii="宋体" w:hAnsi="宋体" w:cs="宋体"/>
          <w:color w:val="auto"/>
          <w:sz w:val="21"/>
          <w:szCs w:val="21"/>
          <w:highlight w:val="none"/>
        </w:rPr>
        <w:t>.5.1 分包的一般约定</w:t>
      </w:r>
    </w:p>
    <w:p w14:paraId="6ED198CF">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禁止分包的工程包括：</w:t>
      </w:r>
      <w:r>
        <w:rPr>
          <w:rFonts w:hint="eastAsia" w:ascii="宋体" w:hAnsi="宋体" w:cs="宋体"/>
          <w:color w:val="auto"/>
          <w:sz w:val="21"/>
          <w:szCs w:val="21"/>
          <w:highlight w:val="none"/>
          <w:u w:val="single"/>
        </w:rPr>
        <w:t xml:space="preserve">  按国家规定及招标要求   </w:t>
      </w:r>
      <w:r>
        <w:rPr>
          <w:rFonts w:hint="eastAsia" w:ascii="宋体" w:hAnsi="宋体" w:cs="宋体"/>
          <w:color w:val="auto"/>
          <w:sz w:val="21"/>
          <w:szCs w:val="21"/>
          <w:highlight w:val="none"/>
        </w:rPr>
        <w:t>。</w:t>
      </w:r>
    </w:p>
    <w:p w14:paraId="79E021D3">
      <w:pPr>
        <w:spacing w:line="4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主体结构、关键性工作的范围：</w:t>
      </w:r>
      <w:r>
        <w:rPr>
          <w:rFonts w:hint="eastAsia" w:ascii="宋体" w:hAnsi="宋体" w:cs="宋体"/>
          <w:color w:val="auto"/>
          <w:sz w:val="21"/>
          <w:szCs w:val="21"/>
          <w:highlight w:val="none"/>
          <w:u w:val="single"/>
        </w:rPr>
        <w:t xml:space="preserve">  不允许分包　</w:t>
      </w:r>
      <w:r>
        <w:rPr>
          <w:rFonts w:hint="eastAsia" w:ascii="宋体" w:hAnsi="宋体" w:cs="宋体"/>
          <w:color w:val="auto"/>
          <w:sz w:val="21"/>
          <w:szCs w:val="21"/>
          <w:highlight w:val="none"/>
        </w:rPr>
        <w:t>。</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Start w:id="843" w:name="_Toc303539104"/>
      <w:bookmarkStart w:id="844" w:name="_Toc300934947"/>
      <w:bookmarkStart w:id="845" w:name="_Toc297120461"/>
      <w:bookmarkStart w:id="846" w:name="_Toc296503161"/>
      <w:bookmarkStart w:id="847" w:name="_Toc296347160"/>
      <w:bookmarkStart w:id="848" w:name="_Toc296890989"/>
      <w:bookmarkStart w:id="849" w:name="_Toc296944500"/>
      <w:bookmarkStart w:id="850" w:name="_Toc296891201"/>
      <w:bookmarkStart w:id="851" w:name="_Toc304295525"/>
      <w:bookmarkStart w:id="852" w:name="_Toc296346662"/>
      <w:bookmarkStart w:id="853" w:name="_Toc297123494"/>
      <w:bookmarkStart w:id="854" w:name="_Toc297048347"/>
      <w:bookmarkStart w:id="855" w:name="_Toc297216153"/>
    </w:p>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14:paraId="267E99C2">
      <w:pPr>
        <w:keepNext/>
        <w:keepLines/>
        <w:spacing w:line="440" w:lineRule="exact"/>
        <w:ind w:firstLine="0" w:firstLineChars="0"/>
        <w:outlineLvl w:val="0"/>
        <w:rPr>
          <w:rFonts w:ascii="宋体" w:hAnsi="宋体" w:cs="宋体"/>
          <w:b/>
          <w:bCs/>
          <w:color w:val="auto"/>
          <w:kern w:val="44"/>
          <w:sz w:val="21"/>
          <w:szCs w:val="21"/>
          <w:highlight w:val="none"/>
        </w:rPr>
      </w:pPr>
      <w:bookmarkStart w:id="856" w:name="_Toc417904286"/>
      <w:bookmarkStart w:id="857" w:name="_Toc478389200"/>
      <w:r>
        <w:rPr>
          <w:rFonts w:hint="eastAsia" w:ascii="宋体" w:hAnsi="宋体" w:cs="宋体"/>
          <w:b/>
          <w:bCs/>
          <w:color w:val="auto"/>
          <w:kern w:val="44"/>
          <w:sz w:val="21"/>
          <w:szCs w:val="21"/>
          <w:highlight w:val="none"/>
        </w:rPr>
        <w:t>3.6 工程照管与成品、半成品保护</w:t>
      </w:r>
      <w:bookmarkEnd w:id="856"/>
      <w:bookmarkEnd w:id="857"/>
    </w:p>
    <w:p w14:paraId="61DD75ED">
      <w:pPr>
        <w:spacing w:line="4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承包人负责照管工程及工程相关的材料、工程设备的时间：</w:t>
      </w:r>
      <w:r>
        <w:rPr>
          <w:rFonts w:hint="eastAsia" w:ascii="宋体" w:hAnsi="宋体" w:cs="宋体"/>
          <w:color w:val="auto"/>
          <w:sz w:val="21"/>
          <w:szCs w:val="21"/>
          <w:highlight w:val="none"/>
          <w:u w:val="single"/>
        </w:rPr>
        <w:t>发包人移交施工现场至验收交付发包人使用前　 。</w:t>
      </w:r>
    </w:p>
    <w:p w14:paraId="0801E5C2">
      <w:pPr>
        <w:keepNext/>
        <w:keepLines/>
        <w:spacing w:line="440" w:lineRule="exact"/>
        <w:ind w:firstLine="0" w:firstLineChars="0"/>
        <w:outlineLvl w:val="0"/>
        <w:rPr>
          <w:rFonts w:ascii="宋体" w:hAnsi="宋体" w:cs="宋体"/>
          <w:b/>
          <w:bCs/>
          <w:color w:val="auto"/>
          <w:kern w:val="44"/>
          <w:sz w:val="21"/>
          <w:szCs w:val="21"/>
          <w:highlight w:val="none"/>
        </w:rPr>
      </w:pPr>
      <w:bookmarkStart w:id="858" w:name="_Toc478389201"/>
      <w:bookmarkStart w:id="859" w:name="_Toc417904287"/>
      <w:r>
        <w:rPr>
          <w:rFonts w:hint="eastAsia" w:ascii="宋体" w:hAnsi="宋体" w:cs="宋体"/>
          <w:b/>
          <w:bCs/>
          <w:color w:val="auto"/>
          <w:kern w:val="44"/>
          <w:sz w:val="21"/>
          <w:szCs w:val="21"/>
          <w:highlight w:val="none"/>
        </w:rPr>
        <w:t>3.7 履约保证金</w:t>
      </w:r>
      <w:bookmarkEnd w:id="858"/>
      <w:bookmarkEnd w:id="859"/>
    </w:p>
    <w:p w14:paraId="4BD8031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承包人是否提供履约保证金：否</w:t>
      </w:r>
    </w:p>
    <w:p w14:paraId="38FB6B5D">
      <w:pPr>
        <w:spacing w:line="4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承包人提供履约保证金的形式、金额及期限的：无</w:t>
      </w:r>
    </w:p>
    <w:p w14:paraId="205298BE">
      <w:pPr>
        <w:keepNext/>
        <w:keepLines/>
        <w:spacing w:line="440" w:lineRule="exact"/>
        <w:ind w:firstLine="0" w:firstLineChars="0"/>
        <w:outlineLvl w:val="0"/>
        <w:rPr>
          <w:rFonts w:ascii="宋体" w:hAnsi="宋体" w:cs="宋体"/>
          <w:b/>
          <w:bCs/>
          <w:color w:val="auto"/>
          <w:kern w:val="44"/>
          <w:sz w:val="21"/>
          <w:szCs w:val="21"/>
          <w:highlight w:val="none"/>
        </w:rPr>
      </w:pPr>
      <w:bookmarkStart w:id="860" w:name="_Toc417904288"/>
      <w:bookmarkStart w:id="861" w:name="_Toc351203636"/>
      <w:bookmarkStart w:id="862" w:name="_Toc478389202"/>
      <w:r>
        <w:rPr>
          <w:rFonts w:hint="eastAsia" w:ascii="宋体" w:hAnsi="宋体" w:cs="宋体"/>
          <w:b/>
          <w:bCs/>
          <w:color w:val="auto"/>
          <w:kern w:val="44"/>
          <w:sz w:val="21"/>
          <w:szCs w:val="21"/>
          <w:highlight w:val="none"/>
        </w:rPr>
        <w:t>4</w:t>
      </w:r>
      <w:bookmarkStart w:id="863" w:name="_Toc297120462"/>
      <w:bookmarkStart w:id="864" w:name="_Toc296503162"/>
      <w:bookmarkStart w:id="865" w:name="_Toc296944501"/>
      <w:bookmarkStart w:id="866" w:name="_Toc296346663"/>
      <w:bookmarkStart w:id="867" w:name="_Toc267251413"/>
      <w:bookmarkStart w:id="868" w:name="_Toc297048348"/>
      <w:bookmarkStart w:id="869" w:name="_Toc296891202"/>
      <w:bookmarkStart w:id="870" w:name="_Toc296890990"/>
      <w:bookmarkStart w:id="871" w:name="_Toc296347161"/>
      <w:bookmarkStart w:id="872" w:name="_Toc292559366"/>
      <w:bookmarkStart w:id="873" w:name="_Toc292559871"/>
      <w:r>
        <w:rPr>
          <w:rFonts w:hint="eastAsia" w:ascii="宋体" w:hAnsi="宋体" w:cs="宋体"/>
          <w:b/>
          <w:bCs/>
          <w:color w:val="auto"/>
          <w:kern w:val="44"/>
          <w:sz w:val="21"/>
          <w:szCs w:val="21"/>
          <w:highlight w:val="none"/>
        </w:rPr>
        <w:t>. 监</w:t>
      </w:r>
      <w:bookmarkEnd w:id="863"/>
      <w:bookmarkEnd w:id="864"/>
      <w:bookmarkEnd w:id="865"/>
      <w:bookmarkEnd w:id="866"/>
      <w:bookmarkEnd w:id="867"/>
      <w:bookmarkEnd w:id="868"/>
      <w:bookmarkEnd w:id="869"/>
      <w:bookmarkEnd w:id="870"/>
      <w:bookmarkEnd w:id="871"/>
      <w:bookmarkEnd w:id="872"/>
      <w:bookmarkEnd w:id="873"/>
      <w:r>
        <w:rPr>
          <w:rFonts w:hint="eastAsia" w:ascii="宋体" w:hAnsi="宋体" w:cs="宋体"/>
          <w:b/>
          <w:bCs/>
          <w:color w:val="auto"/>
          <w:kern w:val="44"/>
          <w:sz w:val="21"/>
          <w:szCs w:val="21"/>
          <w:highlight w:val="none"/>
        </w:rPr>
        <w:t>理人</w:t>
      </w:r>
      <w:bookmarkEnd w:id="860"/>
      <w:bookmarkEnd w:id="861"/>
      <w:bookmarkEnd w:id="862"/>
    </w:p>
    <w:p w14:paraId="1BBA6F37">
      <w:pPr>
        <w:keepNext/>
        <w:keepLines/>
        <w:spacing w:line="440" w:lineRule="exact"/>
        <w:ind w:firstLine="0" w:firstLineChars="0"/>
        <w:outlineLvl w:val="0"/>
        <w:rPr>
          <w:rFonts w:ascii="宋体" w:hAnsi="宋体" w:cs="宋体"/>
          <w:b/>
          <w:bCs/>
          <w:color w:val="auto"/>
          <w:kern w:val="44"/>
          <w:sz w:val="21"/>
          <w:szCs w:val="21"/>
          <w:highlight w:val="none"/>
        </w:rPr>
      </w:pPr>
      <w:bookmarkStart w:id="874" w:name="_Toc417904289"/>
      <w:bookmarkStart w:id="875" w:name="_Toc478389203"/>
      <w:r>
        <w:rPr>
          <w:rFonts w:hint="eastAsia" w:ascii="宋体" w:hAnsi="宋体" w:cs="宋体"/>
          <w:b/>
          <w:bCs/>
          <w:color w:val="auto"/>
          <w:kern w:val="44"/>
          <w:sz w:val="21"/>
          <w:szCs w:val="21"/>
          <w:highlight w:val="none"/>
        </w:rPr>
        <w:t>4.1监理人的一般规定</w:t>
      </w:r>
      <w:bookmarkEnd w:id="874"/>
      <w:bookmarkEnd w:id="875"/>
    </w:p>
    <w:p w14:paraId="5A4961AD">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关于监理人的监理内容：</w:t>
      </w:r>
      <w:r>
        <w:rPr>
          <w:rFonts w:hint="eastAsia" w:ascii="宋体" w:hAnsi="宋体" w:cs="宋体"/>
          <w:color w:val="auto"/>
          <w:sz w:val="21"/>
          <w:szCs w:val="21"/>
          <w:highlight w:val="none"/>
          <w:u w:val="single"/>
        </w:rPr>
        <w:t xml:space="preserve">  成交后填写</w:t>
      </w:r>
      <w:r>
        <w:rPr>
          <w:rFonts w:hint="eastAsia" w:ascii="宋体" w:hAnsi="宋体" w:cs="宋体"/>
          <w:color w:val="auto"/>
          <w:sz w:val="21"/>
          <w:szCs w:val="21"/>
          <w:highlight w:val="none"/>
        </w:rPr>
        <w:t>。</w:t>
      </w:r>
    </w:p>
    <w:p w14:paraId="4C351BBD">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关于监理人的监理权限：</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 xml:space="preserve">。 </w:t>
      </w:r>
    </w:p>
    <w:p w14:paraId="2C75FF19">
      <w:pPr>
        <w:spacing w:line="4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关于监理人在施工现场的办公场所、生活场所的提供和费用承担的约定：</w:t>
      </w:r>
      <w:r>
        <w:rPr>
          <w:rFonts w:hint="eastAsia" w:ascii="宋体" w:hAnsi="宋体" w:cs="宋体"/>
          <w:color w:val="auto"/>
          <w:sz w:val="21"/>
          <w:szCs w:val="21"/>
          <w:highlight w:val="none"/>
          <w:u w:val="single"/>
        </w:rPr>
        <w:t xml:space="preserve">   发包人与</w:t>
      </w:r>
      <w:r>
        <w:rPr>
          <w:rFonts w:hint="eastAsia" w:ascii="宋体" w:hAnsi="宋体" w:cs="宋体"/>
          <w:color w:val="auto"/>
          <w:sz w:val="21"/>
          <w:szCs w:val="21"/>
          <w:highlight w:val="none"/>
        </w:rPr>
        <w:t>监理人约定。</w:t>
      </w:r>
    </w:p>
    <w:p w14:paraId="45C828F7">
      <w:pPr>
        <w:keepNext/>
        <w:keepLines/>
        <w:spacing w:line="440" w:lineRule="exact"/>
        <w:ind w:firstLine="0" w:firstLineChars="0"/>
        <w:outlineLvl w:val="0"/>
        <w:rPr>
          <w:rFonts w:ascii="宋体" w:hAnsi="宋体" w:cs="宋体"/>
          <w:b/>
          <w:bCs/>
          <w:color w:val="auto"/>
          <w:kern w:val="44"/>
          <w:sz w:val="21"/>
          <w:szCs w:val="21"/>
          <w:highlight w:val="none"/>
        </w:rPr>
      </w:pPr>
      <w:bookmarkStart w:id="876" w:name="_Toc478389204"/>
      <w:bookmarkStart w:id="877" w:name="_Toc417904290"/>
      <w:r>
        <w:rPr>
          <w:rFonts w:hint="eastAsia" w:ascii="宋体" w:hAnsi="宋体" w:cs="宋体"/>
          <w:b/>
          <w:bCs/>
          <w:color w:val="auto"/>
          <w:kern w:val="44"/>
          <w:sz w:val="21"/>
          <w:szCs w:val="21"/>
          <w:highlight w:val="none"/>
        </w:rPr>
        <w:t>4.2 监理人员</w:t>
      </w:r>
      <w:bookmarkEnd w:id="876"/>
      <w:bookmarkEnd w:id="877"/>
    </w:p>
    <w:p w14:paraId="2AD85F21">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总监理工程师：</w:t>
      </w:r>
    </w:p>
    <w:p w14:paraId="49C62ED5">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2FF83E9">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2F745604">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监理工程师执业资格证书号：</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1D149F29">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3B2ABB3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715D0638">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18C47900">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关于监理人的其他约定：</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4462A2C8">
      <w:pPr>
        <w:keepNext/>
        <w:keepLines/>
        <w:spacing w:line="400" w:lineRule="exact"/>
        <w:ind w:firstLine="0" w:firstLineChars="0"/>
        <w:outlineLvl w:val="0"/>
        <w:rPr>
          <w:rFonts w:ascii="宋体" w:hAnsi="宋体" w:cs="宋体"/>
          <w:b/>
          <w:bCs/>
          <w:color w:val="auto"/>
          <w:kern w:val="44"/>
          <w:sz w:val="21"/>
          <w:szCs w:val="21"/>
          <w:highlight w:val="none"/>
        </w:rPr>
      </w:pPr>
      <w:bookmarkStart w:id="878" w:name="_Toc417904291"/>
      <w:bookmarkStart w:id="879" w:name="_Toc478389205"/>
      <w:r>
        <w:rPr>
          <w:rFonts w:hint="eastAsia" w:ascii="宋体" w:hAnsi="宋体" w:cs="宋体"/>
          <w:b/>
          <w:bCs/>
          <w:color w:val="auto"/>
          <w:kern w:val="44"/>
          <w:sz w:val="21"/>
          <w:szCs w:val="21"/>
          <w:highlight w:val="none"/>
        </w:rPr>
        <w:t>4.4 商定或确定</w:t>
      </w:r>
      <w:bookmarkEnd w:id="878"/>
      <w:bookmarkEnd w:id="879"/>
    </w:p>
    <w:p w14:paraId="170BABD3">
      <w:pPr>
        <w:spacing w:line="400" w:lineRule="exact"/>
        <w:ind w:firstLine="420"/>
        <w:rPr>
          <w:rFonts w:ascii="宋体" w:hAnsi="宋体" w:cs="宋体"/>
          <w:color w:val="auto"/>
          <w:sz w:val="21"/>
          <w:szCs w:val="21"/>
          <w:highlight w:val="none"/>
        </w:rPr>
      </w:pPr>
      <w:bookmarkStart w:id="880" w:name="_Toc267251418"/>
      <w:r>
        <w:rPr>
          <w:rFonts w:hint="eastAsia" w:ascii="宋体" w:hAnsi="宋体" w:cs="宋体"/>
          <w:color w:val="auto"/>
          <w:sz w:val="21"/>
          <w:szCs w:val="21"/>
          <w:highlight w:val="none"/>
        </w:rPr>
        <w:t>在发包人和承包人不能通过协商达成一致意见时，发包人授权监理人对以下事项进行确定：</w:t>
      </w:r>
    </w:p>
    <w:p w14:paraId="35CB76F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9A0069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B29004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1EFBA910">
      <w:pPr>
        <w:keepNext/>
        <w:keepLines/>
        <w:spacing w:line="400" w:lineRule="exact"/>
        <w:ind w:firstLine="0" w:firstLineChars="0"/>
        <w:outlineLvl w:val="0"/>
        <w:rPr>
          <w:rFonts w:ascii="宋体" w:hAnsi="宋体" w:cs="宋体"/>
          <w:b/>
          <w:bCs/>
          <w:color w:val="auto"/>
          <w:kern w:val="44"/>
          <w:sz w:val="21"/>
          <w:szCs w:val="21"/>
          <w:highlight w:val="none"/>
        </w:rPr>
      </w:pPr>
      <w:bookmarkStart w:id="881" w:name="_Toc478389206"/>
      <w:bookmarkStart w:id="882" w:name="_Toc417904292"/>
      <w:bookmarkStart w:id="883" w:name="_Toc351203637"/>
      <w:r>
        <w:rPr>
          <w:rFonts w:hint="eastAsia" w:ascii="宋体" w:hAnsi="宋体" w:cs="宋体"/>
          <w:b/>
          <w:bCs/>
          <w:color w:val="auto"/>
          <w:kern w:val="44"/>
          <w:sz w:val="21"/>
          <w:szCs w:val="21"/>
          <w:highlight w:val="none"/>
        </w:rPr>
        <w:t>5</w:t>
      </w:r>
      <w:bookmarkEnd w:id="880"/>
      <w:bookmarkStart w:id="884" w:name="_Toc296944502"/>
      <w:bookmarkStart w:id="885" w:name="_Toc296347162"/>
      <w:bookmarkStart w:id="886" w:name="_Toc292559872"/>
      <w:bookmarkStart w:id="887" w:name="_Toc292559367"/>
      <w:bookmarkStart w:id="888" w:name="_Toc296890991"/>
      <w:bookmarkStart w:id="889" w:name="_Toc296891203"/>
      <w:bookmarkStart w:id="890" w:name="_Toc297048349"/>
      <w:bookmarkStart w:id="891" w:name="_Toc296346664"/>
      <w:bookmarkStart w:id="892" w:name="_Toc296503163"/>
      <w:bookmarkStart w:id="893" w:name="_Toc297120463"/>
      <w:r>
        <w:rPr>
          <w:rFonts w:hint="eastAsia" w:ascii="宋体" w:hAnsi="宋体" w:cs="宋体"/>
          <w:b/>
          <w:bCs/>
          <w:color w:val="auto"/>
          <w:kern w:val="44"/>
          <w:sz w:val="21"/>
          <w:szCs w:val="21"/>
          <w:highlight w:val="none"/>
        </w:rPr>
        <w:t>. 工程质量</w:t>
      </w:r>
      <w:bookmarkEnd w:id="881"/>
      <w:bookmarkEnd w:id="882"/>
      <w:bookmarkEnd w:id="883"/>
    </w:p>
    <w:p w14:paraId="37919092">
      <w:pPr>
        <w:keepNext/>
        <w:keepLines/>
        <w:spacing w:line="400" w:lineRule="exact"/>
        <w:ind w:firstLine="0" w:firstLineChars="0"/>
        <w:outlineLvl w:val="0"/>
        <w:rPr>
          <w:rFonts w:ascii="宋体" w:hAnsi="宋体" w:cs="宋体"/>
          <w:b/>
          <w:bCs/>
          <w:color w:val="auto"/>
          <w:kern w:val="44"/>
          <w:sz w:val="21"/>
          <w:szCs w:val="21"/>
          <w:highlight w:val="none"/>
        </w:rPr>
      </w:pPr>
      <w:bookmarkStart w:id="894" w:name="_Toc417904293"/>
      <w:bookmarkStart w:id="895" w:name="_Toc478389207"/>
      <w:r>
        <w:rPr>
          <w:rFonts w:hint="eastAsia" w:ascii="宋体" w:hAnsi="宋体" w:cs="宋体"/>
          <w:b/>
          <w:bCs/>
          <w:color w:val="auto"/>
          <w:kern w:val="44"/>
          <w:sz w:val="21"/>
          <w:szCs w:val="21"/>
          <w:highlight w:val="none"/>
        </w:rPr>
        <w:t>5.1 质量要求</w:t>
      </w:r>
      <w:bookmarkEnd w:id="894"/>
      <w:bookmarkEnd w:id="895"/>
    </w:p>
    <w:p w14:paraId="66640EF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w:t>
      </w:r>
      <w:bookmarkStart w:id="896" w:name="_Toc318581164"/>
      <w:bookmarkStart w:id="897" w:name="_Toc300934949"/>
      <w:bookmarkStart w:id="898" w:name="_Toc297216155"/>
      <w:bookmarkStart w:id="899" w:name="_Toc297123496"/>
      <w:bookmarkStart w:id="900" w:name="_Toc303539106"/>
      <w:bookmarkStart w:id="901" w:name="_Toc312677997"/>
      <w:bookmarkStart w:id="902" w:name="_Toc304295527"/>
      <w:r>
        <w:rPr>
          <w:rFonts w:hint="eastAsia" w:ascii="宋体" w:hAnsi="宋体" w:cs="宋体"/>
          <w:color w:val="auto"/>
          <w:sz w:val="21"/>
          <w:szCs w:val="21"/>
          <w:highlight w:val="none"/>
        </w:rPr>
        <w:t>.1.1 特殊质量标准和要求：</w:t>
      </w:r>
      <w:r>
        <w:rPr>
          <w:rFonts w:hint="eastAsia" w:ascii="宋体" w:hAnsi="宋体" w:cs="宋体"/>
          <w:color w:val="auto"/>
          <w:sz w:val="21"/>
          <w:szCs w:val="21"/>
          <w:highlight w:val="none"/>
          <w:u w:val="single"/>
        </w:rPr>
        <w:t xml:space="preserve">   按国家规定   </w:t>
      </w:r>
      <w:r>
        <w:rPr>
          <w:rFonts w:hint="eastAsia" w:ascii="宋体" w:hAnsi="宋体" w:cs="宋体"/>
          <w:color w:val="auto"/>
          <w:sz w:val="21"/>
          <w:szCs w:val="21"/>
          <w:highlight w:val="none"/>
        </w:rPr>
        <w:t>。</w:t>
      </w:r>
    </w:p>
    <w:p w14:paraId="27A0444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关于工程奖项的约定：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4A68F485">
      <w:pPr>
        <w:keepNext/>
        <w:keepLines/>
        <w:spacing w:line="400" w:lineRule="exact"/>
        <w:ind w:firstLine="0" w:firstLineChars="0"/>
        <w:outlineLvl w:val="0"/>
        <w:rPr>
          <w:rFonts w:ascii="宋体" w:hAnsi="宋体" w:cs="宋体"/>
          <w:b/>
          <w:bCs/>
          <w:color w:val="auto"/>
          <w:kern w:val="44"/>
          <w:sz w:val="21"/>
          <w:szCs w:val="21"/>
          <w:highlight w:val="none"/>
        </w:rPr>
      </w:pPr>
      <w:bookmarkStart w:id="903" w:name="_Toc417904294"/>
      <w:bookmarkStart w:id="904" w:name="_Toc478389208"/>
      <w:r>
        <w:rPr>
          <w:rFonts w:hint="eastAsia" w:ascii="宋体" w:hAnsi="宋体" w:cs="宋体"/>
          <w:b/>
          <w:bCs/>
          <w:color w:val="auto"/>
          <w:kern w:val="44"/>
          <w:sz w:val="21"/>
          <w:szCs w:val="21"/>
          <w:highlight w:val="none"/>
        </w:rPr>
        <w:t>5.3 隐蔽工程检查</w:t>
      </w:r>
      <w:bookmarkEnd w:id="903"/>
      <w:bookmarkEnd w:id="904"/>
    </w:p>
    <w:p w14:paraId="3779752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5.3.2承包人提前通知发包人隐蔽工程检查的期限的约定：</w:t>
      </w:r>
      <w:r>
        <w:rPr>
          <w:rFonts w:hint="eastAsia" w:ascii="宋体" w:hAnsi="宋体" w:cs="宋体"/>
          <w:color w:val="auto"/>
          <w:sz w:val="21"/>
          <w:szCs w:val="21"/>
          <w:highlight w:val="none"/>
          <w:u w:val="single"/>
        </w:rPr>
        <w:t xml:space="preserve">　提前7天   </w:t>
      </w:r>
      <w:r>
        <w:rPr>
          <w:rFonts w:hint="eastAsia" w:ascii="宋体" w:hAnsi="宋体" w:cs="宋体"/>
          <w:color w:val="auto"/>
          <w:sz w:val="21"/>
          <w:szCs w:val="21"/>
          <w:highlight w:val="none"/>
        </w:rPr>
        <w:t>。</w:t>
      </w:r>
    </w:p>
    <w:p w14:paraId="498FFCA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发包人不能按时进行检查时，应提前</w:t>
      </w:r>
      <w:r>
        <w:rPr>
          <w:rFonts w:hint="eastAsia" w:ascii="宋体" w:hAnsi="宋体" w:cs="宋体"/>
          <w:color w:val="auto"/>
          <w:sz w:val="21"/>
          <w:szCs w:val="21"/>
          <w:highlight w:val="none"/>
          <w:u w:val="single"/>
        </w:rPr>
        <w:t xml:space="preserve">  24  </w:t>
      </w:r>
      <w:r>
        <w:rPr>
          <w:rFonts w:hint="eastAsia" w:ascii="宋体" w:hAnsi="宋体" w:cs="宋体"/>
          <w:color w:val="auto"/>
          <w:sz w:val="21"/>
          <w:szCs w:val="21"/>
          <w:highlight w:val="none"/>
        </w:rPr>
        <w:t>小时提交书面延期要求。</w:t>
      </w:r>
    </w:p>
    <w:p w14:paraId="33DDA32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关于延期最长不得超过：</w:t>
      </w:r>
      <w:r>
        <w:rPr>
          <w:rFonts w:hint="eastAsia" w:ascii="宋体" w:hAnsi="宋体" w:cs="宋体"/>
          <w:color w:val="auto"/>
          <w:sz w:val="21"/>
          <w:szCs w:val="21"/>
          <w:highlight w:val="none"/>
          <w:u w:val="single"/>
        </w:rPr>
        <w:t xml:space="preserve">  48  </w:t>
      </w:r>
      <w:r>
        <w:rPr>
          <w:rFonts w:hint="eastAsia" w:ascii="宋体" w:hAnsi="宋体" w:cs="宋体"/>
          <w:color w:val="auto"/>
          <w:sz w:val="21"/>
          <w:szCs w:val="21"/>
          <w:highlight w:val="none"/>
        </w:rPr>
        <w:t>小时。</w:t>
      </w:r>
    </w:p>
    <w:p w14:paraId="58C930B6">
      <w:pPr>
        <w:keepNext/>
        <w:keepLines/>
        <w:spacing w:line="400" w:lineRule="exact"/>
        <w:ind w:firstLine="0" w:firstLineChars="0"/>
        <w:outlineLvl w:val="0"/>
        <w:rPr>
          <w:rFonts w:ascii="宋体" w:hAnsi="宋体" w:cs="宋体"/>
          <w:b/>
          <w:bCs/>
          <w:color w:val="auto"/>
          <w:kern w:val="44"/>
          <w:sz w:val="21"/>
          <w:szCs w:val="21"/>
          <w:highlight w:val="none"/>
        </w:rPr>
      </w:pPr>
      <w:bookmarkStart w:id="905" w:name="_Toc478389209"/>
      <w:bookmarkStart w:id="906" w:name="_Toc417904295"/>
      <w:bookmarkStart w:id="907" w:name="_Toc351203638"/>
      <w:r>
        <w:rPr>
          <w:rFonts w:hint="eastAsia" w:ascii="宋体" w:hAnsi="宋体" w:cs="宋体"/>
          <w:b/>
          <w:bCs/>
          <w:color w:val="auto"/>
          <w:kern w:val="44"/>
          <w:sz w:val="21"/>
          <w:szCs w:val="21"/>
          <w:highlight w:val="none"/>
        </w:rPr>
        <w:t>6. 安全文明施工与环境保护</w:t>
      </w:r>
      <w:bookmarkEnd w:id="905"/>
      <w:bookmarkEnd w:id="906"/>
      <w:bookmarkEnd w:id="907"/>
    </w:p>
    <w:p w14:paraId="395EA7A2">
      <w:pPr>
        <w:keepNext/>
        <w:keepLines/>
        <w:spacing w:line="400" w:lineRule="exact"/>
        <w:ind w:firstLine="0" w:firstLineChars="0"/>
        <w:outlineLvl w:val="0"/>
        <w:rPr>
          <w:rFonts w:ascii="宋体" w:hAnsi="宋体" w:cs="宋体"/>
          <w:b/>
          <w:bCs/>
          <w:color w:val="auto"/>
          <w:kern w:val="44"/>
          <w:sz w:val="21"/>
          <w:szCs w:val="21"/>
          <w:highlight w:val="none"/>
        </w:rPr>
      </w:pPr>
      <w:bookmarkStart w:id="908" w:name="_Toc478389210"/>
      <w:bookmarkStart w:id="909" w:name="_Toc417904296"/>
      <w:r>
        <w:rPr>
          <w:rFonts w:hint="eastAsia" w:ascii="宋体" w:hAnsi="宋体" w:cs="宋体"/>
          <w:b/>
          <w:bCs/>
          <w:color w:val="auto"/>
          <w:kern w:val="44"/>
          <w:sz w:val="21"/>
          <w:szCs w:val="21"/>
          <w:highlight w:val="none"/>
        </w:rPr>
        <w:t>6.1安全文明施工</w:t>
      </w:r>
      <w:bookmarkEnd w:id="908"/>
      <w:bookmarkEnd w:id="909"/>
    </w:p>
    <w:p w14:paraId="7F51D2C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6.1.1 项目安全生产的达标目标及相应事项的约定：</w:t>
      </w:r>
      <w:r>
        <w:rPr>
          <w:rFonts w:hint="eastAsia" w:ascii="宋体" w:hAnsi="宋体" w:cs="宋体"/>
          <w:color w:val="auto"/>
          <w:sz w:val="21"/>
          <w:szCs w:val="21"/>
          <w:highlight w:val="none"/>
          <w:u w:val="single"/>
        </w:rPr>
        <w:t xml:space="preserve">   按国家规定  </w:t>
      </w:r>
      <w:r>
        <w:rPr>
          <w:rFonts w:hint="eastAsia" w:ascii="宋体" w:hAnsi="宋体" w:cs="宋体"/>
          <w:color w:val="auto"/>
          <w:sz w:val="21"/>
          <w:szCs w:val="21"/>
          <w:highlight w:val="none"/>
        </w:rPr>
        <w:t>。</w:t>
      </w:r>
    </w:p>
    <w:p w14:paraId="01112AB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6.1.4关于治安保卫的特别约定：</w:t>
      </w:r>
      <w:r>
        <w:rPr>
          <w:rFonts w:hint="eastAsia" w:ascii="宋体"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w:t>
      </w:r>
      <w:r>
        <w:rPr>
          <w:rFonts w:hint="eastAsia" w:ascii="宋体" w:hAnsi="宋体" w:cs="宋体"/>
          <w:color w:val="auto"/>
          <w:sz w:val="21"/>
          <w:szCs w:val="21"/>
          <w:highlight w:val="none"/>
          <w:u w:val="single"/>
          <w:lang w:eastAsia="zh-CN"/>
        </w:rPr>
        <w:t>现</w:t>
      </w:r>
      <w:r>
        <w:rPr>
          <w:rFonts w:hint="eastAsia" w:ascii="宋体" w:hAnsi="宋体" w:cs="宋体"/>
          <w:color w:val="auto"/>
          <w:sz w:val="21"/>
          <w:szCs w:val="21"/>
          <w:highlight w:val="none"/>
          <w:u w:val="single"/>
        </w:rPr>
        <w:t>场应自费配备消防设备，防止火灾发生。</w:t>
      </w:r>
    </w:p>
    <w:p w14:paraId="0A9F738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关于编制施工场地治安管理计划的约定：</w:t>
      </w:r>
      <w:r>
        <w:rPr>
          <w:rFonts w:hint="eastAsia" w:ascii="宋体" w:hAnsi="宋体" w:cs="宋体"/>
          <w:color w:val="auto"/>
          <w:sz w:val="21"/>
          <w:szCs w:val="21"/>
          <w:highlight w:val="none"/>
          <w:u w:val="single"/>
        </w:rPr>
        <w:t xml:space="preserve">   合同签订后7天内      </w:t>
      </w:r>
      <w:r>
        <w:rPr>
          <w:rFonts w:hint="eastAsia" w:ascii="宋体" w:hAnsi="宋体" w:cs="宋体"/>
          <w:color w:val="auto"/>
          <w:sz w:val="21"/>
          <w:szCs w:val="21"/>
          <w:highlight w:val="none"/>
        </w:rPr>
        <w:t>。</w:t>
      </w:r>
    </w:p>
    <w:p w14:paraId="2220213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6.1.5 文明施工</w:t>
      </w:r>
    </w:p>
    <w:p w14:paraId="45A632A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合同当事人对文明施工的要求：</w:t>
      </w:r>
      <w:r>
        <w:rPr>
          <w:rFonts w:hint="eastAsia" w:ascii="宋体" w:hAnsi="宋体" w:cs="宋体"/>
          <w:color w:val="auto"/>
          <w:sz w:val="21"/>
          <w:szCs w:val="21"/>
          <w:highlight w:val="none"/>
          <w:u w:val="single"/>
        </w:rPr>
        <w:t xml:space="preserve">    按规范要求      </w:t>
      </w:r>
      <w:r>
        <w:rPr>
          <w:rFonts w:hint="eastAsia" w:ascii="宋体" w:hAnsi="宋体" w:cs="宋体"/>
          <w:color w:val="auto"/>
          <w:sz w:val="21"/>
          <w:szCs w:val="21"/>
          <w:highlight w:val="none"/>
        </w:rPr>
        <w:t>。</w:t>
      </w:r>
    </w:p>
    <w:p w14:paraId="13F1E456">
      <w:pPr>
        <w:spacing w:line="360" w:lineRule="exact"/>
        <w:ind w:firstLine="420"/>
        <w:jc w:val="left"/>
        <w:rPr>
          <w:rFonts w:ascii="宋体" w:hAnsi="宋体" w:cs="宋体"/>
          <w:color w:val="auto"/>
          <w:sz w:val="21"/>
          <w:szCs w:val="21"/>
          <w:highlight w:val="none"/>
          <w:u w:val="single"/>
        </w:rPr>
      </w:pPr>
      <w:r>
        <w:rPr>
          <w:rFonts w:cs="宋体"/>
          <w:color w:val="auto"/>
          <w:sz w:val="21"/>
          <w:szCs w:val="21"/>
          <w:highlight w:val="none"/>
        </w:rPr>
        <w:t>6.1.6</w:t>
      </w:r>
      <w:r>
        <w:rPr>
          <w:rFonts w:hint="eastAsia" w:ascii="宋体" w:hAnsi="宋体" w:cs="宋体"/>
          <w:color w:val="auto"/>
          <w:sz w:val="21"/>
          <w:szCs w:val="21"/>
          <w:highlight w:val="none"/>
        </w:rPr>
        <w:t>关于安全文明施工费支付比例和支付期限的约定：</w:t>
      </w:r>
      <w:r>
        <w:rPr>
          <w:rFonts w:hint="eastAsia" w:ascii="宋体" w:hAnsi="宋体" w:cs="宋体"/>
          <w:color w:val="auto"/>
          <w:sz w:val="21"/>
          <w:szCs w:val="21"/>
          <w:highlight w:val="none"/>
          <w:u w:val="single"/>
        </w:rPr>
        <w:t>具体按《广西壮族自治区建筑工程安全防护、文明施工措施费及管理细则》（桂建质〔2015〕16 号）和当地建设行政主管部门要求执行。</w:t>
      </w:r>
    </w:p>
    <w:p w14:paraId="41D160C1">
      <w:pPr>
        <w:keepNext/>
        <w:keepLines/>
        <w:spacing w:line="400" w:lineRule="exact"/>
        <w:ind w:firstLine="0" w:firstLineChars="0"/>
        <w:outlineLvl w:val="0"/>
        <w:rPr>
          <w:rFonts w:ascii="宋体" w:hAnsi="宋体" w:cs="宋体"/>
          <w:b/>
          <w:bCs/>
          <w:color w:val="auto"/>
          <w:kern w:val="44"/>
          <w:sz w:val="21"/>
          <w:szCs w:val="21"/>
          <w:highlight w:val="none"/>
        </w:rPr>
      </w:pPr>
      <w:bookmarkStart w:id="910" w:name="_Toc389065287"/>
      <w:bookmarkStart w:id="911" w:name="_Toc478389211"/>
      <w:bookmarkStart w:id="912" w:name="_Toc395382523"/>
      <w:bookmarkStart w:id="913" w:name="_Toc373227721"/>
      <w:bookmarkStart w:id="914" w:name="_Toc373478368"/>
      <w:r>
        <w:rPr>
          <w:rFonts w:hint="eastAsia" w:ascii="宋体" w:hAnsi="宋体" w:cs="宋体"/>
          <w:b/>
          <w:bCs/>
          <w:color w:val="auto"/>
          <w:kern w:val="44"/>
          <w:sz w:val="21"/>
          <w:szCs w:val="21"/>
          <w:highlight w:val="none"/>
        </w:rPr>
        <w:t>6.3环境保护</w:t>
      </w:r>
      <w:bookmarkEnd w:id="910"/>
      <w:bookmarkEnd w:id="911"/>
      <w:bookmarkEnd w:id="912"/>
      <w:bookmarkEnd w:id="913"/>
      <w:bookmarkEnd w:id="914"/>
    </w:p>
    <w:p w14:paraId="187997B8">
      <w:pPr>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因施工需要，经发包人批准，由承包人办理有关施工场地交通、环卫和施工噪音管理等手续，费用由承包人负责。</w:t>
      </w:r>
    </w:p>
    <w:p w14:paraId="0BBE2BE3">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p>
    <w:bookmarkEnd w:id="896"/>
    <w:bookmarkEnd w:id="897"/>
    <w:bookmarkEnd w:id="898"/>
    <w:bookmarkEnd w:id="899"/>
    <w:bookmarkEnd w:id="900"/>
    <w:bookmarkEnd w:id="901"/>
    <w:bookmarkEnd w:id="902"/>
    <w:p w14:paraId="19A6663B">
      <w:pPr>
        <w:keepNext/>
        <w:keepLines/>
        <w:spacing w:line="400" w:lineRule="exact"/>
        <w:ind w:firstLine="0" w:firstLineChars="0"/>
        <w:outlineLvl w:val="0"/>
        <w:rPr>
          <w:rFonts w:ascii="宋体" w:hAnsi="宋体" w:cs="宋体"/>
          <w:b/>
          <w:bCs/>
          <w:color w:val="auto"/>
          <w:kern w:val="44"/>
          <w:sz w:val="21"/>
          <w:szCs w:val="21"/>
          <w:highlight w:val="none"/>
        </w:rPr>
      </w:pPr>
      <w:bookmarkStart w:id="915" w:name="_Toc351203639"/>
      <w:bookmarkStart w:id="916" w:name="_Toc478389212"/>
      <w:bookmarkStart w:id="917" w:name="_Toc417904297"/>
      <w:r>
        <w:rPr>
          <w:rFonts w:hint="eastAsia" w:ascii="宋体" w:hAnsi="宋体" w:cs="宋体"/>
          <w:b/>
          <w:bCs/>
          <w:color w:val="auto"/>
          <w:kern w:val="44"/>
          <w:sz w:val="21"/>
          <w:szCs w:val="21"/>
          <w:highlight w:val="none"/>
        </w:rPr>
        <w:t>7. 工期和进度</w:t>
      </w:r>
      <w:bookmarkEnd w:id="915"/>
      <w:bookmarkEnd w:id="916"/>
      <w:bookmarkEnd w:id="917"/>
    </w:p>
    <w:p w14:paraId="1FAC92D8">
      <w:pPr>
        <w:keepNext/>
        <w:keepLines/>
        <w:spacing w:line="400" w:lineRule="exact"/>
        <w:ind w:firstLine="0" w:firstLineChars="0"/>
        <w:outlineLvl w:val="0"/>
        <w:rPr>
          <w:rFonts w:ascii="宋体" w:hAnsi="宋体" w:cs="宋体"/>
          <w:b/>
          <w:bCs/>
          <w:color w:val="auto"/>
          <w:kern w:val="44"/>
          <w:sz w:val="21"/>
          <w:szCs w:val="21"/>
          <w:highlight w:val="none"/>
        </w:rPr>
      </w:pPr>
      <w:bookmarkStart w:id="918" w:name="_Toc478389213"/>
      <w:bookmarkStart w:id="919" w:name="_Toc417904298"/>
      <w:r>
        <w:rPr>
          <w:rFonts w:hint="eastAsia" w:ascii="宋体" w:hAnsi="宋体" w:cs="宋体"/>
          <w:b/>
          <w:bCs/>
          <w:color w:val="auto"/>
          <w:kern w:val="44"/>
          <w:sz w:val="21"/>
          <w:szCs w:val="21"/>
          <w:highlight w:val="none"/>
        </w:rPr>
        <w:t>7.1 施工组织设计</w:t>
      </w:r>
      <w:bookmarkEnd w:id="918"/>
      <w:bookmarkEnd w:id="919"/>
    </w:p>
    <w:p w14:paraId="3A8A1EC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7.1.1 合同当事人约定的施工组织设计应包括的其他内容：</w:t>
      </w:r>
      <w:r>
        <w:rPr>
          <w:rFonts w:hint="eastAsia" w:ascii="宋体" w:hAnsi="宋体" w:cs="宋体"/>
          <w:color w:val="auto"/>
          <w:sz w:val="21"/>
          <w:szCs w:val="21"/>
          <w:highlight w:val="none"/>
          <w:u w:val="single"/>
        </w:rPr>
        <w:t xml:space="preserve">  　按规范要求   </w:t>
      </w:r>
      <w:r>
        <w:rPr>
          <w:rFonts w:hint="eastAsia" w:ascii="宋体" w:hAnsi="宋体" w:cs="宋体"/>
          <w:color w:val="auto"/>
          <w:sz w:val="21"/>
          <w:szCs w:val="21"/>
          <w:highlight w:val="none"/>
        </w:rPr>
        <w:t>。</w:t>
      </w:r>
    </w:p>
    <w:p w14:paraId="5FCC1FA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7.1.2 施工组织设计的提交和修改</w:t>
      </w:r>
    </w:p>
    <w:p w14:paraId="34E7DFB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承包人提交详细施工组织设计的期限的约定：</w:t>
      </w:r>
      <w:r>
        <w:rPr>
          <w:rFonts w:hint="eastAsia" w:ascii="宋体" w:hAnsi="宋体" w:cs="宋体"/>
          <w:color w:val="auto"/>
          <w:sz w:val="21"/>
          <w:szCs w:val="21"/>
          <w:highlight w:val="none"/>
          <w:u w:val="single"/>
        </w:rPr>
        <w:t xml:space="preserve">    合同签订后7天内     </w:t>
      </w:r>
      <w:r>
        <w:rPr>
          <w:rFonts w:hint="eastAsia" w:ascii="宋体" w:hAnsi="宋体" w:cs="宋体"/>
          <w:color w:val="auto"/>
          <w:sz w:val="21"/>
          <w:szCs w:val="21"/>
          <w:highlight w:val="none"/>
        </w:rPr>
        <w:t>。</w:t>
      </w:r>
    </w:p>
    <w:p w14:paraId="3E7EBF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发包人和监理人在收到详细的施工组织设计后确认或提出修改意见的期限：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1F73754B">
      <w:pPr>
        <w:keepNext/>
        <w:keepLines/>
        <w:spacing w:line="400" w:lineRule="exact"/>
        <w:ind w:firstLine="0" w:firstLineChars="0"/>
        <w:outlineLvl w:val="0"/>
        <w:rPr>
          <w:rFonts w:ascii="宋体" w:hAnsi="宋体" w:cs="宋体"/>
          <w:b/>
          <w:bCs/>
          <w:color w:val="auto"/>
          <w:kern w:val="44"/>
          <w:sz w:val="21"/>
          <w:szCs w:val="21"/>
          <w:highlight w:val="none"/>
        </w:rPr>
      </w:pPr>
      <w:bookmarkStart w:id="920" w:name="_Toc417904299"/>
      <w:bookmarkStart w:id="921" w:name="_Toc478389214"/>
      <w:r>
        <w:rPr>
          <w:rFonts w:hint="eastAsia" w:ascii="宋体" w:hAnsi="宋体" w:cs="宋体"/>
          <w:b/>
          <w:bCs/>
          <w:color w:val="auto"/>
          <w:kern w:val="44"/>
          <w:sz w:val="21"/>
          <w:szCs w:val="21"/>
          <w:highlight w:val="none"/>
        </w:rPr>
        <w:t>7</w:t>
      </w:r>
      <w:bookmarkStart w:id="922" w:name="_Toc297123514"/>
      <w:bookmarkStart w:id="923" w:name="_Toc312678005"/>
      <w:bookmarkStart w:id="924" w:name="_Toc303539123"/>
      <w:bookmarkStart w:id="925" w:name="_Toc300934966"/>
      <w:bookmarkStart w:id="926" w:name="_Toc304295541"/>
      <w:bookmarkStart w:id="927" w:name="_Toc312677479"/>
      <w:bookmarkStart w:id="928" w:name="_Toc297216173"/>
      <w:r>
        <w:rPr>
          <w:rFonts w:hint="eastAsia" w:ascii="宋体" w:hAnsi="宋体" w:cs="宋体"/>
          <w:b/>
          <w:bCs/>
          <w:color w:val="auto"/>
          <w:kern w:val="44"/>
          <w:sz w:val="21"/>
          <w:szCs w:val="21"/>
          <w:highlight w:val="none"/>
        </w:rPr>
        <w:t>.2 施工进度计划</w:t>
      </w:r>
      <w:bookmarkEnd w:id="920"/>
      <w:bookmarkEnd w:id="921"/>
    </w:p>
    <w:p w14:paraId="2B677A7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7.2.2 施工进度计划的修订</w:t>
      </w:r>
    </w:p>
    <w:p w14:paraId="3BD2E8C0">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发包人和监理人在收到修订的施工进度计划后确认或提出修改意见的期限：</w:t>
      </w:r>
      <w:r>
        <w:rPr>
          <w:rFonts w:hint="eastAsia" w:ascii="宋体" w:hAnsi="宋体" w:cs="宋体"/>
          <w:color w:val="auto"/>
          <w:sz w:val="21"/>
          <w:szCs w:val="21"/>
          <w:highlight w:val="none"/>
          <w:u w:val="single"/>
        </w:rPr>
        <w:t>收到修订合同进度计划后7天</w:t>
      </w:r>
      <w:r>
        <w:rPr>
          <w:rFonts w:hint="eastAsia" w:ascii="宋体" w:hAnsi="宋体" w:cs="宋体"/>
          <w:color w:val="auto"/>
          <w:sz w:val="21"/>
          <w:szCs w:val="21"/>
          <w:highlight w:val="none"/>
        </w:rPr>
        <w:t>。</w:t>
      </w:r>
    </w:p>
    <w:p w14:paraId="2537D156">
      <w:pPr>
        <w:keepNext/>
        <w:keepLines/>
        <w:spacing w:line="410" w:lineRule="exact"/>
        <w:ind w:firstLine="0" w:firstLineChars="0"/>
        <w:outlineLvl w:val="0"/>
        <w:rPr>
          <w:rFonts w:ascii="宋体" w:hAnsi="宋体" w:cs="宋体"/>
          <w:b/>
          <w:bCs/>
          <w:color w:val="auto"/>
          <w:kern w:val="44"/>
          <w:sz w:val="21"/>
          <w:szCs w:val="21"/>
          <w:highlight w:val="none"/>
        </w:rPr>
      </w:pPr>
      <w:bookmarkStart w:id="929" w:name="_Toc478389215"/>
      <w:bookmarkStart w:id="930" w:name="_Toc417904300"/>
      <w:r>
        <w:rPr>
          <w:rFonts w:hint="eastAsia" w:ascii="宋体" w:hAnsi="宋体" w:cs="宋体"/>
          <w:b/>
          <w:bCs/>
          <w:color w:val="auto"/>
          <w:kern w:val="44"/>
          <w:sz w:val="21"/>
          <w:szCs w:val="21"/>
          <w:highlight w:val="none"/>
        </w:rPr>
        <w:t>7.3 开工</w:t>
      </w:r>
      <w:bookmarkEnd w:id="929"/>
      <w:bookmarkEnd w:id="930"/>
    </w:p>
    <w:p w14:paraId="6966A3E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7.3.1 开工准备</w:t>
      </w:r>
    </w:p>
    <w:p w14:paraId="21AC03E8">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关于承包人提交工程开工报审表的期限：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5F1EAD53">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关于发包人应完成的其他开工准备工作及期限：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36EC4562">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关于承包人应完成的其他开工准备工作及期限：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212EA096">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7.3.2开工通知</w:t>
      </w:r>
    </w:p>
    <w:p w14:paraId="14D3681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因发包人原因造成监理人未能在计划开工日期之日起</w:t>
      </w:r>
      <w:r>
        <w:rPr>
          <w:rFonts w:hint="eastAsia" w:ascii="宋体" w:hAnsi="宋体" w:cs="宋体"/>
          <w:color w:val="auto"/>
          <w:sz w:val="21"/>
          <w:szCs w:val="21"/>
          <w:highlight w:val="none"/>
          <w:u w:val="single"/>
        </w:rPr>
        <w:t>180</w:t>
      </w:r>
      <w:r>
        <w:rPr>
          <w:rFonts w:hint="eastAsia" w:ascii="宋体" w:hAnsi="宋体" w:cs="宋体"/>
          <w:color w:val="auto"/>
          <w:sz w:val="21"/>
          <w:szCs w:val="21"/>
          <w:highlight w:val="none"/>
        </w:rPr>
        <w:t>天内发出开工通知的，承包人有权提出价格调整要求，或者解除合同。</w:t>
      </w:r>
    </w:p>
    <w:bookmarkEnd w:id="922"/>
    <w:bookmarkEnd w:id="923"/>
    <w:bookmarkEnd w:id="924"/>
    <w:bookmarkEnd w:id="925"/>
    <w:bookmarkEnd w:id="926"/>
    <w:bookmarkEnd w:id="927"/>
    <w:bookmarkEnd w:id="928"/>
    <w:p w14:paraId="0D4E27A2">
      <w:pPr>
        <w:keepNext/>
        <w:keepLines/>
        <w:spacing w:line="410" w:lineRule="exact"/>
        <w:ind w:firstLine="0" w:firstLineChars="0"/>
        <w:outlineLvl w:val="0"/>
        <w:rPr>
          <w:rFonts w:ascii="宋体" w:hAnsi="宋体" w:cs="宋体"/>
          <w:b/>
          <w:bCs/>
          <w:color w:val="auto"/>
          <w:kern w:val="44"/>
          <w:sz w:val="21"/>
          <w:szCs w:val="21"/>
          <w:highlight w:val="none"/>
        </w:rPr>
      </w:pPr>
      <w:bookmarkStart w:id="931" w:name="_Toc417904301"/>
      <w:bookmarkStart w:id="932" w:name="_Toc478389216"/>
      <w:r>
        <w:rPr>
          <w:rFonts w:hint="eastAsia" w:ascii="宋体" w:hAnsi="宋体" w:cs="宋体"/>
          <w:b/>
          <w:bCs/>
          <w:color w:val="auto"/>
          <w:kern w:val="44"/>
          <w:sz w:val="21"/>
          <w:szCs w:val="21"/>
          <w:highlight w:val="none"/>
        </w:rPr>
        <w:t>7.4 测量放线</w:t>
      </w:r>
      <w:bookmarkEnd w:id="931"/>
      <w:bookmarkEnd w:id="932"/>
    </w:p>
    <w:p w14:paraId="0A533870">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7.4.1发包人通过监理人向承包人提供测量基准点、基准线和水准点及其书面资料的期限：</w:t>
      </w:r>
      <w:r>
        <w:rPr>
          <w:rFonts w:hint="eastAsia" w:ascii="宋体" w:hAnsi="宋体" w:cs="宋体"/>
          <w:color w:val="auto"/>
          <w:sz w:val="21"/>
          <w:szCs w:val="21"/>
          <w:highlight w:val="none"/>
          <w:u w:val="single"/>
        </w:rPr>
        <w:t xml:space="preserve">合同签订后14天　  </w:t>
      </w:r>
      <w:r>
        <w:rPr>
          <w:rFonts w:hint="eastAsia" w:ascii="宋体" w:hAnsi="宋体" w:cs="宋体"/>
          <w:color w:val="auto"/>
          <w:sz w:val="21"/>
          <w:szCs w:val="21"/>
          <w:highlight w:val="none"/>
        </w:rPr>
        <w:t>。</w:t>
      </w:r>
    </w:p>
    <w:p w14:paraId="35A8D836">
      <w:pPr>
        <w:keepNext/>
        <w:keepLines/>
        <w:spacing w:line="410" w:lineRule="exact"/>
        <w:ind w:firstLine="0" w:firstLineChars="0"/>
        <w:outlineLvl w:val="0"/>
        <w:rPr>
          <w:rFonts w:ascii="宋体" w:hAnsi="宋体" w:cs="宋体"/>
          <w:b/>
          <w:bCs/>
          <w:color w:val="auto"/>
          <w:kern w:val="44"/>
          <w:sz w:val="21"/>
          <w:szCs w:val="21"/>
          <w:highlight w:val="none"/>
        </w:rPr>
      </w:pPr>
      <w:bookmarkStart w:id="933" w:name="_Toc478389217"/>
      <w:bookmarkStart w:id="934" w:name="_Toc417904302"/>
      <w:r>
        <w:rPr>
          <w:rFonts w:hint="eastAsia" w:ascii="宋体" w:hAnsi="宋体" w:cs="宋体"/>
          <w:b/>
          <w:bCs/>
          <w:color w:val="auto"/>
          <w:kern w:val="44"/>
          <w:sz w:val="21"/>
          <w:szCs w:val="21"/>
          <w:highlight w:val="none"/>
        </w:rPr>
        <w:t>7</w:t>
      </w:r>
      <w:bookmarkStart w:id="935" w:name="_Toc304295546"/>
      <w:bookmarkStart w:id="936" w:name="_Toc303539125"/>
      <w:bookmarkStart w:id="937" w:name="_Toc297216175"/>
      <w:bookmarkStart w:id="938" w:name="_Toc297123516"/>
      <w:bookmarkStart w:id="939" w:name="_Toc312678010"/>
      <w:bookmarkStart w:id="940" w:name="_Toc312677484"/>
      <w:bookmarkStart w:id="941" w:name="_Toc300934968"/>
      <w:r>
        <w:rPr>
          <w:rFonts w:hint="eastAsia" w:ascii="宋体" w:hAnsi="宋体" w:cs="宋体"/>
          <w:b/>
          <w:bCs/>
          <w:color w:val="auto"/>
          <w:kern w:val="44"/>
          <w:sz w:val="21"/>
          <w:szCs w:val="21"/>
          <w:highlight w:val="none"/>
        </w:rPr>
        <w:t>.5 工期延误</w:t>
      </w:r>
      <w:bookmarkEnd w:id="933"/>
      <w:bookmarkEnd w:id="934"/>
    </w:p>
    <w:bookmarkEnd w:id="935"/>
    <w:bookmarkEnd w:id="936"/>
    <w:bookmarkEnd w:id="937"/>
    <w:bookmarkEnd w:id="938"/>
    <w:bookmarkEnd w:id="939"/>
    <w:bookmarkEnd w:id="940"/>
    <w:bookmarkEnd w:id="941"/>
    <w:p w14:paraId="297B59F3">
      <w:pPr>
        <w:spacing w:line="410" w:lineRule="exact"/>
        <w:ind w:firstLine="420"/>
        <w:outlineLvl w:val="0"/>
        <w:rPr>
          <w:rFonts w:ascii="宋体" w:hAnsi="宋体" w:cs="宋体"/>
          <w:color w:val="auto"/>
          <w:sz w:val="21"/>
          <w:szCs w:val="21"/>
          <w:highlight w:val="none"/>
        </w:rPr>
      </w:pPr>
      <w:bookmarkStart w:id="942" w:name="_Toc417904303"/>
      <w:bookmarkStart w:id="943" w:name="_Toc478389218"/>
      <w:r>
        <w:rPr>
          <w:rFonts w:hint="eastAsia" w:ascii="宋体" w:hAnsi="宋体" w:cs="宋体"/>
          <w:color w:val="auto"/>
          <w:sz w:val="21"/>
          <w:szCs w:val="21"/>
          <w:highlight w:val="none"/>
        </w:rPr>
        <w:t>7.5.1 因发包人原因导致工期延误</w:t>
      </w:r>
      <w:bookmarkEnd w:id="942"/>
      <w:bookmarkEnd w:id="943"/>
    </w:p>
    <w:p w14:paraId="7C3679F1">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（7）因发包人原因导致工期延误的其他情形：</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50F11B5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w:t>
      </w:r>
      <w:bookmarkStart w:id="944" w:name="_Toc312678012"/>
      <w:bookmarkStart w:id="945" w:name="_Toc312677486"/>
      <w:bookmarkStart w:id="946" w:name="_Toc318581169"/>
      <w:bookmarkStart w:id="947" w:name="_Toc303539127"/>
      <w:bookmarkStart w:id="948" w:name="_Toc300934970"/>
      <w:bookmarkStart w:id="949" w:name="_Toc304295548"/>
      <w:bookmarkStart w:id="950" w:name="_Toc297216177"/>
      <w:bookmarkStart w:id="951" w:name="_Toc297123518"/>
      <w:r>
        <w:rPr>
          <w:rFonts w:hint="eastAsia" w:ascii="宋体" w:hAnsi="宋体" w:cs="宋体"/>
          <w:color w:val="auto"/>
          <w:sz w:val="21"/>
          <w:szCs w:val="21"/>
          <w:highlight w:val="none"/>
        </w:rPr>
        <w:t>.5.2 因承包人原因导致工期延误</w:t>
      </w:r>
    </w:p>
    <w:bookmarkEnd w:id="944"/>
    <w:bookmarkEnd w:id="945"/>
    <w:bookmarkEnd w:id="946"/>
    <w:p w14:paraId="4CB3D910">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因</w:t>
      </w:r>
      <w:bookmarkStart w:id="952" w:name="_Toc312678013"/>
      <w:bookmarkStart w:id="953" w:name="_Toc312677487"/>
      <w:bookmarkStart w:id="954" w:name="_Toc318581170"/>
      <w:r>
        <w:rPr>
          <w:rFonts w:hint="eastAsia" w:ascii="宋体" w:hAnsi="宋体" w:cs="宋体"/>
          <w:color w:val="auto"/>
          <w:sz w:val="21"/>
          <w:szCs w:val="21"/>
          <w:highlight w:val="none"/>
        </w:rPr>
        <w:t>承包人原因造成工期延误，逾期竣工违约金的计算方法为：</w:t>
      </w:r>
      <w:r>
        <w:rPr>
          <w:rFonts w:hint="eastAsia" w:ascii="宋体" w:hAnsi="宋体" w:cs="宋体"/>
          <w:color w:val="auto"/>
          <w:sz w:val="21"/>
          <w:szCs w:val="21"/>
          <w:highlight w:val="none"/>
          <w:u w:val="single"/>
        </w:rPr>
        <w:t xml:space="preserve">非上述原因，承包人不能按合同约定的时间竣工，承包人应承担违约责任。应向发包人支付误期赔偿费（每天赔偿金额为合同价款扣除建安劳保费、发包人材料价款、暂估专业工程款、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 </w:t>
      </w:r>
    </w:p>
    <w:p w14:paraId="2A9B1494">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因承包人原因造成工期延误，逾期竣工违约金的上限：</w:t>
      </w:r>
      <w:r>
        <w:rPr>
          <w:rFonts w:hint="eastAsia" w:ascii="宋体" w:hAnsi="宋体" w:cs="宋体"/>
          <w:color w:val="auto"/>
          <w:sz w:val="21"/>
          <w:szCs w:val="21"/>
          <w:highlight w:val="none"/>
          <w:u w:val="single"/>
        </w:rPr>
        <w:t>合同价扣除建安劳保费、发包人材料价款、暂估专业工程、暂列金额后的2%</w:t>
      </w:r>
      <w:r>
        <w:rPr>
          <w:rFonts w:hint="eastAsia" w:ascii="宋体" w:hAnsi="宋体" w:cs="宋体"/>
          <w:color w:val="auto"/>
          <w:sz w:val="21"/>
          <w:szCs w:val="21"/>
          <w:highlight w:val="none"/>
        </w:rPr>
        <w:t>。</w:t>
      </w:r>
      <w:bookmarkEnd w:id="947"/>
      <w:bookmarkEnd w:id="948"/>
      <w:bookmarkEnd w:id="949"/>
      <w:bookmarkEnd w:id="950"/>
      <w:bookmarkEnd w:id="951"/>
      <w:bookmarkEnd w:id="952"/>
      <w:bookmarkEnd w:id="953"/>
    </w:p>
    <w:bookmarkEnd w:id="954"/>
    <w:p w14:paraId="1A713C79">
      <w:pPr>
        <w:keepNext/>
        <w:keepLines/>
        <w:spacing w:line="410" w:lineRule="exact"/>
        <w:ind w:firstLine="0" w:firstLineChars="0"/>
        <w:outlineLvl w:val="0"/>
        <w:rPr>
          <w:rFonts w:ascii="宋体" w:hAnsi="宋体" w:cs="宋体"/>
          <w:b/>
          <w:bCs/>
          <w:color w:val="auto"/>
          <w:kern w:val="44"/>
          <w:sz w:val="21"/>
          <w:szCs w:val="21"/>
          <w:highlight w:val="none"/>
        </w:rPr>
      </w:pPr>
      <w:bookmarkStart w:id="955" w:name="_Toc417904304"/>
      <w:bookmarkStart w:id="956" w:name="_Toc478389219"/>
      <w:r>
        <w:rPr>
          <w:rFonts w:hint="eastAsia" w:ascii="宋体" w:hAnsi="宋体" w:cs="宋体"/>
          <w:b/>
          <w:bCs/>
          <w:color w:val="auto"/>
          <w:kern w:val="44"/>
          <w:sz w:val="21"/>
          <w:szCs w:val="21"/>
          <w:highlight w:val="none"/>
        </w:rPr>
        <w:t>7</w:t>
      </w:r>
      <w:bookmarkStart w:id="957" w:name="_Toc304295549"/>
      <w:bookmarkStart w:id="958" w:name="_Toc297216178"/>
      <w:bookmarkStart w:id="959" w:name="_Toc312678015"/>
      <w:bookmarkStart w:id="960" w:name="_Toc300934971"/>
      <w:bookmarkStart w:id="961" w:name="_Toc303539128"/>
      <w:bookmarkStart w:id="962" w:name="_Toc297123519"/>
      <w:r>
        <w:rPr>
          <w:rFonts w:hint="eastAsia" w:ascii="宋体" w:hAnsi="宋体" w:cs="宋体"/>
          <w:b/>
          <w:bCs/>
          <w:color w:val="auto"/>
          <w:kern w:val="44"/>
          <w:sz w:val="21"/>
          <w:szCs w:val="21"/>
          <w:highlight w:val="none"/>
        </w:rPr>
        <w:t>.6 不</w:t>
      </w:r>
      <w:bookmarkEnd w:id="957"/>
      <w:bookmarkEnd w:id="958"/>
      <w:bookmarkEnd w:id="959"/>
      <w:bookmarkEnd w:id="960"/>
      <w:bookmarkEnd w:id="961"/>
      <w:bookmarkEnd w:id="962"/>
      <w:r>
        <w:rPr>
          <w:rFonts w:hint="eastAsia" w:ascii="宋体" w:hAnsi="宋体" w:cs="宋体"/>
          <w:b/>
          <w:bCs/>
          <w:color w:val="auto"/>
          <w:kern w:val="44"/>
          <w:sz w:val="21"/>
          <w:szCs w:val="21"/>
          <w:highlight w:val="none"/>
        </w:rPr>
        <w:t>利物质条件</w:t>
      </w:r>
      <w:bookmarkEnd w:id="955"/>
      <w:bookmarkEnd w:id="956"/>
    </w:p>
    <w:p w14:paraId="0529A51C">
      <w:pPr>
        <w:spacing w:line="410" w:lineRule="exact"/>
        <w:ind w:firstLine="420"/>
        <w:rPr>
          <w:rFonts w:ascii="宋体" w:hAnsi="宋体" w:cs="宋体"/>
          <w:color w:val="auto"/>
          <w:sz w:val="21"/>
          <w:szCs w:val="21"/>
          <w:highlight w:val="none"/>
        </w:rPr>
      </w:pPr>
      <w:bookmarkStart w:id="963" w:name="_Toc318581172"/>
      <w:bookmarkStart w:id="964" w:name="_Toc303539129"/>
      <w:bookmarkStart w:id="965" w:name="_Toc297216179"/>
      <w:bookmarkStart w:id="966" w:name="_Toc300934972"/>
      <w:bookmarkStart w:id="967" w:name="_Toc297123520"/>
      <w:bookmarkStart w:id="968" w:name="_Toc312678016"/>
      <w:bookmarkStart w:id="969" w:name="_Toc304295550"/>
      <w:r>
        <w:rPr>
          <w:rFonts w:hint="eastAsia" w:ascii="宋体" w:hAnsi="宋体" w:cs="宋体"/>
          <w:color w:val="auto"/>
          <w:sz w:val="21"/>
          <w:szCs w:val="21"/>
          <w:highlight w:val="none"/>
        </w:rPr>
        <w:t>不利物质条件的其他情形和有关约定：</w:t>
      </w:r>
      <w:r>
        <w:rPr>
          <w:rFonts w:hint="eastAsia" w:ascii="宋体" w:hAnsi="宋体" w:cs="宋体"/>
          <w:color w:val="auto"/>
          <w:sz w:val="21"/>
          <w:szCs w:val="21"/>
          <w:highlight w:val="none"/>
          <w:u w:val="single"/>
        </w:rPr>
        <w:t>一周内非承包人原因，停水、停电、停气造成停工连续超过8小时；重大设计变更和工程量增加；发包人手续不全致使施工不能正常进行；发包人未能按约定时间支付工程款致使施工不能正常进行的；非承包人原因的及发包人有关的停工通知，以上不利物质条件延误工期的相应延长工期，因发包人原因给承包人造成损失的由发包人相应赔偿承包人，属环境等原因的，双方协商处理。</w:t>
      </w:r>
    </w:p>
    <w:bookmarkEnd w:id="963"/>
    <w:bookmarkEnd w:id="964"/>
    <w:bookmarkEnd w:id="965"/>
    <w:bookmarkEnd w:id="966"/>
    <w:bookmarkEnd w:id="967"/>
    <w:bookmarkEnd w:id="968"/>
    <w:bookmarkEnd w:id="969"/>
    <w:p w14:paraId="29AFCAA9">
      <w:pPr>
        <w:keepNext/>
        <w:keepLines/>
        <w:spacing w:line="410" w:lineRule="exact"/>
        <w:ind w:firstLine="0" w:firstLineChars="0"/>
        <w:outlineLvl w:val="0"/>
        <w:rPr>
          <w:rFonts w:ascii="宋体" w:hAnsi="宋体" w:cs="宋体"/>
          <w:b/>
          <w:bCs/>
          <w:color w:val="auto"/>
          <w:kern w:val="44"/>
          <w:sz w:val="21"/>
          <w:szCs w:val="21"/>
          <w:highlight w:val="none"/>
        </w:rPr>
      </w:pPr>
      <w:bookmarkStart w:id="970" w:name="_Toc417904305"/>
      <w:bookmarkStart w:id="971" w:name="_Toc478389220"/>
      <w:r>
        <w:rPr>
          <w:rFonts w:hint="eastAsia" w:ascii="宋体" w:hAnsi="宋体" w:cs="宋体"/>
          <w:b/>
          <w:bCs/>
          <w:color w:val="auto"/>
          <w:kern w:val="44"/>
          <w:sz w:val="21"/>
          <w:szCs w:val="21"/>
          <w:highlight w:val="none"/>
        </w:rPr>
        <w:t>7</w:t>
      </w:r>
      <w:bookmarkStart w:id="972" w:name="_Toc297123521"/>
      <w:bookmarkStart w:id="973" w:name="_Toc303539130"/>
      <w:bookmarkStart w:id="974" w:name="_Toc312678017"/>
      <w:bookmarkStart w:id="975" w:name="_Toc300934973"/>
      <w:bookmarkStart w:id="976" w:name="_Toc304295551"/>
      <w:bookmarkStart w:id="977" w:name="_Toc297216180"/>
      <w:r>
        <w:rPr>
          <w:rFonts w:hint="eastAsia" w:ascii="宋体" w:hAnsi="宋体" w:cs="宋体"/>
          <w:b/>
          <w:bCs/>
          <w:color w:val="auto"/>
          <w:kern w:val="44"/>
          <w:sz w:val="21"/>
          <w:szCs w:val="21"/>
          <w:highlight w:val="none"/>
        </w:rPr>
        <w:t>.7异常恶劣的气候条件</w:t>
      </w:r>
      <w:bookmarkEnd w:id="970"/>
      <w:bookmarkEnd w:id="971"/>
    </w:p>
    <w:bookmarkEnd w:id="972"/>
    <w:bookmarkEnd w:id="973"/>
    <w:bookmarkEnd w:id="974"/>
    <w:bookmarkEnd w:id="975"/>
    <w:bookmarkEnd w:id="976"/>
    <w:bookmarkEnd w:id="977"/>
    <w:p w14:paraId="57FE84AB">
      <w:pPr>
        <w:spacing w:line="430" w:lineRule="exact"/>
        <w:ind w:firstLine="420"/>
        <w:rPr>
          <w:rFonts w:ascii="宋体" w:hAnsi="宋体" w:cs="宋体"/>
          <w:color w:val="auto"/>
          <w:sz w:val="21"/>
          <w:szCs w:val="21"/>
          <w:highlight w:val="none"/>
          <w:u w:val="single"/>
          <w:lang w:val="zh-CN"/>
        </w:rPr>
      </w:pPr>
      <w:r>
        <w:rPr>
          <w:rFonts w:hint="eastAsia" w:ascii="宋体" w:hAnsi="宋体" w:cs="宋体"/>
          <w:color w:val="auto"/>
          <w:sz w:val="21"/>
          <w:szCs w:val="21"/>
          <w:highlight w:val="none"/>
        </w:rPr>
        <w:t>发包人和承包人同意以下情形视为异常恶劣的气候条件：</w:t>
      </w:r>
      <w:r>
        <w:rPr>
          <w:rFonts w:hint="eastAsia" w:ascii="宋体" w:hAnsi="宋体" w:cs="宋体"/>
          <w:color w:val="auto"/>
          <w:sz w:val="21"/>
          <w:szCs w:val="21"/>
          <w:highlight w:val="none"/>
          <w:u w:val="single"/>
          <w:lang w:val="zh-CN"/>
        </w:rPr>
        <w:t>（1）10级及以上持续1天的大风；（2）暴雨及以上持续1天的大雨天；（3）50年及以上未发生过，持续2天的高温天气；（4）50年及以上未发生过，持续2天的低温天气  。</w:t>
      </w:r>
    </w:p>
    <w:p w14:paraId="5A3474B4">
      <w:pPr>
        <w:keepNext/>
        <w:keepLines/>
        <w:spacing w:line="430" w:lineRule="exact"/>
        <w:ind w:firstLine="0" w:firstLineChars="0"/>
        <w:outlineLvl w:val="0"/>
        <w:rPr>
          <w:rFonts w:ascii="宋体" w:hAnsi="宋体" w:cs="宋体"/>
          <w:b/>
          <w:bCs/>
          <w:color w:val="auto"/>
          <w:kern w:val="44"/>
          <w:sz w:val="21"/>
          <w:szCs w:val="21"/>
          <w:highlight w:val="none"/>
        </w:rPr>
      </w:pPr>
      <w:bookmarkStart w:id="978" w:name="_Toc478389221"/>
      <w:bookmarkStart w:id="979" w:name="_Toc417904306"/>
      <w:r>
        <w:rPr>
          <w:rFonts w:hint="eastAsia" w:ascii="宋体" w:hAnsi="宋体" w:cs="宋体"/>
          <w:b/>
          <w:bCs/>
          <w:color w:val="auto"/>
          <w:kern w:val="44"/>
          <w:sz w:val="21"/>
          <w:szCs w:val="21"/>
          <w:highlight w:val="none"/>
        </w:rPr>
        <w:t>7.9 提前竣工的奖励</w:t>
      </w:r>
      <w:bookmarkEnd w:id="978"/>
      <w:bookmarkEnd w:id="979"/>
    </w:p>
    <w:p w14:paraId="296DFC67">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7.9.2提前竣工的奖励：</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B78BB2E">
      <w:pPr>
        <w:keepNext/>
        <w:keepLines/>
        <w:spacing w:line="430" w:lineRule="exact"/>
        <w:ind w:firstLine="0" w:firstLineChars="0"/>
        <w:outlineLvl w:val="0"/>
        <w:rPr>
          <w:rFonts w:ascii="宋体" w:hAnsi="宋体" w:cs="宋体"/>
          <w:b/>
          <w:bCs/>
          <w:color w:val="auto"/>
          <w:kern w:val="44"/>
          <w:sz w:val="21"/>
          <w:szCs w:val="21"/>
          <w:highlight w:val="none"/>
        </w:rPr>
      </w:pPr>
      <w:bookmarkStart w:id="980" w:name="_Toc478389222"/>
      <w:bookmarkStart w:id="981" w:name="_Toc351203640"/>
      <w:bookmarkStart w:id="982" w:name="_Toc417904307"/>
      <w:r>
        <w:rPr>
          <w:rFonts w:hint="eastAsia" w:ascii="宋体" w:hAnsi="宋体" w:cs="宋体"/>
          <w:b/>
          <w:bCs/>
          <w:color w:val="auto"/>
          <w:kern w:val="44"/>
          <w:sz w:val="21"/>
          <w:szCs w:val="21"/>
          <w:highlight w:val="none"/>
        </w:rPr>
        <w:t>8. 材料与设备</w:t>
      </w:r>
      <w:bookmarkEnd w:id="980"/>
      <w:bookmarkEnd w:id="981"/>
      <w:bookmarkEnd w:id="982"/>
    </w:p>
    <w:bookmarkEnd w:id="884"/>
    <w:bookmarkEnd w:id="885"/>
    <w:bookmarkEnd w:id="886"/>
    <w:bookmarkEnd w:id="887"/>
    <w:bookmarkEnd w:id="888"/>
    <w:bookmarkEnd w:id="889"/>
    <w:bookmarkEnd w:id="890"/>
    <w:bookmarkEnd w:id="891"/>
    <w:bookmarkEnd w:id="892"/>
    <w:bookmarkEnd w:id="893"/>
    <w:p w14:paraId="61B1C3A7">
      <w:pPr>
        <w:keepNext/>
        <w:keepLines/>
        <w:spacing w:line="430" w:lineRule="exact"/>
        <w:ind w:firstLine="0" w:firstLineChars="0"/>
        <w:outlineLvl w:val="0"/>
        <w:rPr>
          <w:rFonts w:ascii="宋体" w:hAnsi="宋体" w:cs="宋体"/>
          <w:b/>
          <w:bCs/>
          <w:color w:val="auto"/>
          <w:kern w:val="44"/>
          <w:sz w:val="21"/>
          <w:szCs w:val="21"/>
          <w:highlight w:val="none"/>
        </w:rPr>
      </w:pPr>
      <w:bookmarkStart w:id="983" w:name="_Toc478389223"/>
      <w:bookmarkStart w:id="984" w:name="_Toc417904308"/>
      <w:r>
        <w:rPr>
          <w:rFonts w:hint="eastAsia" w:ascii="宋体" w:hAnsi="宋体" w:cs="宋体"/>
          <w:b/>
          <w:bCs/>
          <w:color w:val="auto"/>
          <w:kern w:val="44"/>
          <w:sz w:val="21"/>
          <w:szCs w:val="21"/>
          <w:highlight w:val="none"/>
        </w:rPr>
        <w:t>8</w:t>
      </w:r>
      <w:bookmarkStart w:id="985" w:name="_Toc296503167"/>
      <w:bookmarkStart w:id="986" w:name="_Toc297123527"/>
      <w:bookmarkStart w:id="987" w:name="_Toc296346668"/>
      <w:bookmarkStart w:id="988" w:name="_Toc296891207"/>
      <w:bookmarkStart w:id="989" w:name="_Toc297120467"/>
      <w:bookmarkStart w:id="990" w:name="_Toc312678019"/>
      <w:bookmarkStart w:id="991" w:name="_Toc280868654"/>
      <w:bookmarkStart w:id="992" w:name="_Toc292559877"/>
      <w:bookmarkStart w:id="993" w:name="_Toc300934979"/>
      <w:bookmarkStart w:id="994" w:name="_Toc296944506"/>
      <w:bookmarkStart w:id="995" w:name="_Toc297216186"/>
      <w:bookmarkStart w:id="996" w:name="_Toc296347166"/>
      <w:bookmarkStart w:id="997" w:name="_Toc296890995"/>
      <w:bookmarkStart w:id="998" w:name="_Toc312677493"/>
      <w:bookmarkStart w:id="999" w:name="_Toc303539136"/>
      <w:bookmarkStart w:id="1000" w:name="_Toc297048353"/>
      <w:bookmarkStart w:id="1001" w:name="_Toc292559372"/>
      <w:bookmarkStart w:id="1002" w:name="_Toc304295556"/>
      <w:bookmarkStart w:id="1003" w:name="_Toc267251424"/>
      <w:bookmarkStart w:id="1004" w:name="_Toc280868655"/>
      <w:bookmarkStart w:id="1005" w:name="_Toc280868656"/>
      <w:r>
        <w:rPr>
          <w:rFonts w:hint="eastAsia" w:ascii="宋体" w:hAnsi="宋体" w:cs="宋体"/>
          <w:b/>
          <w:bCs/>
          <w:color w:val="auto"/>
          <w:kern w:val="44"/>
          <w:sz w:val="21"/>
          <w:szCs w:val="21"/>
          <w:highlight w:val="none"/>
        </w:rPr>
        <w:t>.4材料与工程设备的保管与使用</w:t>
      </w:r>
      <w:bookmarkEnd w:id="983"/>
      <w:bookmarkEnd w:id="984"/>
    </w:p>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14:paraId="7BABC5E4">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w:t>
      </w:r>
      <w:bookmarkStart w:id="1006" w:name="_Toc292559878"/>
      <w:bookmarkStart w:id="1007" w:name="_Toc292559373"/>
      <w:bookmarkStart w:id="1008" w:name="_Toc296347167"/>
      <w:bookmarkStart w:id="1009" w:name="_Toc304295557"/>
      <w:bookmarkStart w:id="1010" w:name="_Toc296891208"/>
      <w:bookmarkStart w:id="1011" w:name="_Toc297048354"/>
      <w:bookmarkStart w:id="1012" w:name="_Toc297123528"/>
      <w:bookmarkStart w:id="1013" w:name="_Toc296944507"/>
      <w:bookmarkStart w:id="1014" w:name="_Toc312677494"/>
      <w:bookmarkStart w:id="1015" w:name="_Toc296346669"/>
      <w:bookmarkStart w:id="1016" w:name="_Toc296503168"/>
      <w:bookmarkStart w:id="1017" w:name="_Toc297216187"/>
      <w:bookmarkStart w:id="1018" w:name="_Toc312678020"/>
      <w:bookmarkStart w:id="1019" w:name="_Toc297120468"/>
      <w:bookmarkStart w:id="1020" w:name="_Toc318581173"/>
      <w:bookmarkStart w:id="1021" w:name="_Toc303539137"/>
      <w:bookmarkStart w:id="1022" w:name="_Toc296890996"/>
      <w:bookmarkStart w:id="1023" w:name="_Toc300934980"/>
      <w:r>
        <w:rPr>
          <w:rFonts w:hint="eastAsia" w:ascii="宋体" w:hAnsi="宋体" w:cs="宋体"/>
          <w:color w:val="auto"/>
          <w:sz w:val="21"/>
          <w:szCs w:val="21"/>
          <w:highlight w:val="none"/>
        </w:rPr>
        <w:t>.4.1发包人供应的材料设备的保管费用的承担：</w:t>
      </w:r>
      <w:r>
        <w:rPr>
          <w:rFonts w:hint="eastAsia" w:ascii="宋体" w:hAnsi="宋体" w:cs="宋体"/>
          <w:color w:val="auto"/>
          <w:sz w:val="21"/>
          <w:szCs w:val="21"/>
          <w:highlight w:val="none"/>
          <w:u w:val="single"/>
        </w:rPr>
        <w:t xml:space="preserve">承包人承担 </w:t>
      </w:r>
      <w:r>
        <w:rPr>
          <w:rFonts w:hint="eastAsia" w:ascii="宋体" w:hAnsi="宋体" w:cs="宋体"/>
          <w:color w:val="auto"/>
          <w:sz w:val="21"/>
          <w:szCs w:val="21"/>
          <w:highlight w:val="none"/>
        </w:rPr>
        <w:t>。</w:t>
      </w:r>
      <w:bookmarkEnd w:id="1006"/>
      <w:bookmarkEnd w:id="1007"/>
    </w:p>
    <w:p w14:paraId="07D3AF12">
      <w:pPr>
        <w:autoSpaceDE w:val="0"/>
        <w:autoSpaceDN w:val="0"/>
        <w:adjustRightInd w:val="0"/>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8.6.1 样品的报送与封存</w:t>
      </w:r>
    </w:p>
    <w:p w14:paraId="5EF0071A">
      <w:pPr>
        <w:autoSpaceDE w:val="0"/>
        <w:autoSpaceDN w:val="0"/>
        <w:adjustRightInd w:val="0"/>
        <w:ind w:firstLine="420"/>
        <w:jc w:val="left"/>
        <w:rPr>
          <w:rFonts w:ascii="宋体" w:hAnsi="宋体" w:cs="宋体"/>
          <w:color w:val="auto"/>
          <w:sz w:val="21"/>
          <w:szCs w:val="21"/>
          <w:highlight w:val="none"/>
          <w:u w:val="single"/>
        </w:rPr>
      </w:pPr>
      <w:r>
        <w:rPr>
          <w:rFonts w:hint="eastAsia" w:ascii="宋体" w:hAnsi="宋体" w:cs="宋体"/>
          <w:color w:val="auto"/>
          <w:kern w:val="0"/>
          <w:sz w:val="21"/>
          <w:szCs w:val="21"/>
          <w:highlight w:val="none"/>
        </w:rPr>
        <w:t>需要承包人报送样品的材料或工程设备，样品的种类、名称、规格、数量要求：</w:t>
      </w:r>
      <w:r>
        <w:rPr>
          <w:rFonts w:hint="eastAsia" w:ascii="宋体" w:hAnsi="宋体" w:cs="宋体"/>
          <w:color w:val="auto"/>
          <w:sz w:val="21"/>
          <w:szCs w:val="21"/>
          <w:highlight w:val="none"/>
          <w:u w:val="single"/>
        </w:rPr>
        <w:t>主要材料涉及品种、款式、颜色等方面内容的，承包人应提交准备合格的材料样品送发包人选定。</w:t>
      </w:r>
    </w:p>
    <w:p w14:paraId="394D47D0">
      <w:pPr>
        <w:keepNext/>
        <w:keepLines/>
        <w:spacing w:line="430" w:lineRule="exact"/>
        <w:ind w:firstLine="0" w:firstLineChars="0"/>
        <w:outlineLvl w:val="0"/>
        <w:rPr>
          <w:rFonts w:ascii="宋体" w:hAnsi="宋体" w:cs="宋体"/>
          <w:b/>
          <w:bCs/>
          <w:color w:val="auto"/>
          <w:kern w:val="44"/>
          <w:sz w:val="21"/>
          <w:szCs w:val="21"/>
          <w:highlight w:val="none"/>
        </w:rPr>
      </w:pPr>
      <w:bookmarkStart w:id="1024" w:name="_Toc478389224"/>
      <w:bookmarkStart w:id="1025" w:name="_Toc395382536"/>
      <w:bookmarkStart w:id="1026" w:name="_Toc389065300"/>
      <w:bookmarkStart w:id="1027" w:name="_Toc373478381"/>
      <w:bookmarkStart w:id="1028" w:name="_Toc373227734"/>
      <w:r>
        <w:rPr>
          <w:rFonts w:hint="eastAsia" w:ascii="宋体" w:hAnsi="宋体" w:cs="宋体"/>
          <w:b/>
          <w:bCs/>
          <w:color w:val="auto"/>
          <w:kern w:val="44"/>
          <w:sz w:val="21"/>
          <w:szCs w:val="21"/>
          <w:highlight w:val="none"/>
        </w:rPr>
        <w:t>8.6 样品</w:t>
      </w:r>
      <w:bookmarkEnd w:id="1024"/>
      <w:bookmarkEnd w:id="1025"/>
      <w:bookmarkEnd w:id="1026"/>
      <w:bookmarkEnd w:id="1027"/>
      <w:bookmarkEnd w:id="1028"/>
    </w:p>
    <w:p w14:paraId="64C8C875">
      <w:pPr>
        <w:autoSpaceDE w:val="0"/>
        <w:autoSpaceDN w:val="0"/>
        <w:adjustRightInd w:val="0"/>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8.6.1 样品的报送与封存</w:t>
      </w:r>
    </w:p>
    <w:p w14:paraId="05BF1ECD">
      <w:pPr>
        <w:spacing w:line="43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需要承包人报送样品的材料或工程设备，样品的种类、名称、规格、数量要求：</w:t>
      </w:r>
      <w:r>
        <w:rPr>
          <w:rFonts w:hint="eastAsia" w:ascii="宋体" w:hAnsi="宋体" w:cs="宋体"/>
          <w:color w:val="auto"/>
          <w:sz w:val="21"/>
          <w:szCs w:val="21"/>
          <w:highlight w:val="none"/>
          <w:u w:val="single"/>
        </w:rPr>
        <w:t>主要材料涉及品种、款式、颜色等方面内容的，承包人应提交准备合格的材料样品送发包人选定。</w:t>
      </w:r>
    </w:p>
    <w:p w14:paraId="100D6056">
      <w:pPr>
        <w:keepNext/>
        <w:keepLines/>
        <w:spacing w:line="430" w:lineRule="exact"/>
        <w:ind w:firstLine="0" w:firstLineChars="0"/>
        <w:outlineLvl w:val="0"/>
        <w:rPr>
          <w:rFonts w:ascii="宋体" w:hAnsi="宋体" w:cs="宋体"/>
          <w:b/>
          <w:bCs/>
          <w:color w:val="auto"/>
          <w:kern w:val="44"/>
          <w:sz w:val="21"/>
          <w:szCs w:val="21"/>
          <w:highlight w:val="none"/>
        </w:rPr>
      </w:pPr>
      <w:bookmarkStart w:id="1029" w:name="_Toc478389225"/>
      <w:bookmarkStart w:id="1030" w:name="_Toc417904310"/>
      <w:r>
        <w:rPr>
          <w:rFonts w:hint="eastAsia" w:ascii="宋体" w:hAnsi="宋体" w:cs="宋体"/>
          <w:b/>
          <w:bCs/>
          <w:color w:val="auto"/>
          <w:kern w:val="44"/>
          <w:sz w:val="21"/>
          <w:szCs w:val="21"/>
          <w:highlight w:val="none"/>
        </w:rPr>
        <w:t>8.8 施工设备和临时设施</w:t>
      </w:r>
      <w:bookmarkEnd w:id="1029"/>
      <w:bookmarkEnd w:id="1030"/>
    </w:p>
    <w:p w14:paraId="6C35901E">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8.8.1 承包人提供的施工设备和临时设施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6。</w:t>
      </w:r>
    </w:p>
    <w:p w14:paraId="5DE6B6AC">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关于修建临时设施费用承担的约定： </w:t>
      </w:r>
    </w:p>
    <w:p w14:paraId="76FAD459">
      <w:pPr>
        <w:spacing w:line="43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①承包人的临时用地（含项目部驻地等）租用费（含拆迁补偿）、临时用地的环保、恢复、临时用地的青苗补偿及地面附着物拆除等费用均由承包人负责，以上费用在磋商报价中综合考虑。</w:t>
      </w:r>
    </w:p>
    <w:p w14:paraId="0FB161CE">
      <w:pPr>
        <w:spacing w:line="43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②承包人负责合同实施期间其合同段内临时交通道路（含场内外连接公共交通道路）和交通设施的修建、维修、养护和交通管理工作，并承担一切费用。</w:t>
      </w:r>
    </w:p>
    <w:p w14:paraId="2301DEE6">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19D0E6D6">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8.8.2 发包人提供的施工设备和临时设施</w:t>
      </w:r>
    </w:p>
    <w:p w14:paraId="7E346BF1">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发包人提供的施工设备和临时设施：</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3C1DF257">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发包人提供的施工设备和临时设施的运行、维护、拆除、清运费用的承担人：</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14:paraId="63E6BBC2">
      <w:pPr>
        <w:keepNext/>
        <w:keepLines/>
        <w:spacing w:line="430" w:lineRule="exact"/>
        <w:ind w:firstLine="0" w:firstLineChars="0"/>
        <w:outlineLvl w:val="0"/>
        <w:rPr>
          <w:rFonts w:ascii="宋体" w:hAnsi="宋体" w:cs="宋体"/>
          <w:b/>
          <w:bCs/>
          <w:color w:val="auto"/>
          <w:kern w:val="44"/>
          <w:sz w:val="21"/>
          <w:szCs w:val="21"/>
          <w:highlight w:val="none"/>
        </w:rPr>
      </w:pPr>
      <w:bookmarkStart w:id="1031" w:name="_Toc417904311"/>
      <w:bookmarkStart w:id="1032" w:name="_Toc478389226"/>
      <w:bookmarkStart w:id="1033" w:name="_Toc351203641"/>
      <w:r>
        <w:rPr>
          <w:rFonts w:hint="eastAsia" w:ascii="宋体" w:hAnsi="宋体" w:cs="宋体"/>
          <w:b/>
          <w:bCs/>
          <w:color w:val="auto"/>
          <w:kern w:val="44"/>
          <w:sz w:val="21"/>
          <w:szCs w:val="21"/>
          <w:highlight w:val="none"/>
        </w:rPr>
        <w:t>9</w:t>
      </w:r>
      <w:bookmarkEnd w:id="1003"/>
      <w:bookmarkEnd w:id="1004"/>
      <w:bookmarkEnd w:id="1005"/>
      <w:bookmarkStart w:id="1034" w:name="_Toc300934982"/>
      <w:bookmarkStart w:id="1035" w:name="_Toc304295559"/>
      <w:bookmarkStart w:id="1036" w:name="_Toc297216192"/>
      <w:bookmarkStart w:id="1037" w:name="_Toc312677495"/>
      <w:bookmarkStart w:id="1038" w:name="_Toc297123533"/>
      <w:bookmarkStart w:id="1039" w:name="_Toc312678021"/>
      <w:bookmarkStart w:id="1040" w:name="_Toc303539139"/>
      <w:bookmarkStart w:id="1041" w:name="_Toc292559883"/>
      <w:bookmarkStart w:id="1042" w:name="_Toc297048359"/>
      <w:bookmarkStart w:id="1043" w:name="_Toc296503173"/>
      <w:bookmarkStart w:id="1044" w:name="_Toc296346674"/>
      <w:bookmarkStart w:id="1045" w:name="_Toc297120473"/>
      <w:bookmarkStart w:id="1046" w:name="_Toc296891001"/>
      <w:bookmarkStart w:id="1047" w:name="_Toc267251427"/>
      <w:bookmarkStart w:id="1048" w:name="_Toc292559378"/>
      <w:bookmarkStart w:id="1049" w:name="_Toc296891213"/>
      <w:bookmarkStart w:id="1050" w:name="_Toc296944512"/>
      <w:bookmarkStart w:id="1051" w:name="_Toc267251428"/>
      <w:bookmarkStart w:id="1052" w:name="_Toc296347172"/>
      <w:r>
        <w:rPr>
          <w:rFonts w:hint="eastAsia" w:ascii="宋体" w:hAnsi="宋体" w:cs="宋体"/>
          <w:b/>
          <w:bCs/>
          <w:color w:val="auto"/>
          <w:kern w:val="44"/>
          <w:sz w:val="21"/>
          <w:szCs w:val="21"/>
          <w:highlight w:val="none"/>
        </w:rPr>
        <w:t>. 试验与检验</w:t>
      </w:r>
      <w:bookmarkEnd w:id="1031"/>
      <w:bookmarkEnd w:id="1032"/>
      <w:bookmarkEnd w:id="1033"/>
    </w:p>
    <w:bookmarkEnd w:id="1034"/>
    <w:bookmarkEnd w:id="1035"/>
    <w:bookmarkEnd w:id="1036"/>
    <w:bookmarkEnd w:id="1037"/>
    <w:bookmarkEnd w:id="1038"/>
    <w:bookmarkEnd w:id="1039"/>
    <w:bookmarkEnd w:id="1040"/>
    <w:p w14:paraId="25BDFE9C">
      <w:pPr>
        <w:keepNext/>
        <w:keepLines/>
        <w:spacing w:line="420" w:lineRule="exact"/>
        <w:ind w:firstLine="0" w:firstLineChars="0"/>
        <w:outlineLvl w:val="0"/>
        <w:rPr>
          <w:rFonts w:ascii="宋体" w:hAnsi="宋体" w:cs="宋体"/>
          <w:b/>
          <w:bCs/>
          <w:color w:val="auto"/>
          <w:kern w:val="44"/>
          <w:sz w:val="21"/>
          <w:szCs w:val="21"/>
          <w:highlight w:val="none"/>
        </w:rPr>
      </w:pPr>
      <w:bookmarkStart w:id="1053" w:name="_Toc478389227"/>
      <w:bookmarkStart w:id="1054" w:name="_Toc417904312"/>
      <w:r>
        <w:rPr>
          <w:rFonts w:hint="eastAsia" w:ascii="宋体" w:hAnsi="宋体" w:cs="宋体"/>
          <w:b/>
          <w:bCs/>
          <w:color w:val="auto"/>
          <w:kern w:val="44"/>
          <w:sz w:val="21"/>
          <w:szCs w:val="21"/>
          <w:highlight w:val="none"/>
        </w:rPr>
        <w:t>9</w:t>
      </w:r>
      <w:bookmarkStart w:id="1055" w:name="_Toc303539140"/>
      <w:bookmarkStart w:id="1056" w:name="_Toc297123534"/>
      <w:bookmarkStart w:id="1057" w:name="_Toc300934983"/>
      <w:bookmarkStart w:id="1058" w:name="_Toc304295560"/>
      <w:bookmarkStart w:id="1059" w:name="_Toc312677496"/>
      <w:bookmarkStart w:id="1060" w:name="_Toc297216193"/>
      <w:bookmarkStart w:id="1061" w:name="_Toc312678022"/>
      <w:r>
        <w:rPr>
          <w:rFonts w:hint="eastAsia" w:ascii="宋体" w:hAnsi="宋体" w:cs="宋体"/>
          <w:b/>
          <w:bCs/>
          <w:color w:val="auto"/>
          <w:kern w:val="44"/>
          <w:sz w:val="21"/>
          <w:szCs w:val="21"/>
          <w:highlight w:val="none"/>
        </w:rPr>
        <w:t>.1试验设备与试验人员</w:t>
      </w:r>
      <w:bookmarkEnd w:id="1053"/>
      <w:bookmarkEnd w:id="1054"/>
    </w:p>
    <w:bookmarkEnd w:id="1055"/>
    <w:bookmarkEnd w:id="1056"/>
    <w:bookmarkEnd w:id="1057"/>
    <w:bookmarkEnd w:id="1058"/>
    <w:bookmarkEnd w:id="1059"/>
    <w:bookmarkEnd w:id="1060"/>
    <w:bookmarkEnd w:id="1061"/>
    <w:p w14:paraId="04DD67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w:t>
      </w:r>
      <w:bookmarkStart w:id="1062" w:name="_Toc297123535"/>
      <w:bookmarkStart w:id="1063" w:name="_Toc312678023"/>
      <w:bookmarkStart w:id="1064" w:name="_Toc297216194"/>
      <w:bookmarkStart w:id="1065" w:name="_Toc312677497"/>
      <w:bookmarkStart w:id="1066" w:name="_Toc300934984"/>
      <w:bookmarkStart w:id="1067" w:name="_Toc304295561"/>
      <w:bookmarkStart w:id="1068" w:name="_Toc303539141"/>
      <w:bookmarkStart w:id="1069" w:name="_Toc318581174"/>
      <w:r>
        <w:rPr>
          <w:rFonts w:hint="eastAsia" w:ascii="宋体" w:hAnsi="宋体" w:cs="宋体"/>
          <w:color w:val="auto"/>
          <w:sz w:val="21"/>
          <w:szCs w:val="21"/>
          <w:highlight w:val="none"/>
        </w:rPr>
        <w:t>.1.2 试验设备</w:t>
      </w:r>
    </w:p>
    <w:p w14:paraId="3CCC5E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施工现场需要配置的试验场所：</w:t>
      </w:r>
      <w:bookmarkEnd w:id="1062"/>
      <w:bookmarkEnd w:id="1063"/>
      <w:bookmarkEnd w:id="1064"/>
      <w:bookmarkEnd w:id="1065"/>
      <w:bookmarkEnd w:id="1066"/>
      <w:bookmarkEnd w:id="1067"/>
      <w:bookmarkEnd w:id="1068"/>
      <w:bookmarkStart w:id="1070" w:name="_Toc297123536"/>
      <w:bookmarkStart w:id="1071" w:name="_Toc303539142"/>
      <w:bookmarkStart w:id="1072" w:name="_Toc312678024"/>
      <w:bookmarkStart w:id="1073" w:name="_Toc304295562"/>
      <w:bookmarkStart w:id="1074" w:name="_Toc312677498"/>
      <w:bookmarkStart w:id="1075" w:name="_Toc297216195"/>
      <w:bookmarkStart w:id="1076" w:name="_Toc300934985"/>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 xml:space="preserve">。 </w:t>
      </w:r>
    </w:p>
    <w:p w14:paraId="07645B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施工现场需要配备的试验设备：</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p w14:paraId="301E31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施工现场需要具备的其他试验条件：</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p w14:paraId="116293EE">
      <w:pPr>
        <w:keepNext/>
        <w:keepLines/>
        <w:spacing w:line="420" w:lineRule="exact"/>
        <w:ind w:firstLine="0" w:firstLineChars="0"/>
        <w:outlineLvl w:val="0"/>
        <w:rPr>
          <w:rFonts w:ascii="宋体" w:hAnsi="宋体" w:cs="宋体"/>
          <w:b/>
          <w:bCs/>
          <w:color w:val="auto"/>
          <w:kern w:val="44"/>
          <w:sz w:val="21"/>
          <w:szCs w:val="21"/>
          <w:highlight w:val="none"/>
        </w:rPr>
      </w:pPr>
      <w:bookmarkStart w:id="1077" w:name="_Toc417904313"/>
      <w:bookmarkStart w:id="1078" w:name="_Toc478389228"/>
      <w:r>
        <w:rPr>
          <w:rFonts w:hint="eastAsia" w:ascii="宋体" w:hAnsi="宋体" w:cs="宋体"/>
          <w:b/>
          <w:bCs/>
          <w:color w:val="auto"/>
          <w:kern w:val="44"/>
          <w:sz w:val="21"/>
          <w:szCs w:val="21"/>
          <w:highlight w:val="none"/>
        </w:rPr>
        <w:t>9.4 现场工艺试验</w:t>
      </w:r>
      <w:bookmarkEnd w:id="1077"/>
      <w:bookmarkEnd w:id="1078"/>
    </w:p>
    <w:p w14:paraId="0DD1CB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现场工艺试验的有关约定：</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bookmarkEnd w:id="1069"/>
    <w:bookmarkEnd w:id="1070"/>
    <w:bookmarkEnd w:id="1071"/>
    <w:bookmarkEnd w:id="1072"/>
    <w:bookmarkEnd w:id="1073"/>
    <w:bookmarkEnd w:id="1074"/>
    <w:bookmarkEnd w:id="1075"/>
    <w:bookmarkEnd w:id="1076"/>
    <w:p w14:paraId="448850D5">
      <w:pPr>
        <w:keepNext/>
        <w:keepLines/>
        <w:spacing w:line="420" w:lineRule="exact"/>
        <w:ind w:firstLine="0" w:firstLineChars="0"/>
        <w:outlineLvl w:val="0"/>
        <w:rPr>
          <w:rFonts w:ascii="宋体" w:hAnsi="宋体" w:cs="宋体"/>
          <w:b/>
          <w:bCs/>
          <w:color w:val="auto"/>
          <w:kern w:val="44"/>
          <w:sz w:val="21"/>
          <w:szCs w:val="21"/>
          <w:highlight w:val="none"/>
        </w:rPr>
      </w:pPr>
      <w:bookmarkStart w:id="1079" w:name="_Toc478389230"/>
      <w:bookmarkStart w:id="1080" w:name="_Toc417904315"/>
      <w:bookmarkStart w:id="1081" w:name="_Toc351203642"/>
      <w:r>
        <w:rPr>
          <w:rFonts w:hint="eastAsia" w:ascii="宋体" w:hAnsi="宋体" w:cs="宋体"/>
          <w:b/>
          <w:bCs/>
          <w:color w:val="auto"/>
          <w:kern w:val="44"/>
          <w:sz w:val="21"/>
          <w:szCs w:val="21"/>
          <w:highlight w:val="none"/>
        </w:rPr>
        <w:t>1</w:t>
      </w:r>
      <w:bookmarkEnd w:id="1041"/>
      <w:bookmarkEnd w:id="1042"/>
      <w:bookmarkEnd w:id="1043"/>
      <w:bookmarkEnd w:id="1044"/>
      <w:bookmarkEnd w:id="1045"/>
      <w:bookmarkEnd w:id="1046"/>
      <w:bookmarkEnd w:id="1047"/>
      <w:bookmarkEnd w:id="1048"/>
      <w:bookmarkEnd w:id="1049"/>
      <w:bookmarkEnd w:id="1050"/>
      <w:bookmarkEnd w:id="1051"/>
      <w:bookmarkEnd w:id="1052"/>
      <w:bookmarkStart w:id="1082" w:name="_Toc296346694"/>
      <w:bookmarkStart w:id="1083" w:name="_Toc303539146"/>
      <w:bookmarkStart w:id="1084" w:name="_Toc292559398"/>
      <w:bookmarkStart w:id="1085" w:name="_Toc296503193"/>
      <w:bookmarkStart w:id="1086" w:name="_Toc296347192"/>
      <w:bookmarkStart w:id="1087" w:name="_Toc297123540"/>
      <w:bookmarkStart w:id="1088" w:name="_Toc292559903"/>
      <w:bookmarkStart w:id="1089" w:name="_Toc296891233"/>
      <w:bookmarkStart w:id="1090" w:name="_Toc297048379"/>
      <w:bookmarkStart w:id="1091" w:name="_Toc300934989"/>
      <w:bookmarkStart w:id="1092" w:name="_Toc304295566"/>
      <w:bookmarkStart w:id="1093" w:name="_Toc296891021"/>
      <w:bookmarkStart w:id="1094" w:name="_Toc296944532"/>
      <w:bookmarkStart w:id="1095" w:name="_Toc297120493"/>
      <w:bookmarkStart w:id="1096" w:name="_Toc297216199"/>
      <w:bookmarkStart w:id="1097" w:name="_Toc312678025"/>
      <w:bookmarkStart w:id="1098" w:name="_Toc312677499"/>
      <w:bookmarkStart w:id="1099" w:name="_Toc267251439"/>
      <w:bookmarkStart w:id="1100" w:name="_Toc267251433"/>
      <w:bookmarkStart w:id="1101" w:name="_Toc267251441"/>
      <w:bookmarkStart w:id="1102" w:name="_Toc267251440"/>
      <w:bookmarkStart w:id="1103" w:name="_Toc267251435"/>
      <w:bookmarkStart w:id="1104" w:name="_Toc267251437"/>
      <w:bookmarkStart w:id="1105" w:name="_Toc267251442"/>
      <w:r>
        <w:rPr>
          <w:rFonts w:hint="eastAsia" w:ascii="宋体" w:hAnsi="宋体" w:cs="宋体"/>
          <w:b/>
          <w:bCs/>
          <w:color w:val="auto"/>
          <w:kern w:val="44"/>
          <w:sz w:val="21"/>
          <w:szCs w:val="21"/>
          <w:highlight w:val="none"/>
        </w:rPr>
        <w:t>0. 变更</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bookmarkEnd w:id="1097"/>
    <w:bookmarkEnd w:id="1098"/>
    <w:p w14:paraId="3C91D525">
      <w:pPr>
        <w:keepNext/>
        <w:keepLines/>
        <w:spacing w:line="420" w:lineRule="exact"/>
        <w:ind w:firstLine="0" w:firstLineChars="0"/>
        <w:outlineLvl w:val="0"/>
        <w:rPr>
          <w:rFonts w:ascii="宋体" w:hAnsi="宋体" w:cs="宋体"/>
          <w:b/>
          <w:bCs/>
          <w:color w:val="auto"/>
          <w:kern w:val="44"/>
          <w:sz w:val="21"/>
          <w:szCs w:val="21"/>
          <w:highlight w:val="none"/>
        </w:rPr>
      </w:pPr>
      <w:bookmarkStart w:id="1106" w:name="_Toc417904316"/>
      <w:bookmarkStart w:id="1107" w:name="_Toc478389231"/>
      <w:r>
        <w:rPr>
          <w:rFonts w:hint="eastAsia" w:ascii="宋体" w:hAnsi="宋体" w:cs="宋体"/>
          <w:b/>
          <w:bCs/>
          <w:color w:val="auto"/>
          <w:kern w:val="44"/>
          <w:sz w:val="21"/>
          <w:szCs w:val="21"/>
          <w:highlight w:val="none"/>
        </w:rPr>
        <w:t>1</w:t>
      </w:r>
      <w:bookmarkStart w:id="1108" w:name="_Toc297123541"/>
      <w:bookmarkStart w:id="1109" w:name="_Toc312677500"/>
      <w:bookmarkStart w:id="1110" w:name="_Toc304295567"/>
      <w:bookmarkStart w:id="1111" w:name="_Toc296347193"/>
      <w:bookmarkStart w:id="1112" w:name="_Toc312678026"/>
      <w:bookmarkStart w:id="1113" w:name="_Toc292559904"/>
      <w:bookmarkStart w:id="1114" w:name="_Toc297048380"/>
      <w:bookmarkStart w:id="1115" w:name="_Toc292559399"/>
      <w:bookmarkStart w:id="1116" w:name="_Toc296891234"/>
      <w:bookmarkStart w:id="1117" w:name="_Toc296503194"/>
      <w:bookmarkStart w:id="1118" w:name="_Toc297216200"/>
      <w:bookmarkStart w:id="1119" w:name="_Toc296944533"/>
      <w:bookmarkStart w:id="1120" w:name="_Toc300934990"/>
      <w:bookmarkStart w:id="1121" w:name="_Toc296891022"/>
      <w:bookmarkStart w:id="1122" w:name="_Toc297120494"/>
      <w:bookmarkStart w:id="1123" w:name="_Toc303539147"/>
      <w:bookmarkStart w:id="1124" w:name="_Toc296346695"/>
      <w:r>
        <w:rPr>
          <w:rFonts w:hint="eastAsia" w:ascii="宋体" w:hAnsi="宋体" w:cs="宋体"/>
          <w:b/>
          <w:bCs/>
          <w:color w:val="auto"/>
          <w:kern w:val="44"/>
          <w:sz w:val="21"/>
          <w:szCs w:val="21"/>
          <w:highlight w:val="none"/>
        </w:rPr>
        <w:t>0.1变更的范围</w:t>
      </w:r>
      <w:bookmarkEnd w:id="1106"/>
      <w:bookmarkEnd w:id="1107"/>
    </w:p>
    <w:p w14:paraId="41AAB7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关于变更的范围的约定：</w:t>
      </w:r>
      <w:r>
        <w:rPr>
          <w:rFonts w:hint="eastAsia" w:ascii="宋体" w:hAnsi="宋体" w:cs="宋体"/>
          <w:color w:val="auto"/>
          <w:sz w:val="21"/>
          <w:szCs w:val="21"/>
          <w:highlight w:val="none"/>
          <w:u w:val="single"/>
        </w:rPr>
        <w:t>因设计变更或者现场签证导致变更后的预算超过分项预算或者总预算的5%以上的，须经发包人审核后实施</w:t>
      </w:r>
      <w:r>
        <w:rPr>
          <w:rFonts w:hint="eastAsia" w:ascii="宋体" w:hAnsi="宋体" w:cs="宋体"/>
          <w:color w:val="auto"/>
          <w:sz w:val="21"/>
          <w:szCs w:val="21"/>
          <w:highlight w:val="none"/>
        </w:rPr>
        <w:t>。发包人可以取消部分工作内容或楼栋的施工。</w:t>
      </w:r>
    </w:p>
    <w:p w14:paraId="4D40E3F4">
      <w:pPr>
        <w:keepNext/>
        <w:keepLines/>
        <w:spacing w:line="420" w:lineRule="exact"/>
        <w:ind w:firstLine="0" w:firstLineChars="0"/>
        <w:outlineLvl w:val="0"/>
        <w:rPr>
          <w:rFonts w:ascii="宋体" w:hAnsi="宋体" w:cs="宋体"/>
          <w:b/>
          <w:bCs/>
          <w:color w:val="auto"/>
          <w:kern w:val="44"/>
          <w:sz w:val="21"/>
          <w:szCs w:val="21"/>
          <w:highlight w:val="none"/>
        </w:rPr>
      </w:pPr>
      <w:bookmarkStart w:id="1125" w:name="_Toc389065307"/>
      <w:bookmarkStart w:id="1126" w:name="_Toc373227741"/>
      <w:bookmarkStart w:id="1127" w:name="_Toc478389232"/>
      <w:bookmarkStart w:id="1128" w:name="_Toc417904317"/>
      <w:bookmarkStart w:id="1129" w:name="_Toc395382544"/>
      <w:bookmarkStart w:id="1130" w:name="_Toc373478388"/>
      <w:r>
        <w:rPr>
          <w:rFonts w:hint="eastAsia" w:ascii="宋体" w:hAnsi="宋体" w:cs="宋体"/>
          <w:b/>
          <w:bCs/>
          <w:color w:val="auto"/>
          <w:kern w:val="44"/>
          <w:sz w:val="21"/>
          <w:szCs w:val="21"/>
          <w:highlight w:val="none"/>
        </w:rPr>
        <w:t>10.3 变更程序</w:t>
      </w:r>
      <w:bookmarkEnd w:id="1125"/>
      <w:bookmarkEnd w:id="1126"/>
      <w:bookmarkEnd w:id="1127"/>
      <w:bookmarkEnd w:id="1128"/>
      <w:bookmarkEnd w:id="1129"/>
      <w:bookmarkEnd w:id="1130"/>
    </w:p>
    <w:p w14:paraId="4D75D57E">
      <w:pPr>
        <w:spacing w:line="42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10.3.2 非国有投资项目：</w:t>
      </w:r>
      <w:r>
        <w:rPr>
          <w:rFonts w:hint="eastAsia" w:ascii="宋体" w:hAnsi="宋体" w:cs="宋体"/>
          <w:color w:val="auto"/>
          <w:sz w:val="21"/>
          <w:szCs w:val="21"/>
          <w:highlight w:val="none"/>
          <w:u w:val="single"/>
        </w:rPr>
        <w:t>无</w:t>
      </w:r>
      <w:r>
        <w:rPr>
          <w:rFonts w:hint="eastAsia" w:ascii="宋体" w:hAnsi="宋体" w:cs="宋体"/>
          <w:bCs/>
          <w:color w:val="auto"/>
          <w:sz w:val="21"/>
          <w:szCs w:val="21"/>
          <w:highlight w:val="none"/>
        </w:rPr>
        <w:t>。</w:t>
      </w:r>
    </w:p>
    <w:p w14:paraId="3C8C120C">
      <w:pPr>
        <w:keepNext/>
        <w:keepLines/>
        <w:spacing w:line="420" w:lineRule="exact"/>
        <w:ind w:firstLine="0" w:firstLineChars="0"/>
        <w:outlineLvl w:val="0"/>
        <w:rPr>
          <w:rFonts w:ascii="宋体" w:hAnsi="宋体" w:cs="宋体"/>
          <w:b/>
          <w:bCs/>
          <w:color w:val="auto"/>
          <w:kern w:val="44"/>
          <w:sz w:val="21"/>
          <w:szCs w:val="21"/>
          <w:highlight w:val="none"/>
        </w:rPr>
      </w:pPr>
      <w:bookmarkStart w:id="1131" w:name="_Toc478389233"/>
      <w:bookmarkStart w:id="1132" w:name="_Toc417904318"/>
      <w:r>
        <w:rPr>
          <w:rFonts w:hint="eastAsia" w:ascii="宋体" w:hAnsi="宋体" w:cs="宋体"/>
          <w:b/>
          <w:bCs/>
          <w:color w:val="auto"/>
          <w:kern w:val="44"/>
          <w:sz w:val="21"/>
          <w:szCs w:val="21"/>
          <w:highlight w:val="none"/>
        </w:rPr>
        <w:t>10.4 变更估价</w:t>
      </w:r>
      <w:bookmarkEnd w:id="1131"/>
      <w:bookmarkEnd w:id="1132"/>
    </w:p>
    <w:p w14:paraId="649D36F1">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10.4.1变更估价原则</w:t>
      </w:r>
      <w:r>
        <w:rPr>
          <w:rFonts w:hint="eastAsia" w:ascii="宋体" w:hAnsi="宋体" w:cs="宋体"/>
          <w:color w:val="auto"/>
          <w:sz w:val="21"/>
          <w:szCs w:val="21"/>
          <w:highlight w:val="none"/>
          <w:lang w:eastAsia="zh-CN"/>
        </w:rPr>
        <w:t>：</w:t>
      </w:r>
      <w:bookmarkStart w:id="1133" w:name="_Toc251051742"/>
      <w:r>
        <w:rPr>
          <w:rFonts w:hint="eastAsia" w:ascii="宋体" w:hAnsi="宋体" w:cs="宋体"/>
          <w:color w:val="auto"/>
          <w:sz w:val="21"/>
          <w:szCs w:val="21"/>
          <w:highlight w:val="none"/>
          <w:u w:val="single"/>
          <w:lang w:val="en-US" w:eastAsia="zh-CN"/>
        </w:rPr>
        <w:t>本工程由承包方按图纸进行施工，原则上本工程无工程量增加。如有</w:t>
      </w:r>
      <w:r>
        <w:rPr>
          <w:rFonts w:hint="eastAsia" w:ascii="宋体" w:hAnsi="宋体" w:cs="宋体"/>
          <w:bCs/>
          <w:color w:val="auto"/>
          <w:sz w:val="21"/>
          <w:szCs w:val="21"/>
          <w:highlight w:val="none"/>
          <w:u w:val="single"/>
        </w:rPr>
        <w:t>因设计变更、相关签证引起工程项目、工程量任何变化的，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最后报价</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最高限价</w:t>
      </w:r>
      <w:r>
        <w:rPr>
          <w:rFonts w:hint="eastAsia" w:ascii="宋体" w:hAnsi="宋体" w:cs="宋体"/>
          <w:color w:val="auto"/>
          <w:sz w:val="21"/>
          <w:szCs w:val="21"/>
          <w:highlight w:val="none"/>
          <w:u w:val="single"/>
        </w:rPr>
        <w:t>）</w:t>
      </w:r>
      <w:r>
        <w:rPr>
          <w:rFonts w:hint="eastAsia" w:ascii="宋体" w:hAnsi="宋体" w:cs="宋体"/>
          <w:bCs/>
          <w:color w:val="auto"/>
          <w:sz w:val="21"/>
          <w:szCs w:val="21"/>
          <w:highlight w:val="none"/>
          <w:u w:val="single"/>
        </w:rPr>
        <w:t>计算，其中材料价格按施工期间的《桂林市建设工程造价信息》相应价格信息进行计算；桂林信息价没有的参考桂林同期信息价或市场询价；无定额可套的，根据市场价格协商确定综合价格；对于国有资产投资的项目，新增项目的单价必须经发包人委托的第三方审核机构审定</w:t>
      </w:r>
      <w:bookmarkEnd w:id="1133"/>
      <w:r>
        <w:rPr>
          <w:rFonts w:hint="eastAsia" w:ascii="宋体" w:hAnsi="宋体" w:cs="宋体"/>
          <w:color w:val="auto"/>
          <w:sz w:val="21"/>
          <w:szCs w:val="21"/>
          <w:highlight w:val="none"/>
        </w:rPr>
        <w:t>。</w:t>
      </w:r>
    </w:p>
    <w:p w14:paraId="7E519A8E">
      <w:pPr>
        <w:spacing w:line="400" w:lineRule="exact"/>
        <w:ind w:firstLine="420"/>
        <w:jc w:val="left"/>
        <w:rPr>
          <w:rFonts w:ascii="宋体" w:hAnsi="宋体" w:cs="宋体"/>
          <w:b/>
          <w:color w:val="auto"/>
          <w:sz w:val="21"/>
          <w:szCs w:val="21"/>
          <w:highlight w:val="none"/>
          <w:u w:val="single"/>
        </w:rPr>
      </w:pPr>
      <w:r>
        <w:rPr>
          <w:rFonts w:hint="eastAsia" w:ascii="宋体" w:hAnsi="宋体" w:cs="宋体"/>
          <w:color w:val="auto"/>
          <w:sz w:val="21"/>
          <w:szCs w:val="21"/>
          <w:highlight w:val="none"/>
        </w:rPr>
        <w:t>关于变更估价的约定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u w:val="single"/>
        </w:rPr>
        <w:t>（1）</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中已有适用于变更工程的综合单价，按已有的综合单价，综合单价不随工程量的增减而变化</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（2）</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中有类似变更工程的综合单价，可参照</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中类似的综合单价确定</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（3）</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没有适用或类似于变更工程的综合单价，则有定额的套定额计算，执行本工程编制预算控制价的参考依据，其中材料价格有信息价的按合同该新增子项实施期间参考《桂林市建设工程造价信息》，信息价没有的，参考桂林市信息价，信息价上缺项的，按照市场询价进行计算，不在下浮范围之内；新增结算综合单价=定额计算的综合单价×（</w:t>
      </w:r>
      <w:r>
        <w:rPr>
          <w:rFonts w:hint="eastAsia" w:ascii="宋体" w:hAnsi="宋体" w:cs="宋体"/>
          <w:color w:val="auto"/>
          <w:sz w:val="21"/>
          <w:szCs w:val="21"/>
          <w:highlight w:val="none"/>
          <w:u w:val="single"/>
          <w:lang w:eastAsia="zh-CN"/>
        </w:rPr>
        <w:t>最后报价</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最高限价</w:t>
      </w:r>
      <w:r>
        <w:rPr>
          <w:rFonts w:hint="eastAsia" w:ascii="宋体" w:hAnsi="宋体" w:cs="宋体"/>
          <w:color w:val="auto"/>
          <w:sz w:val="21"/>
          <w:szCs w:val="21"/>
          <w:highlight w:val="none"/>
          <w:u w:val="single"/>
        </w:rPr>
        <w:t>），新增项目无定额可套时，由发包人、承包人及监理等</w:t>
      </w:r>
      <w:r>
        <w:rPr>
          <w:rFonts w:hint="eastAsia" w:ascii="宋体" w:hAnsi="宋体" w:cs="宋体"/>
          <w:color w:val="auto"/>
          <w:sz w:val="21"/>
          <w:szCs w:val="21"/>
          <w:highlight w:val="none"/>
          <w:u w:val="single"/>
          <w:lang w:eastAsia="zh-CN"/>
        </w:rPr>
        <w:t>协商</w:t>
      </w:r>
      <w:r>
        <w:rPr>
          <w:rFonts w:hint="eastAsia" w:ascii="宋体" w:hAnsi="宋体" w:cs="宋体"/>
          <w:color w:val="auto"/>
          <w:sz w:val="21"/>
          <w:szCs w:val="21"/>
          <w:highlight w:val="none"/>
          <w:u w:val="single"/>
        </w:rPr>
        <w:t>确定包干价，不在下浮范围之内。暂定价调整方法为：暂定材料价格部分仅调整合同实施期间材料市场价与暂定价之间的价差并计相应的规费和增值税，</w:t>
      </w:r>
      <w:r>
        <w:rPr>
          <w:rFonts w:hint="eastAsia" w:ascii="宋体" w:hAnsi="宋体" w:cs="宋体"/>
          <w:color w:val="auto"/>
          <w:sz w:val="21"/>
          <w:szCs w:val="21"/>
          <w:highlight w:val="none"/>
          <w:u w:val="single"/>
          <w:lang w:eastAsia="zh-CN"/>
        </w:rPr>
        <w:t>响应文件</w:t>
      </w:r>
      <w:r>
        <w:rPr>
          <w:rFonts w:hint="eastAsia" w:ascii="宋体" w:hAnsi="宋体" w:cs="宋体"/>
          <w:color w:val="auto"/>
          <w:sz w:val="21"/>
          <w:szCs w:val="21"/>
          <w:highlight w:val="none"/>
          <w:u w:val="single"/>
        </w:rPr>
        <w:t>中相应的综合单价不再调整。本工程最终结算价以审计审定为准。</w:t>
      </w:r>
    </w:p>
    <w:p w14:paraId="1BA3461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关于清单项目增减的约定：在实际施工过程中，根据发包人的需求可增加或减少合同内清单项目，其余的清单项目单价不作调整。</w:t>
      </w:r>
    </w:p>
    <w:p w14:paraId="61C436EB">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无约定的参照我区现行《建设工程工程量清单计价规范》相关规定执行。</w:t>
      </w:r>
    </w:p>
    <w:p w14:paraId="3F7BC46A">
      <w:pPr>
        <w:keepNext/>
        <w:keepLines/>
        <w:spacing w:line="400" w:lineRule="exact"/>
        <w:ind w:firstLine="0" w:firstLineChars="0"/>
        <w:outlineLvl w:val="0"/>
        <w:rPr>
          <w:rFonts w:ascii="宋体" w:hAnsi="宋体" w:cs="宋体"/>
          <w:b/>
          <w:bCs/>
          <w:color w:val="auto"/>
          <w:kern w:val="44"/>
          <w:sz w:val="21"/>
          <w:szCs w:val="21"/>
          <w:highlight w:val="none"/>
        </w:rPr>
      </w:pPr>
      <w:bookmarkStart w:id="1134" w:name="_Toc417904319"/>
      <w:bookmarkStart w:id="1135" w:name="_Toc478389234"/>
      <w:r>
        <w:rPr>
          <w:rFonts w:hint="eastAsia" w:ascii="宋体" w:hAnsi="宋体" w:cs="宋体"/>
          <w:b/>
          <w:bCs/>
          <w:color w:val="auto"/>
          <w:kern w:val="44"/>
          <w:sz w:val="21"/>
          <w:szCs w:val="21"/>
          <w:highlight w:val="none"/>
        </w:rPr>
        <w:t>1</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Start w:id="1136" w:name="_Toc296503197"/>
      <w:bookmarkStart w:id="1137" w:name="_Toc303539150"/>
      <w:bookmarkStart w:id="1138" w:name="_Toc292559402"/>
      <w:bookmarkStart w:id="1139" w:name="_Toc297216203"/>
      <w:bookmarkStart w:id="1140" w:name="_Toc296346698"/>
      <w:bookmarkStart w:id="1141" w:name="_Toc300934993"/>
      <w:bookmarkStart w:id="1142" w:name="_Toc297123544"/>
      <w:bookmarkStart w:id="1143" w:name="_Toc296944536"/>
      <w:bookmarkStart w:id="1144" w:name="_Toc296347196"/>
      <w:bookmarkStart w:id="1145" w:name="_Toc297048383"/>
      <w:bookmarkStart w:id="1146" w:name="_Toc297120497"/>
      <w:bookmarkStart w:id="1147" w:name="_Toc296891237"/>
      <w:bookmarkStart w:id="1148" w:name="_Toc292559907"/>
      <w:bookmarkStart w:id="1149" w:name="_Toc296891025"/>
      <w:bookmarkStart w:id="1150" w:name="_Toc304295570"/>
      <w:bookmarkStart w:id="1151" w:name="_Toc312677503"/>
      <w:bookmarkStart w:id="1152" w:name="_Toc312678029"/>
      <w:r>
        <w:rPr>
          <w:rFonts w:hint="eastAsia" w:ascii="宋体" w:hAnsi="宋体" w:cs="宋体"/>
          <w:b/>
          <w:bCs/>
          <w:color w:val="auto"/>
          <w:kern w:val="44"/>
          <w:sz w:val="21"/>
          <w:szCs w:val="21"/>
          <w:highlight w:val="none"/>
        </w:rPr>
        <w:t>0.5承</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Start w:id="1153" w:name="_Toc296944542"/>
      <w:bookmarkStart w:id="1154" w:name="_Toc297216204"/>
      <w:bookmarkStart w:id="1155" w:name="_Toc296347202"/>
      <w:bookmarkStart w:id="1156" w:name="_Toc292559408"/>
      <w:bookmarkStart w:id="1157" w:name="_Toc297048389"/>
      <w:bookmarkStart w:id="1158" w:name="_Toc296891031"/>
      <w:bookmarkStart w:id="1159" w:name="_Toc297120503"/>
      <w:bookmarkStart w:id="1160" w:name="_Toc296503203"/>
      <w:bookmarkStart w:id="1161" w:name="_Toc296891243"/>
      <w:bookmarkStart w:id="1162" w:name="_Toc297123545"/>
      <w:bookmarkStart w:id="1163" w:name="_Toc292559913"/>
      <w:bookmarkStart w:id="1164" w:name="_Toc300934994"/>
      <w:bookmarkStart w:id="1165" w:name="_Toc296346704"/>
      <w:bookmarkStart w:id="1166" w:name="_Toc303539151"/>
      <w:r>
        <w:rPr>
          <w:rFonts w:hint="eastAsia" w:ascii="宋体" w:hAnsi="宋体" w:cs="宋体"/>
          <w:b/>
          <w:bCs/>
          <w:color w:val="auto"/>
          <w:kern w:val="44"/>
          <w:sz w:val="21"/>
          <w:szCs w:val="21"/>
          <w:highlight w:val="none"/>
        </w:rPr>
        <w:t>包人的合理化建议</w:t>
      </w:r>
      <w:bookmarkEnd w:id="1134"/>
      <w:bookmarkEnd w:id="1135"/>
    </w:p>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14:paraId="0A2AF7B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监理人审查承包人合理化建议的期限：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2D6D0B5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发包人审批承包人合理化建议的期限：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4B58810A">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w:t>
      </w:r>
      <w:bookmarkStart w:id="1167" w:name="_Toc304295571"/>
      <w:bookmarkStart w:id="1168" w:name="_Toc296346705"/>
      <w:bookmarkStart w:id="1169" w:name="_Toc292559914"/>
      <w:bookmarkStart w:id="1170" w:name="_Toc312677504"/>
      <w:bookmarkStart w:id="1171" w:name="_Toc297216205"/>
      <w:bookmarkStart w:id="1172" w:name="_Toc297120504"/>
      <w:bookmarkStart w:id="1173" w:name="_Toc296891032"/>
      <w:bookmarkStart w:id="1174" w:name="_Toc296503204"/>
      <w:bookmarkStart w:id="1175" w:name="_Toc292559409"/>
      <w:bookmarkStart w:id="1176" w:name="_Toc300934995"/>
      <w:bookmarkStart w:id="1177" w:name="_Toc297123546"/>
      <w:bookmarkStart w:id="1178" w:name="_Toc297048390"/>
      <w:bookmarkStart w:id="1179" w:name="_Toc312678030"/>
      <w:bookmarkStart w:id="1180" w:name="_Toc296944543"/>
      <w:bookmarkStart w:id="1181" w:name="_Toc303539152"/>
      <w:bookmarkStart w:id="1182" w:name="_Toc296347203"/>
      <w:bookmarkStart w:id="1183" w:name="_Toc296891244"/>
      <w:bookmarkStart w:id="1184" w:name="_Toc318581175"/>
      <w:r>
        <w:rPr>
          <w:rFonts w:hint="eastAsia" w:ascii="宋体" w:hAnsi="宋体" w:cs="宋体"/>
          <w:color w:val="auto"/>
          <w:sz w:val="21"/>
          <w:szCs w:val="21"/>
          <w:highlight w:val="none"/>
        </w:rPr>
        <w:t>包人提出的合理化建议降低了合同价格或者提高了工程经济效益的奖励的方法和金额为：</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14:paraId="1D5B2936">
      <w:pPr>
        <w:keepNext/>
        <w:keepLines/>
        <w:spacing w:line="400" w:lineRule="exact"/>
        <w:ind w:firstLine="0" w:firstLineChars="0"/>
        <w:outlineLvl w:val="0"/>
        <w:rPr>
          <w:rFonts w:ascii="宋体" w:hAnsi="宋体" w:cs="宋体"/>
          <w:b/>
          <w:bCs/>
          <w:color w:val="auto"/>
          <w:kern w:val="44"/>
          <w:sz w:val="21"/>
          <w:szCs w:val="21"/>
          <w:highlight w:val="none"/>
        </w:rPr>
      </w:pPr>
      <w:bookmarkStart w:id="1185" w:name="_Toc417904320"/>
      <w:bookmarkStart w:id="1186" w:name="_Toc478389235"/>
      <w:r>
        <w:rPr>
          <w:rFonts w:hint="eastAsia" w:ascii="宋体" w:hAnsi="宋体" w:cs="宋体"/>
          <w:b/>
          <w:bCs/>
          <w:color w:val="auto"/>
          <w:kern w:val="44"/>
          <w:sz w:val="21"/>
          <w:szCs w:val="21"/>
          <w:highlight w:val="none"/>
        </w:rPr>
        <w:t>1</w:t>
      </w:r>
      <w:bookmarkStart w:id="1187" w:name="_Toc297120499"/>
      <w:bookmarkStart w:id="1188" w:name="_Toc297216207"/>
      <w:bookmarkStart w:id="1189" w:name="_Toc296891239"/>
      <w:bookmarkStart w:id="1190" w:name="_Toc296346700"/>
      <w:bookmarkStart w:id="1191" w:name="_Toc292559404"/>
      <w:bookmarkStart w:id="1192" w:name="_Toc292559909"/>
      <w:bookmarkStart w:id="1193" w:name="_Toc296944538"/>
      <w:bookmarkStart w:id="1194" w:name="_Toc304295574"/>
      <w:bookmarkStart w:id="1195" w:name="_Toc296891027"/>
      <w:bookmarkStart w:id="1196" w:name="_Toc296347198"/>
      <w:bookmarkStart w:id="1197" w:name="_Toc296503199"/>
      <w:bookmarkStart w:id="1198" w:name="_Toc297048385"/>
      <w:bookmarkStart w:id="1199" w:name="_Toc303539154"/>
      <w:bookmarkStart w:id="1200" w:name="_Toc312677507"/>
      <w:bookmarkStart w:id="1201" w:name="_Toc312678033"/>
      <w:bookmarkStart w:id="1202" w:name="_Toc300934997"/>
      <w:bookmarkStart w:id="1203" w:name="_Toc297123548"/>
      <w:r>
        <w:rPr>
          <w:rFonts w:hint="eastAsia" w:ascii="宋体" w:hAnsi="宋体" w:cs="宋体"/>
          <w:b/>
          <w:bCs/>
          <w:color w:val="auto"/>
          <w:kern w:val="44"/>
          <w:sz w:val="21"/>
          <w:szCs w:val="21"/>
          <w:highlight w:val="none"/>
        </w:rPr>
        <w:t>0.7 暂估价</w:t>
      </w:r>
      <w:bookmarkEnd w:id="1185"/>
      <w:bookmarkEnd w:id="1186"/>
    </w:p>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14:paraId="4D48C88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暂估价材料和工程设备的明细详见附件11：《暂估价一览表》。</w:t>
      </w:r>
    </w:p>
    <w:p w14:paraId="7C41703A">
      <w:pPr>
        <w:spacing w:line="400" w:lineRule="exact"/>
        <w:ind w:firstLine="420"/>
        <w:outlineLvl w:val="0"/>
        <w:rPr>
          <w:rFonts w:ascii="宋体" w:hAnsi="宋体" w:cs="宋体"/>
          <w:color w:val="auto"/>
          <w:sz w:val="21"/>
          <w:szCs w:val="21"/>
          <w:highlight w:val="none"/>
        </w:rPr>
      </w:pPr>
      <w:bookmarkStart w:id="1204" w:name="_Toc478389236"/>
      <w:bookmarkStart w:id="1205" w:name="_Toc406419390"/>
      <w:bookmarkStart w:id="1206" w:name="_Toc417904321"/>
      <w:bookmarkStart w:id="1207" w:name="_Toc406522266"/>
      <w:r>
        <w:rPr>
          <w:rFonts w:hint="eastAsia" w:ascii="宋体" w:hAnsi="宋体" w:cs="宋体"/>
          <w:color w:val="auto"/>
          <w:sz w:val="21"/>
          <w:szCs w:val="21"/>
          <w:highlight w:val="none"/>
        </w:rPr>
        <w:t>1</w:t>
      </w:r>
      <w:bookmarkStart w:id="1208" w:name="_Toc312677509"/>
      <w:bookmarkStart w:id="1209" w:name="_Toc318581177"/>
      <w:bookmarkStart w:id="1210" w:name="_Toc312678035"/>
      <w:r>
        <w:rPr>
          <w:rFonts w:hint="eastAsia" w:ascii="宋体" w:hAnsi="宋体" w:cs="宋体"/>
          <w:color w:val="auto"/>
          <w:sz w:val="21"/>
          <w:szCs w:val="21"/>
          <w:highlight w:val="none"/>
        </w:rPr>
        <w:t>0.7.1 依法必须招标的暂估价项目</w:t>
      </w:r>
      <w:bookmarkEnd w:id="1204"/>
      <w:bookmarkEnd w:id="1205"/>
      <w:bookmarkEnd w:id="1206"/>
      <w:bookmarkEnd w:id="1207"/>
    </w:p>
    <w:bookmarkEnd w:id="1208"/>
    <w:bookmarkEnd w:id="1209"/>
    <w:bookmarkEnd w:id="1210"/>
    <w:p w14:paraId="757B601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对于依法必须招标的暂估价项目的确认和批准采取第</w:t>
      </w:r>
      <w:r>
        <w:rPr>
          <w:rFonts w:hint="eastAsia" w:ascii="宋体" w:hAnsi="宋体" w:cs="宋体"/>
          <w:color w:val="auto"/>
          <w:sz w:val="21"/>
          <w:szCs w:val="21"/>
          <w:highlight w:val="none"/>
          <w:u w:val="single"/>
        </w:rPr>
        <w:t xml:space="preserve">  双方协定  </w:t>
      </w:r>
      <w:r>
        <w:rPr>
          <w:rFonts w:hint="eastAsia" w:ascii="宋体" w:hAnsi="宋体" w:cs="宋体"/>
          <w:color w:val="auto"/>
          <w:sz w:val="21"/>
          <w:szCs w:val="21"/>
          <w:highlight w:val="none"/>
        </w:rPr>
        <w:t>种方式确定。</w:t>
      </w:r>
    </w:p>
    <w:p w14:paraId="19218E4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10.7.2 不属于依法必须招标的暂估价项目</w:t>
      </w:r>
    </w:p>
    <w:p w14:paraId="375ADC8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对于不属于依法必须招标的暂估价项目的确认和批准采取第</w:t>
      </w:r>
      <w:r>
        <w:rPr>
          <w:rFonts w:hint="eastAsia" w:ascii="宋体" w:hAnsi="宋体" w:cs="宋体"/>
          <w:color w:val="auto"/>
          <w:sz w:val="21"/>
          <w:szCs w:val="21"/>
          <w:highlight w:val="none"/>
          <w:u w:val="single"/>
        </w:rPr>
        <w:t xml:space="preserve"> 3  </w:t>
      </w:r>
      <w:r>
        <w:rPr>
          <w:rFonts w:hint="eastAsia" w:ascii="宋体" w:hAnsi="宋体" w:cs="宋体"/>
          <w:color w:val="auto"/>
          <w:sz w:val="21"/>
          <w:szCs w:val="21"/>
          <w:highlight w:val="none"/>
        </w:rPr>
        <w:t xml:space="preserve"> 种方式确定。</w:t>
      </w:r>
    </w:p>
    <w:p w14:paraId="33CB187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第3种方式：承包人直接实施的暂估价项目</w:t>
      </w:r>
    </w:p>
    <w:p w14:paraId="1177270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承包人直接实施的暂估价项目的约定：</w:t>
      </w:r>
      <w:r>
        <w:rPr>
          <w:rFonts w:hint="eastAsia" w:ascii="宋体" w:hAnsi="宋体" w:cs="宋体"/>
          <w:color w:val="auto"/>
          <w:sz w:val="21"/>
          <w:szCs w:val="21"/>
          <w:highlight w:val="none"/>
          <w:u w:val="single"/>
        </w:rPr>
        <w:t>按市场价格由发包人、承包人、发包人建</w:t>
      </w:r>
      <w:r>
        <w:rPr>
          <w:rFonts w:hint="eastAsia" w:ascii="宋体" w:hAnsi="宋体" w:cs="宋体"/>
          <w:color w:val="auto"/>
          <w:sz w:val="21"/>
          <w:szCs w:val="21"/>
          <w:highlight w:val="none"/>
          <w:u w:val="single"/>
          <w:lang w:eastAsia="zh-CN"/>
        </w:rPr>
        <w:t>设</w:t>
      </w:r>
      <w:r>
        <w:rPr>
          <w:rFonts w:hint="eastAsia" w:ascii="宋体" w:hAnsi="宋体" w:cs="宋体"/>
          <w:color w:val="auto"/>
          <w:sz w:val="21"/>
          <w:szCs w:val="21"/>
          <w:highlight w:val="none"/>
          <w:u w:val="single"/>
        </w:rPr>
        <w:t xml:space="preserve">代表、发包人委托的造价咨询机构、现场监管代表及监理协商确定材料价  </w:t>
      </w:r>
      <w:r>
        <w:rPr>
          <w:rFonts w:hint="eastAsia" w:ascii="宋体" w:hAnsi="宋体" w:cs="宋体"/>
          <w:color w:val="auto"/>
          <w:sz w:val="21"/>
          <w:szCs w:val="21"/>
          <w:highlight w:val="none"/>
        </w:rPr>
        <w:t>。</w:t>
      </w:r>
    </w:p>
    <w:p w14:paraId="232163E1">
      <w:pPr>
        <w:keepNext/>
        <w:keepLines/>
        <w:spacing w:line="400" w:lineRule="exact"/>
        <w:ind w:firstLine="0" w:firstLineChars="0"/>
        <w:outlineLvl w:val="0"/>
        <w:rPr>
          <w:rFonts w:ascii="宋体" w:hAnsi="宋体" w:cs="宋体"/>
          <w:b/>
          <w:bCs/>
          <w:color w:val="auto"/>
          <w:kern w:val="44"/>
          <w:sz w:val="21"/>
          <w:szCs w:val="21"/>
          <w:highlight w:val="none"/>
        </w:rPr>
      </w:pPr>
      <w:bookmarkStart w:id="1211" w:name="_Toc417904322"/>
      <w:bookmarkStart w:id="1212" w:name="_Toc478389237"/>
      <w:r>
        <w:rPr>
          <w:rFonts w:hint="eastAsia" w:ascii="宋体" w:hAnsi="宋体" w:cs="宋体"/>
          <w:b/>
          <w:bCs/>
          <w:color w:val="auto"/>
          <w:kern w:val="44"/>
          <w:sz w:val="21"/>
          <w:szCs w:val="21"/>
          <w:highlight w:val="none"/>
        </w:rPr>
        <w:t>10.8 暂列金额</w:t>
      </w:r>
      <w:bookmarkEnd w:id="1211"/>
      <w:bookmarkEnd w:id="1212"/>
    </w:p>
    <w:p w14:paraId="53017FE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合同当事人关于暂列金额使用的约定：</w:t>
      </w:r>
      <w:r>
        <w:rPr>
          <w:rFonts w:hint="eastAsia" w:ascii="宋体" w:hAnsi="宋体" w:cs="宋体"/>
          <w:color w:val="auto"/>
          <w:sz w:val="21"/>
          <w:szCs w:val="21"/>
          <w:highlight w:val="none"/>
          <w:u w:val="single"/>
        </w:rPr>
        <w:t xml:space="preserve">按市场价格由发包人、承包人、发包人委托的造价咨询机构、现场监管代表及监理协商确定材料价       </w:t>
      </w:r>
      <w:r>
        <w:rPr>
          <w:rFonts w:hint="eastAsia" w:ascii="宋体" w:hAnsi="宋体" w:cs="宋体"/>
          <w:color w:val="auto"/>
          <w:sz w:val="21"/>
          <w:szCs w:val="21"/>
          <w:highlight w:val="none"/>
        </w:rPr>
        <w:t>。</w:t>
      </w:r>
    </w:p>
    <w:p w14:paraId="7B93F670">
      <w:pPr>
        <w:keepNext/>
        <w:keepLines/>
        <w:spacing w:line="400" w:lineRule="exact"/>
        <w:ind w:firstLine="0" w:firstLineChars="0"/>
        <w:outlineLvl w:val="0"/>
        <w:rPr>
          <w:rFonts w:ascii="宋体" w:hAnsi="宋体" w:cs="宋体"/>
          <w:b/>
          <w:bCs/>
          <w:color w:val="auto"/>
          <w:kern w:val="44"/>
          <w:sz w:val="21"/>
          <w:szCs w:val="21"/>
          <w:highlight w:val="none"/>
        </w:rPr>
      </w:pPr>
      <w:bookmarkStart w:id="1213" w:name="_Toc478389238"/>
      <w:bookmarkStart w:id="1214" w:name="_Toc417904323"/>
      <w:bookmarkStart w:id="1215" w:name="_Toc351203643"/>
      <w:r>
        <w:rPr>
          <w:rFonts w:hint="eastAsia" w:ascii="宋体" w:hAnsi="宋体" w:cs="宋体"/>
          <w:b/>
          <w:bCs/>
          <w:color w:val="auto"/>
          <w:kern w:val="44"/>
          <w:sz w:val="21"/>
          <w:szCs w:val="21"/>
          <w:highlight w:val="none"/>
        </w:rPr>
        <w:t>11. 价格调整</w:t>
      </w:r>
      <w:bookmarkEnd w:id="1213"/>
      <w:bookmarkEnd w:id="1214"/>
      <w:bookmarkEnd w:id="1215"/>
    </w:p>
    <w:p w14:paraId="766211C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市场价格波动是否调整合同价格的约定：</w:t>
      </w:r>
      <w:r>
        <w:rPr>
          <w:rFonts w:hint="eastAsia" w:ascii="宋体" w:hAnsi="宋体" w:cs="宋体"/>
          <w:color w:val="auto"/>
          <w:sz w:val="21"/>
          <w:szCs w:val="21"/>
          <w:highlight w:val="none"/>
          <w:u w:val="single"/>
        </w:rPr>
        <w:t xml:space="preserve">     不调整    </w:t>
      </w:r>
      <w:r>
        <w:rPr>
          <w:rFonts w:hint="eastAsia" w:ascii="宋体" w:hAnsi="宋体" w:cs="宋体"/>
          <w:color w:val="auto"/>
          <w:sz w:val="21"/>
          <w:szCs w:val="21"/>
          <w:highlight w:val="none"/>
        </w:rPr>
        <w:t>。</w:t>
      </w:r>
    </w:p>
    <w:p w14:paraId="2B502F0C">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其他约定：</w:t>
      </w:r>
      <w:r>
        <w:rPr>
          <w:rFonts w:hint="eastAsia" w:ascii="宋体" w:hAnsi="宋体" w:cs="宋体"/>
          <w:color w:val="auto"/>
          <w:sz w:val="21"/>
          <w:szCs w:val="21"/>
          <w:highlight w:val="none"/>
          <w:u w:val="single"/>
        </w:rPr>
        <w:t>双方约定合同价款的其他因素：①工程量错漏项、设计变更、工程变更、现场签证引起的合同价款的调整；②不可抗力引起的合同价款的调整；③政策性调整（以</w:t>
      </w:r>
      <w:r>
        <w:rPr>
          <w:rFonts w:hint="eastAsia" w:ascii="宋体" w:hAnsi="宋体" w:cs="宋体"/>
          <w:snapToGrid w:val="0"/>
          <w:color w:val="auto"/>
          <w:sz w:val="21"/>
          <w:szCs w:val="21"/>
          <w:highlight w:val="none"/>
          <w:u w:val="single"/>
        </w:rPr>
        <w:t>国家和自治区及工程所在地政府或</w:t>
      </w:r>
      <w:r>
        <w:rPr>
          <w:rFonts w:hint="eastAsia" w:ascii="宋体" w:hAnsi="宋体" w:cs="宋体"/>
          <w:color w:val="auto"/>
          <w:sz w:val="21"/>
          <w:szCs w:val="21"/>
          <w:highlight w:val="none"/>
          <w:u w:val="single"/>
        </w:rPr>
        <w:t>当地建设行政管理部门颁布的文件为准）；④非承包人原因造成承包人的停工、窝工或周转材料、机械停滞的，发生的所有费用按实际签证或按承包人提供的其他证明材料计取；⑤本合同规定的其他合同价款的调整。</w:t>
      </w:r>
    </w:p>
    <w:p w14:paraId="3E29A4AB">
      <w:pPr>
        <w:spacing w:line="40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w:t>
      </w:r>
    </w:p>
    <w:p w14:paraId="5E9F0EA2">
      <w:pPr>
        <w:pStyle w:val="26"/>
        <w:spacing w:line="440" w:lineRule="exact"/>
        <w:ind w:firstLine="420"/>
        <w:rPr>
          <w:rFonts w:hint="eastAsia" w:ascii="宋体" w:hAnsi="宋体" w:eastAsia="宋体" w:cs="宋体"/>
          <w:color w:val="auto"/>
          <w:sz w:val="21"/>
          <w:szCs w:val="21"/>
          <w:highlight w:val="none"/>
          <w:u w:val="single"/>
        </w:rPr>
      </w:pPr>
      <w:r>
        <w:rPr>
          <w:rFonts w:hint="eastAsia" w:ascii="宋体" w:hAnsi="宋体" w:cs="宋体"/>
          <w:color w:val="auto"/>
          <w:sz w:val="21"/>
          <w:szCs w:val="21"/>
          <w:highlight w:val="none"/>
        </w:rPr>
        <w:t>因分部分项工程量清单错漏项、工程变更、设计变更、相关签证引起工程项目、工程量任何变化的，变更合同价款按下列方法进行：</w:t>
      </w:r>
      <w:r>
        <w:rPr>
          <w:rFonts w:hint="eastAsia" w:ascii="宋体" w:hAnsi="宋体" w:eastAsia="宋体" w:cs="宋体"/>
          <w:color w:val="auto"/>
          <w:kern w:val="2"/>
          <w:sz w:val="21"/>
          <w:szCs w:val="21"/>
          <w:highlight w:val="none"/>
          <w:u w:val="single"/>
          <w:lang w:val="en-US" w:eastAsia="zh-CN" w:bidi="ar-SA"/>
        </w:rPr>
        <w:t>按本合同第10.4 变更估价规定执行。</w:t>
      </w:r>
    </w:p>
    <w:p w14:paraId="170146E1">
      <w:pPr>
        <w:keepNext/>
        <w:keepLines/>
        <w:spacing w:line="420" w:lineRule="exact"/>
        <w:ind w:firstLine="0" w:firstLineChars="0"/>
        <w:outlineLvl w:val="0"/>
        <w:rPr>
          <w:rFonts w:ascii="宋体" w:hAnsi="宋体" w:cs="宋体"/>
          <w:color w:val="auto"/>
          <w:kern w:val="44"/>
          <w:sz w:val="21"/>
          <w:szCs w:val="21"/>
          <w:highlight w:val="none"/>
        </w:rPr>
      </w:pPr>
      <w:bookmarkStart w:id="1216" w:name="_Toc296944544"/>
      <w:bookmarkStart w:id="1217" w:name="_Toc297048391"/>
      <w:bookmarkStart w:id="1218" w:name="_Toc296891245"/>
      <w:bookmarkStart w:id="1219" w:name="_Toc292559915"/>
      <w:bookmarkStart w:id="1220" w:name="_Toc297120505"/>
      <w:bookmarkStart w:id="1221" w:name="_Toc292559410"/>
      <w:bookmarkStart w:id="1222" w:name="_Toc296503205"/>
      <w:bookmarkStart w:id="1223" w:name="_Toc296891033"/>
      <w:bookmarkStart w:id="1224" w:name="_Toc296346706"/>
      <w:bookmarkStart w:id="1225" w:name="_Toc296347204"/>
      <w:bookmarkStart w:id="1226" w:name="_Toc351203644"/>
      <w:bookmarkStart w:id="1227" w:name="_Toc478389239"/>
      <w:bookmarkStart w:id="1228" w:name="_Toc417904325"/>
      <w:r>
        <w:rPr>
          <w:rFonts w:hint="eastAsia" w:ascii="宋体" w:hAnsi="宋体" w:cs="宋体"/>
          <w:b/>
          <w:bCs/>
          <w:color w:val="auto"/>
          <w:kern w:val="44"/>
          <w:sz w:val="21"/>
          <w:szCs w:val="21"/>
          <w:highlight w:val="none"/>
        </w:rPr>
        <w:t xml:space="preserve">12. </w:t>
      </w:r>
      <w:bookmarkEnd w:id="1216"/>
      <w:bookmarkEnd w:id="1217"/>
      <w:bookmarkEnd w:id="1218"/>
      <w:bookmarkEnd w:id="1219"/>
      <w:bookmarkEnd w:id="1220"/>
      <w:bookmarkEnd w:id="1221"/>
      <w:bookmarkEnd w:id="1222"/>
      <w:bookmarkEnd w:id="1223"/>
      <w:bookmarkEnd w:id="1224"/>
      <w:bookmarkEnd w:id="1225"/>
      <w:r>
        <w:rPr>
          <w:rFonts w:hint="eastAsia" w:ascii="宋体" w:hAnsi="宋体" w:cs="宋体"/>
          <w:b/>
          <w:bCs/>
          <w:color w:val="auto"/>
          <w:kern w:val="44"/>
          <w:sz w:val="21"/>
          <w:szCs w:val="21"/>
          <w:highlight w:val="none"/>
        </w:rPr>
        <w:t>合同价格、计量与支付</w:t>
      </w:r>
      <w:bookmarkEnd w:id="1226"/>
      <w:bookmarkEnd w:id="1227"/>
      <w:bookmarkEnd w:id="1228"/>
    </w:p>
    <w:bookmarkEnd w:id="1099"/>
    <w:bookmarkEnd w:id="1100"/>
    <w:bookmarkEnd w:id="1101"/>
    <w:bookmarkEnd w:id="1102"/>
    <w:bookmarkEnd w:id="1103"/>
    <w:bookmarkEnd w:id="1104"/>
    <w:p w14:paraId="2708DA0A">
      <w:pPr>
        <w:keepNext/>
        <w:keepLines/>
        <w:spacing w:line="420" w:lineRule="exact"/>
        <w:ind w:firstLine="0" w:firstLineChars="0"/>
        <w:outlineLvl w:val="0"/>
        <w:rPr>
          <w:rFonts w:ascii="宋体" w:hAnsi="宋体" w:cs="宋体"/>
          <w:b/>
          <w:bCs/>
          <w:color w:val="auto"/>
          <w:kern w:val="44"/>
          <w:sz w:val="21"/>
          <w:szCs w:val="21"/>
          <w:highlight w:val="none"/>
        </w:rPr>
      </w:pPr>
      <w:bookmarkStart w:id="1229" w:name="_Toc292559411"/>
      <w:bookmarkStart w:id="1230" w:name="_Toc267251461"/>
      <w:bookmarkStart w:id="1231" w:name="_Toc292559916"/>
      <w:bookmarkStart w:id="1232" w:name="_Toc296347205"/>
      <w:bookmarkStart w:id="1233" w:name="_Toc296503206"/>
      <w:bookmarkStart w:id="1234" w:name="_Toc296944545"/>
      <w:bookmarkStart w:id="1235" w:name="_Toc296346707"/>
      <w:bookmarkStart w:id="1236" w:name="_Toc297120506"/>
      <w:bookmarkStart w:id="1237" w:name="_Toc296891034"/>
      <w:bookmarkStart w:id="1238" w:name="_Toc296891246"/>
      <w:bookmarkStart w:id="1239" w:name="_Toc297048392"/>
      <w:bookmarkStart w:id="1240" w:name="_Toc373478396"/>
      <w:bookmarkStart w:id="1241" w:name="_Toc417904326"/>
      <w:bookmarkStart w:id="1242" w:name="_Toc373227749"/>
      <w:bookmarkStart w:id="1243" w:name="_Toc478389240"/>
      <w:bookmarkStart w:id="1244" w:name="_Toc389065314"/>
      <w:bookmarkStart w:id="1245" w:name="_Toc406421001"/>
      <w:bookmarkStart w:id="1246" w:name="_Toc395382552"/>
      <w:bookmarkStart w:id="1247" w:name="_Toc303539160"/>
      <w:bookmarkStart w:id="1248" w:name="_Toc312678041"/>
      <w:bookmarkStart w:id="1249" w:name="_Toc304295580"/>
      <w:bookmarkStart w:id="1250" w:name="_Toc297216212"/>
      <w:bookmarkStart w:id="1251" w:name="_Toc300935003"/>
      <w:bookmarkStart w:id="1252" w:name="_Toc297123553"/>
      <w:bookmarkStart w:id="1253" w:name="_Toc300935004"/>
      <w:bookmarkStart w:id="1254" w:name="_Toc312678042"/>
      <w:bookmarkStart w:id="1255" w:name="_Toc297216213"/>
      <w:bookmarkStart w:id="1256" w:name="_Toc303539161"/>
      <w:bookmarkStart w:id="1257" w:name="_Toc304295581"/>
      <w:bookmarkStart w:id="1258" w:name="_Toc297123554"/>
      <w:bookmarkStart w:id="1259" w:name="_Toc296891247"/>
      <w:bookmarkStart w:id="1260" w:name="_Toc297120507"/>
      <w:bookmarkStart w:id="1261" w:name="_Toc296891035"/>
      <w:bookmarkStart w:id="1262" w:name="_Toc296346708"/>
      <w:bookmarkStart w:id="1263" w:name="_Toc297048393"/>
      <w:bookmarkStart w:id="1264" w:name="_Toc292559917"/>
      <w:bookmarkStart w:id="1265" w:name="_Toc292559412"/>
      <w:bookmarkStart w:id="1266" w:name="_Toc296944546"/>
      <w:bookmarkStart w:id="1267" w:name="_Toc296347206"/>
      <w:bookmarkStart w:id="1268" w:name="_Toc296503207"/>
      <w:r>
        <w:rPr>
          <w:rFonts w:hint="eastAsia" w:ascii="宋体" w:hAnsi="宋体" w:cs="宋体"/>
          <w:b/>
          <w:bCs/>
          <w:color w:val="auto"/>
          <w:kern w:val="44"/>
          <w:sz w:val="21"/>
          <w:szCs w:val="21"/>
          <w:highlight w:val="none"/>
        </w:rPr>
        <w:t>12.1 合</w:t>
      </w:r>
      <w:bookmarkEnd w:id="1229"/>
      <w:bookmarkEnd w:id="1230"/>
      <w:bookmarkEnd w:id="1231"/>
      <w:r>
        <w:rPr>
          <w:rFonts w:hint="eastAsia" w:ascii="宋体" w:hAnsi="宋体" w:cs="宋体"/>
          <w:b/>
          <w:bCs/>
          <w:color w:val="auto"/>
          <w:kern w:val="44"/>
          <w:sz w:val="21"/>
          <w:szCs w:val="21"/>
          <w:highlight w:val="none"/>
        </w:rPr>
        <w:t>同价</w:t>
      </w:r>
      <w:bookmarkEnd w:id="1232"/>
      <w:bookmarkEnd w:id="1233"/>
      <w:bookmarkEnd w:id="1234"/>
      <w:bookmarkEnd w:id="1235"/>
      <w:bookmarkEnd w:id="1236"/>
      <w:bookmarkEnd w:id="1237"/>
      <w:bookmarkEnd w:id="1238"/>
      <w:bookmarkEnd w:id="1239"/>
      <w:r>
        <w:rPr>
          <w:rFonts w:hint="eastAsia" w:ascii="宋体" w:hAnsi="宋体" w:cs="宋体"/>
          <w:b/>
          <w:bCs/>
          <w:color w:val="auto"/>
          <w:kern w:val="44"/>
          <w:sz w:val="21"/>
          <w:szCs w:val="21"/>
          <w:highlight w:val="none"/>
        </w:rPr>
        <w:t>格形式</w:t>
      </w:r>
      <w:bookmarkEnd w:id="1240"/>
      <w:bookmarkEnd w:id="1241"/>
      <w:bookmarkEnd w:id="1242"/>
      <w:bookmarkEnd w:id="1243"/>
      <w:bookmarkEnd w:id="1244"/>
      <w:bookmarkEnd w:id="1245"/>
      <w:bookmarkEnd w:id="1246"/>
    </w:p>
    <w:bookmarkEnd w:id="1247"/>
    <w:bookmarkEnd w:id="1248"/>
    <w:bookmarkEnd w:id="1249"/>
    <w:bookmarkEnd w:id="1250"/>
    <w:bookmarkEnd w:id="1251"/>
    <w:bookmarkEnd w:id="1252"/>
    <w:p w14:paraId="19A1833B">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（1）单价合同。</w:t>
      </w:r>
    </w:p>
    <w:p w14:paraId="643440DA">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本合同价款采用固定综合单价方式确定。</w:t>
      </w:r>
    </w:p>
    <w:p w14:paraId="43A8E3E8">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综合单价包含的风险范围：</w:t>
      </w:r>
      <w:r>
        <w:rPr>
          <w:rFonts w:hint="eastAsia" w:ascii="宋体" w:hAnsi="宋体" w:cs="宋体"/>
          <w:color w:val="auto"/>
          <w:sz w:val="21"/>
          <w:szCs w:val="21"/>
          <w:highlight w:val="none"/>
          <w:u w:val="single"/>
        </w:rPr>
        <w:t>除工程变更、政策性调整变动风险以外因素。</w:t>
      </w:r>
    </w:p>
    <w:p w14:paraId="413C06A9">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　</w:t>
      </w:r>
    </w:p>
    <w:p w14:paraId="36D850E5">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①工程变更：按10.4.1变更估价原则的约定调整。</w:t>
      </w:r>
    </w:p>
    <w:p w14:paraId="23A43051">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②政策性调整：按自治区建设行政主管部门颁布的文件执行。</w:t>
      </w:r>
    </w:p>
    <w:p w14:paraId="6CDE6612">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③材料价格风险：按11</w:t>
      </w:r>
      <w:r>
        <w:rPr>
          <w:rFonts w:hint="eastAsia" w:ascii="宋体" w:hAnsi="宋体" w:cs="宋体"/>
          <w:color w:val="auto"/>
          <w:sz w:val="21"/>
          <w:szCs w:val="21"/>
          <w:highlight w:val="none"/>
          <w:lang w:eastAsia="zh-CN"/>
        </w:rPr>
        <w:t>条</w:t>
      </w:r>
      <w:r>
        <w:rPr>
          <w:rFonts w:hint="eastAsia" w:ascii="宋体" w:hAnsi="宋体" w:cs="宋体"/>
          <w:color w:val="auto"/>
          <w:sz w:val="21"/>
          <w:szCs w:val="21"/>
          <w:highlight w:val="none"/>
        </w:rPr>
        <w:t>的约定调整。</w:t>
      </w:r>
    </w:p>
    <w:p w14:paraId="2AFEA7CB">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④其它：</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0677D5EA">
      <w:pPr>
        <w:keepNext/>
        <w:keepLines/>
        <w:spacing w:line="420" w:lineRule="exact"/>
        <w:ind w:firstLine="0" w:firstLineChars="0"/>
        <w:outlineLvl w:val="0"/>
        <w:rPr>
          <w:rFonts w:ascii="宋体" w:hAnsi="宋体" w:cs="宋体"/>
          <w:b/>
          <w:bCs/>
          <w:color w:val="auto"/>
          <w:kern w:val="44"/>
          <w:sz w:val="21"/>
          <w:szCs w:val="21"/>
          <w:highlight w:val="none"/>
        </w:rPr>
      </w:pPr>
      <w:bookmarkStart w:id="1269" w:name="_Toc417904327"/>
      <w:bookmarkStart w:id="1270" w:name="_Toc478389241"/>
      <w:r>
        <w:rPr>
          <w:rFonts w:hint="eastAsia" w:ascii="宋体" w:hAnsi="宋体" w:cs="宋体"/>
          <w:b/>
          <w:bCs/>
          <w:color w:val="auto"/>
          <w:kern w:val="44"/>
          <w:sz w:val="21"/>
          <w:szCs w:val="21"/>
          <w:highlight w:val="none"/>
        </w:rPr>
        <w:t>12.2 预付款</w:t>
      </w:r>
      <w:bookmarkEnd w:id="1269"/>
      <w:bookmarkEnd w:id="1270"/>
    </w:p>
    <w:bookmarkEnd w:id="1253"/>
    <w:bookmarkEnd w:id="1254"/>
    <w:bookmarkEnd w:id="1255"/>
    <w:bookmarkEnd w:id="1256"/>
    <w:bookmarkEnd w:id="1257"/>
    <w:bookmarkEnd w:id="1258"/>
    <w:p w14:paraId="3E562A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12.2.1 预付款的支付</w:t>
      </w:r>
    </w:p>
    <w:p w14:paraId="0A9DEF9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预付款支付比例或金额：</w:t>
      </w:r>
      <w:r>
        <w:rPr>
          <w:rFonts w:hint="eastAsia" w:ascii="宋体" w:hAnsi="宋体"/>
          <w:color w:val="auto"/>
          <w:sz w:val="21"/>
          <w:szCs w:val="21"/>
          <w:highlight w:val="none"/>
          <w:u w:val="single"/>
        </w:rPr>
        <w:t>/</w:t>
      </w:r>
      <w:r>
        <w:rPr>
          <w:rFonts w:hint="eastAsia" w:ascii="宋体" w:hAnsi="宋体" w:cs="宋体"/>
          <w:color w:val="auto"/>
          <w:sz w:val="21"/>
          <w:szCs w:val="21"/>
          <w:highlight w:val="none"/>
        </w:rPr>
        <w:t>。</w:t>
      </w:r>
    </w:p>
    <w:p w14:paraId="67FC965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预付款支付期限：</w:t>
      </w:r>
      <w:r>
        <w:rPr>
          <w:rFonts w:hint="eastAsia" w:ascii="宋体" w:hAnsi="宋体"/>
          <w:color w:val="auto"/>
          <w:sz w:val="21"/>
          <w:szCs w:val="21"/>
          <w:highlight w:val="none"/>
          <w:u w:val="single"/>
        </w:rPr>
        <w:t>/</w:t>
      </w:r>
      <w:r>
        <w:rPr>
          <w:rFonts w:hint="eastAsia" w:ascii="宋体" w:hAnsi="宋体" w:cs="宋体"/>
          <w:color w:val="auto"/>
          <w:sz w:val="21"/>
          <w:szCs w:val="21"/>
          <w:highlight w:val="none"/>
          <w:u w:val="single"/>
        </w:rPr>
        <w:t>。</w:t>
      </w:r>
    </w:p>
    <w:p w14:paraId="602093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预付款扣回的方式：</w:t>
      </w:r>
      <w:r>
        <w:rPr>
          <w:rFonts w:hint="eastAsia" w:ascii="宋体" w:hAnsi="宋体" w:cs="宋体"/>
          <w:color w:val="auto"/>
          <w:sz w:val="21"/>
          <w:szCs w:val="21"/>
          <w:highlight w:val="none"/>
          <w:u w:val="single"/>
        </w:rPr>
        <w:t>/。</w:t>
      </w:r>
    </w:p>
    <w:p w14:paraId="5CD2CD2D">
      <w:pPr>
        <w:spacing w:line="420" w:lineRule="exact"/>
        <w:ind w:firstLine="420"/>
        <w:outlineLvl w:val="0"/>
        <w:rPr>
          <w:rFonts w:ascii="宋体" w:hAnsi="宋体" w:cs="宋体"/>
          <w:color w:val="auto"/>
          <w:sz w:val="21"/>
          <w:szCs w:val="21"/>
          <w:highlight w:val="none"/>
        </w:rPr>
      </w:pPr>
      <w:bookmarkStart w:id="1271" w:name="_Toc406522273"/>
      <w:bookmarkStart w:id="1272" w:name="_Toc417904328"/>
      <w:bookmarkStart w:id="1273" w:name="_Toc406419397"/>
      <w:bookmarkStart w:id="1274" w:name="_Toc478389242"/>
      <w:r>
        <w:rPr>
          <w:rFonts w:hint="eastAsia" w:ascii="宋体" w:hAnsi="宋体" w:cs="宋体"/>
          <w:color w:val="auto"/>
          <w:sz w:val="21"/>
          <w:szCs w:val="21"/>
          <w:highlight w:val="none"/>
        </w:rPr>
        <w:t>12.2.2 预付款担保</w:t>
      </w:r>
      <w:bookmarkEnd w:id="1271"/>
      <w:bookmarkEnd w:id="1272"/>
      <w:bookmarkEnd w:id="1273"/>
      <w:bookmarkEnd w:id="1274"/>
    </w:p>
    <w:p w14:paraId="1E162FE9">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承包人提交预付款担保的期限：</w:t>
      </w:r>
      <w:r>
        <w:rPr>
          <w:rFonts w:hint="eastAsia" w:ascii="宋体" w:hAnsi="宋体" w:cs="宋体"/>
          <w:color w:val="auto"/>
          <w:sz w:val="21"/>
          <w:szCs w:val="21"/>
          <w:highlight w:val="none"/>
          <w:u w:val="single"/>
        </w:rPr>
        <w:t xml:space="preserve">  无。</w:t>
      </w:r>
    </w:p>
    <w:p w14:paraId="5438BB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预付款担保的形式为：</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259"/>
    <w:bookmarkEnd w:id="1260"/>
    <w:bookmarkEnd w:id="1261"/>
    <w:bookmarkEnd w:id="1262"/>
    <w:bookmarkEnd w:id="1263"/>
    <w:bookmarkEnd w:id="1264"/>
    <w:bookmarkEnd w:id="1265"/>
    <w:bookmarkEnd w:id="1266"/>
    <w:bookmarkEnd w:id="1267"/>
    <w:bookmarkEnd w:id="1268"/>
    <w:p w14:paraId="1F6E12BC">
      <w:pPr>
        <w:keepNext/>
        <w:keepLines/>
        <w:spacing w:line="420" w:lineRule="exact"/>
        <w:ind w:firstLine="0" w:firstLineChars="0"/>
        <w:outlineLvl w:val="0"/>
        <w:rPr>
          <w:rFonts w:ascii="宋体" w:hAnsi="宋体" w:cs="宋体"/>
          <w:b/>
          <w:bCs/>
          <w:color w:val="auto"/>
          <w:kern w:val="44"/>
          <w:sz w:val="21"/>
          <w:szCs w:val="21"/>
          <w:highlight w:val="none"/>
        </w:rPr>
      </w:pPr>
      <w:bookmarkStart w:id="1275" w:name="_Toc478389243"/>
      <w:bookmarkStart w:id="1276" w:name="_Toc417904329"/>
      <w:r>
        <w:rPr>
          <w:rFonts w:hint="eastAsia" w:ascii="宋体" w:hAnsi="宋体" w:cs="宋体"/>
          <w:b/>
          <w:bCs/>
          <w:color w:val="auto"/>
          <w:kern w:val="44"/>
          <w:sz w:val="21"/>
          <w:szCs w:val="21"/>
          <w:highlight w:val="none"/>
        </w:rPr>
        <w:t>12.3 计量</w:t>
      </w:r>
      <w:bookmarkEnd w:id="1275"/>
      <w:bookmarkEnd w:id="1276"/>
    </w:p>
    <w:p w14:paraId="5CD184AC">
      <w:pPr>
        <w:spacing w:line="390" w:lineRule="exact"/>
        <w:ind w:firstLine="422"/>
        <w:rPr>
          <w:rFonts w:ascii="宋体" w:hAnsi="宋体" w:cs="宋体"/>
          <w:b/>
          <w:bCs/>
          <w:color w:val="auto"/>
          <w:sz w:val="21"/>
          <w:szCs w:val="21"/>
          <w:highlight w:val="none"/>
          <w:u w:val="single"/>
        </w:rPr>
      </w:pPr>
      <w:bookmarkStart w:id="1277" w:name="_Toc406419399"/>
      <w:r>
        <w:rPr>
          <w:rFonts w:hint="eastAsia" w:ascii="宋体" w:hAnsi="宋体" w:cs="宋体"/>
          <w:b/>
          <w:bCs/>
          <w:color w:val="auto"/>
          <w:sz w:val="21"/>
          <w:szCs w:val="21"/>
          <w:highlight w:val="none"/>
          <w:u w:val="single"/>
        </w:rPr>
        <w:t>12.3.1 计量原则</w:t>
      </w:r>
    </w:p>
    <w:p w14:paraId="6CDB942C">
      <w:pPr>
        <w:spacing w:line="390" w:lineRule="exact"/>
        <w:ind w:firstLine="420"/>
        <w:rPr>
          <w:rFonts w:ascii="宋体" w:hAnsi="宋体" w:cs="宋体"/>
          <w:b/>
          <w:color w:val="auto"/>
          <w:sz w:val="21"/>
          <w:szCs w:val="21"/>
          <w:highlight w:val="none"/>
          <w:u w:val="single"/>
        </w:rPr>
      </w:pPr>
      <w:r>
        <w:rPr>
          <w:rFonts w:hint="eastAsia" w:ascii="宋体" w:hAnsi="宋体" w:cs="宋体"/>
          <w:bCs/>
          <w:color w:val="auto"/>
          <w:sz w:val="21"/>
          <w:szCs w:val="21"/>
          <w:highlight w:val="none"/>
          <w:u w:val="single"/>
        </w:rPr>
        <w:t>工程量计算规则：工程的计量均以《建设工程工程量清单计价规范》（</w:t>
      </w:r>
      <w:r>
        <w:rPr>
          <w:rFonts w:ascii="宋体" w:hAnsi="宋体" w:cs="宋体"/>
          <w:bCs/>
          <w:color w:val="auto"/>
          <w:sz w:val="21"/>
          <w:szCs w:val="21"/>
          <w:highlight w:val="none"/>
          <w:u w:val="single"/>
        </w:rPr>
        <w:t>GB50500</w:t>
      </w:r>
      <w:r>
        <w:rPr>
          <w:rFonts w:hint="eastAsia" w:ascii="宋体" w:hAnsi="宋体" w:cs="宋体"/>
          <w:bCs/>
          <w:color w:val="auto"/>
          <w:sz w:val="21"/>
          <w:szCs w:val="21"/>
          <w:highlight w:val="none"/>
          <w:u w:val="single"/>
        </w:rPr>
        <w:t>－</w:t>
      </w:r>
      <w:r>
        <w:rPr>
          <w:rFonts w:ascii="宋体" w:hAnsi="宋体" w:cs="宋体"/>
          <w:bCs/>
          <w:color w:val="auto"/>
          <w:sz w:val="21"/>
          <w:szCs w:val="21"/>
          <w:highlight w:val="none"/>
          <w:u w:val="single"/>
        </w:rPr>
        <w:t>2013</w:t>
      </w:r>
      <w:r>
        <w:rPr>
          <w:rFonts w:hint="eastAsia" w:ascii="宋体" w:hAnsi="宋体" w:cs="宋体"/>
          <w:bCs/>
          <w:color w:val="auto"/>
          <w:sz w:val="21"/>
          <w:szCs w:val="21"/>
          <w:highlight w:val="none"/>
          <w:u w:val="single"/>
        </w:rPr>
        <w:t>）及广西壮族自治区实施细则、《建设工程工程量清单计算规范》（</w:t>
      </w:r>
      <w:r>
        <w:rPr>
          <w:rFonts w:ascii="宋体" w:hAnsi="宋体" w:cs="宋体"/>
          <w:bCs/>
          <w:color w:val="auto"/>
          <w:sz w:val="21"/>
          <w:szCs w:val="21"/>
          <w:highlight w:val="none"/>
          <w:u w:val="single"/>
        </w:rPr>
        <w:t>GB50854~50862</w:t>
      </w:r>
      <w:r>
        <w:rPr>
          <w:rFonts w:hint="eastAsia" w:ascii="宋体" w:hAnsi="宋体" w:cs="宋体"/>
          <w:bCs/>
          <w:color w:val="auto"/>
          <w:sz w:val="21"/>
          <w:szCs w:val="21"/>
          <w:highlight w:val="none"/>
          <w:u w:val="single"/>
        </w:rPr>
        <w:t>－</w:t>
      </w:r>
      <w:r>
        <w:rPr>
          <w:rFonts w:ascii="宋体" w:hAnsi="宋体" w:cs="宋体"/>
          <w:bCs/>
          <w:color w:val="auto"/>
          <w:sz w:val="21"/>
          <w:szCs w:val="21"/>
          <w:highlight w:val="none"/>
          <w:u w:val="single"/>
        </w:rPr>
        <w:t>2013</w:t>
      </w:r>
      <w:r>
        <w:rPr>
          <w:rFonts w:hint="eastAsia" w:ascii="宋体" w:hAnsi="宋体" w:cs="宋体"/>
          <w:bCs/>
          <w:color w:val="auto"/>
          <w:sz w:val="21"/>
          <w:szCs w:val="21"/>
          <w:highlight w:val="none"/>
          <w:u w:val="single"/>
        </w:rPr>
        <w:t>）及广西实施细则、本工程补充项目清单为准。</w:t>
      </w:r>
    </w:p>
    <w:p w14:paraId="3ED04615">
      <w:pPr>
        <w:spacing w:line="420" w:lineRule="exact"/>
        <w:ind w:firstLine="420"/>
        <w:outlineLvl w:val="0"/>
        <w:rPr>
          <w:rFonts w:ascii="宋体" w:hAnsi="宋体" w:cs="宋体"/>
          <w:color w:val="auto"/>
          <w:sz w:val="21"/>
          <w:szCs w:val="21"/>
          <w:highlight w:val="none"/>
        </w:rPr>
      </w:pPr>
      <w:bookmarkStart w:id="1278" w:name="_Toc478389244"/>
      <w:bookmarkStart w:id="1279" w:name="_Toc406522275"/>
      <w:bookmarkStart w:id="1280" w:name="_Toc417904330"/>
      <w:r>
        <w:rPr>
          <w:rFonts w:hint="eastAsia" w:ascii="宋体" w:hAnsi="宋体" w:cs="宋体"/>
          <w:color w:val="auto"/>
          <w:sz w:val="21"/>
          <w:szCs w:val="21"/>
          <w:highlight w:val="none"/>
        </w:rPr>
        <w:t>12.3.2 计量周期</w:t>
      </w:r>
      <w:bookmarkEnd w:id="1277"/>
      <w:bookmarkEnd w:id="1278"/>
      <w:bookmarkEnd w:id="1279"/>
      <w:bookmarkEnd w:id="1280"/>
    </w:p>
    <w:p w14:paraId="571D754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关于计量周期的约定：</w:t>
      </w:r>
      <w:r>
        <w:rPr>
          <w:rFonts w:hint="eastAsia" w:ascii="宋体" w:hAnsi="宋体" w:cs="宋体"/>
          <w:color w:val="auto"/>
          <w:sz w:val="21"/>
          <w:szCs w:val="21"/>
          <w:highlight w:val="none"/>
          <w:u w:val="single"/>
        </w:rPr>
        <w:t>本合同的计量周期为月，每月25日为当月计量截止日期（不含当日）和下月计量起始日期（含当日）。</w:t>
      </w:r>
    </w:p>
    <w:p w14:paraId="202858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12.3.3 单价合同的计量</w:t>
      </w:r>
    </w:p>
    <w:p w14:paraId="46E41CB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关于单价合同计量的约定：</w:t>
      </w:r>
      <w:r>
        <w:rPr>
          <w:rFonts w:hint="eastAsia" w:ascii="宋体" w:hAnsi="宋体" w:cs="宋体"/>
          <w:color w:val="auto"/>
          <w:sz w:val="21"/>
          <w:szCs w:val="21"/>
          <w:highlight w:val="none"/>
          <w:u w:val="single"/>
        </w:rPr>
        <w:t xml:space="preserve">      按实际完成量           </w:t>
      </w:r>
      <w:r>
        <w:rPr>
          <w:rFonts w:hint="eastAsia" w:ascii="宋体" w:hAnsi="宋体" w:cs="宋体"/>
          <w:color w:val="auto"/>
          <w:sz w:val="21"/>
          <w:szCs w:val="21"/>
          <w:highlight w:val="none"/>
        </w:rPr>
        <w:t>。</w:t>
      </w:r>
    </w:p>
    <w:p w14:paraId="382EB408">
      <w:pPr>
        <w:spacing w:line="420" w:lineRule="exact"/>
        <w:ind w:firstLine="420"/>
        <w:outlineLvl w:val="0"/>
        <w:rPr>
          <w:rFonts w:ascii="宋体" w:hAnsi="宋体" w:cs="宋体"/>
          <w:color w:val="auto"/>
          <w:sz w:val="21"/>
          <w:szCs w:val="21"/>
          <w:highlight w:val="none"/>
        </w:rPr>
      </w:pPr>
      <w:bookmarkStart w:id="1281" w:name="_Toc417904331"/>
      <w:bookmarkStart w:id="1282" w:name="_Toc406522276"/>
      <w:bookmarkStart w:id="1283" w:name="_Toc478389245"/>
      <w:bookmarkStart w:id="1284" w:name="_Toc406419400"/>
      <w:r>
        <w:rPr>
          <w:rFonts w:hint="eastAsia" w:ascii="宋体" w:hAnsi="宋体" w:cs="宋体"/>
          <w:color w:val="auto"/>
          <w:sz w:val="21"/>
          <w:szCs w:val="21"/>
          <w:highlight w:val="none"/>
        </w:rPr>
        <w:t>12.3.4 总价合同的计量</w:t>
      </w:r>
      <w:bookmarkEnd w:id="1281"/>
      <w:bookmarkEnd w:id="1282"/>
      <w:bookmarkEnd w:id="1283"/>
      <w:bookmarkEnd w:id="1284"/>
    </w:p>
    <w:p w14:paraId="72BD74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关于总价合同计量的约定：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9199B5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12.3.5总价合同采用支付分解表计量支付的，是否适用第12.3.4项〔总价合同的计量〕约定进行计量：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66A492E">
      <w:pPr>
        <w:spacing w:line="420" w:lineRule="exact"/>
        <w:ind w:firstLine="420"/>
        <w:outlineLvl w:val="0"/>
        <w:rPr>
          <w:rFonts w:ascii="宋体" w:hAnsi="宋体" w:cs="宋体"/>
          <w:color w:val="auto"/>
          <w:sz w:val="21"/>
          <w:szCs w:val="21"/>
          <w:highlight w:val="none"/>
        </w:rPr>
      </w:pPr>
      <w:bookmarkStart w:id="1285" w:name="_Toc478389246"/>
      <w:bookmarkStart w:id="1286" w:name="_Toc406522277"/>
      <w:bookmarkStart w:id="1287" w:name="_Toc406419401"/>
      <w:bookmarkStart w:id="1288" w:name="_Toc417904332"/>
      <w:r>
        <w:rPr>
          <w:rFonts w:hint="eastAsia" w:ascii="宋体" w:hAnsi="宋体" w:cs="宋体"/>
          <w:color w:val="auto"/>
          <w:sz w:val="21"/>
          <w:szCs w:val="21"/>
          <w:highlight w:val="none"/>
        </w:rPr>
        <w:t>12.3.6 其他价格形式合同的计量</w:t>
      </w:r>
      <w:bookmarkEnd w:id="1285"/>
      <w:bookmarkEnd w:id="1286"/>
      <w:bookmarkEnd w:id="1287"/>
      <w:bookmarkEnd w:id="1288"/>
    </w:p>
    <w:p w14:paraId="06862F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其他价格形式的计量方式和程序：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4EC0BA6">
      <w:pPr>
        <w:keepNext/>
        <w:keepLines/>
        <w:spacing w:line="420" w:lineRule="exact"/>
        <w:ind w:firstLine="0" w:firstLineChars="0"/>
        <w:outlineLvl w:val="0"/>
        <w:rPr>
          <w:rFonts w:ascii="宋体" w:hAnsi="宋体" w:cs="宋体"/>
          <w:b/>
          <w:bCs/>
          <w:color w:val="auto"/>
          <w:kern w:val="44"/>
          <w:sz w:val="21"/>
          <w:szCs w:val="21"/>
          <w:highlight w:val="none"/>
        </w:rPr>
      </w:pPr>
      <w:bookmarkStart w:id="1289" w:name="_Toc478389247"/>
      <w:bookmarkStart w:id="1290" w:name="_Toc417904333"/>
      <w:r>
        <w:rPr>
          <w:rFonts w:hint="eastAsia" w:ascii="宋体" w:hAnsi="宋体" w:cs="宋体"/>
          <w:b/>
          <w:bCs/>
          <w:color w:val="auto"/>
          <w:kern w:val="44"/>
          <w:sz w:val="21"/>
          <w:szCs w:val="21"/>
          <w:highlight w:val="none"/>
        </w:rPr>
        <w:t>12.4 工程进度款支付</w:t>
      </w:r>
      <w:bookmarkEnd w:id="1289"/>
      <w:bookmarkEnd w:id="1290"/>
    </w:p>
    <w:p w14:paraId="4E87BA1E">
      <w:pPr>
        <w:spacing w:line="420" w:lineRule="exact"/>
        <w:ind w:firstLine="420"/>
        <w:rPr>
          <w:rFonts w:ascii="宋体" w:hAnsi="宋体" w:cs="宋体"/>
          <w:color w:val="auto"/>
          <w:sz w:val="21"/>
          <w:szCs w:val="21"/>
          <w:highlight w:val="none"/>
        </w:rPr>
      </w:pPr>
      <w:bookmarkStart w:id="1291" w:name="_Toc300935006"/>
      <w:bookmarkStart w:id="1292" w:name="_Toc297120511"/>
      <w:bookmarkStart w:id="1293" w:name="_Toc292559416"/>
      <w:bookmarkStart w:id="1294" w:name="_Toc303539163"/>
      <w:bookmarkStart w:id="1295" w:name="_Toc296891039"/>
      <w:bookmarkStart w:id="1296" w:name="_Toc296891251"/>
      <w:bookmarkStart w:id="1297" w:name="_Toc296944550"/>
      <w:bookmarkStart w:id="1298" w:name="_Toc296503211"/>
      <w:bookmarkStart w:id="1299" w:name="_Toc297123556"/>
      <w:bookmarkStart w:id="1300" w:name="_Toc297216215"/>
      <w:bookmarkStart w:id="1301" w:name="_Toc296347210"/>
      <w:bookmarkStart w:id="1302" w:name="_Toc297048397"/>
      <w:bookmarkStart w:id="1303" w:name="_Toc296346712"/>
      <w:bookmarkStart w:id="1304" w:name="_Toc292559921"/>
      <w:r>
        <w:rPr>
          <w:rFonts w:hint="eastAsia" w:ascii="宋体" w:hAnsi="宋体" w:cs="宋体"/>
          <w:color w:val="auto"/>
          <w:sz w:val="21"/>
          <w:szCs w:val="21"/>
          <w:highlight w:val="none"/>
        </w:rPr>
        <w:t>12.4.1 付款周期</w:t>
      </w:r>
    </w:p>
    <w:p w14:paraId="244123A5">
      <w:pPr>
        <w:spacing w:line="420" w:lineRule="exact"/>
        <w:ind w:firstLine="422"/>
        <w:outlineLvl w:val="0"/>
        <w:rPr>
          <w:rFonts w:hint="eastAsia" w:ascii="宋体" w:hAnsi="宋体" w:cs="宋体"/>
          <w:b w:val="0"/>
          <w:bCs/>
          <w:color w:val="auto"/>
          <w:sz w:val="21"/>
          <w:szCs w:val="21"/>
          <w:highlight w:val="none"/>
        </w:rPr>
      </w:pPr>
      <w:bookmarkStart w:id="1305" w:name="_Toc417904334"/>
      <w:bookmarkStart w:id="1306" w:name="_Toc406522279"/>
      <w:bookmarkStart w:id="1307" w:name="_Toc406419403"/>
      <w:bookmarkStart w:id="1308" w:name="_Toc478389248"/>
      <w:r>
        <w:rPr>
          <w:rFonts w:hint="eastAsia" w:ascii="宋体" w:hAnsi="宋体" w:cs="宋体"/>
          <w:b w:val="0"/>
          <w:bCs/>
          <w:color w:val="auto"/>
          <w:sz w:val="21"/>
          <w:szCs w:val="21"/>
          <w:highlight w:val="none"/>
        </w:rPr>
        <w:t>本项目无预付款，</w:t>
      </w:r>
      <w:r>
        <w:rPr>
          <w:rFonts w:hint="eastAsia" w:ascii="宋体" w:hAnsi="宋体" w:cs="宋体"/>
          <w:b w:val="0"/>
          <w:bCs/>
          <w:color w:val="auto"/>
          <w:sz w:val="21"/>
          <w:szCs w:val="21"/>
          <w:highlight w:val="none"/>
          <w:lang w:eastAsia="zh-CN"/>
        </w:rPr>
        <w:t>承包人施工</w:t>
      </w:r>
      <w:r>
        <w:rPr>
          <w:rFonts w:hint="eastAsia" w:ascii="宋体" w:hAnsi="宋体" w:cs="宋体"/>
          <w:b w:val="0"/>
          <w:bCs/>
          <w:color w:val="auto"/>
          <w:sz w:val="21"/>
          <w:szCs w:val="21"/>
          <w:highlight w:val="none"/>
        </w:rPr>
        <w:t>完毕、验收合格，并开具全额增值税发票后，可支付合同款的80%，</w:t>
      </w:r>
      <w:r>
        <w:rPr>
          <w:rFonts w:hint="eastAsia" w:ascii="宋体" w:hAnsi="宋体" w:cs="宋体"/>
          <w:b w:val="0"/>
          <w:bCs/>
          <w:color w:val="auto"/>
          <w:sz w:val="21"/>
          <w:szCs w:val="21"/>
          <w:highlight w:val="none"/>
          <w:lang w:eastAsia="zh-CN"/>
        </w:rPr>
        <w:t>送审结算完成</w:t>
      </w:r>
      <w:r>
        <w:rPr>
          <w:rFonts w:hint="eastAsia" w:ascii="宋体" w:hAnsi="宋体" w:cs="宋体"/>
          <w:b w:val="0"/>
          <w:bCs/>
          <w:color w:val="auto"/>
          <w:sz w:val="21"/>
          <w:szCs w:val="21"/>
          <w:highlight w:val="none"/>
        </w:rPr>
        <w:t>后支付</w:t>
      </w:r>
      <w:r>
        <w:rPr>
          <w:rFonts w:hint="eastAsia" w:ascii="宋体" w:hAnsi="宋体" w:cs="宋体"/>
          <w:b w:val="0"/>
          <w:bCs/>
          <w:color w:val="auto"/>
          <w:sz w:val="21"/>
          <w:szCs w:val="21"/>
          <w:highlight w:val="none"/>
          <w:lang w:eastAsia="zh-CN"/>
        </w:rPr>
        <w:t>至结算价</w:t>
      </w:r>
      <w:r>
        <w:rPr>
          <w:rFonts w:hint="eastAsia" w:ascii="宋体" w:hAnsi="宋体" w:cs="宋体"/>
          <w:b w:val="0"/>
          <w:bCs/>
          <w:color w:val="auto"/>
          <w:sz w:val="21"/>
          <w:szCs w:val="21"/>
          <w:highlight w:val="none"/>
        </w:rPr>
        <w:t>的97%工程款，</w:t>
      </w:r>
      <w:r>
        <w:rPr>
          <w:rFonts w:hint="eastAsia" w:ascii="宋体" w:hAnsi="宋体" w:cs="宋体"/>
          <w:b w:val="0"/>
          <w:bCs/>
          <w:color w:val="auto"/>
          <w:sz w:val="21"/>
          <w:szCs w:val="21"/>
          <w:highlight w:val="none"/>
          <w:lang w:eastAsia="zh-CN"/>
        </w:rPr>
        <w:t>预留结算价</w:t>
      </w:r>
      <w:r>
        <w:rPr>
          <w:rFonts w:hint="eastAsia" w:ascii="宋体" w:hAnsi="宋体" w:cs="宋体"/>
          <w:b w:val="0"/>
          <w:bCs/>
          <w:color w:val="auto"/>
          <w:sz w:val="21"/>
          <w:szCs w:val="21"/>
          <w:highlight w:val="none"/>
        </w:rPr>
        <w:t>的3%作为</w:t>
      </w:r>
      <w:r>
        <w:rPr>
          <w:rFonts w:hint="eastAsia" w:ascii="宋体" w:hAnsi="宋体" w:cs="宋体"/>
          <w:b w:val="0"/>
          <w:bCs/>
          <w:color w:val="auto"/>
          <w:sz w:val="21"/>
          <w:szCs w:val="21"/>
          <w:highlight w:val="none"/>
          <w:lang w:eastAsia="zh-CN"/>
        </w:rPr>
        <w:t>质量保证金</w:t>
      </w:r>
      <w:r>
        <w:rPr>
          <w:rFonts w:hint="eastAsia" w:ascii="宋体" w:hAnsi="宋体" w:cs="宋体"/>
          <w:b w:val="0"/>
          <w:bCs/>
          <w:color w:val="auto"/>
          <w:sz w:val="21"/>
          <w:szCs w:val="21"/>
          <w:highlight w:val="none"/>
        </w:rPr>
        <w:t>待</w:t>
      </w:r>
      <w:r>
        <w:rPr>
          <w:rFonts w:hint="eastAsia" w:ascii="宋体" w:hAnsi="宋体" w:cs="宋体"/>
          <w:b w:val="0"/>
          <w:bCs/>
          <w:color w:val="auto"/>
          <w:sz w:val="21"/>
          <w:szCs w:val="21"/>
          <w:highlight w:val="none"/>
          <w:lang w:eastAsia="zh-CN"/>
        </w:rPr>
        <w:t>缺陷责任期</w:t>
      </w:r>
      <w:r>
        <w:rPr>
          <w:rFonts w:hint="eastAsia" w:ascii="宋体" w:hAnsi="宋体" w:cs="宋体"/>
          <w:b w:val="0"/>
          <w:bCs/>
          <w:color w:val="auto"/>
          <w:sz w:val="21"/>
          <w:szCs w:val="21"/>
          <w:highlight w:val="none"/>
        </w:rPr>
        <w:t>满后一次性支付</w:t>
      </w:r>
      <w:r>
        <w:rPr>
          <w:rFonts w:hint="eastAsia" w:ascii="宋体" w:hAnsi="宋体" w:cs="宋体"/>
          <w:b w:val="0"/>
          <w:bCs/>
          <w:color w:val="auto"/>
          <w:sz w:val="21"/>
          <w:szCs w:val="21"/>
          <w:highlight w:val="none"/>
          <w:lang w:eastAsia="zh-CN"/>
        </w:rPr>
        <w:t>（无息）</w:t>
      </w:r>
      <w:r>
        <w:rPr>
          <w:rFonts w:hint="eastAsia" w:ascii="宋体" w:hAnsi="宋体" w:cs="宋体"/>
          <w:b w:val="0"/>
          <w:bCs/>
          <w:color w:val="auto"/>
          <w:sz w:val="21"/>
          <w:szCs w:val="21"/>
          <w:highlight w:val="none"/>
        </w:rPr>
        <w:t>。</w:t>
      </w:r>
    </w:p>
    <w:p w14:paraId="1299F274">
      <w:pPr>
        <w:spacing w:line="420" w:lineRule="exact"/>
        <w:ind w:firstLine="422"/>
        <w:outlineLvl w:val="0"/>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注：因</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支付的工程款为上级财政拨付，如上级财政未能按合同约定及时拨款至</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账户，</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付款期限则自动延期，且</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无需承担任何违约责任，付款时间更改为上级财政拨款至</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账户三日内。</w:t>
      </w:r>
    </w:p>
    <w:p w14:paraId="27439C81">
      <w:pPr>
        <w:spacing w:line="420" w:lineRule="exact"/>
        <w:ind w:firstLine="420"/>
        <w:outlineLvl w:val="0"/>
        <w:rPr>
          <w:rFonts w:ascii="宋体" w:hAnsi="宋体" w:cs="宋体"/>
          <w:color w:val="auto"/>
          <w:kern w:val="0"/>
          <w:sz w:val="21"/>
          <w:szCs w:val="21"/>
          <w:highlight w:val="none"/>
        </w:rPr>
      </w:pPr>
      <w:r>
        <w:rPr>
          <w:rFonts w:hint="eastAsia" w:ascii="宋体" w:hAnsi="宋体" w:cs="宋体"/>
          <w:color w:val="auto"/>
          <w:sz w:val="21"/>
          <w:szCs w:val="21"/>
          <w:highlight w:val="none"/>
        </w:rPr>
        <w:t>12.4.2 进度付款申请单的编制</w:t>
      </w:r>
      <w:bookmarkEnd w:id="1305"/>
      <w:bookmarkEnd w:id="1306"/>
      <w:bookmarkEnd w:id="1307"/>
      <w:bookmarkEnd w:id="1308"/>
    </w:p>
    <w:p w14:paraId="67D7D3F5">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关于进度付款申请单编制的约定：</w:t>
      </w:r>
      <w:r>
        <w:rPr>
          <w:rFonts w:hint="eastAsia" w:ascii="宋体" w:hAnsi="宋体" w:cs="宋体"/>
          <w:color w:val="auto"/>
          <w:sz w:val="21"/>
          <w:szCs w:val="21"/>
          <w:highlight w:val="none"/>
          <w:u w:val="single"/>
        </w:rPr>
        <w:t>承包人应在每个计量周期到期后的7天内向发包人提交已完工程进度款支付申请一式四份，详细说明此周期自己认为有权得到的款额，包括分包人已完工程的价款。</w:t>
      </w:r>
    </w:p>
    <w:p w14:paraId="5DEB48B3">
      <w:pPr>
        <w:spacing w:line="480" w:lineRule="exact"/>
        <w:ind w:firstLine="420"/>
        <w:rPr>
          <w:rFonts w:ascii="宋体" w:hAnsi="宋体" w:cs="宋体"/>
          <w:color w:val="auto"/>
          <w:sz w:val="21"/>
          <w:szCs w:val="21"/>
          <w:highlight w:val="none"/>
          <w:u w:val="single"/>
        </w:rPr>
      </w:pPr>
      <w:r>
        <w:rPr>
          <w:rFonts w:hint="eastAsia" w:ascii="宋体" w:hAnsi="宋体" w:cs="宋体"/>
          <w:bCs/>
          <w:color w:val="auto"/>
          <w:sz w:val="21"/>
          <w:szCs w:val="21"/>
          <w:highlight w:val="none"/>
        </w:rPr>
        <w:t>工程完工，具备验收条件后，</w:t>
      </w:r>
      <w:r>
        <w:rPr>
          <w:rFonts w:hint="eastAsia" w:ascii="宋体" w:hAnsi="宋体" w:cs="宋体"/>
          <w:color w:val="auto"/>
          <w:kern w:val="0"/>
          <w:sz w:val="21"/>
          <w:szCs w:val="21"/>
          <w:highlight w:val="none"/>
        </w:rPr>
        <w:t>经发包人或发包人委托的中介机构审定后方可办理工程结算或竣工决算。</w:t>
      </w:r>
    </w:p>
    <w:p w14:paraId="2650EE0B">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r>
        <w:rPr>
          <w:rFonts w:hint="eastAsia" w:ascii="宋体" w:hAnsi="宋体" w:cs="宋体"/>
          <w:color w:val="auto"/>
          <w:sz w:val="21"/>
          <w:szCs w:val="21"/>
          <w:highlight w:val="none"/>
        </w:rPr>
        <w:t>2.4.3 进度付款申请单的提交</w:t>
      </w:r>
    </w:p>
    <w:p w14:paraId="09C8EEDF">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（1）单价合同进度付款申请单提交的约定：</w:t>
      </w:r>
      <w:r>
        <w:rPr>
          <w:rFonts w:hint="eastAsia" w:ascii="宋体" w:hAnsi="宋体" w:cs="宋体"/>
          <w:color w:val="auto"/>
          <w:sz w:val="21"/>
          <w:szCs w:val="21"/>
          <w:highlight w:val="none"/>
          <w:u w:val="single"/>
        </w:rPr>
        <w:t xml:space="preserve">    按支付方式的进度　　 </w:t>
      </w:r>
      <w:r>
        <w:rPr>
          <w:rFonts w:hint="eastAsia" w:ascii="宋体" w:hAnsi="宋体" w:cs="宋体"/>
          <w:color w:val="auto"/>
          <w:sz w:val="21"/>
          <w:szCs w:val="21"/>
          <w:highlight w:val="none"/>
        </w:rPr>
        <w:t>。</w:t>
      </w:r>
    </w:p>
    <w:p w14:paraId="7C809070">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（2）总价合同进度付款申请单提交的约定：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B321810">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（3）其他价格形式合同进度付款申请单提交的约定：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BD215EB">
      <w:pPr>
        <w:spacing w:line="480" w:lineRule="exact"/>
        <w:ind w:firstLine="420"/>
        <w:outlineLvl w:val="0"/>
        <w:rPr>
          <w:rFonts w:ascii="宋体" w:hAnsi="宋体" w:cs="宋体"/>
          <w:color w:val="auto"/>
          <w:sz w:val="21"/>
          <w:szCs w:val="21"/>
          <w:highlight w:val="none"/>
        </w:rPr>
      </w:pPr>
      <w:bookmarkStart w:id="1309" w:name="_Toc406419404"/>
      <w:bookmarkStart w:id="1310" w:name="_Toc478389249"/>
      <w:bookmarkStart w:id="1311" w:name="_Toc417904335"/>
      <w:bookmarkStart w:id="1312" w:name="_Toc406522280"/>
      <w:r>
        <w:rPr>
          <w:rFonts w:hint="eastAsia" w:ascii="宋体" w:hAnsi="宋体" w:cs="宋体"/>
          <w:color w:val="auto"/>
          <w:sz w:val="21"/>
          <w:szCs w:val="21"/>
          <w:highlight w:val="none"/>
        </w:rPr>
        <w:t>12.4.4 进度款审核和支付</w:t>
      </w:r>
      <w:bookmarkEnd w:id="1309"/>
      <w:bookmarkEnd w:id="1310"/>
      <w:bookmarkEnd w:id="1311"/>
      <w:bookmarkEnd w:id="1312"/>
    </w:p>
    <w:p w14:paraId="459FDF2B">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（1）监理人审查并报送发包人的期限：</w:t>
      </w:r>
      <w:r>
        <w:rPr>
          <w:rFonts w:hint="eastAsia" w:ascii="宋体" w:hAnsi="宋体" w:cs="宋体"/>
          <w:color w:val="auto"/>
          <w:sz w:val="21"/>
          <w:szCs w:val="21"/>
          <w:highlight w:val="none"/>
          <w:u w:val="single"/>
        </w:rPr>
        <w:t xml:space="preserve">  3天内　</w:t>
      </w:r>
      <w:r>
        <w:rPr>
          <w:rFonts w:hint="eastAsia" w:ascii="宋体" w:hAnsi="宋体" w:cs="宋体"/>
          <w:color w:val="auto"/>
          <w:sz w:val="21"/>
          <w:szCs w:val="21"/>
          <w:highlight w:val="none"/>
        </w:rPr>
        <w:t>。</w:t>
      </w:r>
    </w:p>
    <w:p w14:paraId="214145C5">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发包人完成审批并签发进度款支付证书的期限：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601E658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（2）发包人支付进度款的期限：</w:t>
      </w:r>
      <w:r>
        <w:rPr>
          <w:rFonts w:hint="eastAsia" w:ascii="宋体" w:hAnsi="宋体" w:cs="宋体"/>
          <w:color w:val="auto"/>
          <w:sz w:val="21"/>
          <w:szCs w:val="21"/>
          <w:highlight w:val="none"/>
          <w:u w:val="single"/>
        </w:rPr>
        <w:t xml:space="preserve">   承包人提出书面申请后30个工作日内    　　　</w:t>
      </w:r>
      <w:r>
        <w:rPr>
          <w:rFonts w:hint="eastAsia" w:ascii="宋体" w:hAnsi="宋体" w:cs="宋体"/>
          <w:color w:val="auto"/>
          <w:sz w:val="21"/>
          <w:szCs w:val="21"/>
          <w:highlight w:val="none"/>
        </w:rPr>
        <w:t>。</w:t>
      </w:r>
    </w:p>
    <w:p w14:paraId="092A4A36">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发包人逾期支付进度款的违约金的计算方式：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366D9C63">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12.4.6 支付分解表的编制</w:t>
      </w:r>
    </w:p>
    <w:p w14:paraId="2615403B">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cs="宋体"/>
          <w:color w:val="auto"/>
          <w:sz w:val="21"/>
          <w:szCs w:val="21"/>
          <w:highlight w:val="none"/>
        </w:rPr>
        <w:t>总价合同支付分解表的编制与审批：</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84DEF1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3.</w:t>
      </w:r>
      <w:r>
        <w:rPr>
          <w:rFonts w:hint="eastAsia" w:ascii="宋体" w:hAnsi="宋体" w:cs="宋体"/>
          <w:color w:val="auto"/>
          <w:sz w:val="21"/>
          <w:szCs w:val="21"/>
          <w:highlight w:val="none"/>
        </w:rPr>
        <w:t>单价合同的总价项目支付分解表的编制与审批：</w:t>
      </w:r>
      <w:r>
        <w:rPr>
          <w:rFonts w:hint="eastAsia" w:ascii="宋体" w:hAnsi="宋体" w:cs="宋体"/>
          <w:color w:val="auto"/>
          <w:sz w:val="21"/>
          <w:szCs w:val="21"/>
          <w:highlight w:val="none"/>
          <w:u w:val="single"/>
        </w:rPr>
        <w:t xml:space="preserve">    按支付方式      </w:t>
      </w:r>
      <w:r>
        <w:rPr>
          <w:rFonts w:hint="eastAsia" w:ascii="宋体" w:hAnsi="宋体" w:cs="宋体"/>
          <w:color w:val="auto"/>
          <w:sz w:val="21"/>
          <w:szCs w:val="21"/>
          <w:highlight w:val="none"/>
        </w:rPr>
        <w:t>。</w:t>
      </w:r>
    </w:p>
    <w:bookmarkEnd w:id="1105"/>
    <w:p w14:paraId="00DA7FDB">
      <w:pPr>
        <w:keepNext/>
        <w:keepLines/>
        <w:spacing w:line="480" w:lineRule="exact"/>
        <w:ind w:firstLine="0" w:firstLineChars="0"/>
        <w:outlineLvl w:val="0"/>
        <w:rPr>
          <w:rFonts w:ascii="宋体" w:hAnsi="宋体" w:cs="宋体"/>
          <w:b/>
          <w:bCs/>
          <w:color w:val="auto"/>
          <w:kern w:val="44"/>
          <w:sz w:val="21"/>
          <w:szCs w:val="21"/>
          <w:highlight w:val="none"/>
        </w:rPr>
      </w:pPr>
      <w:bookmarkStart w:id="1313" w:name="_Toc351203645"/>
      <w:bookmarkStart w:id="1314" w:name="_Toc478389250"/>
      <w:bookmarkStart w:id="1315" w:name="_Toc417904336"/>
      <w:bookmarkStart w:id="1316" w:name="_Toc296346720"/>
      <w:bookmarkStart w:id="1317" w:name="_Toc296347218"/>
      <w:bookmarkStart w:id="1318" w:name="_Toc292559424"/>
      <w:bookmarkStart w:id="1319" w:name="_Toc303539172"/>
      <w:bookmarkStart w:id="1320" w:name="_Toc296891259"/>
      <w:bookmarkStart w:id="1321" w:name="_Toc296891047"/>
      <w:bookmarkStart w:id="1322" w:name="_Toc297048405"/>
      <w:bookmarkStart w:id="1323" w:name="_Toc297216223"/>
      <w:bookmarkStart w:id="1324" w:name="_Toc312678053"/>
      <w:bookmarkStart w:id="1325" w:name="_Toc296503219"/>
      <w:bookmarkStart w:id="1326" w:name="_Toc292559929"/>
      <w:bookmarkStart w:id="1327" w:name="_Toc304295593"/>
      <w:bookmarkStart w:id="1328" w:name="_Toc296944558"/>
      <w:bookmarkStart w:id="1329" w:name="_Toc297123564"/>
      <w:bookmarkStart w:id="1330" w:name="_Toc300935015"/>
      <w:bookmarkStart w:id="1331" w:name="_Toc297120519"/>
      <w:r>
        <w:rPr>
          <w:rFonts w:hint="eastAsia" w:ascii="宋体" w:hAnsi="宋体" w:cs="宋体"/>
          <w:b/>
          <w:bCs/>
          <w:color w:val="auto"/>
          <w:kern w:val="44"/>
          <w:sz w:val="21"/>
          <w:szCs w:val="21"/>
          <w:highlight w:val="none"/>
        </w:rPr>
        <w:t>13. 验收</w:t>
      </w:r>
      <w:bookmarkEnd w:id="1313"/>
      <w:bookmarkEnd w:id="1314"/>
      <w:bookmarkEnd w:id="1315"/>
    </w:p>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14:paraId="5967AC01">
      <w:pPr>
        <w:keepNext/>
        <w:keepLines/>
        <w:spacing w:line="480" w:lineRule="exact"/>
        <w:ind w:firstLine="0" w:firstLineChars="0"/>
        <w:outlineLvl w:val="0"/>
        <w:rPr>
          <w:rFonts w:ascii="宋体" w:hAnsi="宋体" w:cs="宋体"/>
          <w:b/>
          <w:bCs/>
          <w:color w:val="auto"/>
          <w:kern w:val="44"/>
          <w:sz w:val="21"/>
          <w:szCs w:val="21"/>
          <w:highlight w:val="none"/>
        </w:rPr>
      </w:pPr>
      <w:bookmarkStart w:id="1332" w:name="_Toc417904337"/>
      <w:bookmarkStart w:id="1333" w:name="_Toc478389251"/>
      <w:r>
        <w:rPr>
          <w:rFonts w:hint="eastAsia" w:ascii="宋体" w:hAnsi="宋体" w:cs="宋体"/>
          <w:b/>
          <w:bCs/>
          <w:color w:val="auto"/>
          <w:kern w:val="44"/>
          <w:sz w:val="21"/>
          <w:szCs w:val="21"/>
          <w:highlight w:val="none"/>
        </w:rPr>
        <w:t>13.1 分部分项工程验收</w:t>
      </w:r>
      <w:bookmarkEnd w:id="1332"/>
      <w:bookmarkEnd w:id="1333"/>
    </w:p>
    <w:p w14:paraId="793E8C16">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13.1.2监理人不能按时进行验收时，应提前</w:t>
      </w:r>
      <w:r>
        <w:rPr>
          <w:rFonts w:hint="eastAsia" w:ascii="宋体" w:hAnsi="宋体" w:cs="宋体"/>
          <w:color w:val="auto"/>
          <w:sz w:val="21"/>
          <w:szCs w:val="21"/>
          <w:highlight w:val="none"/>
          <w:u w:val="single"/>
        </w:rPr>
        <w:t xml:space="preserve">  24   </w:t>
      </w:r>
      <w:r>
        <w:rPr>
          <w:rFonts w:hint="eastAsia" w:ascii="宋体" w:hAnsi="宋体" w:cs="宋体"/>
          <w:color w:val="auto"/>
          <w:sz w:val="21"/>
          <w:szCs w:val="21"/>
          <w:highlight w:val="none"/>
        </w:rPr>
        <w:t>小时提交书面延期要求。</w:t>
      </w:r>
    </w:p>
    <w:p w14:paraId="6F91189B">
      <w:pPr>
        <w:spacing w:line="48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关于延期最长不得超过：</w:t>
      </w:r>
      <w:r>
        <w:rPr>
          <w:rFonts w:hint="eastAsia" w:ascii="宋体" w:hAnsi="宋体" w:cs="宋体"/>
          <w:color w:val="auto"/>
          <w:sz w:val="21"/>
          <w:szCs w:val="21"/>
          <w:highlight w:val="none"/>
          <w:u w:val="single"/>
        </w:rPr>
        <w:t xml:space="preserve">    48    </w:t>
      </w:r>
      <w:r>
        <w:rPr>
          <w:rFonts w:hint="eastAsia" w:ascii="宋体" w:hAnsi="宋体" w:cs="宋体"/>
          <w:color w:val="auto"/>
          <w:sz w:val="21"/>
          <w:szCs w:val="21"/>
          <w:highlight w:val="none"/>
        </w:rPr>
        <w:t>小时。</w:t>
      </w:r>
    </w:p>
    <w:p w14:paraId="2C69F2D0">
      <w:pPr>
        <w:keepNext/>
        <w:keepLines/>
        <w:spacing w:line="480" w:lineRule="exact"/>
        <w:ind w:firstLine="0" w:firstLineChars="0"/>
        <w:outlineLvl w:val="0"/>
        <w:rPr>
          <w:rFonts w:ascii="宋体" w:hAnsi="宋体" w:cs="宋体"/>
          <w:b/>
          <w:bCs/>
          <w:color w:val="auto"/>
          <w:kern w:val="44"/>
          <w:sz w:val="21"/>
          <w:szCs w:val="21"/>
          <w:highlight w:val="none"/>
        </w:rPr>
      </w:pPr>
      <w:bookmarkStart w:id="1334" w:name="_Toc417904338"/>
      <w:bookmarkStart w:id="1335" w:name="_Toc478389252"/>
      <w:bookmarkStart w:id="1336" w:name="_Toc297216224"/>
      <w:bookmarkStart w:id="1337" w:name="_Toc297048409"/>
      <w:bookmarkStart w:id="1338" w:name="_Toc303539173"/>
      <w:bookmarkStart w:id="1339" w:name="_Toc292559428"/>
      <w:bookmarkStart w:id="1340" w:name="_Toc292559933"/>
      <w:bookmarkStart w:id="1341" w:name="_Toc312678056"/>
      <w:bookmarkStart w:id="1342" w:name="_Toc296891263"/>
      <w:bookmarkStart w:id="1343" w:name="_Toc296346724"/>
      <w:bookmarkStart w:id="1344" w:name="_Toc296944562"/>
      <w:bookmarkStart w:id="1345" w:name="_Toc300935016"/>
      <w:bookmarkStart w:id="1346" w:name="_Toc304295596"/>
      <w:bookmarkStart w:id="1347" w:name="_Toc296347222"/>
      <w:bookmarkStart w:id="1348" w:name="_Toc297120523"/>
      <w:bookmarkStart w:id="1349" w:name="_Toc297123565"/>
      <w:bookmarkStart w:id="1350" w:name="_Toc296503223"/>
      <w:bookmarkStart w:id="1351" w:name="_Toc296891051"/>
      <w:bookmarkStart w:id="1352" w:name="_Toc267251472"/>
      <w:bookmarkStart w:id="1353" w:name="_Toc267251473"/>
      <w:bookmarkStart w:id="1354" w:name="_Toc267251476"/>
      <w:bookmarkStart w:id="1355" w:name="_Toc267251474"/>
      <w:bookmarkStart w:id="1356" w:name="_Toc267251470"/>
      <w:bookmarkStart w:id="1357" w:name="_Toc267251471"/>
      <w:bookmarkStart w:id="1358" w:name="_Toc267251475"/>
      <w:r>
        <w:rPr>
          <w:rFonts w:hint="eastAsia" w:ascii="宋体" w:hAnsi="宋体" w:cs="宋体"/>
          <w:b/>
          <w:bCs/>
          <w:color w:val="auto"/>
          <w:kern w:val="44"/>
          <w:sz w:val="21"/>
          <w:szCs w:val="21"/>
          <w:highlight w:val="none"/>
        </w:rPr>
        <w:t>13.2 竣工验收</w:t>
      </w:r>
      <w:bookmarkEnd w:id="1334"/>
      <w:bookmarkEnd w:id="1335"/>
    </w:p>
    <w:p w14:paraId="7794DCD1">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13.2.1竣工验收条件</w:t>
      </w:r>
    </w:p>
    <w:p w14:paraId="24E8342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（3）承包人负责整理和提交的竣工验收资料应当符合工程所在地建设行政主管部门和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城市建设档案管理机构有关施工资料的要求，具体内容包括：</w:t>
      </w:r>
      <w:r>
        <w:rPr>
          <w:rFonts w:hint="eastAsia" w:ascii="宋体" w:hAnsi="宋体" w:cs="宋体"/>
          <w:color w:val="auto"/>
          <w:sz w:val="21"/>
          <w:szCs w:val="21"/>
          <w:highlight w:val="none"/>
          <w:u w:val="single"/>
        </w:rPr>
        <w:t>①工程具备竣工验收条件，承包人按工程竣工验收有关规定，向发包人提交符合城建档案馆归档要求内容装订成册的完整竣工资料及竣工验收报告、工程竣工图；②承包人所提交的竣工资料必须符合《建设工程文件归档整理规范》要求</w:t>
      </w:r>
      <w:r>
        <w:rPr>
          <w:rFonts w:hint="eastAsia" w:ascii="宋体" w:hAnsi="宋体" w:cs="宋体"/>
          <w:color w:val="auto"/>
          <w:sz w:val="21"/>
          <w:szCs w:val="21"/>
          <w:highlight w:val="none"/>
        </w:rPr>
        <w:t>。</w:t>
      </w:r>
    </w:p>
    <w:p w14:paraId="7B25FB02">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竣工验收资料的份数：</w:t>
      </w:r>
      <w:r>
        <w:rPr>
          <w:rFonts w:hint="eastAsia" w:ascii="宋体" w:hAnsi="宋体" w:cs="宋体"/>
          <w:color w:val="auto"/>
          <w:sz w:val="21"/>
          <w:szCs w:val="21"/>
          <w:highlight w:val="none"/>
          <w:u w:val="single"/>
        </w:rPr>
        <w:t xml:space="preserve">   4份     </w:t>
      </w:r>
      <w:r>
        <w:rPr>
          <w:rFonts w:hint="eastAsia" w:ascii="宋体" w:hAnsi="宋体" w:cs="宋体"/>
          <w:color w:val="auto"/>
          <w:sz w:val="21"/>
          <w:szCs w:val="21"/>
          <w:highlight w:val="none"/>
        </w:rPr>
        <w:t>。</w:t>
      </w:r>
    </w:p>
    <w:p w14:paraId="7B1B6E10">
      <w:pPr>
        <w:spacing w:line="48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承包人提供竣工图的约定：</w:t>
      </w:r>
      <w:r>
        <w:rPr>
          <w:rFonts w:hint="eastAsia" w:ascii="宋体" w:hAnsi="宋体" w:cs="宋体"/>
          <w:bCs/>
          <w:color w:val="auto"/>
          <w:sz w:val="21"/>
          <w:szCs w:val="21"/>
          <w:highlight w:val="none"/>
          <w:u w:val="single"/>
        </w:rPr>
        <w:t>竣工验收正式通过后5天（工程造价在500万元以下含500万元）、10天（工程造价在500万元至1000万元之间含1000万元）、15天（工程造价在1000万元以上），提供竣工图的数量6套。</w:t>
      </w:r>
    </w:p>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14:paraId="665A6335">
      <w:pPr>
        <w:spacing w:line="480" w:lineRule="exact"/>
        <w:ind w:firstLine="420"/>
        <w:rPr>
          <w:rFonts w:ascii="宋体" w:hAnsi="宋体" w:cs="宋体"/>
          <w:color w:val="auto"/>
          <w:sz w:val="21"/>
          <w:szCs w:val="21"/>
          <w:highlight w:val="none"/>
        </w:rPr>
      </w:pPr>
      <w:bookmarkStart w:id="1359" w:name="_Toc280868704"/>
      <w:bookmarkStart w:id="1360" w:name="_Toc280868705"/>
      <w:bookmarkStart w:id="1361" w:name="_Toc280868706"/>
      <w:bookmarkStart w:id="1362" w:name="_Toc280868707"/>
      <w:bookmarkStart w:id="1363" w:name="_Toc280868708"/>
      <w:bookmarkStart w:id="1364" w:name="_Toc280868709"/>
      <w:r>
        <w:rPr>
          <w:rFonts w:hint="eastAsia" w:ascii="宋体" w:hAnsi="宋体" w:cs="宋体"/>
          <w:color w:val="auto"/>
          <w:sz w:val="21"/>
          <w:szCs w:val="21"/>
          <w:highlight w:val="none"/>
        </w:rPr>
        <w:t>13.2.2竣工验收程序</w:t>
      </w:r>
    </w:p>
    <w:bookmarkEnd w:id="1359"/>
    <w:p w14:paraId="349CCAC9">
      <w:pPr>
        <w:spacing w:line="480" w:lineRule="exact"/>
        <w:ind w:firstLine="42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关于竣工验收程序的约定：</w:t>
      </w:r>
      <w:r>
        <w:rPr>
          <w:rFonts w:hint="eastAsia" w:ascii="宋体" w:hAnsi="宋体" w:cs="宋体"/>
          <w:color w:val="auto"/>
          <w:sz w:val="21"/>
          <w:szCs w:val="21"/>
          <w:highlight w:val="none"/>
          <w:u w:val="single"/>
          <w:lang w:val="en-US" w:eastAsia="zh-CN"/>
        </w:rPr>
        <w:t>1.</w:t>
      </w:r>
      <w:r>
        <w:rPr>
          <w:rFonts w:hint="eastAsia" w:ascii="宋体" w:hAnsi="宋体" w:cs="宋体"/>
          <w:color w:val="auto"/>
          <w:sz w:val="21"/>
          <w:szCs w:val="21"/>
          <w:highlight w:val="none"/>
          <w:u w:val="single"/>
        </w:rPr>
        <w:t>按国家及地方规</w:t>
      </w:r>
      <w:r>
        <w:rPr>
          <w:rFonts w:hint="eastAsia" w:ascii="宋体" w:hAnsi="宋体" w:eastAsia="宋体" w:cs="宋体"/>
          <w:color w:val="auto"/>
          <w:sz w:val="21"/>
          <w:szCs w:val="21"/>
          <w:highlight w:val="none"/>
          <w:u w:val="single"/>
        </w:rPr>
        <w:t>定和规范要求。</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eastAsia="zh-CN"/>
        </w:rPr>
        <w:t>承包人须</w:t>
      </w:r>
      <w:r>
        <w:rPr>
          <w:rFonts w:hint="eastAsia" w:ascii="宋体" w:hAnsi="宋体" w:eastAsia="宋体" w:cs="宋体"/>
          <w:color w:val="auto"/>
          <w:sz w:val="21"/>
          <w:szCs w:val="21"/>
          <w:highlight w:val="none"/>
          <w:u w:val="single"/>
        </w:rPr>
        <w:t>根据设计图纸要求</w:t>
      </w:r>
      <w:r>
        <w:rPr>
          <w:rFonts w:hint="eastAsia" w:ascii="宋体" w:hAnsi="宋体" w:cs="宋体"/>
          <w:color w:val="auto"/>
          <w:sz w:val="21"/>
          <w:szCs w:val="21"/>
          <w:highlight w:val="none"/>
          <w:u w:val="single"/>
          <w:lang w:eastAsia="zh-CN"/>
        </w:rPr>
        <w:t>进行施工</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可根据需要，由</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安排人员随机取样送第三方检测</w:t>
      </w:r>
      <w:r>
        <w:rPr>
          <w:rFonts w:hint="eastAsia" w:ascii="宋体" w:hAnsi="宋体" w:eastAsia="宋体" w:cs="宋体"/>
          <w:color w:val="auto"/>
          <w:sz w:val="21"/>
          <w:szCs w:val="21"/>
          <w:highlight w:val="none"/>
          <w:u w:val="single"/>
          <w:lang w:eastAsia="zh-CN"/>
        </w:rPr>
        <w:t>机构进行</w:t>
      </w:r>
      <w:r>
        <w:rPr>
          <w:rFonts w:hint="eastAsia" w:ascii="宋体" w:hAnsi="宋体" w:eastAsia="宋体" w:cs="宋体"/>
          <w:color w:val="auto"/>
          <w:sz w:val="21"/>
          <w:szCs w:val="21"/>
          <w:highlight w:val="none"/>
          <w:u w:val="single"/>
        </w:rPr>
        <w:t>检测</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检测合格</w:t>
      </w:r>
      <w:r>
        <w:rPr>
          <w:rFonts w:hint="eastAsia" w:ascii="宋体" w:hAnsi="宋体" w:eastAsia="宋体" w:cs="宋体"/>
          <w:color w:val="auto"/>
          <w:sz w:val="21"/>
          <w:szCs w:val="21"/>
          <w:highlight w:val="none"/>
          <w:u w:val="single"/>
          <w:lang w:eastAsia="zh-CN"/>
        </w:rPr>
        <w:t>的</w:t>
      </w:r>
      <w:r>
        <w:rPr>
          <w:rFonts w:hint="eastAsia" w:ascii="宋体" w:hAnsi="宋体" w:eastAsia="宋体" w:cs="宋体"/>
          <w:color w:val="auto"/>
          <w:sz w:val="21"/>
          <w:szCs w:val="21"/>
          <w:highlight w:val="none"/>
          <w:u w:val="single"/>
        </w:rPr>
        <w:t>，检测费用由</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支付；如检测结果不合格，检测费用由</w:t>
      </w:r>
      <w:r>
        <w:rPr>
          <w:rFonts w:hint="eastAsia" w:ascii="宋体" w:hAnsi="宋体" w:eastAsia="宋体" w:cs="宋体"/>
          <w:color w:val="auto"/>
          <w:sz w:val="21"/>
          <w:szCs w:val="21"/>
          <w:highlight w:val="none"/>
          <w:u w:val="single"/>
          <w:lang w:eastAsia="zh-CN"/>
        </w:rPr>
        <w:t>承包人</w:t>
      </w:r>
      <w:r>
        <w:rPr>
          <w:rFonts w:hint="eastAsia" w:ascii="宋体" w:hAnsi="宋体" w:eastAsia="宋体" w:cs="宋体"/>
          <w:color w:val="auto"/>
          <w:sz w:val="21"/>
          <w:szCs w:val="21"/>
          <w:highlight w:val="none"/>
          <w:u w:val="single"/>
        </w:rPr>
        <w:t>支付且</w:t>
      </w:r>
      <w:r>
        <w:rPr>
          <w:rFonts w:hint="eastAsia" w:ascii="宋体" w:hAnsi="宋体" w:eastAsia="宋体" w:cs="宋体"/>
          <w:color w:val="auto"/>
          <w:sz w:val="21"/>
          <w:szCs w:val="21"/>
          <w:highlight w:val="none"/>
          <w:u w:val="single"/>
          <w:lang w:eastAsia="zh-CN"/>
        </w:rPr>
        <w:t>承包人负责</w:t>
      </w:r>
      <w:r>
        <w:rPr>
          <w:rFonts w:hint="eastAsia" w:ascii="宋体" w:hAnsi="宋体" w:eastAsia="宋体" w:cs="宋体"/>
          <w:color w:val="auto"/>
          <w:sz w:val="21"/>
          <w:szCs w:val="21"/>
          <w:highlight w:val="none"/>
          <w:u w:val="single"/>
        </w:rPr>
        <w:t>整改至合格为止</w:t>
      </w:r>
      <w:r>
        <w:rPr>
          <w:rFonts w:hint="eastAsia" w:ascii="宋体" w:hAnsi="宋体" w:eastAsia="宋体" w:cs="宋体"/>
          <w:color w:val="auto"/>
          <w:sz w:val="21"/>
          <w:szCs w:val="21"/>
          <w:highlight w:val="none"/>
          <w:u w:val="single"/>
          <w:lang w:eastAsia="zh-CN"/>
        </w:rPr>
        <w:t>，所产生的费用由承包人自行承担</w:t>
      </w:r>
      <w:r>
        <w:rPr>
          <w:rFonts w:hint="eastAsia" w:ascii="宋体" w:hAnsi="宋体" w:eastAsia="宋体" w:cs="宋体"/>
          <w:color w:val="auto"/>
          <w:sz w:val="21"/>
          <w:szCs w:val="21"/>
          <w:highlight w:val="none"/>
          <w:u w:val="single"/>
        </w:rPr>
        <w:t>。</w:t>
      </w:r>
    </w:p>
    <w:p w14:paraId="7E1C5563">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发包人不按照本项约定组织竣工验收、颁发工程接收证书的违约金的计算方法：</w:t>
      </w:r>
      <w:r>
        <w:rPr>
          <w:rFonts w:hint="eastAsia" w:ascii="宋体" w:hAnsi="宋体" w:cs="宋体"/>
          <w:color w:val="auto"/>
          <w:sz w:val="21"/>
          <w:szCs w:val="21"/>
          <w:highlight w:val="none"/>
          <w:u w:val="single"/>
        </w:rPr>
        <w:t xml:space="preserve"> 无</w:t>
      </w:r>
      <w:r>
        <w:rPr>
          <w:rFonts w:hint="eastAsia" w:ascii="宋体" w:hAnsi="宋体" w:cs="宋体"/>
          <w:color w:val="auto"/>
          <w:sz w:val="21"/>
          <w:szCs w:val="21"/>
          <w:highlight w:val="none"/>
        </w:rPr>
        <w:t>。</w:t>
      </w:r>
    </w:p>
    <w:bookmarkEnd w:id="1360"/>
    <w:p w14:paraId="2004A509">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13.2.5移交、接收全部与部分工程</w:t>
      </w:r>
    </w:p>
    <w:bookmarkEnd w:id="1361"/>
    <w:p w14:paraId="6D3C1DA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承包人向发包人移交工程的期限：</w:t>
      </w:r>
      <w:r>
        <w:rPr>
          <w:rFonts w:hint="eastAsia" w:ascii="宋体" w:hAnsi="宋体" w:cs="宋体"/>
          <w:color w:val="auto"/>
          <w:sz w:val="21"/>
          <w:szCs w:val="21"/>
          <w:highlight w:val="none"/>
          <w:u w:val="single"/>
        </w:rPr>
        <w:t xml:space="preserve">  竣工验收后7天内   </w:t>
      </w:r>
      <w:r>
        <w:rPr>
          <w:rFonts w:hint="eastAsia" w:ascii="宋体" w:hAnsi="宋体" w:cs="宋体"/>
          <w:color w:val="auto"/>
          <w:sz w:val="21"/>
          <w:szCs w:val="21"/>
          <w:highlight w:val="none"/>
        </w:rPr>
        <w:t>。</w:t>
      </w:r>
    </w:p>
    <w:p w14:paraId="364AE2F7">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发包人未按本合同约定接收全部或部分工程的，违约金的计算方法为：</w:t>
      </w:r>
      <w:r>
        <w:rPr>
          <w:rFonts w:hint="eastAsia" w:ascii="宋体" w:hAnsi="宋体" w:cs="宋体"/>
          <w:color w:val="auto"/>
          <w:sz w:val="21"/>
          <w:szCs w:val="21"/>
          <w:highlight w:val="none"/>
          <w:u w:val="single"/>
        </w:rPr>
        <w:t xml:space="preserve"> 按延期工程造价万分之二，最高限额为延期工程造价2%　 </w:t>
      </w:r>
      <w:r>
        <w:rPr>
          <w:rFonts w:hint="eastAsia" w:ascii="宋体" w:hAnsi="宋体" w:cs="宋体"/>
          <w:color w:val="auto"/>
          <w:sz w:val="21"/>
          <w:szCs w:val="21"/>
          <w:highlight w:val="none"/>
        </w:rPr>
        <w:t>。</w:t>
      </w:r>
    </w:p>
    <w:bookmarkEnd w:id="1362"/>
    <w:p w14:paraId="71F20042">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承包人未按时移交工程的，违约金的计算方法为：</w:t>
      </w:r>
      <w:r>
        <w:rPr>
          <w:rFonts w:hint="eastAsia" w:ascii="宋体" w:hAnsi="宋体" w:cs="宋体"/>
          <w:color w:val="auto"/>
          <w:sz w:val="21"/>
          <w:szCs w:val="21"/>
          <w:highlight w:val="none"/>
          <w:u w:val="single"/>
        </w:rPr>
        <w:t xml:space="preserve">按延期工程造价万分之四，最高限额为延期工程造价2%   </w:t>
      </w:r>
      <w:r>
        <w:rPr>
          <w:rFonts w:hint="eastAsia" w:ascii="宋体" w:hAnsi="宋体" w:cs="宋体"/>
          <w:color w:val="auto"/>
          <w:sz w:val="21"/>
          <w:szCs w:val="21"/>
          <w:highlight w:val="none"/>
        </w:rPr>
        <w:t>。</w:t>
      </w:r>
    </w:p>
    <w:bookmarkEnd w:id="1363"/>
    <w:p w14:paraId="6C00DEB5">
      <w:pPr>
        <w:keepNext/>
        <w:keepLines/>
        <w:spacing w:line="480" w:lineRule="exact"/>
        <w:ind w:firstLine="0" w:firstLineChars="0"/>
        <w:outlineLvl w:val="0"/>
        <w:rPr>
          <w:rFonts w:ascii="宋体" w:hAnsi="宋体" w:cs="宋体"/>
          <w:b/>
          <w:bCs/>
          <w:color w:val="auto"/>
          <w:kern w:val="44"/>
          <w:sz w:val="21"/>
          <w:szCs w:val="21"/>
          <w:highlight w:val="none"/>
        </w:rPr>
      </w:pPr>
      <w:bookmarkStart w:id="1365" w:name="_Toc417904342"/>
      <w:bookmarkStart w:id="1366" w:name="_Toc478389253"/>
      <w:r>
        <w:rPr>
          <w:rFonts w:hint="eastAsia" w:ascii="宋体" w:hAnsi="宋体" w:cs="宋体"/>
          <w:b/>
          <w:bCs/>
          <w:color w:val="auto"/>
          <w:kern w:val="44"/>
          <w:sz w:val="21"/>
          <w:szCs w:val="21"/>
          <w:highlight w:val="none"/>
        </w:rPr>
        <w:t>13.6 竣工退场</w:t>
      </w:r>
      <w:bookmarkEnd w:id="1365"/>
      <w:bookmarkEnd w:id="1366"/>
    </w:p>
    <w:p w14:paraId="786CB3F8">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13.6.1 竣工退场</w:t>
      </w:r>
    </w:p>
    <w:p w14:paraId="7D4138C9">
      <w:pPr>
        <w:spacing w:line="48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承包人完成竣工退场的期限：</w:t>
      </w:r>
      <w:r>
        <w:rPr>
          <w:rFonts w:hint="eastAsia" w:ascii="宋体" w:hAnsi="宋体" w:cs="宋体"/>
          <w:color w:val="auto"/>
          <w:sz w:val="21"/>
          <w:szCs w:val="21"/>
          <w:highlight w:val="none"/>
        </w:rPr>
        <w:t>承包人按照通用合同条款规定撤离施工场地（现场）时，监理人和承包人应当办理永久工程和施工场地移交手续，移交手续以书面方式出具，并分别经过发包人、监理人和承包人的签认。</w:t>
      </w:r>
    </w:p>
    <w:p w14:paraId="4A2C756C">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缺陷责任期满时，承包人可以继续在施工场地保留的人员和施工设备以及最终撤离的期限：</w:t>
      </w:r>
      <w:r>
        <w:rPr>
          <w:rFonts w:hint="eastAsia" w:ascii="宋体" w:hAnsi="宋体" w:cs="宋体"/>
          <w:color w:val="auto"/>
          <w:sz w:val="21"/>
          <w:szCs w:val="21"/>
          <w:highlight w:val="none"/>
          <w:u w:val="single"/>
        </w:rPr>
        <w:t xml:space="preserve">同通用条款 </w:t>
      </w:r>
      <w:r>
        <w:rPr>
          <w:rFonts w:hint="eastAsia" w:ascii="宋体" w:hAnsi="宋体" w:cs="宋体"/>
          <w:color w:val="auto"/>
          <w:sz w:val="21"/>
          <w:szCs w:val="21"/>
          <w:highlight w:val="none"/>
        </w:rPr>
        <w:t>。</w:t>
      </w:r>
    </w:p>
    <w:p w14:paraId="26A19A8F">
      <w:pPr>
        <w:keepNext/>
        <w:keepLines/>
        <w:spacing w:line="480" w:lineRule="exact"/>
        <w:ind w:firstLine="0" w:firstLineChars="0"/>
        <w:outlineLvl w:val="0"/>
        <w:rPr>
          <w:rFonts w:ascii="宋体" w:hAnsi="宋体" w:cs="宋体"/>
          <w:b/>
          <w:bCs/>
          <w:color w:val="auto"/>
          <w:kern w:val="44"/>
          <w:sz w:val="21"/>
          <w:szCs w:val="21"/>
          <w:highlight w:val="none"/>
        </w:rPr>
      </w:pPr>
      <w:bookmarkStart w:id="1367" w:name="_Toc417904343"/>
      <w:bookmarkStart w:id="1368" w:name="_Toc351203646"/>
      <w:bookmarkStart w:id="1369" w:name="_Toc478389254"/>
      <w:r>
        <w:rPr>
          <w:rFonts w:hint="eastAsia" w:ascii="宋体" w:hAnsi="宋体" w:cs="宋体"/>
          <w:b/>
          <w:bCs/>
          <w:color w:val="auto"/>
          <w:kern w:val="44"/>
          <w:sz w:val="21"/>
          <w:szCs w:val="21"/>
          <w:highlight w:val="none"/>
        </w:rPr>
        <w:t>14. 竣工结算</w:t>
      </w:r>
      <w:bookmarkEnd w:id="1367"/>
      <w:bookmarkEnd w:id="1368"/>
      <w:bookmarkEnd w:id="1369"/>
    </w:p>
    <w:p w14:paraId="20B33020">
      <w:pPr>
        <w:keepNext/>
        <w:keepLines/>
        <w:spacing w:line="480" w:lineRule="exact"/>
        <w:ind w:firstLine="0" w:firstLineChars="0"/>
        <w:outlineLvl w:val="0"/>
        <w:rPr>
          <w:rFonts w:ascii="宋体" w:hAnsi="宋体" w:cs="宋体"/>
          <w:b/>
          <w:bCs/>
          <w:color w:val="auto"/>
          <w:kern w:val="44"/>
          <w:sz w:val="21"/>
          <w:szCs w:val="21"/>
          <w:highlight w:val="none"/>
        </w:rPr>
      </w:pPr>
      <w:bookmarkStart w:id="1370" w:name="_Toc417904344"/>
      <w:bookmarkStart w:id="1371" w:name="_Toc478389255"/>
      <w:r>
        <w:rPr>
          <w:rFonts w:hint="eastAsia" w:ascii="宋体" w:hAnsi="宋体" w:cs="宋体"/>
          <w:b/>
          <w:bCs/>
          <w:color w:val="auto"/>
          <w:kern w:val="44"/>
          <w:sz w:val="21"/>
          <w:szCs w:val="21"/>
          <w:highlight w:val="none"/>
        </w:rPr>
        <w:t>14.1 竣工结算申请</w:t>
      </w:r>
      <w:bookmarkEnd w:id="1370"/>
      <w:bookmarkEnd w:id="1371"/>
    </w:p>
    <w:p w14:paraId="1549FCBE">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承包人提交竣工结算申请单的期限：</w:t>
      </w:r>
      <w:r>
        <w:rPr>
          <w:rFonts w:hint="eastAsia" w:ascii="宋体" w:hAnsi="宋体" w:cs="宋体"/>
          <w:color w:val="auto"/>
          <w:sz w:val="21"/>
          <w:szCs w:val="21"/>
          <w:highlight w:val="none"/>
          <w:u w:val="single"/>
        </w:rPr>
        <w:t xml:space="preserve">  28天内 </w:t>
      </w:r>
      <w:r>
        <w:rPr>
          <w:rFonts w:hint="eastAsia" w:ascii="宋体" w:hAnsi="宋体" w:cs="宋体"/>
          <w:color w:val="auto"/>
          <w:sz w:val="21"/>
          <w:szCs w:val="21"/>
          <w:highlight w:val="none"/>
        </w:rPr>
        <w:t>。</w:t>
      </w:r>
    </w:p>
    <w:p w14:paraId="5271B294">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竣工结算申请单应包括的内容：</w:t>
      </w:r>
      <w:r>
        <w:rPr>
          <w:rFonts w:hint="eastAsia" w:ascii="宋体" w:hAnsi="宋体" w:cs="宋体"/>
          <w:color w:val="auto"/>
          <w:sz w:val="21"/>
          <w:szCs w:val="21"/>
          <w:highlight w:val="none"/>
          <w:u w:val="single"/>
        </w:rPr>
        <w:t xml:space="preserve">    已竣工完成的工程量  </w:t>
      </w:r>
      <w:r>
        <w:rPr>
          <w:rFonts w:hint="eastAsia" w:ascii="宋体" w:hAnsi="宋体" w:cs="宋体"/>
          <w:color w:val="auto"/>
          <w:sz w:val="21"/>
          <w:szCs w:val="21"/>
          <w:highlight w:val="none"/>
        </w:rPr>
        <w:t>。</w:t>
      </w:r>
    </w:p>
    <w:p w14:paraId="6EDCC263">
      <w:pPr>
        <w:keepNext/>
        <w:keepLines/>
        <w:spacing w:line="420" w:lineRule="exact"/>
        <w:ind w:firstLine="0" w:firstLineChars="0"/>
        <w:outlineLvl w:val="0"/>
        <w:rPr>
          <w:rFonts w:ascii="宋体" w:hAnsi="宋体" w:cs="宋体"/>
          <w:b/>
          <w:bCs/>
          <w:color w:val="auto"/>
          <w:kern w:val="44"/>
          <w:sz w:val="21"/>
          <w:szCs w:val="21"/>
          <w:highlight w:val="none"/>
        </w:rPr>
      </w:pPr>
      <w:bookmarkStart w:id="1372" w:name="_Toc478389256"/>
      <w:bookmarkStart w:id="1373" w:name="_Toc417904345"/>
      <w:r>
        <w:rPr>
          <w:rFonts w:hint="eastAsia" w:ascii="宋体" w:hAnsi="宋体" w:cs="宋体"/>
          <w:b/>
          <w:bCs/>
          <w:color w:val="auto"/>
          <w:kern w:val="44"/>
          <w:sz w:val="21"/>
          <w:szCs w:val="21"/>
          <w:highlight w:val="none"/>
        </w:rPr>
        <w:t>14.2 竣工结算审核</w:t>
      </w:r>
      <w:bookmarkEnd w:id="1372"/>
      <w:bookmarkEnd w:id="1373"/>
    </w:p>
    <w:p w14:paraId="261A3C03">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（1）本工程最终竣工结算需报审计部门审定，承包人所编制的工程竣工资料经发包人审核后，送到审计部门之日起，承包人所遗漏的与工程造价有关的资料不再作为结算审核依据，按自动放弃处理。</w:t>
      </w:r>
    </w:p>
    <w:p w14:paraId="577D163B">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（2）如承包人报送的工程结算总价过高，造成该结算审减率超过6%以上的，则超出6%以上部分的审核费由承包人承担，费用由发包人从承包人工程结算款中扣除。审减率=（送审造价-审定造价）/送审造价*100%。</w:t>
      </w:r>
    </w:p>
    <w:p w14:paraId="74CAB8C9">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（3）发包人竣工结算报告审查时间</w:t>
      </w:r>
    </w:p>
    <w:tbl>
      <w:tblPr>
        <w:tblStyle w:val="48"/>
        <w:tblW w:w="0" w:type="auto"/>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2835"/>
        <w:gridCol w:w="5245"/>
      </w:tblGrid>
      <w:tr w14:paraId="5A23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201FF1AE">
            <w:pPr>
              <w:spacing w:line="390" w:lineRule="exact"/>
              <w:ind w:right="-120" w:rightChars="-50" w:firstLine="0" w:firstLineChars="0"/>
              <w:rPr>
                <w:rFonts w:ascii="宋体" w:hAnsi="宋体" w:cs="宋体"/>
                <w:bCs/>
                <w:color w:val="auto"/>
                <w:sz w:val="21"/>
                <w:szCs w:val="21"/>
                <w:highlight w:val="none"/>
              </w:rPr>
            </w:pPr>
          </w:p>
        </w:tc>
        <w:tc>
          <w:tcPr>
            <w:tcW w:w="2835" w:type="dxa"/>
            <w:tcBorders>
              <w:top w:val="single" w:color="auto" w:sz="4" w:space="0"/>
              <w:left w:val="single" w:color="auto" w:sz="4" w:space="0"/>
              <w:bottom w:val="single" w:color="auto" w:sz="4" w:space="0"/>
              <w:right w:val="single" w:color="auto" w:sz="4" w:space="0"/>
            </w:tcBorders>
          </w:tcPr>
          <w:p w14:paraId="04876107">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工程竣工结算报告金额</w:t>
            </w:r>
          </w:p>
        </w:tc>
        <w:tc>
          <w:tcPr>
            <w:tcW w:w="5245" w:type="dxa"/>
            <w:tcBorders>
              <w:top w:val="single" w:color="auto" w:sz="4" w:space="0"/>
              <w:left w:val="single" w:color="auto" w:sz="4" w:space="0"/>
              <w:bottom w:val="single" w:color="auto" w:sz="4" w:space="0"/>
              <w:right w:val="single" w:color="auto" w:sz="4" w:space="0"/>
            </w:tcBorders>
          </w:tcPr>
          <w:p w14:paraId="58A20197">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发包人审查时间</w:t>
            </w:r>
          </w:p>
        </w:tc>
      </w:tr>
      <w:tr w14:paraId="5FE6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2B532222">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w:t>
            </w:r>
          </w:p>
        </w:tc>
        <w:tc>
          <w:tcPr>
            <w:tcW w:w="2835" w:type="dxa"/>
            <w:tcBorders>
              <w:top w:val="single" w:color="auto" w:sz="4" w:space="0"/>
              <w:left w:val="single" w:color="auto" w:sz="4" w:space="0"/>
              <w:bottom w:val="single" w:color="auto" w:sz="4" w:space="0"/>
              <w:right w:val="single" w:color="auto" w:sz="4" w:space="0"/>
            </w:tcBorders>
          </w:tcPr>
          <w:p w14:paraId="2F513111">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500万元以下</w:t>
            </w:r>
          </w:p>
        </w:tc>
        <w:tc>
          <w:tcPr>
            <w:tcW w:w="5245" w:type="dxa"/>
            <w:tcBorders>
              <w:top w:val="single" w:color="auto" w:sz="4" w:space="0"/>
              <w:left w:val="single" w:color="auto" w:sz="4" w:space="0"/>
              <w:bottom w:val="single" w:color="auto" w:sz="4" w:space="0"/>
              <w:right w:val="single" w:color="auto" w:sz="4" w:space="0"/>
            </w:tcBorders>
          </w:tcPr>
          <w:p w14:paraId="58D4344A">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从接到竣工结算报告和完整的竣工结算资料之日起20天</w:t>
            </w:r>
          </w:p>
        </w:tc>
      </w:tr>
      <w:tr w14:paraId="6EC8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34C39728">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w:t>
            </w:r>
          </w:p>
        </w:tc>
        <w:tc>
          <w:tcPr>
            <w:tcW w:w="2835" w:type="dxa"/>
            <w:tcBorders>
              <w:top w:val="single" w:color="auto" w:sz="4" w:space="0"/>
              <w:left w:val="single" w:color="auto" w:sz="4" w:space="0"/>
              <w:bottom w:val="single" w:color="auto" w:sz="4" w:space="0"/>
              <w:right w:val="single" w:color="auto" w:sz="4" w:space="0"/>
            </w:tcBorders>
          </w:tcPr>
          <w:p w14:paraId="4E8AAE20">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500万元-2000万元</w:t>
            </w:r>
          </w:p>
        </w:tc>
        <w:tc>
          <w:tcPr>
            <w:tcW w:w="5245" w:type="dxa"/>
            <w:tcBorders>
              <w:top w:val="single" w:color="auto" w:sz="4" w:space="0"/>
              <w:left w:val="single" w:color="auto" w:sz="4" w:space="0"/>
              <w:bottom w:val="single" w:color="auto" w:sz="4" w:space="0"/>
              <w:right w:val="single" w:color="auto" w:sz="4" w:space="0"/>
            </w:tcBorders>
          </w:tcPr>
          <w:p w14:paraId="3946DE3D">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从接到竣工结算报告和完整的竣工结算资料之日起30天</w:t>
            </w:r>
          </w:p>
        </w:tc>
      </w:tr>
      <w:tr w14:paraId="2257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1F740644">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w:t>
            </w:r>
          </w:p>
        </w:tc>
        <w:tc>
          <w:tcPr>
            <w:tcW w:w="2835" w:type="dxa"/>
            <w:tcBorders>
              <w:top w:val="single" w:color="auto" w:sz="4" w:space="0"/>
              <w:left w:val="single" w:color="auto" w:sz="4" w:space="0"/>
              <w:bottom w:val="single" w:color="auto" w:sz="4" w:space="0"/>
              <w:right w:val="single" w:color="auto" w:sz="4" w:space="0"/>
            </w:tcBorders>
          </w:tcPr>
          <w:p w14:paraId="41211494">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2000万元-5000万元</w:t>
            </w:r>
          </w:p>
        </w:tc>
        <w:tc>
          <w:tcPr>
            <w:tcW w:w="5245" w:type="dxa"/>
            <w:tcBorders>
              <w:top w:val="single" w:color="auto" w:sz="4" w:space="0"/>
              <w:left w:val="single" w:color="auto" w:sz="4" w:space="0"/>
              <w:bottom w:val="single" w:color="auto" w:sz="4" w:space="0"/>
              <w:right w:val="single" w:color="auto" w:sz="4" w:space="0"/>
            </w:tcBorders>
          </w:tcPr>
          <w:p w14:paraId="2D1F3C3F">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从接到竣工结算报告和完整的竣工结算资料之日起45天</w:t>
            </w:r>
          </w:p>
        </w:tc>
      </w:tr>
      <w:tr w14:paraId="6354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7F7A8CFC">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w:t>
            </w:r>
          </w:p>
        </w:tc>
        <w:tc>
          <w:tcPr>
            <w:tcW w:w="2835" w:type="dxa"/>
            <w:tcBorders>
              <w:top w:val="single" w:color="auto" w:sz="4" w:space="0"/>
              <w:left w:val="single" w:color="auto" w:sz="4" w:space="0"/>
              <w:bottom w:val="single" w:color="auto" w:sz="4" w:space="0"/>
              <w:right w:val="single" w:color="auto" w:sz="4" w:space="0"/>
            </w:tcBorders>
          </w:tcPr>
          <w:p w14:paraId="1B7F9410">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5000万元以上</w:t>
            </w:r>
          </w:p>
        </w:tc>
        <w:tc>
          <w:tcPr>
            <w:tcW w:w="5245" w:type="dxa"/>
            <w:tcBorders>
              <w:top w:val="single" w:color="auto" w:sz="4" w:space="0"/>
              <w:left w:val="single" w:color="auto" w:sz="4" w:space="0"/>
              <w:bottom w:val="single" w:color="auto" w:sz="4" w:space="0"/>
              <w:right w:val="single" w:color="auto" w:sz="4" w:space="0"/>
            </w:tcBorders>
          </w:tcPr>
          <w:p w14:paraId="085FEEAD">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从接到竣工结算报告和完整的竣工结算资料之日起60天</w:t>
            </w:r>
          </w:p>
        </w:tc>
      </w:tr>
    </w:tbl>
    <w:p w14:paraId="2B7EE49C">
      <w:pPr>
        <w:spacing w:line="420" w:lineRule="exact"/>
        <w:ind w:firstLine="420"/>
        <w:rPr>
          <w:rFonts w:ascii="宋体" w:hAnsi="宋体" w:cs="宋体"/>
          <w:bCs/>
          <w:color w:val="auto"/>
          <w:kern w:val="0"/>
          <w:sz w:val="21"/>
          <w:szCs w:val="21"/>
          <w:highlight w:val="none"/>
        </w:rPr>
      </w:pPr>
      <w:r>
        <w:rPr>
          <w:rFonts w:hint="eastAsia" w:ascii="宋体" w:hAnsi="宋体" w:cs="宋体"/>
          <w:bCs/>
          <w:color w:val="auto"/>
          <w:sz w:val="21"/>
          <w:szCs w:val="21"/>
          <w:highlight w:val="none"/>
        </w:rPr>
        <w:t>因承包人提供的结算资料不完整而需要补充或承包人不按时对账耽误时间时，审查时间应相应顺延；</w:t>
      </w:r>
    </w:p>
    <w:p w14:paraId="3E150D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发包人审批竣工付款申请单的期限：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p w14:paraId="48A3EBB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发包人完成竣工付款的期限：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p w14:paraId="5396CC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关于竣工付款证书异议部分复核的方式和程序：</w:t>
      </w:r>
      <w:r>
        <w:rPr>
          <w:rFonts w:hint="eastAsia" w:ascii="宋体" w:hAnsi="宋体" w:cs="宋体"/>
          <w:color w:val="auto"/>
          <w:sz w:val="21"/>
          <w:szCs w:val="21"/>
          <w:highlight w:val="none"/>
          <w:u w:val="single"/>
          <w:lang w:val="en-US" w:eastAsia="zh-CN"/>
        </w:rPr>
        <w:t xml:space="preserve">      /     </w:t>
      </w:r>
      <w:r>
        <w:rPr>
          <w:rFonts w:hint="eastAsia" w:ascii="宋体" w:hAnsi="宋体" w:cs="宋体"/>
          <w:color w:val="auto"/>
          <w:sz w:val="21"/>
          <w:szCs w:val="21"/>
          <w:highlight w:val="none"/>
        </w:rPr>
        <w:t>。</w:t>
      </w:r>
    </w:p>
    <w:p w14:paraId="5B3BE84E">
      <w:pPr>
        <w:keepNext/>
        <w:keepLines/>
        <w:spacing w:line="420" w:lineRule="exact"/>
        <w:ind w:firstLine="0" w:firstLineChars="0"/>
        <w:outlineLvl w:val="0"/>
        <w:rPr>
          <w:rFonts w:ascii="宋体" w:hAnsi="宋体" w:cs="宋体"/>
          <w:b/>
          <w:bCs/>
          <w:color w:val="auto"/>
          <w:kern w:val="44"/>
          <w:sz w:val="21"/>
          <w:szCs w:val="21"/>
          <w:highlight w:val="none"/>
        </w:rPr>
      </w:pPr>
      <w:bookmarkStart w:id="1374" w:name="_Toc478389257"/>
      <w:bookmarkStart w:id="1375" w:name="_Toc417904346"/>
      <w:r>
        <w:rPr>
          <w:rFonts w:hint="eastAsia" w:ascii="宋体" w:hAnsi="宋体" w:cs="宋体"/>
          <w:b/>
          <w:bCs/>
          <w:color w:val="auto"/>
          <w:kern w:val="44"/>
          <w:sz w:val="21"/>
          <w:szCs w:val="21"/>
          <w:highlight w:val="none"/>
        </w:rPr>
        <w:t>14.4 最终结清</w:t>
      </w:r>
      <w:bookmarkEnd w:id="1374"/>
      <w:bookmarkEnd w:id="1375"/>
    </w:p>
    <w:p w14:paraId="244BE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14.4.1 最终结清申请单</w:t>
      </w:r>
    </w:p>
    <w:p w14:paraId="0DF5A1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承包人提交最终结清申请单的份数：</w:t>
      </w:r>
      <w:r>
        <w:rPr>
          <w:rFonts w:hint="eastAsia" w:ascii="宋体" w:hAnsi="宋体" w:cs="宋体"/>
          <w:color w:val="auto"/>
          <w:sz w:val="21"/>
          <w:szCs w:val="21"/>
          <w:highlight w:val="none"/>
          <w:u w:val="single"/>
        </w:rPr>
        <w:t xml:space="preserve">  四份   </w:t>
      </w:r>
      <w:r>
        <w:rPr>
          <w:rFonts w:hint="eastAsia" w:ascii="宋体" w:hAnsi="宋体" w:cs="宋体"/>
          <w:color w:val="auto"/>
          <w:sz w:val="21"/>
          <w:szCs w:val="21"/>
          <w:highlight w:val="none"/>
        </w:rPr>
        <w:t>。</w:t>
      </w:r>
    </w:p>
    <w:p w14:paraId="2330A01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承包人提交最终结算申请单的期限：</w:t>
      </w:r>
      <w:r>
        <w:rPr>
          <w:rFonts w:hint="eastAsia" w:ascii="宋体" w:hAnsi="宋体" w:cs="宋体"/>
          <w:color w:val="auto"/>
          <w:sz w:val="21"/>
          <w:szCs w:val="21"/>
          <w:highlight w:val="none"/>
          <w:u w:val="single"/>
        </w:rPr>
        <w:t xml:space="preserve">   从接到竣工结算报告14天内    。 </w:t>
      </w:r>
    </w:p>
    <w:p w14:paraId="1B7AF5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14.4.2 最终结清证书和支付</w:t>
      </w:r>
    </w:p>
    <w:p w14:paraId="572D5E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（1）发包人完成最终结清申请单的审批并颁发最终结清证书的期限：</w:t>
      </w:r>
      <w:r>
        <w:rPr>
          <w:rFonts w:hint="eastAsia" w:ascii="宋体" w:hAnsi="宋体" w:cs="宋体"/>
          <w:color w:val="auto"/>
          <w:sz w:val="21"/>
          <w:szCs w:val="21"/>
          <w:highlight w:val="none"/>
          <w:u w:val="single"/>
        </w:rPr>
        <w:t xml:space="preserve">承包人提出书面申请14天内  </w:t>
      </w:r>
      <w:r>
        <w:rPr>
          <w:rFonts w:hint="eastAsia" w:ascii="宋体" w:hAnsi="宋体" w:cs="宋体"/>
          <w:color w:val="auto"/>
          <w:sz w:val="21"/>
          <w:szCs w:val="21"/>
          <w:highlight w:val="none"/>
        </w:rPr>
        <w:t>。</w:t>
      </w:r>
    </w:p>
    <w:p w14:paraId="0295059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（2）发包人完成支付的期限：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bookmarkEnd w:id="1352"/>
    <w:bookmarkEnd w:id="1353"/>
    <w:bookmarkEnd w:id="1354"/>
    <w:bookmarkEnd w:id="1355"/>
    <w:bookmarkEnd w:id="1356"/>
    <w:bookmarkEnd w:id="1357"/>
    <w:bookmarkEnd w:id="1358"/>
    <w:bookmarkEnd w:id="1364"/>
    <w:p w14:paraId="2A04FC74">
      <w:pPr>
        <w:keepNext/>
        <w:keepLines/>
        <w:spacing w:line="420" w:lineRule="exact"/>
        <w:ind w:firstLine="0" w:firstLineChars="0"/>
        <w:outlineLvl w:val="0"/>
        <w:rPr>
          <w:rFonts w:ascii="宋体" w:hAnsi="宋体" w:cs="宋体"/>
          <w:b/>
          <w:bCs/>
          <w:color w:val="auto"/>
          <w:kern w:val="44"/>
          <w:sz w:val="21"/>
          <w:szCs w:val="21"/>
          <w:highlight w:val="none"/>
        </w:rPr>
      </w:pPr>
      <w:bookmarkStart w:id="1376" w:name="_Toc351203647"/>
      <w:bookmarkStart w:id="1377" w:name="_Toc417904347"/>
      <w:bookmarkStart w:id="1378" w:name="_Toc478389258"/>
      <w:bookmarkStart w:id="1379" w:name="_Toc267251483"/>
      <w:bookmarkStart w:id="1380" w:name="_Toc267251484"/>
      <w:bookmarkStart w:id="1381" w:name="_Toc267251482"/>
      <w:bookmarkStart w:id="1382" w:name="_Toc267251485"/>
      <w:bookmarkStart w:id="1383" w:name="_Toc267251486"/>
      <w:bookmarkStart w:id="1384" w:name="_Toc267251489"/>
      <w:bookmarkStart w:id="1385" w:name="_Toc267251488"/>
      <w:bookmarkStart w:id="1386" w:name="_Toc267251490"/>
      <w:bookmarkStart w:id="1387" w:name="_Toc267251496"/>
      <w:bookmarkStart w:id="1388" w:name="_Toc267251491"/>
      <w:bookmarkStart w:id="1389" w:name="_Toc267251495"/>
      <w:bookmarkStart w:id="1390" w:name="_Toc267251497"/>
      <w:bookmarkStart w:id="1391" w:name="_Toc267251503"/>
      <w:bookmarkStart w:id="1392" w:name="_Toc267251498"/>
      <w:bookmarkStart w:id="1393" w:name="_Toc267251499"/>
      <w:bookmarkStart w:id="1394" w:name="_Toc267251493"/>
      <w:bookmarkStart w:id="1395" w:name="_Toc267251501"/>
      <w:bookmarkStart w:id="1396" w:name="_Toc267251502"/>
      <w:bookmarkStart w:id="1397" w:name="_Toc267251492"/>
      <w:bookmarkStart w:id="1398" w:name="_Toc267251494"/>
      <w:bookmarkStart w:id="1399" w:name="_Toc267251506"/>
      <w:bookmarkStart w:id="1400" w:name="_Toc267251504"/>
      <w:bookmarkStart w:id="1401" w:name="_Toc267251507"/>
      <w:bookmarkStart w:id="1402" w:name="_Toc267251508"/>
      <w:bookmarkStart w:id="1403" w:name="_Toc267251511"/>
      <w:bookmarkStart w:id="1404" w:name="_Toc267251513"/>
      <w:bookmarkStart w:id="1405" w:name="_Toc267251515"/>
      <w:bookmarkStart w:id="1406" w:name="_Toc267251514"/>
      <w:bookmarkStart w:id="1407" w:name="_Toc267251510"/>
      <w:bookmarkStart w:id="1408" w:name="_Toc267251509"/>
      <w:r>
        <w:rPr>
          <w:rFonts w:hint="eastAsia" w:ascii="宋体" w:hAnsi="宋体" w:cs="宋体"/>
          <w:b/>
          <w:bCs/>
          <w:color w:val="auto"/>
          <w:kern w:val="44"/>
          <w:sz w:val="21"/>
          <w:szCs w:val="21"/>
          <w:highlight w:val="none"/>
        </w:rPr>
        <w:t>15. 缺陷责任期与保修</w:t>
      </w:r>
      <w:bookmarkEnd w:id="1376"/>
      <w:bookmarkEnd w:id="1377"/>
      <w:bookmarkEnd w:id="1378"/>
    </w:p>
    <w:p w14:paraId="1C55AC43">
      <w:pPr>
        <w:keepNext/>
        <w:keepLines/>
        <w:spacing w:line="420" w:lineRule="exact"/>
        <w:ind w:firstLine="0" w:firstLineChars="0"/>
        <w:outlineLvl w:val="0"/>
        <w:rPr>
          <w:rFonts w:ascii="宋体" w:hAnsi="宋体" w:cs="宋体"/>
          <w:b/>
          <w:bCs/>
          <w:color w:val="auto"/>
          <w:kern w:val="44"/>
          <w:sz w:val="21"/>
          <w:szCs w:val="21"/>
          <w:highlight w:val="none"/>
        </w:rPr>
      </w:pPr>
      <w:bookmarkStart w:id="1409" w:name="_Toc417904348"/>
      <w:bookmarkStart w:id="1410" w:name="_Toc478389259"/>
      <w:r>
        <w:rPr>
          <w:rFonts w:hint="eastAsia" w:ascii="宋体" w:hAnsi="宋体" w:cs="宋体"/>
          <w:b/>
          <w:bCs/>
          <w:color w:val="auto"/>
          <w:kern w:val="44"/>
          <w:sz w:val="21"/>
          <w:szCs w:val="21"/>
          <w:highlight w:val="none"/>
        </w:rPr>
        <w:t>15.2缺陷责任期</w:t>
      </w:r>
      <w:bookmarkEnd w:id="1379"/>
      <w:bookmarkEnd w:id="1409"/>
      <w:bookmarkEnd w:id="1410"/>
    </w:p>
    <w:p w14:paraId="1DBE40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缺陷责任期的具体期限：</w:t>
      </w:r>
      <w:r>
        <w:rPr>
          <w:rFonts w:ascii="宋体" w:hAnsi="宋体" w:cs="宋体"/>
          <w:color w:val="auto"/>
          <w:sz w:val="21"/>
          <w:szCs w:val="21"/>
          <w:highlight w:val="none"/>
          <w:u w:val="single"/>
        </w:rPr>
        <w:t>2</w:t>
      </w:r>
      <w:r>
        <w:rPr>
          <w:rFonts w:hint="eastAsia" w:ascii="宋体" w:hAnsi="宋体" w:cs="宋体"/>
          <w:color w:val="auto"/>
          <w:sz w:val="21"/>
          <w:szCs w:val="21"/>
          <w:highlight w:val="none"/>
          <w:u w:val="single"/>
        </w:rPr>
        <w:t>年</w:t>
      </w:r>
    </w:p>
    <w:p w14:paraId="26C54CB4">
      <w:pPr>
        <w:keepNext/>
        <w:keepLines/>
        <w:spacing w:line="420" w:lineRule="exact"/>
        <w:ind w:firstLine="0" w:firstLineChars="0"/>
        <w:outlineLvl w:val="0"/>
        <w:rPr>
          <w:rFonts w:ascii="宋体" w:hAnsi="宋体" w:cs="宋体"/>
          <w:b/>
          <w:bCs/>
          <w:color w:val="auto"/>
          <w:kern w:val="44"/>
          <w:sz w:val="21"/>
          <w:szCs w:val="21"/>
          <w:highlight w:val="none"/>
        </w:rPr>
      </w:pPr>
      <w:bookmarkStart w:id="1411" w:name="_Toc478389260"/>
      <w:bookmarkStart w:id="1412" w:name="_Toc417904349"/>
      <w:r>
        <w:rPr>
          <w:rFonts w:hint="eastAsia" w:ascii="宋体" w:hAnsi="宋体" w:cs="宋体"/>
          <w:b/>
          <w:bCs/>
          <w:color w:val="auto"/>
          <w:kern w:val="44"/>
          <w:sz w:val="21"/>
          <w:szCs w:val="21"/>
          <w:highlight w:val="none"/>
        </w:rPr>
        <w:t>15.3 质量保证金</w:t>
      </w:r>
      <w:bookmarkEnd w:id="1411"/>
      <w:bookmarkEnd w:id="1412"/>
    </w:p>
    <w:p w14:paraId="7A1C4C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关于是否扣留质量保证金的约定：</w:t>
      </w:r>
      <w:r>
        <w:rPr>
          <w:rFonts w:hint="eastAsia" w:ascii="宋体" w:hAnsi="宋体" w:cs="宋体"/>
          <w:color w:val="auto"/>
          <w:sz w:val="21"/>
          <w:szCs w:val="21"/>
          <w:highlight w:val="none"/>
          <w:u w:val="single"/>
        </w:rPr>
        <w:t xml:space="preserve">    是      </w:t>
      </w:r>
      <w:r>
        <w:rPr>
          <w:rFonts w:hint="eastAsia" w:ascii="宋体" w:hAnsi="宋体" w:cs="宋体"/>
          <w:color w:val="auto"/>
          <w:sz w:val="21"/>
          <w:szCs w:val="21"/>
          <w:highlight w:val="none"/>
        </w:rPr>
        <w:t>。</w:t>
      </w:r>
    </w:p>
    <w:p w14:paraId="2ABF775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15.3.1 承包人提供质量保证金的方式</w:t>
      </w:r>
    </w:p>
    <w:p w14:paraId="0E51FF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质量保证金采用以下第</w:t>
      </w:r>
      <w:r>
        <w:rPr>
          <w:rFonts w:hint="eastAsia" w:ascii="宋体" w:hAnsi="宋体" w:cs="宋体"/>
          <w:color w:val="auto"/>
          <w:sz w:val="21"/>
          <w:szCs w:val="21"/>
          <w:highlight w:val="none"/>
          <w:u w:val="single"/>
        </w:rPr>
        <w:t xml:space="preserve"> （2）</w:t>
      </w:r>
      <w:r>
        <w:rPr>
          <w:rFonts w:hint="eastAsia" w:ascii="宋体" w:hAnsi="宋体" w:cs="宋体"/>
          <w:color w:val="auto"/>
          <w:sz w:val="21"/>
          <w:szCs w:val="21"/>
          <w:highlight w:val="none"/>
        </w:rPr>
        <w:t>种方式：</w:t>
      </w:r>
    </w:p>
    <w:p w14:paraId="7ABB02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（1）质量保证金保函，保证金额为：</w:t>
      </w:r>
      <w:r>
        <w:rPr>
          <w:rFonts w:hint="eastAsia" w:ascii="宋体" w:hAnsi="宋体" w:cs="宋体"/>
          <w:bCs/>
          <w:color w:val="auto"/>
          <w:sz w:val="21"/>
          <w:szCs w:val="21"/>
          <w:highlight w:val="none"/>
          <w:u w:val="single"/>
        </w:rPr>
        <w:t>/</w:t>
      </w:r>
      <w:r>
        <w:rPr>
          <w:rFonts w:hint="eastAsia" w:ascii="宋体" w:hAnsi="宋体" w:cs="宋体"/>
          <w:color w:val="auto"/>
          <w:sz w:val="21"/>
          <w:szCs w:val="21"/>
          <w:highlight w:val="none"/>
        </w:rPr>
        <w:t xml:space="preserve">； </w:t>
      </w:r>
    </w:p>
    <w:p w14:paraId="736A8B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（2）预留</w:t>
      </w:r>
      <w:r>
        <w:rPr>
          <w:rFonts w:hint="eastAsia" w:ascii="宋体" w:hAnsi="宋体" w:cs="宋体"/>
          <w:b w:val="0"/>
          <w:bCs/>
          <w:color w:val="auto"/>
          <w:sz w:val="21"/>
          <w:szCs w:val="21"/>
          <w:highlight w:val="none"/>
          <w:lang w:eastAsia="zh-CN"/>
        </w:rPr>
        <w:t>结算价</w:t>
      </w:r>
      <w:r>
        <w:rPr>
          <w:rFonts w:hint="eastAsia" w:ascii="宋体" w:hAnsi="宋体" w:cs="宋体"/>
          <w:b w:val="0"/>
          <w:bCs/>
          <w:color w:val="auto"/>
          <w:sz w:val="21"/>
          <w:szCs w:val="21"/>
          <w:highlight w:val="none"/>
        </w:rPr>
        <w:t>的3%作为</w:t>
      </w:r>
      <w:r>
        <w:rPr>
          <w:rFonts w:hint="eastAsia" w:ascii="宋体" w:hAnsi="宋体" w:cs="宋体"/>
          <w:b w:val="0"/>
          <w:bCs/>
          <w:color w:val="auto"/>
          <w:sz w:val="21"/>
          <w:szCs w:val="21"/>
          <w:highlight w:val="none"/>
          <w:lang w:eastAsia="zh-CN"/>
        </w:rPr>
        <w:t>质量保证金</w:t>
      </w:r>
      <w:r>
        <w:rPr>
          <w:rFonts w:hint="eastAsia" w:ascii="宋体" w:hAnsi="宋体" w:cs="宋体"/>
          <w:b w:val="0"/>
          <w:bCs/>
          <w:color w:val="auto"/>
          <w:sz w:val="21"/>
          <w:szCs w:val="21"/>
          <w:highlight w:val="none"/>
        </w:rPr>
        <w:t>待</w:t>
      </w:r>
      <w:r>
        <w:rPr>
          <w:rFonts w:hint="eastAsia" w:ascii="宋体" w:hAnsi="宋体" w:cs="宋体"/>
          <w:b w:val="0"/>
          <w:bCs/>
          <w:color w:val="auto"/>
          <w:sz w:val="21"/>
          <w:szCs w:val="21"/>
          <w:highlight w:val="none"/>
          <w:lang w:eastAsia="zh-CN"/>
        </w:rPr>
        <w:t>缺陷责任期</w:t>
      </w:r>
      <w:r>
        <w:rPr>
          <w:rFonts w:hint="eastAsia" w:ascii="宋体" w:hAnsi="宋体" w:cs="宋体"/>
          <w:b w:val="0"/>
          <w:bCs/>
          <w:color w:val="auto"/>
          <w:sz w:val="21"/>
          <w:szCs w:val="21"/>
          <w:highlight w:val="none"/>
        </w:rPr>
        <w:t>满后一次性支付</w:t>
      </w:r>
      <w:r>
        <w:rPr>
          <w:rFonts w:hint="eastAsia" w:ascii="宋体" w:hAnsi="宋体" w:cs="宋体"/>
          <w:b w:val="0"/>
          <w:bCs/>
          <w:color w:val="auto"/>
          <w:sz w:val="21"/>
          <w:szCs w:val="21"/>
          <w:highlight w:val="none"/>
          <w:lang w:eastAsia="zh-CN"/>
        </w:rPr>
        <w:t>（无息）</w:t>
      </w:r>
      <w:r>
        <w:rPr>
          <w:rFonts w:hint="eastAsia" w:ascii="宋体" w:hAnsi="宋体" w:cs="宋体"/>
          <w:color w:val="auto"/>
          <w:sz w:val="21"/>
          <w:szCs w:val="21"/>
          <w:highlight w:val="none"/>
        </w:rPr>
        <w:t>；</w:t>
      </w:r>
    </w:p>
    <w:p w14:paraId="59848F8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（3）其他方式:</w:t>
      </w:r>
      <w:r>
        <w:rPr>
          <w:rFonts w:hint="eastAsia" w:ascii="宋体" w:hAnsi="宋体" w:cs="宋体"/>
          <w:bCs/>
          <w:color w:val="auto"/>
          <w:sz w:val="21"/>
          <w:szCs w:val="21"/>
          <w:highlight w:val="none"/>
          <w:u w:val="single"/>
        </w:rPr>
        <w:t>/</w:t>
      </w:r>
      <w:r>
        <w:rPr>
          <w:rFonts w:hint="eastAsia" w:ascii="宋体" w:hAnsi="宋体" w:cs="宋体"/>
          <w:color w:val="auto"/>
          <w:sz w:val="21"/>
          <w:szCs w:val="21"/>
          <w:highlight w:val="none"/>
        </w:rPr>
        <w:t>。</w:t>
      </w:r>
    </w:p>
    <w:p w14:paraId="4D83EE3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15.3.2 质量保证金的扣留 </w:t>
      </w:r>
    </w:p>
    <w:p w14:paraId="59566D3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质量保证金的扣留采取以下第</w:t>
      </w:r>
      <w:r>
        <w:rPr>
          <w:rFonts w:hint="eastAsia" w:ascii="宋体" w:hAnsi="宋体" w:cs="宋体"/>
          <w:color w:val="auto"/>
          <w:sz w:val="21"/>
          <w:szCs w:val="21"/>
          <w:highlight w:val="none"/>
          <w:u w:val="single"/>
        </w:rPr>
        <w:t xml:space="preserve"> （2） </w:t>
      </w:r>
      <w:r>
        <w:rPr>
          <w:rFonts w:hint="eastAsia" w:ascii="宋体" w:hAnsi="宋体" w:cs="宋体"/>
          <w:color w:val="auto"/>
          <w:sz w:val="21"/>
          <w:szCs w:val="21"/>
          <w:highlight w:val="none"/>
        </w:rPr>
        <w:t>种方式：</w:t>
      </w:r>
    </w:p>
    <w:p w14:paraId="63A91B3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（1）在支付工程进度款时逐次扣留，在此情形下，质量保证金的计算基数不包括预付款的支付、扣回以及价格调整的金额；</w:t>
      </w:r>
    </w:p>
    <w:p w14:paraId="6986025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（2）工程竣工结算时一次性扣留质量保证金；</w:t>
      </w:r>
    </w:p>
    <w:p w14:paraId="5513C87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（3）其他扣留方式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2FF9FA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关于质量保证金的补充约定：</w:t>
      </w:r>
    </w:p>
    <w:p w14:paraId="539BC81E">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质量保证金分一次返还承包人</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发包人在工程竣工验收合格之日起满两年后承包人提出申请14天内将质量保证金返回给承包人（无息）。质量保证金的返还，并不能免除承包人按照合同约定应承担的质量保修责任和应履行的质量保修义务。</w:t>
      </w:r>
    </w:p>
    <w:bookmarkEnd w:id="1380"/>
    <w:bookmarkEnd w:id="1381"/>
    <w:p w14:paraId="1A58FEA4">
      <w:pPr>
        <w:keepNext/>
        <w:keepLines/>
        <w:spacing w:line="400" w:lineRule="exact"/>
        <w:ind w:firstLine="0" w:firstLineChars="0"/>
        <w:outlineLvl w:val="0"/>
        <w:rPr>
          <w:rFonts w:ascii="宋体" w:hAnsi="宋体" w:cs="宋体"/>
          <w:b/>
          <w:bCs/>
          <w:color w:val="auto"/>
          <w:kern w:val="44"/>
          <w:sz w:val="21"/>
          <w:szCs w:val="21"/>
          <w:highlight w:val="none"/>
        </w:rPr>
      </w:pPr>
      <w:bookmarkStart w:id="1413" w:name="_Toc417904350"/>
      <w:bookmarkStart w:id="1414" w:name="_Toc478389261"/>
      <w:r>
        <w:rPr>
          <w:rFonts w:hint="eastAsia" w:ascii="宋体" w:hAnsi="宋体" w:cs="宋体"/>
          <w:b/>
          <w:bCs/>
          <w:color w:val="auto"/>
          <w:kern w:val="44"/>
          <w:sz w:val="21"/>
          <w:szCs w:val="21"/>
          <w:highlight w:val="none"/>
        </w:rPr>
        <w:t>15.4保修</w:t>
      </w:r>
      <w:bookmarkEnd w:id="1413"/>
      <w:bookmarkEnd w:id="1414"/>
    </w:p>
    <w:bookmarkEnd w:id="1382"/>
    <w:p w14:paraId="632DA7F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15.4.1 保修责任</w:t>
      </w:r>
    </w:p>
    <w:p w14:paraId="69911554">
      <w:pPr>
        <w:spacing w:line="400" w:lineRule="exact"/>
        <w:ind w:firstLine="420"/>
        <w:rPr>
          <w:rFonts w:hint="eastAsia" w:ascii="宋体" w:hAnsi="宋体" w:eastAsia="宋体" w:cs="宋体"/>
          <w:color w:val="auto"/>
          <w:sz w:val="21"/>
          <w:szCs w:val="21"/>
          <w:highlight w:val="none"/>
          <w:u w:val="single"/>
          <w:lang w:eastAsia="zh-CN"/>
        </w:rPr>
      </w:pPr>
      <w:r>
        <w:rPr>
          <w:rFonts w:hint="eastAsia" w:ascii="宋体" w:hAnsi="宋体" w:cs="宋体"/>
          <w:color w:val="auto"/>
          <w:sz w:val="21"/>
          <w:szCs w:val="21"/>
          <w:highlight w:val="none"/>
        </w:rPr>
        <w:t>工程保修期为：</w:t>
      </w:r>
      <w:r>
        <w:rPr>
          <w:rFonts w:hint="eastAsia" w:ascii="宋体" w:hAnsi="宋体" w:cs="宋体"/>
          <w:color w:val="auto"/>
          <w:sz w:val="21"/>
          <w:szCs w:val="21"/>
          <w:highlight w:val="none"/>
          <w:u w:val="single"/>
        </w:rPr>
        <w:t>工程质量保修期不得少于</w:t>
      </w:r>
      <w:r>
        <w:rPr>
          <w:rFonts w:hint="eastAsia" w:ascii="宋体" w:hAnsi="宋体" w:cs="宋体"/>
          <w:color w:val="auto"/>
          <w:sz w:val="21"/>
          <w:szCs w:val="21"/>
          <w:highlight w:val="none"/>
          <w:u w:val="single"/>
          <w:lang w:val="en-US" w:eastAsia="zh-CN"/>
        </w:rPr>
        <w:t>3年</w:t>
      </w:r>
      <w:r>
        <w:rPr>
          <w:rFonts w:hint="eastAsia" w:ascii="宋体" w:hAnsi="宋体" w:eastAsia="宋体" w:cs="宋体"/>
          <w:color w:val="auto"/>
          <w:sz w:val="21"/>
          <w:szCs w:val="21"/>
          <w:highlight w:val="none"/>
          <w:u w:val="single"/>
          <w:lang w:val="en-US" w:eastAsia="zh-CN"/>
        </w:rPr>
        <w:t>。</w:t>
      </w:r>
    </w:p>
    <w:p w14:paraId="7DEC219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15.4.3 修复通知</w:t>
      </w:r>
    </w:p>
    <w:p w14:paraId="66D265A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承包人收到保修通知并到达工程现场的合理时间：</w:t>
      </w:r>
      <w:r>
        <w:rPr>
          <w:rFonts w:hint="eastAsia" w:ascii="宋体" w:hAnsi="宋体" w:cs="宋体"/>
          <w:color w:val="auto"/>
          <w:sz w:val="21"/>
          <w:szCs w:val="21"/>
          <w:highlight w:val="none"/>
          <w:u w:val="single"/>
        </w:rPr>
        <w:t>1、属于保修范围、内容的项目，承包人应当在接到保修通知之日起7天内派人保修。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建设行政主管部门报告，采取安全防范措施；由原设计单位或者具有相应资质等级的设计单位提出保修方案</w:t>
      </w:r>
      <w:r>
        <w:rPr>
          <w:rFonts w:hint="eastAsia" w:ascii="宋体" w:hAnsi="宋体" w:cs="宋体"/>
          <w:color w:val="auto"/>
          <w:sz w:val="21"/>
          <w:szCs w:val="21"/>
          <w:highlight w:val="none"/>
          <w:u w:val="single"/>
          <w:lang w:eastAsia="zh-CN"/>
        </w:rPr>
        <w:t>，由</w:t>
      </w:r>
      <w:r>
        <w:rPr>
          <w:rFonts w:hint="eastAsia" w:ascii="宋体" w:hAnsi="宋体" w:cs="宋体"/>
          <w:color w:val="auto"/>
          <w:sz w:val="21"/>
          <w:szCs w:val="21"/>
          <w:highlight w:val="none"/>
          <w:u w:val="single"/>
        </w:rPr>
        <w:t>承包人实施保修。4、质量保修完成后，由发包人组织验收。5、保修费用由造成质量缺陷的责任方承担。</w:t>
      </w:r>
    </w:p>
    <w:bookmarkEnd w:id="1383"/>
    <w:bookmarkEnd w:id="1384"/>
    <w:bookmarkEnd w:id="1385"/>
    <w:bookmarkEnd w:id="1386"/>
    <w:p w14:paraId="30931EAC">
      <w:pPr>
        <w:keepNext/>
        <w:keepLines/>
        <w:spacing w:line="400" w:lineRule="exact"/>
        <w:ind w:firstLine="0" w:firstLineChars="0"/>
        <w:outlineLvl w:val="0"/>
        <w:rPr>
          <w:rFonts w:ascii="宋体" w:hAnsi="宋体" w:cs="宋体"/>
          <w:b/>
          <w:bCs/>
          <w:color w:val="auto"/>
          <w:kern w:val="44"/>
          <w:sz w:val="21"/>
          <w:szCs w:val="21"/>
          <w:highlight w:val="none"/>
        </w:rPr>
      </w:pPr>
      <w:bookmarkStart w:id="1415" w:name="_Toc351203648"/>
      <w:bookmarkStart w:id="1416" w:name="_Toc478389262"/>
      <w:bookmarkStart w:id="1417" w:name="_Toc417904351"/>
      <w:bookmarkStart w:id="1418" w:name="_Toc280868717"/>
      <w:bookmarkStart w:id="1419" w:name="_Toc280868718"/>
      <w:r>
        <w:rPr>
          <w:rFonts w:hint="eastAsia" w:ascii="宋体" w:hAnsi="宋体" w:cs="宋体"/>
          <w:b/>
          <w:bCs/>
          <w:color w:val="auto"/>
          <w:kern w:val="44"/>
          <w:sz w:val="21"/>
          <w:szCs w:val="21"/>
          <w:highlight w:val="none"/>
        </w:rPr>
        <w:t>16. 违约</w:t>
      </w:r>
      <w:bookmarkEnd w:id="1415"/>
      <w:bookmarkEnd w:id="1416"/>
      <w:bookmarkEnd w:id="1417"/>
    </w:p>
    <w:p w14:paraId="170C8640">
      <w:pPr>
        <w:keepNext/>
        <w:keepLines/>
        <w:spacing w:line="400" w:lineRule="exact"/>
        <w:ind w:firstLine="0" w:firstLineChars="0"/>
        <w:outlineLvl w:val="0"/>
        <w:rPr>
          <w:rFonts w:ascii="宋体" w:hAnsi="宋体" w:cs="宋体"/>
          <w:b/>
          <w:bCs/>
          <w:color w:val="auto"/>
          <w:kern w:val="44"/>
          <w:sz w:val="21"/>
          <w:szCs w:val="21"/>
          <w:highlight w:val="none"/>
        </w:rPr>
      </w:pPr>
      <w:bookmarkStart w:id="1420" w:name="_Toc478389263"/>
      <w:bookmarkStart w:id="1421" w:name="_Toc417904352"/>
      <w:r>
        <w:rPr>
          <w:rFonts w:hint="eastAsia" w:ascii="宋体" w:hAnsi="宋体" w:cs="宋体"/>
          <w:b/>
          <w:bCs/>
          <w:color w:val="auto"/>
          <w:kern w:val="44"/>
          <w:sz w:val="21"/>
          <w:szCs w:val="21"/>
          <w:highlight w:val="none"/>
        </w:rPr>
        <w:t>16.1 发包人违约</w:t>
      </w:r>
      <w:bookmarkEnd w:id="1420"/>
      <w:bookmarkEnd w:id="1421"/>
    </w:p>
    <w:p w14:paraId="56870FF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16.1.1发包人违约的情形</w:t>
      </w:r>
    </w:p>
    <w:p w14:paraId="167BE12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发包人违约的其他情形：</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9796305">
      <w:pPr>
        <w:spacing w:line="400" w:lineRule="exact"/>
        <w:ind w:firstLine="420"/>
        <w:outlineLvl w:val="0"/>
        <w:rPr>
          <w:rFonts w:ascii="宋体" w:hAnsi="宋体" w:cs="宋体"/>
          <w:color w:val="auto"/>
          <w:sz w:val="21"/>
          <w:szCs w:val="21"/>
          <w:highlight w:val="none"/>
        </w:rPr>
      </w:pPr>
      <w:bookmarkStart w:id="1422" w:name="_Toc406419422"/>
      <w:bookmarkStart w:id="1423" w:name="_Toc417904353"/>
      <w:bookmarkStart w:id="1424" w:name="_Toc406522298"/>
      <w:bookmarkStart w:id="1425" w:name="_Toc478389264"/>
      <w:r>
        <w:rPr>
          <w:rFonts w:hint="eastAsia" w:ascii="宋体" w:hAnsi="宋体" w:cs="宋体"/>
          <w:color w:val="auto"/>
          <w:sz w:val="21"/>
          <w:szCs w:val="21"/>
          <w:highlight w:val="none"/>
        </w:rPr>
        <w:t>16.1.2 发包人违约的责任</w:t>
      </w:r>
      <w:bookmarkEnd w:id="1422"/>
      <w:bookmarkEnd w:id="1423"/>
      <w:bookmarkEnd w:id="1424"/>
      <w:bookmarkEnd w:id="1425"/>
    </w:p>
    <w:p w14:paraId="30D8861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发包人违约责任的承担方式和计算方法：</w:t>
      </w:r>
    </w:p>
    <w:p w14:paraId="7D9D00EF">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（1）因发包人原因未能在计划开工日期前7天内下达开工通知的违约责任：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0B39D63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（2）因发包人原因未能按合同约定支付合同价款的违约责任：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44DB224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（3）发包人违反第10.1款〔变更的范围〕第（2）项约定，自行实施被取消的工作或转由他人实施的违约责任：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5BF60D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39F266B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（5）因发包人违反合同约定造成暂停施工的违约责任：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35BD2E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（6）发包人无正当理由没有在约定期限内发出复工指示，导致承包人无法复工的违约责任：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4B5A5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（7）其他：</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788EC9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16.1.3 因发包人违约解除合同</w:t>
      </w:r>
    </w:p>
    <w:p w14:paraId="7AE917A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承包人按16.1.1项〔发包人违约的情形〕约定暂停施工满180天后发包人仍不纠正其违约行为并致使合同目的不能实现的，承包人有权解除合同。</w:t>
      </w:r>
    </w:p>
    <w:p w14:paraId="5B3E11E0">
      <w:pPr>
        <w:keepNext/>
        <w:keepLines/>
        <w:spacing w:line="400" w:lineRule="exact"/>
        <w:ind w:firstLine="0" w:firstLineChars="0"/>
        <w:outlineLvl w:val="0"/>
        <w:rPr>
          <w:rFonts w:ascii="宋体" w:hAnsi="宋体" w:cs="宋体"/>
          <w:b/>
          <w:bCs/>
          <w:color w:val="auto"/>
          <w:kern w:val="44"/>
          <w:sz w:val="21"/>
          <w:szCs w:val="21"/>
          <w:highlight w:val="none"/>
        </w:rPr>
      </w:pPr>
      <w:bookmarkStart w:id="1426" w:name="_Toc478389265"/>
      <w:bookmarkStart w:id="1427" w:name="_Toc417904354"/>
      <w:r>
        <w:rPr>
          <w:rFonts w:hint="eastAsia" w:ascii="宋体" w:hAnsi="宋体" w:cs="宋体"/>
          <w:b/>
          <w:bCs/>
          <w:color w:val="auto"/>
          <w:kern w:val="44"/>
          <w:sz w:val="21"/>
          <w:szCs w:val="21"/>
          <w:highlight w:val="none"/>
        </w:rPr>
        <w:t>16.2 承包人违约</w:t>
      </w:r>
      <w:bookmarkEnd w:id="1426"/>
      <w:bookmarkEnd w:id="1427"/>
    </w:p>
    <w:p w14:paraId="7740A9E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16.2.1 承包人违约的情形</w:t>
      </w:r>
    </w:p>
    <w:p w14:paraId="06C2A92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承包人违约的其他情形：</w:t>
      </w:r>
      <w:r>
        <w:rPr>
          <w:rFonts w:hint="eastAsia" w:ascii="宋体" w:hAnsi="宋体" w:cs="宋体"/>
          <w:color w:val="auto"/>
          <w:sz w:val="21"/>
          <w:szCs w:val="21"/>
          <w:highlight w:val="none"/>
          <w:u w:val="single"/>
        </w:rPr>
        <w:t>工期</w:t>
      </w:r>
      <w:r>
        <w:rPr>
          <w:rFonts w:hint="eastAsia" w:ascii="宋体" w:hAnsi="宋体" w:cs="宋体"/>
          <w:color w:val="auto"/>
          <w:sz w:val="21"/>
          <w:szCs w:val="21"/>
          <w:highlight w:val="none"/>
        </w:rPr>
        <w:t>。</w:t>
      </w:r>
    </w:p>
    <w:p w14:paraId="74DF496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16.2.2承包人违约的责任</w:t>
      </w:r>
    </w:p>
    <w:p w14:paraId="350FDC45">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承包人违约责任的承担方式和计算方法：</w:t>
      </w:r>
      <w:r>
        <w:rPr>
          <w:rFonts w:hint="eastAsia" w:ascii="宋体" w:hAnsi="宋体" w:cs="宋体"/>
          <w:color w:val="auto"/>
          <w:sz w:val="21"/>
          <w:szCs w:val="21"/>
          <w:highlight w:val="none"/>
          <w:u w:val="single"/>
        </w:rPr>
        <w:t>承包人原因造成工期延误按每天万分之四罚款，限额为合同价的2%</w:t>
      </w:r>
      <w:r>
        <w:rPr>
          <w:rFonts w:hint="eastAsia" w:ascii="宋体" w:hAnsi="宋体" w:cs="宋体"/>
          <w:color w:val="auto"/>
          <w:sz w:val="21"/>
          <w:szCs w:val="21"/>
          <w:highlight w:val="none"/>
        </w:rPr>
        <w:t>。</w:t>
      </w:r>
    </w:p>
    <w:p w14:paraId="3C82139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16.2.3 因承包人违约解除合同</w:t>
      </w:r>
    </w:p>
    <w:p w14:paraId="653751F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关于承包人违约解除合同的特别约定：</w:t>
      </w:r>
      <w:r>
        <w:rPr>
          <w:rFonts w:hint="eastAsia" w:ascii="宋体" w:hAnsi="宋体" w:cs="宋体"/>
          <w:color w:val="auto"/>
          <w:sz w:val="21"/>
          <w:szCs w:val="21"/>
          <w:highlight w:val="none"/>
          <w:u w:val="single"/>
        </w:rPr>
        <w:t>承包人原因造成停工或延期累计30天以上</w:t>
      </w:r>
      <w:r>
        <w:rPr>
          <w:rFonts w:hint="eastAsia" w:ascii="宋体" w:hAnsi="宋体" w:cs="宋体"/>
          <w:color w:val="auto"/>
          <w:sz w:val="21"/>
          <w:szCs w:val="21"/>
          <w:highlight w:val="none"/>
        </w:rPr>
        <w:t>。</w:t>
      </w:r>
    </w:p>
    <w:p w14:paraId="16513C9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sz w:val="21"/>
          <w:szCs w:val="21"/>
          <w:highlight w:val="none"/>
          <w:u w:val="single"/>
        </w:rPr>
        <w:t>承包人承担</w:t>
      </w:r>
      <w:r>
        <w:rPr>
          <w:rFonts w:hint="eastAsia" w:ascii="宋体" w:hAnsi="宋体" w:cs="宋体"/>
          <w:color w:val="auto"/>
          <w:sz w:val="21"/>
          <w:szCs w:val="21"/>
          <w:highlight w:val="none"/>
        </w:rPr>
        <w:t>。　</w:t>
      </w:r>
    </w:p>
    <w:p w14:paraId="458E32FD">
      <w:pPr>
        <w:keepNext/>
        <w:keepLines/>
        <w:spacing w:line="400" w:lineRule="exact"/>
        <w:ind w:firstLine="0" w:firstLineChars="0"/>
        <w:outlineLvl w:val="0"/>
        <w:rPr>
          <w:rFonts w:ascii="宋体" w:hAnsi="宋体" w:cs="宋体"/>
          <w:b/>
          <w:bCs/>
          <w:color w:val="auto"/>
          <w:kern w:val="44"/>
          <w:sz w:val="21"/>
          <w:szCs w:val="21"/>
          <w:highlight w:val="none"/>
        </w:rPr>
      </w:pPr>
      <w:bookmarkStart w:id="1428" w:name="_Toc478389266"/>
      <w:bookmarkStart w:id="1429" w:name="_Toc351203649"/>
      <w:bookmarkStart w:id="1430" w:name="_Toc417904355"/>
      <w:r>
        <w:rPr>
          <w:rFonts w:hint="eastAsia" w:ascii="宋体" w:hAnsi="宋体" w:cs="宋体"/>
          <w:b/>
          <w:bCs/>
          <w:color w:val="auto"/>
          <w:kern w:val="44"/>
          <w:sz w:val="21"/>
          <w:szCs w:val="21"/>
          <w:highlight w:val="none"/>
        </w:rPr>
        <w:t>17. 不可抗力</w:t>
      </w:r>
      <w:bookmarkEnd w:id="1418"/>
      <w:bookmarkEnd w:id="1428"/>
      <w:bookmarkEnd w:id="1429"/>
      <w:bookmarkEnd w:id="1430"/>
    </w:p>
    <w:p w14:paraId="7B46EE58">
      <w:pPr>
        <w:keepNext/>
        <w:keepLines/>
        <w:spacing w:line="400" w:lineRule="exact"/>
        <w:ind w:firstLine="0" w:firstLineChars="0"/>
        <w:outlineLvl w:val="0"/>
        <w:rPr>
          <w:rFonts w:ascii="宋体" w:hAnsi="宋体" w:cs="宋体"/>
          <w:b/>
          <w:bCs/>
          <w:color w:val="auto"/>
          <w:kern w:val="44"/>
          <w:sz w:val="21"/>
          <w:szCs w:val="21"/>
          <w:highlight w:val="none"/>
        </w:rPr>
      </w:pPr>
      <w:bookmarkStart w:id="1431" w:name="_Toc478389267"/>
      <w:bookmarkStart w:id="1432" w:name="_Toc417904356"/>
      <w:r>
        <w:rPr>
          <w:rFonts w:hint="eastAsia" w:ascii="宋体" w:hAnsi="宋体" w:cs="宋体"/>
          <w:b/>
          <w:bCs/>
          <w:color w:val="auto"/>
          <w:kern w:val="44"/>
          <w:sz w:val="21"/>
          <w:szCs w:val="21"/>
          <w:highlight w:val="none"/>
        </w:rPr>
        <w:t>17.1 不可抗力的确认</w:t>
      </w:r>
      <w:bookmarkEnd w:id="1431"/>
      <w:bookmarkEnd w:id="1432"/>
    </w:p>
    <w:p w14:paraId="6B32AF63">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除通用合同条款约定的不可抗力事件之外，视为不可抗力的其他情形： </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27F47E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17.4 因不可抗力解除合同</w:t>
      </w:r>
    </w:p>
    <w:p w14:paraId="37F621C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合同解除后，发包人应在商定或确定发包人应支付款项后</w:t>
      </w:r>
      <w:r>
        <w:rPr>
          <w:rFonts w:hint="eastAsia" w:ascii="宋体" w:hAnsi="宋体" w:cs="宋体"/>
          <w:color w:val="auto"/>
          <w:sz w:val="21"/>
          <w:szCs w:val="21"/>
          <w:highlight w:val="none"/>
          <w:u w:val="single"/>
        </w:rPr>
        <w:t xml:space="preserve">承包人提出书面申请14  </w:t>
      </w:r>
      <w:r>
        <w:rPr>
          <w:rFonts w:hint="eastAsia" w:ascii="宋体" w:hAnsi="宋体" w:cs="宋体"/>
          <w:color w:val="auto"/>
          <w:sz w:val="21"/>
          <w:szCs w:val="21"/>
          <w:highlight w:val="none"/>
        </w:rPr>
        <w:t>天内完成款项的支付。</w:t>
      </w:r>
    </w:p>
    <w:p w14:paraId="787B170C">
      <w:pPr>
        <w:keepNext/>
        <w:keepLines/>
        <w:spacing w:line="400" w:lineRule="exact"/>
        <w:ind w:firstLine="0" w:firstLineChars="0"/>
        <w:outlineLvl w:val="0"/>
        <w:rPr>
          <w:rFonts w:ascii="宋体" w:hAnsi="宋体" w:cs="宋体"/>
          <w:b/>
          <w:bCs/>
          <w:color w:val="auto"/>
          <w:kern w:val="44"/>
          <w:sz w:val="21"/>
          <w:szCs w:val="21"/>
          <w:highlight w:val="none"/>
        </w:rPr>
      </w:pPr>
      <w:bookmarkStart w:id="1433" w:name="_Toc478389268"/>
      <w:bookmarkStart w:id="1434" w:name="_Toc351203650"/>
      <w:bookmarkStart w:id="1435" w:name="_Toc417904357"/>
      <w:r>
        <w:rPr>
          <w:rFonts w:hint="eastAsia" w:ascii="宋体" w:hAnsi="宋体" w:cs="宋体"/>
          <w:b/>
          <w:bCs/>
          <w:color w:val="auto"/>
          <w:kern w:val="44"/>
          <w:sz w:val="21"/>
          <w:szCs w:val="21"/>
          <w:highlight w:val="none"/>
        </w:rPr>
        <w:t>18. 保险</w:t>
      </w:r>
      <w:bookmarkEnd w:id="1433"/>
      <w:bookmarkEnd w:id="1434"/>
      <w:bookmarkEnd w:id="1435"/>
    </w:p>
    <w:bookmarkEnd w:id="1419"/>
    <w:p w14:paraId="2530314E">
      <w:pPr>
        <w:keepNext/>
        <w:keepLines/>
        <w:spacing w:line="400" w:lineRule="exact"/>
        <w:ind w:firstLine="0" w:firstLineChars="0"/>
        <w:outlineLvl w:val="0"/>
        <w:rPr>
          <w:rFonts w:ascii="宋体" w:hAnsi="宋体" w:cs="宋体"/>
          <w:b/>
          <w:bCs/>
          <w:color w:val="auto"/>
          <w:kern w:val="44"/>
          <w:sz w:val="21"/>
          <w:szCs w:val="21"/>
          <w:highlight w:val="none"/>
        </w:rPr>
      </w:pPr>
      <w:bookmarkStart w:id="1436" w:name="_Toc478389269"/>
      <w:bookmarkStart w:id="1437" w:name="_Toc417904358"/>
      <w:r>
        <w:rPr>
          <w:rFonts w:hint="eastAsia" w:ascii="宋体" w:hAnsi="宋体" w:cs="宋体"/>
          <w:b/>
          <w:bCs/>
          <w:color w:val="auto"/>
          <w:kern w:val="44"/>
          <w:sz w:val="21"/>
          <w:szCs w:val="21"/>
          <w:highlight w:val="none"/>
        </w:rPr>
        <w:t>18.1 工程保险</w:t>
      </w:r>
      <w:bookmarkEnd w:id="1436"/>
      <w:bookmarkEnd w:id="1437"/>
    </w:p>
    <w:p w14:paraId="44E0403F">
      <w:pPr>
        <w:spacing w:line="400" w:lineRule="exact"/>
        <w:ind w:firstLine="420"/>
        <w:rPr>
          <w:rFonts w:ascii="宋体" w:hAnsi="宋体" w:cs="宋体"/>
          <w:color w:val="auto"/>
          <w:sz w:val="21"/>
          <w:szCs w:val="21"/>
          <w:highlight w:val="none"/>
        </w:rPr>
      </w:pPr>
      <w:bookmarkStart w:id="1438" w:name="_Toc417904359"/>
      <w:bookmarkStart w:id="1439" w:name="_Toc478389270"/>
      <w:r>
        <w:rPr>
          <w:rFonts w:hint="eastAsia" w:ascii="宋体" w:hAnsi="宋体" w:cs="宋体"/>
          <w:color w:val="auto"/>
          <w:sz w:val="21"/>
          <w:szCs w:val="21"/>
          <w:highlight w:val="none"/>
        </w:rPr>
        <w:t>关于工程保险的特别约定：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A0D9297">
      <w:pPr>
        <w:keepNext/>
        <w:keepLines/>
        <w:spacing w:line="400" w:lineRule="exact"/>
        <w:ind w:firstLine="0" w:firstLineChars="0"/>
        <w:outlineLvl w:val="0"/>
        <w:rPr>
          <w:rFonts w:ascii="宋体" w:hAnsi="宋体" w:cs="宋体"/>
          <w:b/>
          <w:bCs/>
          <w:color w:val="auto"/>
          <w:kern w:val="44"/>
          <w:sz w:val="21"/>
          <w:szCs w:val="21"/>
          <w:highlight w:val="none"/>
        </w:rPr>
      </w:pPr>
      <w:r>
        <w:rPr>
          <w:rFonts w:hint="eastAsia" w:ascii="宋体" w:hAnsi="宋体" w:cs="宋体"/>
          <w:b/>
          <w:bCs/>
          <w:color w:val="auto"/>
          <w:kern w:val="44"/>
          <w:sz w:val="21"/>
          <w:szCs w:val="21"/>
          <w:highlight w:val="none"/>
        </w:rPr>
        <w:t>18.3 其他保险</w:t>
      </w:r>
    </w:p>
    <w:p w14:paraId="25BDA5A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关于其他保险的约定：</w:t>
      </w:r>
      <w:r>
        <w:rPr>
          <w:rFonts w:hint="eastAsia" w:ascii="宋体" w:hAnsi="宋体" w:cs="宋体"/>
          <w:color w:val="auto"/>
          <w:sz w:val="21"/>
          <w:szCs w:val="21"/>
          <w:highlight w:val="none"/>
          <w:u w:val="single"/>
        </w:rPr>
        <w:t xml:space="preserve">       按国家有关规定                </w:t>
      </w:r>
      <w:r>
        <w:rPr>
          <w:rFonts w:hint="eastAsia" w:ascii="宋体" w:hAnsi="宋体" w:cs="宋体"/>
          <w:color w:val="auto"/>
          <w:sz w:val="21"/>
          <w:szCs w:val="21"/>
          <w:highlight w:val="none"/>
        </w:rPr>
        <w:t>。</w:t>
      </w:r>
    </w:p>
    <w:p w14:paraId="7789396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承包人是否应为其施工设备等办理财产保险：</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438"/>
    <w:bookmarkEnd w:id="1439"/>
    <w:p w14:paraId="666D2685">
      <w:pPr>
        <w:keepNext/>
        <w:keepLines/>
        <w:spacing w:line="400" w:lineRule="exact"/>
        <w:ind w:firstLine="0" w:firstLineChars="0"/>
        <w:outlineLvl w:val="0"/>
        <w:rPr>
          <w:rFonts w:ascii="宋体" w:hAnsi="宋体" w:cs="宋体"/>
          <w:b/>
          <w:bCs/>
          <w:color w:val="auto"/>
          <w:kern w:val="44"/>
          <w:sz w:val="21"/>
          <w:szCs w:val="21"/>
          <w:highlight w:val="none"/>
        </w:rPr>
      </w:pPr>
      <w:bookmarkStart w:id="1440" w:name="_Toc417904360"/>
      <w:bookmarkStart w:id="1441" w:name="_Toc478389271"/>
      <w:r>
        <w:rPr>
          <w:rFonts w:hint="eastAsia" w:ascii="宋体" w:hAnsi="宋体" w:cs="宋体"/>
          <w:b/>
          <w:bCs/>
          <w:color w:val="auto"/>
          <w:kern w:val="44"/>
          <w:sz w:val="21"/>
          <w:szCs w:val="21"/>
          <w:highlight w:val="none"/>
        </w:rPr>
        <w:t>18.7 通知义务</w:t>
      </w:r>
      <w:bookmarkEnd w:id="1440"/>
      <w:bookmarkEnd w:id="1441"/>
    </w:p>
    <w:p w14:paraId="046BBC5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关于变更保险合同时的通知义务的约定：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387"/>
    <w:bookmarkEnd w:id="1388"/>
    <w:bookmarkEnd w:id="1389"/>
    <w:bookmarkEnd w:id="1390"/>
    <w:bookmarkEnd w:id="1391"/>
    <w:bookmarkEnd w:id="1392"/>
    <w:bookmarkEnd w:id="1393"/>
    <w:bookmarkEnd w:id="1394"/>
    <w:bookmarkEnd w:id="1395"/>
    <w:bookmarkEnd w:id="1396"/>
    <w:bookmarkEnd w:id="1397"/>
    <w:bookmarkEnd w:id="1398"/>
    <w:p w14:paraId="34264C3F">
      <w:pPr>
        <w:keepNext/>
        <w:keepLines/>
        <w:spacing w:line="400" w:lineRule="exact"/>
        <w:ind w:firstLine="0" w:firstLineChars="0"/>
        <w:outlineLvl w:val="0"/>
        <w:rPr>
          <w:rFonts w:ascii="宋体" w:hAnsi="宋体" w:cs="宋体"/>
          <w:b/>
          <w:bCs/>
          <w:color w:val="auto"/>
          <w:kern w:val="44"/>
          <w:sz w:val="21"/>
          <w:szCs w:val="21"/>
          <w:highlight w:val="none"/>
        </w:rPr>
      </w:pPr>
      <w:bookmarkStart w:id="1442" w:name="_Toc478389272"/>
      <w:bookmarkStart w:id="1443" w:name="_Toc351203651"/>
      <w:bookmarkStart w:id="1444" w:name="_Toc417904361"/>
      <w:r>
        <w:rPr>
          <w:rFonts w:hint="eastAsia" w:ascii="宋体" w:hAnsi="宋体" w:cs="宋体"/>
          <w:b/>
          <w:bCs/>
          <w:color w:val="auto"/>
          <w:kern w:val="44"/>
          <w:sz w:val="21"/>
          <w:szCs w:val="21"/>
          <w:highlight w:val="none"/>
        </w:rPr>
        <w:t>20. 争议解决</w:t>
      </w:r>
      <w:bookmarkEnd w:id="1442"/>
      <w:bookmarkEnd w:id="1443"/>
      <w:bookmarkEnd w:id="1444"/>
    </w:p>
    <w:bookmarkEnd w:id="1399"/>
    <w:bookmarkEnd w:id="1400"/>
    <w:p w14:paraId="3C47EE85">
      <w:pPr>
        <w:keepNext/>
        <w:keepLines/>
        <w:spacing w:line="400" w:lineRule="exact"/>
        <w:ind w:firstLine="0" w:firstLineChars="0"/>
        <w:outlineLvl w:val="0"/>
        <w:rPr>
          <w:rFonts w:ascii="宋体" w:hAnsi="宋体" w:cs="宋体"/>
          <w:b/>
          <w:bCs/>
          <w:color w:val="auto"/>
          <w:kern w:val="44"/>
          <w:sz w:val="21"/>
          <w:szCs w:val="21"/>
          <w:highlight w:val="none"/>
        </w:rPr>
      </w:pPr>
      <w:bookmarkStart w:id="1445" w:name="_Toc417904362"/>
      <w:bookmarkStart w:id="1446" w:name="_Toc478389273"/>
      <w:r>
        <w:rPr>
          <w:rFonts w:hint="eastAsia" w:ascii="宋体" w:hAnsi="宋体" w:cs="宋体"/>
          <w:b/>
          <w:bCs/>
          <w:color w:val="auto"/>
          <w:kern w:val="44"/>
          <w:sz w:val="21"/>
          <w:szCs w:val="21"/>
          <w:highlight w:val="none"/>
        </w:rPr>
        <w:t>20.3 争</w:t>
      </w:r>
      <w:bookmarkEnd w:id="1401"/>
      <w:r>
        <w:rPr>
          <w:rFonts w:hint="eastAsia" w:ascii="宋体" w:hAnsi="宋体" w:cs="宋体"/>
          <w:b/>
          <w:bCs/>
          <w:color w:val="auto"/>
          <w:kern w:val="44"/>
          <w:sz w:val="21"/>
          <w:szCs w:val="21"/>
          <w:highlight w:val="none"/>
        </w:rPr>
        <w:t>议评审</w:t>
      </w:r>
      <w:bookmarkEnd w:id="1445"/>
      <w:bookmarkEnd w:id="1446"/>
    </w:p>
    <w:p w14:paraId="2E9631C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合同当事人是否同意将工程争议提交争议评审小组决定：</w:t>
      </w:r>
      <w:r>
        <w:rPr>
          <w:rFonts w:hint="eastAsia" w:ascii="宋体" w:hAnsi="宋体" w:cs="宋体"/>
          <w:color w:val="auto"/>
          <w:sz w:val="21"/>
          <w:szCs w:val="21"/>
          <w:highlight w:val="none"/>
          <w:u w:val="single"/>
        </w:rPr>
        <w:t xml:space="preserve">  　否   </w:t>
      </w:r>
      <w:r>
        <w:rPr>
          <w:rFonts w:hint="eastAsia" w:ascii="宋体" w:hAnsi="宋体" w:cs="宋体"/>
          <w:color w:val="auto"/>
          <w:sz w:val="21"/>
          <w:szCs w:val="21"/>
          <w:highlight w:val="none"/>
        </w:rPr>
        <w:t xml:space="preserve">。  </w:t>
      </w:r>
    </w:p>
    <w:p w14:paraId="53010B8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20.3.1 争议评审小组的确定</w:t>
      </w:r>
    </w:p>
    <w:p w14:paraId="6A24A252">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争议评审小组成员的确定：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A7400E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选定争议评审员的期限：</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F54557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争议评审小组成员的报酬承担方式：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15FC07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其他事项的约定：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2167C0B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20.3.2 争议评审小组的决定</w:t>
      </w:r>
    </w:p>
    <w:p w14:paraId="245A0A3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合同当事人关于本项的约定：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2D47E8D5">
      <w:pPr>
        <w:keepNext/>
        <w:keepLines/>
        <w:spacing w:line="400" w:lineRule="exact"/>
        <w:ind w:firstLine="0" w:firstLineChars="0"/>
        <w:outlineLvl w:val="0"/>
        <w:rPr>
          <w:rFonts w:ascii="宋体" w:hAnsi="宋体" w:cs="宋体"/>
          <w:b/>
          <w:bCs/>
          <w:color w:val="auto"/>
          <w:kern w:val="44"/>
          <w:sz w:val="21"/>
          <w:szCs w:val="21"/>
          <w:highlight w:val="none"/>
        </w:rPr>
      </w:pPr>
      <w:bookmarkStart w:id="1447" w:name="_Toc478389274"/>
      <w:bookmarkStart w:id="1448" w:name="_Toc417904363"/>
      <w:r>
        <w:rPr>
          <w:rFonts w:hint="eastAsia" w:ascii="宋体" w:hAnsi="宋体" w:cs="宋体"/>
          <w:b/>
          <w:bCs/>
          <w:color w:val="auto"/>
          <w:kern w:val="44"/>
          <w:sz w:val="21"/>
          <w:szCs w:val="21"/>
          <w:highlight w:val="none"/>
        </w:rPr>
        <w:t>20.4仲裁或诉讼</w:t>
      </w:r>
      <w:bookmarkEnd w:id="1402"/>
      <w:bookmarkEnd w:id="1447"/>
      <w:bookmarkEnd w:id="1448"/>
    </w:p>
    <w:p w14:paraId="3ABBF3F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因合同及合同有关事项发生的争议，按下列第</w:t>
      </w:r>
      <w:r>
        <w:rPr>
          <w:rFonts w:hint="eastAsia" w:ascii="宋体" w:hAnsi="宋体" w:cs="宋体"/>
          <w:color w:val="auto"/>
          <w:sz w:val="21"/>
          <w:szCs w:val="21"/>
          <w:highlight w:val="none"/>
          <w:u w:val="single"/>
        </w:rPr>
        <w:t xml:space="preserve">  （2） </w:t>
      </w:r>
      <w:r>
        <w:rPr>
          <w:rFonts w:hint="eastAsia" w:ascii="宋体" w:hAnsi="宋体" w:cs="宋体"/>
          <w:color w:val="auto"/>
          <w:sz w:val="21"/>
          <w:szCs w:val="21"/>
          <w:highlight w:val="none"/>
        </w:rPr>
        <w:t>种方式解决：</w:t>
      </w:r>
    </w:p>
    <w:bookmarkEnd w:id="1403"/>
    <w:bookmarkEnd w:id="1404"/>
    <w:bookmarkEnd w:id="1405"/>
    <w:bookmarkEnd w:id="1406"/>
    <w:bookmarkEnd w:id="1407"/>
    <w:bookmarkEnd w:id="1408"/>
    <w:p w14:paraId="578B3A9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（1）提请</w:t>
      </w:r>
      <w:r>
        <w:rPr>
          <w:rFonts w:hint="eastAsia" w:ascii="宋体" w:hAnsi="宋体" w:cs="宋体"/>
          <w:color w:val="auto"/>
          <w:sz w:val="21"/>
          <w:szCs w:val="21"/>
          <w:highlight w:val="none"/>
          <w:u w:val="single"/>
        </w:rPr>
        <w:t xml:space="preserve"> 桂林  </w:t>
      </w:r>
      <w:r>
        <w:rPr>
          <w:rFonts w:hint="eastAsia" w:ascii="宋体" w:hAnsi="宋体" w:cs="宋体"/>
          <w:color w:val="auto"/>
          <w:sz w:val="21"/>
          <w:szCs w:val="21"/>
          <w:highlight w:val="none"/>
        </w:rPr>
        <w:t>仲裁委员会按照该会仲裁规则进行仲裁，仲裁裁决是终局的，对合同双方均有约束力。</w:t>
      </w:r>
    </w:p>
    <w:p w14:paraId="1353E0B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（2）向</w:t>
      </w:r>
      <w:r>
        <w:rPr>
          <w:rFonts w:hint="eastAsia" w:ascii="宋体" w:hAnsi="宋体" w:cs="宋体"/>
          <w:color w:val="auto"/>
          <w:sz w:val="21"/>
          <w:szCs w:val="21"/>
          <w:highlight w:val="none"/>
          <w:lang w:eastAsia="zh-CN"/>
        </w:rPr>
        <w:t>发包人</w:t>
      </w:r>
      <w:r>
        <w:rPr>
          <w:rFonts w:hint="eastAsia" w:ascii="宋体" w:hAnsi="宋体" w:cs="宋体"/>
          <w:color w:val="auto"/>
          <w:sz w:val="21"/>
          <w:szCs w:val="21"/>
          <w:highlight w:val="none"/>
        </w:rPr>
        <w:t>所在地的人民法院提起诉讼。</w:t>
      </w:r>
    </w:p>
    <w:p w14:paraId="13DFA95D">
      <w:pPr>
        <w:snapToGrid w:val="0"/>
        <w:spacing w:line="320" w:lineRule="exact"/>
        <w:ind w:firstLine="420"/>
        <w:rPr>
          <w:rFonts w:ascii="宋体" w:hAnsi="宋体" w:cs="宋体"/>
          <w:color w:val="auto"/>
          <w:sz w:val="21"/>
          <w:highlight w:val="none"/>
        </w:rPr>
      </w:pPr>
    </w:p>
    <w:p w14:paraId="06711E12">
      <w:pPr>
        <w:widowControl/>
        <w:ind w:firstLine="480"/>
        <w:jc w:val="left"/>
        <w:rPr>
          <w:rFonts w:ascii="宋体" w:hAnsi="宋体" w:cs="宋体"/>
          <w:color w:val="auto"/>
          <w:szCs w:val="21"/>
          <w:highlight w:val="none"/>
        </w:rPr>
        <w:sectPr>
          <w:pgSz w:w="11907" w:h="16840"/>
          <w:pgMar w:top="1440" w:right="1440" w:bottom="1440" w:left="1797" w:header="851" w:footer="851" w:gutter="0"/>
          <w:cols w:space="720" w:num="1"/>
        </w:sectPr>
      </w:pPr>
    </w:p>
    <w:p w14:paraId="3C9B3E61">
      <w:pPr>
        <w:spacing w:line="300" w:lineRule="exact"/>
        <w:ind w:firstLine="482"/>
        <w:jc w:val="left"/>
        <w:rPr>
          <w:rFonts w:ascii="宋体" w:hAnsi="宋体" w:cs="宋体"/>
          <w:b/>
          <w:color w:val="auto"/>
          <w:sz w:val="21"/>
          <w:szCs w:val="21"/>
          <w:highlight w:val="none"/>
        </w:rPr>
      </w:pPr>
      <w:r>
        <w:rPr>
          <w:rFonts w:hint="eastAsia" w:ascii="宋体" w:hAnsi="宋体" w:cs="宋体"/>
          <w:b/>
          <w:color w:val="auto"/>
          <w:szCs w:val="21"/>
          <w:highlight w:val="none"/>
        </w:rPr>
        <w:t>附件</w:t>
      </w:r>
    </w:p>
    <w:p w14:paraId="2AB4DEA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协议书附件：</w:t>
      </w:r>
    </w:p>
    <w:p w14:paraId="77CEE7E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附件1：承包人承揽工程项目一览表</w:t>
      </w:r>
    </w:p>
    <w:p w14:paraId="57A3D2C6">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专用合同条款附件：</w:t>
      </w:r>
    </w:p>
    <w:p w14:paraId="42D9DCF5">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附件2：发包人供应材料设备一览表</w:t>
      </w:r>
    </w:p>
    <w:p w14:paraId="3AFE737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附件3：工程质量保修书</w:t>
      </w:r>
    </w:p>
    <w:p w14:paraId="4EA0EC4E">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附件4：主要建设工程文件目录</w:t>
      </w:r>
    </w:p>
    <w:p w14:paraId="0E965623">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附件5：承包人用于本工程施工的机械设备表</w:t>
      </w:r>
    </w:p>
    <w:p w14:paraId="3873427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附件6：承包人主要施工管理人员表</w:t>
      </w:r>
    </w:p>
    <w:p w14:paraId="38C9F9EB">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附件7：分包人主要施工管理人员表</w:t>
      </w:r>
    </w:p>
    <w:p w14:paraId="37857DAB">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附件8：履约担保格式</w:t>
      </w:r>
    </w:p>
    <w:p w14:paraId="1732E60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附件9：预付款担保格式</w:t>
      </w:r>
    </w:p>
    <w:p w14:paraId="16AFA3BD">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附件10：支付担保格式</w:t>
      </w:r>
    </w:p>
    <w:p w14:paraId="6B29538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附件11：暂估价一览表 </w:t>
      </w:r>
    </w:p>
    <w:p w14:paraId="2B76B2B8">
      <w:pPr>
        <w:widowControl/>
        <w:ind w:firstLine="480"/>
        <w:jc w:val="left"/>
        <w:rPr>
          <w:rFonts w:ascii="宋体" w:hAnsi="宋体" w:cs="宋体"/>
          <w:color w:val="auto"/>
          <w:szCs w:val="21"/>
          <w:highlight w:val="none"/>
        </w:rPr>
        <w:sectPr>
          <w:pgSz w:w="11906" w:h="16838"/>
          <w:pgMar w:top="1134" w:right="1416" w:bottom="1418" w:left="1276" w:header="851" w:footer="992" w:gutter="0"/>
          <w:cols w:space="720" w:num="1"/>
          <w:docGrid w:type="lines" w:linePitch="312" w:charSpace="0"/>
        </w:sectPr>
      </w:pPr>
    </w:p>
    <w:p w14:paraId="03B311BE">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附件1：</w:t>
      </w:r>
    </w:p>
    <w:p w14:paraId="07BC51C9">
      <w:pPr>
        <w:spacing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48"/>
        <w:tblW w:w="14595"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19"/>
        <w:gridCol w:w="1700"/>
        <w:gridCol w:w="1416"/>
        <w:gridCol w:w="2409"/>
        <w:gridCol w:w="850"/>
        <w:gridCol w:w="1559"/>
        <w:gridCol w:w="2125"/>
        <w:gridCol w:w="1416"/>
        <w:gridCol w:w="851"/>
        <w:gridCol w:w="850"/>
      </w:tblGrid>
      <w:tr w14:paraId="7F9F6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4" w:space="0"/>
              <w:left w:val="single" w:color="auto" w:sz="4" w:space="0"/>
              <w:bottom w:val="single" w:color="auto" w:sz="4" w:space="0"/>
              <w:right w:val="single" w:color="auto" w:sz="4" w:space="0"/>
            </w:tcBorders>
            <w:vAlign w:val="center"/>
          </w:tcPr>
          <w:p w14:paraId="5E9A427E">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单位工程名称</w:t>
            </w:r>
          </w:p>
        </w:tc>
        <w:tc>
          <w:tcPr>
            <w:tcW w:w="1701" w:type="dxa"/>
            <w:tcBorders>
              <w:top w:val="single" w:color="auto" w:sz="4" w:space="0"/>
              <w:left w:val="single" w:color="auto" w:sz="4" w:space="0"/>
              <w:bottom w:val="single" w:color="auto" w:sz="4" w:space="0"/>
              <w:right w:val="single" w:color="auto" w:sz="4" w:space="0"/>
            </w:tcBorders>
            <w:vAlign w:val="center"/>
          </w:tcPr>
          <w:p w14:paraId="5EF5B7A2">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建设规模</w:t>
            </w:r>
          </w:p>
        </w:tc>
        <w:tc>
          <w:tcPr>
            <w:tcW w:w="1417" w:type="dxa"/>
            <w:tcBorders>
              <w:top w:val="single" w:color="auto" w:sz="4" w:space="0"/>
              <w:left w:val="single" w:color="auto" w:sz="4" w:space="0"/>
              <w:bottom w:val="single" w:color="auto" w:sz="4" w:space="0"/>
              <w:right w:val="single" w:color="auto" w:sz="4" w:space="0"/>
            </w:tcBorders>
            <w:vAlign w:val="center"/>
          </w:tcPr>
          <w:p w14:paraId="1392B638">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建筑面积</w:t>
            </w:r>
            <w:r>
              <w:rPr>
                <w:rFonts w:hint="eastAsia" w:ascii="宋体" w:hAnsi="宋体" w:cs="宋体"/>
                <w:color w:val="auto"/>
                <w:szCs w:val="21"/>
                <w:highlight w:val="none"/>
                <w:lang w:eastAsia="zh-CN"/>
              </w:rPr>
              <w:t>（</w:t>
            </w:r>
            <w:r>
              <w:rPr>
                <w:rFonts w:hint="eastAsia" w:ascii="宋体" w:hAnsi="宋体" w:cs="宋体"/>
                <w:color w:val="auto"/>
                <w:szCs w:val="21"/>
                <w:highlight w:val="none"/>
              </w:rPr>
              <w:t>平方米</w:t>
            </w:r>
            <w:r>
              <w:rPr>
                <w:rFonts w:hint="eastAsia" w:ascii="宋体" w:hAnsi="宋体" w:cs="宋体"/>
                <w:color w:val="auto"/>
                <w:szCs w:val="21"/>
                <w:highlight w:val="none"/>
                <w:lang w:eastAsia="zh-CN"/>
              </w:rPr>
              <w:t>）</w:t>
            </w:r>
          </w:p>
        </w:tc>
        <w:tc>
          <w:tcPr>
            <w:tcW w:w="2410" w:type="dxa"/>
            <w:tcBorders>
              <w:top w:val="single" w:color="auto" w:sz="4" w:space="0"/>
              <w:left w:val="single" w:color="auto" w:sz="4" w:space="0"/>
              <w:bottom w:val="single" w:color="auto" w:sz="4" w:space="0"/>
              <w:right w:val="single" w:color="auto" w:sz="4" w:space="0"/>
            </w:tcBorders>
            <w:vAlign w:val="center"/>
          </w:tcPr>
          <w:p w14:paraId="7E653930">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结构形式</w:t>
            </w:r>
          </w:p>
        </w:tc>
        <w:tc>
          <w:tcPr>
            <w:tcW w:w="850" w:type="dxa"/>
            <w:tcBorders>
              <w:top w:val="single" w:color="auto" w:sz="4" w:space="0"/>
              <w:left w:val="single" w:color="auto" w:sz="4" w:space="0"/>
              <w:bottom w:val="single" w:color="auto" w:sz="4" w:space="0"/>
              <w:right w:val="single" w:color="auto" w:sz="4" w:space="0"/>
            </w:tcBorders>
            <w:vAlign w:val="center"/>
          </w:tcPr>
          <w:p w14:paraId="0C4FE525">
            <w:pPr>
              <w:spacing w:line="440" w:lineRule="exact"/>
              <w:ind w:left="0" w:leftChars="0" w:firstLine="0" w:firstLineChars="0"/>
              <w:jc w:val="center"/>
              <w:rPr>
                <w:rFonts w:ascii="宋体" w:hAnsi="宋体" w:cs="宋体"/>
                <w:color w:val="auto"/>
                <w:sz w:val="21"/>
                <w:szCs w:val="21"/>
                <w:highlight w:val="none"/>
              </w:rPr>
            </w:pPr>
            <w:r>
              <w:rPr>
                <w:rFonts w:hint="eastAsia" w:ascii="宋体" w:hAnsi="宋体" w:cs="宋体"/>
                <w:color w:val="auto"/>
                <w:szCs w:val="21"/>
                <w:highlight w:val="none"/>
              </w:rPr>
              <w:t>层数</w:t>
            </w:r>
          </w:p>
        </w:tc>
        <w:tc>
          <w:tcPr>
            <w:tcW w:w="1560" w:type="dxa"/>
            <w:tcBorders>
              <w:top w:val="single" w:color="auto" w:sz="4" w:space="0"/>
              <w:left w:val="single" w:color="auto" w:sz="4" w:space="0"/>
              <w:bottom w:val="single" w:color="auto" w:sz="4" w:space="0"/>
              <w:right w:val="single" w:color="auto" w:sz="4" w:space="0"/>
            </w:tcBorders>
            <w:vAlign w:val="center"/>
          </w:tcPr>
          <w:p w14:paraId="701675E9">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生产能力</w:t>
            </w:r>
          </w:p>
        </w:tc>
        <w:tc>
          <w:tcPr>
            <w:tcW w:w="2126" w:type="dxa"/>
            <w:tcBorders>
              <w:top w:val="single" w:color="auto" w:sz="4" w:space="0"/>
              <w:left w:val="single" w:color="auto" w:sz="4" w:space="0"/>
              <w:bottom w:val="single" w:color="auto" w:sz="4" w:space="0"/>
              <w:right w:val="single" w:color="auto" w:sz="4" w:space="0"/>
            </w:tcBorders>
            <w:vAlign w:val="center"/>
          </w:tcPr>
          <w:p w14:paraId="28B651B3">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设备安装内容</w:t>
            </w:r>
          </w:p>
        </w:tc>
        <w:tc>
          <w:tcPr>
            <w:tcW w:w="1417" w:type="dxa"/>
            <w:tcBorders>
              <w:top w:val="single" w:color="auto" w:sz="4" w:space="0"/>
              <w:left w:val="single" w:color="auto" w:sz="4" w:space="0"/>
              <w:bottom w:val="single" w:color="auto" w:sz="4" w:space="0"/>
              <w:right w:val="single" w:color="auto" w:sz="4" w:space="0"/>
            </w:tcBorders>
            <w:vAlign w:val="center"/>
          </w:tcPr>
          <w:p w14:paraId="756902C9">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合同价格（元）</w:t>
            </w:r>
          </w:p>
        </w:tc>
        <w:tc>
          <w:tcPr>
            <w:tcW w:w="851" w:type="dxa"/>
            <w:tcBorders>
              <w:top w:val="single" w:color="auto" w:sz="4" w:space="0"/>
              <w:left w:val="single" w:color="auto" w:sz="4" w:space="0"/>
              <w:bottom w:val="single" w:color="auto" w:sz="4" w:space="0"/>
              <w:right w:val="single" w:color="auto" w:sz="4" w:space="0"/>
            </w:tcBorders>
            <w:vAlign w:val="center"/>
          </w:tcPr>
          <w:p w14:paraId="589CD327">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开工日期</w:t>
            </w:r>
          </w:p>
        </w:tc>
        <w:tc>
          <w:tcPr>
            <w:tcW w:w="850" w:type="dxa"/>
            <w:tcBorders>
              <w:top w:val="single" w:color="auto" w:sz="4" w:space="0"/>
              <w:left w:val="single" w:color="auto" w:sz="4" w:space="0"/>
              <w:bottom w:val="single" w:color="auto" w:sz="4" w:space="0"/>
              <w:right w:val="single" w:color="auto" w:sz="4" w:space="0"/>
            </w:tcBorders>
            <w:vAlign w:val="center"/>
          </w:tcPr>
          <w:p w14:paraId="135D5C02">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竣工日期</w:t>
            </w:r>
          </w:p>
        </w:tc>
      </w:tr>
      <w:tr w14:paraId="39CD0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4" w:space="0"/>
              <w:left w:val="single" w:color="auto" w:sz="12" w:space="0"/>
              <w:bottom w:val="single" w:color="auto" w:sz="6" w:space="0"/>
              <w:right w:val="single" w:color="auto" w:sz="6" w:space="0"/>
            </w:tcBorders>
            <w:vAlign w:val="center"/>
          </w:tcPr>
          <w:p w14:paraId="22547513">
            <w:pPr>
              <w:spacing w:line="440" w:lineRule="exact"/>
              <w:ind w:firstLine="420"/>
              <w:rPr>
                <w:rFonts w:ascii="宋体" w:hAnsi="宋体" w:cs="宋体"/>
                <w:color w:val="auto"/>
                <w:sz w:val="21"/>
                <w:szCs w:val="21"/>
                <w:highlight w:val="none"/>
              </w:rPr>
            </w:pPr>
          </w:p>
        </w:tc>
        <w:tc>
          <w:tcPr>
            <w:tcW w:w="1701" w:type="dxa"/>
            <w:tcBorders>
              <w:top w:val="single" w:color="auto" w:sz="4" w:space="0"/>
              <w:left w:val="single" w:color="auto" w:sz="6" w:space="0"/>
              <w:bottom w:val="single" w:color="auto" w:sz="6" w:space="0"/>
              <w:right w:val="single" w:color="auto" w:sz="6" w:space="0"/>
            </w:tcBorders>
            <w:vAlign w:val="center"/>
          </w:tcPr>
          <w:p w14:paraId="1D1C10D4">
            <w:pPr>
              <w:spacing w:line="440" w:lineRule="exact"/>
              <w:ind w:firstLine="420"/>
              <w:rPr>
                <w:rFonts w:ascii="宋体" w:hAnsi="宋体" w:cs="宋体"/>
                <w:color w:val="auto"/>
                <w:sz w:val="21"/>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14:paraId="58BE4DF6">
            <w:pPr>
              <w:spacing w:line="440" w:lineRule="exact"/>
              <w:ind w:firstLine="420"/>
              <w:rPr>
                <w:rFonts w:ascii="宋体" w:hAnsi="宋体" w:cs="宋体"/>
                <w:color w:val="auto"/>
                <w:sz w:val="21"/>
                <w:szCs w:val="21"/>
                <w:highlight w:val="none"/>
              </w:rPr>
            </w:pPr>
          </w:p>
        </w:tc>
        <w:tc>
          <w:tcPr>
            <w:tcW w:w="2410" w:type="dxa"/>
            <w:tcBorders>
              <w:top w:val="single" w:color="auto" w:sz="4" w:space="0"/>
              <w:left w:val="single" w:color="auto" w:sz="6" w:space="0"/>
              <w:bottom w:val="single" w:color="auto" w:sz="6" w:space="0"/>
              <w:right w:val="single" w:color="auto" w:sz="6" w:space="0"/>
            </w:tcBorders>
            <w:vAlign w:val="center"/>
          </w:tcPr>
          <w:p w14:paraId="17C1B202">
            <w:pPr>
              <w:spacing w:line="440" w:lineRule="exact"/>
              <w:ind w:firstLine="420"/>
              <w:rPr>
                <w:rFonts w:ascii="宋体" w:hAnsi="宋体" w:cs="宋体"/>
                <w:color w:val="auto"/>
                <w:sz w:val="21"/>
                <w:szCs w:val="21"/>
                <w:highlight w:val="none"/>
              </w:rPr>
            </w:pPr>
          </w:p>
        </w:tc>
        <w:tc>
          <w:tcPr>
            <w:tcW w:w="850" w:type="dxa"/>
            <w:tcBorders>
              <w:top w:val="single" w:color="auto" w:sz="4" w:space="0"/>
              <w:left w:val="single" w:color="auto" w:sz="6" w:space="0"/>
              <w:bottom w:val="single" w:color="auto" w:sz="6" w:space="0"/>
              <w:right w:val="single" w:color="auto" w:sz="6" w:space="0"/>
            </w:tcBorders>
            <w:vAlign w:val="center"/>
          </w:tcPr>
          <w:p w14:paraId="7CD6AFD2">
            <w:pPr>
              <w:spacing w:line="440" w:lineRule="exact"/>
              <w:ind w:firstLine="420"/>
              <w:rPr>
                <w:rFonts w:ascii="宋体" w:hAnsi="宋体" w:cs="宋体"/>
                <w:color w:val="auto"/>
                <w:sz w:val="21"/>
                <w:szCs w:val="21"/>
                <w:highlight w:val="none"/>
              </w:rPr>
            </w:pPr>
          </w:p>
        </w:tc>
        <w:tc>
          <w:tcPr>
            <w:tcW w:w="1560" w:type="dxa"/>
            <w:tcBorders>
              <w:top w:val="single" w:color="auto" w:sz="4" w:space="0"/>
              <w:left w:val="single" w:color="auto" w:sz="6" w:space="0"/>
              <w:bottom w:val="single" w:color="auto" w:sz="6" w:space="0"/>
              <w:right w:val="single" w:color="auto" w:sz="6" w:space="0"/>
            </w:tcBorders>
            <w:vAlign w:val="center"/>
          </w:tcPr>
          <w:p w14:paraId="5323F4DD">
            <w:pPr>
              <w:spacing w:line="440" w:lineRule="exact"/>
              <w:ind w:firstLine="420"/>
              <w:rPr>
                <w:rFonts w:ascii="宋体" w:hAnsi="宋体" w:cs="宋体"/>
                <w:color w:val="auto"/>
                <w:sz w:val="21"/>
                <w:szCs w:val="21"/>
                <w:highlight w:val="none"/>
              </w:rPr>
            </w:pPr>
          </w:p>
        </w:tc>
        <w:tc>
          <w:tcPr>
            <w:tcW w:w="2126" w:type="dxa"/>
            <w:tcBorders>
              <w:top w:val="single" w:color="auto" w:sz="4" w:space="0"/>
              <w:left w:val="single" w:color="auto" w:sz="6" w:space="0"/>
              <w:bottom w:val="single" w:color="auto" w:sz="6" w:space="0"/>
              <w:right w:val="single" w:color="auto" w:sz="6" w:space="0"/>
            </w:tcBorders>
            <w:vAlign w:val="center"/>
          </w:tcPr>
          <w:p w14:paraId="25759994">
            <w:pPr>
              <w:spacing w:line="440" w:lineRule="exact"/>
              <w:ind w:firstLine="420"/>
              <w:rPr>
                <w:rFonts w:ascii="宋体" w:hAnsi="宋体" w:cs="宋体"/>
                <w:color w:val="auto"/>
                <w:sz w:val="21"/>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14:paraId="2B918DB2">
            <w:pPr>
              <w:spacing w:line="440" w:lineRule="exact"/>
              <w:ind w:firstLine="420"/>
              <w:rPr>
                <w:rFonts w:ascii="宋体" w:hAnsi="宋体" w:cs="宋体"/>
                <w:color w:val="auto"/>
                <w:sz w:val="21"/>
                <w:szCs w:val="21"/>
                <w:highlight w:val="none"/>
              </w:rPr>
            </w:pPr>
          </w:p>
        </w:tc>
        <w:tc>
          <w:tcPr>
            <w:tcW w:w="851" w:type="dxa"/>
            <w:tcBorders>
              <w:top w:val="single" w:color="auto" w:sz="4" w:space="0"/>
              <w:left w:val="single" w:color="auto" w:sz="6" w:space="0"/>
              <w:bottom w:val="single" w:color="auto" w:sz="6" w:space="0"/>
              <w:right w:val="single" w:color="auto" w:sz="6" w:space="0"/>
            </w:tcBorders>
            <w:vAlign w:val="center"/>
          </w:tcPr>
          <w:p w14:paraId="09F5B1B8">
            <w:pPr>
              <w:spacing w:line="440" w:lineRule="exact"/>
              <w:ind w:firstLine="420"/>
              <w:rPr>
                <w:rFonts w:ascii="宋体" w:hAnsi="宋体" w:cs="宋体"/>
                <w:color w:val="auto"/>
                <w:sz w:val="21"/>
                <w:szCs w:val="21"/>
                <w:highlight w:val="none"/>
              </w:rPr>
            </w:pPr>
          </w:p>
        </w:tc>
        <w:tc>
          <w:tcPr>
            <w:tcW w:w="850" w:type="dxa"/>
            <w:tcBorders>
              <w:top w:val="single" w:color="auto" w:sz="4" w:space="0"/>
              <w:left w:val="single" w:color="auto" w:sz="6" w:space="0"/>
              <w:bottom w:val="single" w:color="auto" w:sz="6" w:space="0"/>
              <w:right w:val="single" w:color="auto" w:sz="12" w:space="0"/>
            </w:tcBorders>
            <w:vAlign w:val="center"/>
          </w:tcPr>
          <w:p w14:paraId="31AFA155">
            <w:pPr>
              <w:spacing w:line="440" w:lineRule="exact"/>
              <w:ind w:firstLine="420"/>
              <w:rPr>
                <w:rFonts w:ascii="宋体" w:hAnsi="宋体" w:cs="宋体"/>
                <w:color w:val="auto"/>
                <w:sz w:val="21"/>
                <w:szCs w:val="21"/>
                <w:highlight w:val="none"/>
              </w:rPr>
            </w:pPr>
          </w:p>
        </w:tc>
      </w:tr>
      <w:tr w14:paraId="0D53E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0A101BD0">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2707C21F">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6FAEE4A5">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23866F6D">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76D6835">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3B43C1A0">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3167E115">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7932A0D1">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265068FD">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75D87D83">
            <w:pPr>
              <w:spacing w:line="440" w:lineRule="exact"/>
              <w:ind w:firstLine="420"/>
              <w:rPr>
                <w:rFonts w:ascii="宋体" w:hAnsi="宋体" w:cs="宋体"/>
                <w:color w:val="auto"/>
                <w:sz w:val="21"/>
                <w:szCs w:val="21"/>
                <w:highlight w:val="none"/>
              </w:rPr>
            </w:pPr>
          </w:p>
        </w:tc>
      </w:tr>
      <w:tr w14:paraId="02A5E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68046F65">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0D326FD4">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62F8CE56">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7E10AD87">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DE10A6">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42318CD7">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01F4FA76">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E3938FD">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44C1D9F">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57195A31">
            <w:pPr>
              <w:spacing w:line="440" w:lineRule="exact"/>
              <w:ind w:firstLine="420"/>
              <w:rPr>
                <w:rFonts w:ascii="宋体" w:hAnsi="宋体" w:cs="宋体"/>
                <w:color w:val="auto"/>
                <w:sz w:val="21"/>
                <w:szCs w:val="21"/>
                <w:highlight w:val="none"/>
              </w:rPr>
            </w:pPr>
          </w:p>
        </w:tc>
      </w:tr>
      <w:tr w14:paraId="0348D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317C97DB">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13DA6CED">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D918BB3">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13A9366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5D9A0315">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787536C2">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43C2B387">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F6E100C">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5C6A5335">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7606F097">
            <w:pPr>
              <w:spacing w:line="440" w:lineRule="exact"/>
              <w:ind w:firstLine="420"/>
              <w:rPr>
                <w:rFonts w:ascii="宋体" w:hAnsi="宋体" w:cs="宋体"/>
                <w:color w:val="auto"/>
                <w:sz w:val="21"/>
                <w:szCs w:val="21"/>
                <w:highlight w:val="none"/>
              </w:rPr>
            </w:pPr>
          </w:p>
        </w:tc>
      </w:tr>
      <w:tr w14:paraId="5EB12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1C6C140F">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794A31C1">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E63B3B3">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41F193CC">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BBFD4AB">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394EA2FA">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18CF183B">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5BE146E1">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C690F76">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5830706">
            <w:pPr>
              <w:spacing w:line="440" w:lineRule="exact"/>
              <w:ind w:firstLine="420"/>
              <w:rPr>
                <w:rFonts w:ascii="宋体" w:hAnsi="宋体" w:cs="宋体"/>
                <w:color w:val="auto"/>
                <w:sz w:val="21"/>
                <w:szCs w:val="21"/>
                <w:highlight w:val="none"/>
              </w:rPr>
            </w:pPr>
          </w:p>
        </w:tc>
      </w:tr>
      <w:tr w14:paraId="5042A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4E1A0438">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5720B089">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C214998">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44110D2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5D338A0E">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1D442DF4">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5BA3AE93">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16D1B70">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41C26FF4">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5B4DBC6E">
            <w:pPr>
              <w:spacing w:line="440" w:lineRule="exact"/>
              <w:ind w:firstLine="420"/>
              <w:rPr>
                <w:rFonts w:ascii="宋体" w:hAnsi="宋体" w:cs="宋体"/>
                <w:color w:val="auto"/>
                <w:sz w:val="21"/>
                <w:szCs w:val="21"/>
                <w:highlight w:val="none"/>
              </w:rPr>
            </w:pPr>
          </w:p>
        </w:tc>
      </w:tr>
      <w:tr w14:paraId="74FD4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28AD56FB">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1CEEA42B">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0A1CB5F4">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0A7D0B30">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A22F717">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2A6E3893">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617D25C2">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91E72D3">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4027B8FB">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4EF05517">
            <w:pPr>
              <w:spacing w:line="440" w:lineRule="exact"/>
              <w:ind w:firstLine="420"/>
              <w:rPr>
                <w:rFonts w:ascii="宋体" w:hAnsi="宋体" w:cs="宋体"/>
                <w:color w:val="auto"/>
                <w:sz w:val="21"/>
                <w:szCs w:val="21"/>
                <w:highlight w:val="none"/>
              </w:rPr>
            </w:pPr>
          </w:p>
        </w:tc>
      </w:tr>
      <w:tr w14:paraId="6447B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329B87BB">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13B2D74B">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4EFA213A">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6CD984C3">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FC70CBF">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4240E868">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4F20C2B6">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36DA8D4B">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96B5387">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57067B8">
            <w:pPr>
              <w:spacing w:line="440" w:lineRule="exact"/>
              <w:ind w:firstLine="420"/>
              <w:rPr>
                <w:rFonts w:ascii="宋体" w:hAnsi="宋体" w:cs="宋体"/>
                <w:color w:val="auto"/>
                <w:sz w:val="21"/>
                <w:szCs w:val="21"/>
                <w:highlight w:val="none"/>
              </w:rPr>
            </w:pPr>
          </w:p>
        </w:tc>
      </w:tr>
      <w:tr w14:paraId="18226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2DAF655C">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3CD03DA2">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BD94712">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7988417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B459BAC">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3871FD1C">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0807FD1B">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585B7CC">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65E8CF6B">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2F6A328F">
            <w:pPr>
              <w:spacing w:line="440" w:lineRule="exact"/>
              <w:ind w:firstLine="420"/>
              <w:rPr>
                <w:rFonts w:ascii="宋体" w:hAnsi="宋体" w:cs="宋体"/>
                <w:color w:val="auto"/>
                <w:sz w:val="21"/>
                <w:szCs w:val="21"/>
                <w:highlight w:val="none"/>
              </w:rPr>
            </w:pPr>
          </w:p>
        </w:tc>
      </w:tr>
      <w:tr w14:paraId="5D6C4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12" w:space="0"/>
              <w:right w:val="single" w:color="auto" w:sz="6" w:space="0"/>
            </w:tcBorders>
            <w:vAlign w:val="center"/>
          </w:tcPr>
          <w:p w14:paraId="7AD636AD">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12" w:space="0"/>
              <w:right w:val="single" w:color="auto" w:sz="6" w:space="0"/>
            </w:tcBorders>
            <w:vAlign w:val="center"/>
          </w:tcPr>
          <w:p w14:paraId="06FC7639">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12" w:space="0"/>
              <w:right w:val="single" w:color="auto" w:sz="6" w:space="0"/>
            </w:tcBorders>
            <w:vAlign w:val="center"/>
          </w:tcPr>
          <w:p w14:paraId="1E50276D">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12" w:space="0"/>
              <w:right w:val="single" w:color="auto" w:sz="6" w:space="0"/>
            </w:tcBorders>
            <w:vAlign w:val="center"/>
          </w:tcPr>
          <w:p w14:paraId="0405355A">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56DC6C60">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12" w:space="0"/>
              <w:right w:val="single" w:color="auto" w:sz="6" w:space="0"/>
            </w:tcBorders>
            <w:vAlign w:val="center"/>
          </w:tcPr>
          <w:p w14:paraId="61367EEE">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12" w:space="0"/>
              <w:right w:val="single" w:color="auto" w:sz="6" w:space="0"/>
            </w:tcBorders>
            <w:vAlign w:val="center"/>
          </w:tcPr>
          <w:p w14:paraId="02B06B6C">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12" w:space="0"/>
              <w:right w:val="single" w:color="auto" w:sz="6" w:space="0"/>
            </w:tcBorders>
            <w:vAlign w:val="center"/>
          </w:tcPr>
          <w:p w14:paraId="4515C47C">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6F1F9001">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28E467BB">
            <w:pPr>
              <w:spacing w:line="440" w:lineRule="exact"/>
              <w:ind w:firstLine="420"/>
              <w:rPr>
                <w:rFonts w:ascii="宋体" w:hAnsi="宋体" w:cs="宋体"/>
                <w:color w:val="auto"/>
                <w:sz w:val="21"/>
                <w:szCs w:val="21"/>
                <w:highlight w:val="none"/>
              </w:rPr>
            </w:pPr>
          </w:p>
        </w:tc>
      </w:tr>
    </w:tbl>
    <w:p w14:paraId="1D7AAB3E">
      <w:pPr>
        <w:widowControl/>
        <w:ind w:firstLine="482"/>
        <w:jc w:val="left"/>
        <w:rPr>
          <w:rFonts w:ascii="宋体" w:hAnsi="宋体" w:cs="宋体"/>
          <w:b/>
          <w:color w:val="auto"/>
          <w:szCs w:val="21"/>
          <w:highlight w:val="none"/>
        </w:rPr>
        <w:sectPr>
          <w:pgSz w:w="16838" w:h="11906" w:orient="landscape"/>
          <w:pgMar w:top="1554" w:right="1418" w:bottom="1531" w:left="1418" w:header="851" w:footer="992" w:gutter="0"/>
          <w:cols w:space="720" w:num="1"/>
          <w:docGrid w:type="linesAndChars" w:linePitch="312" w:charSpace="0"/>
        </w:sectPr>
      </w:pPr>
    </w:p>
    <w:p w14:paraId="0608362E">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t>附</w:t>
      </w:r>
      <w:bookmarkStart w:id="1449" w:name="_Toc296346726"/>
      <w:bookmarkStart w:id="1450" w:name="_Toc296347224"/>
      <w:bookmarkStart w:id="1451" w:name="_Toc296891053"/>
      <w:bookmarkStart w:id="1452" w:name="_Toc296891265"/>
      <w:bookmarkStart w:id="1453" w:name="_Toc296944564"/>
      <w:bookmarkStart w:id="1454" w:name="_Toc267261692"/>
      <w:bookmarkStart w:id="1455" w:name="_Toc296503225"/>
      <w:r>
        <w:rPr>
          <w:rFonts w:hint="eastAsia" w:ascii="宋体" w:hAnsi="宋体" w:cs="宋体"/>
          <w:color w:val="auto"/>
          <w:szCs w:val="21"/>
          <w:highlight w:val="none"/>
        </w:rPr>
        <w:t>件2：</w:t>
      </w:r>
    </w:p>
    <w:bookmarkEnd w:id="1449"/>
    <w:bookmarkEnd w:id="1450"/>
    <w:bookmarkEnd w:id="1451"/>
    <w:bookmarkEnd w:id="1452"/>
    <w:bookmarkEnd w:id="1453"/>
    <w:bookmarkEnd w:id="1454"/>
    <w:bookmarkEnd w:id="1455"/>
    <w:p w14:paraId="04132F3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48"/>
        <w:tblW w:w="9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5"/>
        <w:gridCol w:w="1047"/>
        <w:gridCol w:w="1274"/>
        <w:gridCol w:w="993"/>
        <w:gridCol w:w="850"/>
        <w:gridCol w:w="851"/>
        <w:gridCol w:w="992"/>
        <w:gridCol w:w="1134"/>
        <w:gridCol w:w="1134"/>
        <w:gridCol w:w="850"/>
      </w:tblGrid>
      <w:tr w14:paraId="22274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12" w:hRule="atLeast"/>
          <w:jc w:val="center"/>
        </w:trPr>
        <w:tc>
          <w:tcPr>
            <w:tcW w:w="776" w:type="dxa"/>
            <w:tcBorders>
              <w:top w:val="single" w:color="auto" w:sz="12" w:space="0"/>
              <w:left w:val="single" w:color="auto" w:sz="12" w:space="0"/>
              <w:bottom w:val="double" w:color="auto" w:sz="6" w:space="0"/>
              <w:right w:val="single" w:color="auto" w:sz="6" w:space="0"/>
            </w:tcBorders>
            <w:vAlign w:val="center"/>
          </w:tcPr>
          <w:p w14:paraId="6F074D22">
            <w:pPr>
              <w:ind w:firstLine="0" w:firstLineChars="0"/>
              <w:jc w:val="center"/>
              <w:rPr>
                <w:color w:val="auto"/>
                <w:sz w:val="21"/>
                <w:szCs w:val="24"/>
                <w:highlight w:val="none"/>
              </w:rPr>
            </w:pPr>
            <w:r>
              <w:rPr>
                <w:rFonts w:hint="eastAsia"/>
                <w:color w:val="auto"/>
                <w:highlight w:val="none"/>
              </w:rPr>
              <w:t>序号</w:t>
            </w:r>
          </w:p>
        </w:tc>
        <w:tc>
          <w:tcPr>
            <w:tcW w:w="1048" w:type="dxa"/>
            <w:tcBorders>
              <w:top w:val="single" w:color="auto" w:sz="12" w:space="0"/>
              <w:left w:val="single" w:color="auto" w:sz="6" w:space="0"/>
              <w:bottom w:val="double" w:color="auto" w:sz="6" w:space="0"/>
              <w:right w:val="single" w:color="auto" w:sz="6" w:space="0"/>
            </w:tcBorders>
            <w:vAlign w:val="center"/>
          </w:tcPr>
          <w:p w14:paraId="062710BC">
            <w:pPr>
              <w:ind w:firstLine="0" w:firstLineChars="0"/>
              <w:jc w:val="center"/>
              <w:rPr>
                <w:color w:val="auto"/>
                <w:highlight w:val="none"/>
              </w:rPr>
            </w:pPr>
            <w:r>
              <w:rPr>
                <w:rFonts w:hint="eastAsia"/>
                <w:color w:val="auto"/>
                <w:highlight w:val="none"/>
              </w:rPr>
              <w:t>材料、</w:t>
            </w:r>
          </w:p>
          <w:p w14:paraId="23B9A7AF">
            <w:pPr>
              <w:ind w:firstLine="0" w:firstLineChars="0"/>
              <w:jc w:val="center"/>
              <w:rPr>
                <w:color w:val="auto"/>
                <w:highlight w:val="none"/>
              </w:rPr>
            </w:pPr>
            <w:r>
              <w:rPr>
                <w:rFonts w:hint="eastAsia"/>
                <w:color w:val="auto"/>
                <w:highlight w:val="none"/>
              </w:rPr>
              <w:t>设备品种</w:t>
            </w:r>
          </w:p>
        </w:tc>
        <w:tc>
          <w:tcPr>
            <w:tcW w:w="1275" w:type="dxa"/>
            <w:tcBorders>
              <w:top w:val="single" w:color="auto" w:sz="12" w:space="0"/>
              <w:left w:val="single" w:color="auto" w:sz="6" w:space="0"/>
              <w:bottom w:val="double" w:color="auto" w:sz="6" w:space="0"/>
              <w:right w:val="single" w:color="auto" w:sz="6" w:space="0"/>
            </w:tcBorders>
            <w:vAlign w:val="center"/>
          </w:tcPr>
          <w:p w14:paraId="24629E92">
            <w:pPr>
              <w:ind w:firstLine="0" w:firstLineChars="0"/>
              <w:jc w:val="center"/>
              <w:rPr>
                <w:color w:val="auto"/>
                <w:highlight w:val="none"/>
              </w:rPr>
            </w:pPr>
            <w:r>
              <w:rPr>
                <w:rFonts w:hint="eastAsia"/>
                <w:color w:val="auto"/>
                <w:highlight w:val="none"/>
              </w:rPr>
              <w:t>规格型号</w:t>
            </w:r>
          </w:p>
        </w:tc>
        <w:tc>
          <w:tcPr>
            <w:tcW w:w="993" w:type="dxa"/>
            <w:tcBorders>
              <w:top w:val="single" w:color="auto" w:sz="12" w:space="0"/>
              <w:left w:val="single" w:color="auto" w:sz="6" w:space="0"/>
              <w:bottom w:val="double" w:color="auto" w:sz="6" w:space="0"/>
              <w:right w:val="single" w:color="auto" w:sz="6" w:space="0"/>
            </w:tcBorders>
            <w:vAlign w:val="center"/>
          </w:tcPr>
          <w:p w14:paraId="766A1124">
            <w:pPr>
              <w:ind w:firstLine="0" w:firstLineChars="0"/>
              <w:jc w:val="center"/>
              <w:rPr>
                <w:color w:val="auto"/>
                <w:highlight w:val="none"/>
              </w:rPr>
            </w:pPr>
            <w:r>
              <w:rPr>
                <w:rFonts w:hint="eastAsia"/>
                <w:color w:val="auto"/>
                <w:highlight w:val="none"/>
              </w:rPr>
              <w:t>单位</w:t>
            </w:r>
          </w:p>
        </w:tc>
        <w:tc>
          <w:tcPr>
            <w:tcW w:w="850" w:type="dxa"/>
            <w:tcBorders>
              <w:top w:val="single" w:color="auto" w:sz="12" w:space="0"/>
              <w:left w:val="single" w:color="auto" w:sz="6" w:space="0"/>
              <w:bottom w:val="double" w:color="auto" w:sz="6" w:space="0"/>
              <w:right w:val="single" w:color="auto" w:sz="6" w:space="0"/>
            </w:tcBorders>
            <w:vAlign w:val="center"/>
          </w:tcPr>
          <w:p w14:paraId="5E208491">
            <w:pPr>
              <w:ind w:firstLine="0" w:firstLineChars="0"/>
              <w:jc w:val="center"/>
              <w:rPr>
                <w:color w:val="auto"/>
                <w:highlight w:val="none"/>
              </w:rPr>
            </w:pPr>
            <w:r>
              <w:rPr>
                <w:rFonts w:hint="eastAsia"/>
                <w:color w:val="auto"/>
                <w:highlight w:val="none"/>
              </w:rPr>
              <w:t>数量</w:t>
            </w:r>
          </w:p>
        </w:tc>
        <w:tc>
          <w:tcPr>
            <w:tcW w:w="851" w:type="dxa"/>
            <w:tcBorders>
              <w:top w:val="single" w:color="auto" w:sz="12" w:space="0"/>
              <w:left w:val="single" w:color="auto" w:sz="6" w:space="0"/>
              <w:bottom w:val="double" w:color="auto" w:sz="6" w:space="0"/>
              <w:right w:val="single" w:color="auto" w:sz="6" w:space="0"/>
            </w:tcBorders>
            <w:vAlign w:val="center"/>
          </w:tcPr>
          <w:p w14:paraId="208A9D7F">
            <w:pPr>
              <w:ind w:firstLine="0" w:firstLineChars="0"/>
              <w:jc w:val="center"/>
              <w:rPr>
                <w:color w:val="auto"/>
                <w:highlight w:val="none"/>
              </w:rPr>
            </w:pPr>
            <w:r>
              <w:rPr>
                <w:rFonts w:hint="eastAsia"/>
                <w:color w:val="auto"/>
                <w:highlight w:val="none"/>
              </w:rPr>
              <w:t>单价（元）</w:t>
            </w:r>
          </w:p>
        </w:tc>
        <w:tc>
          <w:tcPr>
            <w:tcW w:w="992" w:type="dxa"/>
            <w:tcBorders>
              <w:top w:val="single" w:color="auto" w:sz="12" w:space="0"/>
              <w:left w:val="single" w:color="auto" w:sz="6" w:space="0"/>
              <w:bottom w:val="double" w:color="auto" w:sz="6" w:space="0"/>
              <w:right w:val="single" w:color="auto" w:sz="6" w:space="0"/>
            </w:tcBorders>
            <w:vAlign w:val="center"/>
          </w:tcPr>
          <w:p w14:paraId="00C8DD6B">
            <w:pPr>
              <w:ind w:firstLine="0" w:firstLineChars="0"/>
              <w:jc w:val="center"/>
              <w:rPr>
                <w:color w:val="auto"/>
                <w:highlight w:val="none"/>
              </w:rPr>
            </w:pPr>
            <w:r>
              <w:rPr>
                <w:rFonts w:hint="eastAsia"/>
                <w:color w:val="auto"/>
                <w:highlight w:val="none"/>
              </w:rPr>
              <w:t>质量</w:t>
            </w:r>
          </w:p>
          <w:p w14:paraId="34E301E7">
            <w:pPr>
              <w:ind w:firstLine="0" w:firstLineChars="0"/>
              <w:jc w:val="center"/>
              <w:rPr>
                <w:color w:val="auto"/>
                <w:highlight w:val="none"/>
              </w:rPr>
            </w:pPr>
            <w:r>
              <w:rPr>
                <w:rFonts w:hint="eastAsia"/>
                <w:color w:val="auto"/>
                <w:highlight w:val="none"/>
              </w:rPr>
              <w:t>等级</w:t>
            </w:r>
          </w:p>
        </w:tc>
        <w:tc>
          <w:tcPr>
            <w:tcW w:w="1134" w:type="dxa"/>
            <w:tcBorders>
              <w:top w:val="single" w:color="auto" w:sz="12" w:space="0"/>
              <w:left w:val="single" w:color="auto" w:sz="6" w:space="0"/>
              <w:bottom w:val="double" w:color="auto" w:sz="6" w:space="0"/>
              <w:right w:val="single" w:color="auto" w:sz="6" w:space="0"/>
            </w:tcBorders>
            <w:vAlign w:val="center"/>
          </w:tcPr>
          <w:p w14:paraId="03CCBEF5">
            <w:pPr>
              <w:ind w:firstLine="0" w:firstLineChars="0"/>
              <w:jc w:val="center"/>
              <w:rPr>
                <w:color w:val="auto"/>
                <w:highlight w:val="none"/>
              </w:rPr>
            </w:pPr>
            <w:r>
              <w:rPr>
                <w:rFonts w:hint="eastAsia"/>
                <w:color w:val="auto"/>
                <w:highlight w:val="none"/>
              </w:rPr>
              <w:t>供应</w:t>
            </w:r>
          </w:p>
          <w:p w14:paraId="60C67948">
            <w:pPr>
              <w:ind w:firstLine="0" w:firstLineChars="0"/>
              <w:jc w:val="center"/>
              <w:rPr>
                <w:color w:val="auto"/>
                <w:highlight w:val="none"/>
              </w:rPr>
            </w:pPr>
            <w:r>
              <w:rPr>
                <w:rFonts w:hint="eastAsia"/>
                <w:color w:val="auto"/>
                <w:highlight w:val="none"/>
              </w:rPr>
              <w:t>时间</w:t>
            </w:r>
          </w:p>
        </w:tc>
        <w:tc>
          <w:tcPr>
            <w:tcW w:w="1134" w:type="dxa"/>
            <w:tcBorders>
              <w:top w:val="single" w:color="auto" w:sz="12" w:space="0"/>
              <w:left w:val="single" w:color="auto" w:sz="6" w:space="0"/>
              <w:bottom w:val="double" w:color="auto" w:sz="6" w:space="0"/>
              <w:right w:val="single" w:color="auto" w:sz="6" w:space="0"/>
            </w:tcBorders>
            <w:vAlign w:val="center"/>
          </w:tcPr>
          <w:p w14:paraId="3927B129">
            <w:pPr>
              <w:ind w:firstLine="0" w:firstLineChars="0"/>
              <w:jc w:val="center"/>
              <w:rPr>
                <w:color w:val="auto"/>
                <w:highlight w:val="none"/>
              </w:rPr>
            </w:pPr>
            <w:r>
              <w:rPr>
                <w:rFonts w:hint="eastAsia"/>
                <w:color w:val="auto"/>
                <w:highlight w:val="none"/>
              </w:rPr>
              <w:t>送达</w:t>
            </w:r>
          </w:p>
          <w:p w14:paraId="42C44690">
            <w:pPr>
              <w:ind w:firstLine="0" w:firstLineChars="0"/>
              <w:jc w:val="center"/>
              <w:rPr>
                <w:color w:val="auto"/>
                <w:highlight w:val="none"/>
              </w:rPr>
            </w:pPr>
            <w:r>
              <w:rPr>
                <w:rFonts w:hint="eastAsia"/>
                <w:color w:val="auto"/>
                <w:highlight w:val="none"/>
              </w:rPr>
              <w:t>地点</w:t>
            </w:r>
          </w:p>
        </w:tc>
        <w:tc>
          <w:tcPr>
            <w:tcW w:w="850" w:type="dxa"/>
            <w:tcBorders>
              <w:top w:val="single" w:color="auto" w:sz="12" w:space="0"/>
              <w:left w:val="single" w:color="auto" w:sz="6" w:space="0"/>
              <w:bottom w:val="double" w:color="auto" w:sz="6" w:space="0"/>
              <w:right w:val="single" w:color="auto" w:sz="12" w:space="0"/>
            </w:tcBorders>
            <w:vAlign w:val="center"/>
          </w:tcPr>
          <w:p w14:paraId="7ED3E5E4">
            <w:pPr>
              <w:ind w:firstLine="0" w:firstLineChars="0"/>
              <w:jc w:val="center"/>
              <w:rPr>
                <w:color w:val="auto"/>
                <w:highlight w:val="none"/>
              </w:rPr>
            </w:pPr>
            <w:r>
              <w:rPr>
                <w:rFonts w:hint="eastAsia"/>
                <w:color w:val="auto"/>
                <w:highlight w:val="none"/>
              </w:rPr>
              <w:t>备注</w:t>
            </w:r>
          </w:p>
        </w:tc>
      </w:tr>
      <w:tr w14:paraId="3519F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double" w:color="auto" w:sz="6" w:space="0"/>
              <w:left w:val="single" w:color="auto" w:sz="12" w:space="0"/>
              <w:bottom w:val="single" w:color="auto" w:sz="6" w:space="0"/>
              <w:right w:val="single" w:color="auto" w:sz="6" w:space="0"/>
            </w:tcBorders>
            <w:vAlign w:val="center"/>
          </w:tcPr>
          <w:p w14:paraId="578FF8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double" w:color="auto" w:sz="6" w:space="0"/>
              <w:left w:val="single" w:color="auto" w:sz="6" w:space="0"/>
              <w:bottom w:val="single" w:color="auto" w:sz="6" w:space="0"/>
              <w:right w:val="single" w:color="auto" w:sz="6" w:space="0"/>
            </w:tcBorders>
            <w:vAlign w:val="center"/>
          </w:tcPr>
          <w:p w14:paraId="4934BA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double" w:color="auto" w:sz="6" w:space="0"/>
              <w:left w:val="single" w:color="auto" w:sz="6" w:space="0"/>
              <w:bottom w:val="single" w:color="auto" w:sz="6" w:space="0"/>
              <w:right w:val="single" w:color="auto" w:sz="6" w:space="0"/>
            </w:tcBorders>
            <w:vAlign w:val="center"/>
          </w:tcPr>
          <w:p w14:paraId="06EC19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double" w:color="auto" w:sz="6" w:space="0"/>
              <w:left w:val="single" w:color="auto" w:sz="6" w:space="0"/>
              <w:bottom w:val="single" w:color="auto" w:sz="6" w:space="0"/>
              <w:right w:val="single" w:color="auto" w:sz="6" w:space="0"/>
            </w:tcBorders>
            <w:vAlign w:val="center"/>
          </w:tcPr>
          <w:p w14:paraId="2A9B62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6" w:space="0"/>
            </w:tcBorders>
            <w:vAlign w:val="center"/>
          </w:tcPr>
          <w:p w14:paraId="262FCC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vAlign w:val="center"/>
          </w:tcPr>
          <w:p w14:paraId="12B715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double" w:color="auto" w:sz="6" w:space="0"/>
              <w:left w:val="single" w:color="auto" w:sz="6" w:space="0"/>
              <w:bottom w:val="single" w:color="auto" w:sz="6" w:space="0"/>
              <w:right w:val="single" w:color="auto" w:sz="6" w:space="0"/>
            </w:tcBorders>
            <w:vAlign w:val="center"/>
          </w:tcPr>
          <w:p w14:paraId="14C4D2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double" w:color="auto" w:sz="6" w:space="0"/>
              <w:left w:val="single" w:color="auto" w:sz="6" w:space="0"/>
              <w:bottom w:val="single" w:color="auto" w:sz="6" w:space="0"/>
              <w:right w:val="single" w:color="auto" w:sz="6" w:space="0"/>
            </w:tcBorders>
            <w:vAlign w:val="center"/>
          </w:tcPr>
          <w:p w14:paraId="5DD2D18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double" w:color="auto" w:sz="6" w:space="0"/>
              <w:left w:val="single" w:color="auto" w:sz="6" w:space="0"/>
              <w:bottom w:val="single" w:color="auto" w:sz="6" w:space="0"/>
              <w:right w:val="single" w:color="auto" w:sz="6" w:space="0"/>
            </w:tcBorders>
            <w:vAlign w:val="center"/>
          </w:tcPr>
          <w:p w14:paraId="7BBCCE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12" w:space="0"/>
            </w:tcBorders>
            <w:vAlign w:val="center"/>
          </w:tcPr>
          <w:p w14:paraId="154FE5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9A0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nil"/>
              <w:left w:val="single" w:color="auto" w:sz="12" w:space="0"/>
              <w:bottom w:val="single" w:color="auto" w:sz="6" w:space="0"/>
              <w:right w:val="single" w:color="auto" w:sz="6" w:space="0"/>
            </w:tcBorders>
            <w:vAlign w:val="center"/>
          </w:tcPr>
          <w:p w14:paraId="3FBC4A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nil"/>
              <w:left w:val="single" w:color="auto" w:sz="6" w:space="0"/>
              <w:bottom w:val="single" w:color="auto" w:sz="6" w:space="0"/>
              <w:right w:val="single" w:color="auto" w:sz="6" w:space="0"/>
            </w:tcBorders>
            <w:vAlign w:val="center"/>
          </w:tcPr>
          <w:p w14:paraId="357229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nil"/>
              <w:left w:val="single" w:color="auto" w:sz="6" w:space="0"/>
              <w:bottom w:val="single" w:color="auto" w:sz="6" w:space="0"/>
              <w:right w:val="single" w:color="auto" w:sz="6" w:space="0"/>
            </w:tcBorders>
            <w:vAlign w:val="center"/>
          </w:tcPr>
          <w:p w14:paraId="77B287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nil"/>
              <w:left w:val="single" w:color="auto" w:sz="6" w:space="0"/>
              <w:bottom w:val="single" w:color="auto" w:sz="6" w:space="0"/>
              <w:right w:val="single" w:color="auto" w:sz="6" w:space="0"/>
            </w:tcBorders>
            <w:vAlign w:val="center"/>
          </w:tcPr>
          <w:p w14:paraId="170A1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6" w:space="0"/>
            </w:tcBorders>
            <w:vAlign w:val="center"/>
          </w:tcPr>
          <w:p w14:paraId="79F091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vAlign w:val="center"/>
          </w:tcPr>
          <w:p w14:paraId="1D08060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nil"/>
              <w:left w:val="single" w:color="auto" w:sz="6" w:space="0"/>
              <w:bottom w:val="single" w:color="auto" w:sz="6" w:space="0"/>
              <w:right w:val="single" w:color="auto" w:sz="6" w:space="0"/>
            </w:tcBorders>
            <w:vAlign w:val="center"/>
          </w:tcPr>
          <w:p w14:paraId="57DBDEB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28FCA1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7EDABE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12" w:space="0"/>
            </w:tcBorders>
            <w:vAlign w:val="center"/>
          </w:tcPr>
          <w:p w14:paraId="28BBE05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C6A5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11ABAA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01C137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6C70728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30E58E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71A4AB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554634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16978C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4B87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A8E4A4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FC465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00F9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25D6D8F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3E4ED8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71DED1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0C0ECD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2EDD8A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041700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16806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EC851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5FD04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46AB98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0637A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321AD1C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49EDBC2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40589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227513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0066E34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062B0E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3CCFF66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12C23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589A3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32012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7143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135FD2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5E10BE5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436387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5C483B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A281F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503EA5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E6D81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A1C34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71739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610C11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57AF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D9C22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79E677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19845C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05F06C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737741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412902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5D494E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04C2C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52C0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329E7F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9052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9BE5B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76D1C5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689ABA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12F088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30ADA6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10C9B5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2554D1F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20893A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E1639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5AC960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192F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74C37046">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08B72F0F">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76950F37">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F7596BC">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D24778C">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B0B1A1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63F5A5D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1E945F5">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D2DC21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F7AB587">
            <w:pPr>
              <w:ind w:firstLine="420"/>
              <w:jc w:val="center"/>
              <w:rPr>
                <w:rFonts w:ascii="宋体" w:hAnsi="宋体" w:cs="宋体"/>
                <w:color w:val="auto"/>
                <w:sz w:val="21"/>
                <w:szCs w:val="21"/>
                <w:highlight w:val="none"/>
              </w:rPr>
            </w:pPr>
          </w:p>
        </w:tc>
      </w:tr>
      <w:tr w14:paraId="6DAF3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0DB8DC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07DFF8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365035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3E2668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629568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18D40D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1A0CCF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889E1F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CAFBBC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5CC431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997E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759E0905">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4ACCEA7E">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24CD058">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7E1A16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35F8BECF">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2BCEA5C">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4477991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B3A21F7">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035C331">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98E0D0F">
            <w:pPr>
              <w:ind w:firstLine="420"/>
              <w:jc w:val="center"/>
              <w:rPr>
                <w:rFonts w:ascii="宋体" w:hAnsi="宋体" w:cs="宋体"/>
                <w:color w:val="auto"/>
                <w:sz w:val="21"/>
                <w:szCs w:val="21"/>
                <w:highlight w:val="none"/>
              </w:rPr>
            </w:pPr>
          </w:p>
        </w:tc>
      </w:tr>
      <w:tr w14:paraId="1163B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2350D131">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6E7602C4">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4054FB5C">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173BD077">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CB9291D">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66B2D1B">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8AE2A1E">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C929B6A">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5F60F52B">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5AA4D49">
            <w:pPr>
              <w:ind w:firstLine="420"/>
              <w:jc w:val="center"/>
              <w:rPr>
                <w:rFonts w:ascii="宋体" w:hAnsi="宋体" w:cs="宋体"/>
                <w:color w:val="auto"/>
                <w:sz w:val="21"/>
                <w:szCs w:val="21"/>
                <w:highlight w:val="none"/>
              </w:rPr>
            </w:pPr>
          </w:p>
        </w:tc>
      </w:tr>
      <w:tr w14:paraId="44F3B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3A0E4052">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4FC65C22">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07C97619">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56C44637">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42C6A178">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592D4B3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9AC4A69">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1AF8386">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5557C4D">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B8E80E6">
            <w:pPr>
              <w:ind w:firstLine="420"/>
              <w:jc w:val="center"/>
              <w:rPr>
                <w:rFonts w:ascii="宋体" w:hAnsi="宋体" w:cs="宋体"/>
                <w:color w:val="auto"/>
                <w:sz w:val="21"/>
                <w:szCs w:val="21"/>
                <w:highlight w:val="none"/>
              </w:rPr>
            </w:pPr>
          </w:p>
        </w:tc>
      </w:tr>
      <w:tr w14:paraId="1578C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41D3642">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7FB758E4">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7DA17A4">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4C9CF5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D22F6A6">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15CF5D4">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64F9058">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5616101">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3D31F75">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56A98E7">
            <w:pPr>
              <w:ind w:firstLine="420"/>
              <w:jc w:val="center"/>
              <w:rPr>
                <w:rFonts w:ascii="宋体" w:hAnsi="宋体" w:cs="宋体"/>
                <w:color w:val="auto"/>
                <w:sz w:val="21"/>
                <w:szCs w:val="21"/>
                <w:highlight w:val="none"/>
              </w:rPr>
            </w:pPr>
          </w:p>
        </w:tc>
      </w:tr>
      <w:tr w14:paraId="695D8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5A1AD1E">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367B34A9">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2FA00C4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A044502">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0D81434">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C8BC463">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18F9FE55">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99EC557">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B0578DD">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4BFAA375">
            <w:pPr>
              <w:ind w:firstLine="420"/>
              <w:jc w:val="center"/>
              <w:rPr>
                <w:rFonts w:ascii="宋体" w:hAnsi="宋体" w:cs="宋体"/>
                <w:color w:val="auto"/>
                <w:sz w:val="21"/>
                <w:szCs w:val="21"/>
                <w:highlight w:val="none"/>
              </w:rPr>
            </w:pPr>
          </w:p>
        </w:tc>
      </w:tr>
      <w:tr w14:paraId="5E356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4D0EDA9">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1E3A4A6F">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D46363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99B27DC">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550620">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8D8E659">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7409AD4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24AACC1">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75D24818">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F24B4B6">
            <w:pPr>
              <w:ind w:firstLine="420"/>
              <w:jc w:val="center"/>
              <w:rPr>
                <w:rFonts w:ascii="宋体" w:hAnsi="宋体" w:cs="宋体"/>
                <w:color w:val="auto"/>
                <w:sz w:val="21"/>
                <w:szCs w:val="21"/>
                <w:highlight w:val="none"/>
              </w:rPr>
            </w:pPr>
          </w:p>
        </w:tc>
      </w:tr>
      <w:tr w14:paraId="473B3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15CD5FE">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218A4F29">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520BA239">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35B45BE">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7F8F461D">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681BA4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9D4E7E0">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7D05649">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E8B2D86">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C5E42F2">
            <w:pPr>
              <w:ind w:firstLine="420"/>
              <w:jc w:val="center"/>
              <w:rPr>
                <w:rFonts w:ascii="宋体" w:hAnsi="宋体" w:cs="宋体"/>
                <w:color w:val="auto"/>
                <w:sz w:val="21"/>
                <w:szCs w:val="21"/>
                <w:highlight w:val="none"/>
              </w:rPr>
            </w:pPr>
          </w:p>
        </w:tc>
      </w:tr>
      <w:tr w14:paraId="5F043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12" w:space="0"/>
              <w:right w:val="single" w:color="auto" w:sz="6" w:space="0"/>
            </w:tcBorders>
            <w:vAlign w:val="center"/>
          </w:tcPr>
          <w:p w14:paraId="451BAA0B">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12" w:space="0"/>
              <w:right w:val="single" w:color="auto" w:sz="6" w:space="0"/>
            </w:tcBorders>
            <w:vAlign w:val="center"/>
          </w:tcPr>
          <w:p w14:paraId="51574CB3">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12" w:space="0"/>
              <w:right w:val="single" w:color="auto" w:sz="6" w:space="0"/>
            </w:tcBorders>
            <w:vAlign w:val="center"/>
          </w:tcPr>
          <w:p w14:paraId="1D264DA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12" w:space="0"/>
              <w:right w:val="single" w:color="auto" w:sz="6" w:space="0"/>
            </w:tcBorders>
            <w:vAlign w:val="center"/>
          </w:tcPr>
          <w:p w14:paraId="617E360B">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41EC222E">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1AE824EA">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12" w:space="0"/>
              <w:right w:val="single" w:color="auto" w:sz="6" w:space="0"/>
            </w:tcBorders>
            <w:vAlign w:val="center"/>
          </w:tcPr>
          <w:p w14:paraId="56DCF58E">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75C52C8A">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284A8FD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4F7BE4C5">
            <w:pPr>
              <w:ind w:firstLine="420"/>
              <w:jc w:val="center"/>
              <w:rPr>
                <w:rFonts w:ascii="宋体" w:hAnsi="宋体" w:cs="宋体"/>
                <w:color w:val="auto"/>
                <w:sz w:val="21"/>
                <w:szCs w:val="21"/>
                <w:highlight w:val="none"/>
              </w:rPr>
            </w:pPr>
          </w:p>
        </w:tc>
      </w:tr>
    </w:tbl>
    <w:p w14:paraId="3914A5A4">
      <w:pPr>
        <w:pStyle w:val="23"/>
        <w:rPr>
          <w:color w:val="auto"/>
          <w:highlight w:val="none"/>
        </w:rPr>
      </w:pPr>
      <w:r>
        <w:rPr>
          <w:color w:val="auto"/>
          <w:highlight w:val="none"/>
        </w:rPr>
        <w:br w:type="page"/>
      </w:r>
    </w:p>
    <w:p w14:paraId="40574164">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56" w:name="_Toc296944565"/>
      <w:bookmarkStart w:id="1457" w:name="_Toc296346727"/>
      <w:bookmarkStart w:id="1458" w:name="_Toc296891054"/>
      <w:bookmarkStart w:id="1459" w:name="_Toc267261693"/>
      <w:bookmarkStart w:id="1460" w:name="_Toc296891266"/>
      <w:bookmarkStart w:id="1461" w:name="_Toc296503226"/>
      <w:bookmarkStart w:id="1462" w:name="_Toc296347225"/>
      <w:r>
        <w:rPr>
          <w:rFonts w:hint="eastAsia" w:ascii="宋体" w:hAnsi="宋体" w:cs="宋体"/>
          <w:color w:val="auto"/>
          <w:szCs w:val="21"/>
          <w:highlight w:val="none"/>
        </w:rPr>
        <w:t>件3：</w:t>
      </w:r>
      <w:bookmarkEnd w:id="1456"/>
      <w:bookmarkEnd w:id="1457"/>
      <w:bookmarkEnd w:id="1458"/>
      <w:bookmarkEnd w:id="1459"/>
      <w:bookmarkEnd w:id="1460"/>
      <w:bookmarkEnd w:id="1461"/>
      <w:bookmarkEnd w:id="1462"/>
      <w:r>
        <w:rPr>
          <w:rFonts w:hint="eastAsia" w:ascii="宋体" w:hAnsi="宋体" w:cs="宋体"/>
          <w:color w:val="auto"/>
          <w:szCs w:val="21"/>
          <w:highlight w:val="none"/>
        </w:rPr>
        <w:t xml:space="preserve">    </w:t>
      </w:r>
    </w:p>
    <w:p w14:paraId="6E74787C">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工程质量保修书</w:t>
      </w:r>
    </w:p>
    <w:p w14:paraId="053F211D">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1E616F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30B31B5">
      <w:pPr>
        <w:spacing w:line="400" w:lineRule="exact"/>
        <w:ind w:firstLine="480"/>
        <w:rPr>
          <w:rFonts w:ascii="宋体" w:hAnsi="宋体" w:cs="宋体"/>
          <w:color w:val="auto"/>
          <w:szCs w:val="21"/>
          <w:highlight w:val="none"/>
        </w:rPr>
      </w:pPr>
    </w:p>
    <w:p w14:paraId="6F7EC6E4">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发包人和承包人根据《中华人民共和国建筑法》和《建设工程质量管理条例》，经协商一致就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6DA1065F">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一、工程质量保修范围和内容</w:t>
      </w:r>
    </w:p>
    <w:p w14:paraId="557E59E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承包人在质量保修期内，按照有关法律规定和合同约定，承担工程质量保修责任。</w:t>
      </w:r>
    </w:p>
    <w:p w14:paraId="6B4CDD3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质量保修范围包括</w:t>
      </w:r>
      <w:r>
        <w:rPr>
          <w:rFonts w:hint="eastAsia" w:ascii="宋体" w:hAnsi="宋体" w:eastAsia="宋体" w:cs="宋体"/>
          <w:color w:val="auto"/>
          <w:szCs w:val="21"/>
          <w:highlight w:val="none"/>
          <w:lang w:eastAsia="zh-CN"/>
        </w:rPr>
        <w:t>桂林市田家炳中学球类活动场地改造</w:t>
      </w:r>
      <w:r>
        <w:rPr>
          <w:rFonts w:hint="eastAsia" w:ascii="宋体" w:hAnsi="宋体" w:eastAsia="宋体" w:cs="宋体"/>
          <w:color w:val="auto"/>
          <w:szCs w:val="21"/>
          <w:highlight w:val="none"/>
        </w:rPr>
        <w:t>中所涉及的相关工程</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包括</w:t>
      </w:r>
      <w:r>
        <w:rPr>
          <w:rFonts w:hint="eastAsia" w:ascii="宋体" w:hAnsi="宋体" w:eastAsia="宋体" w:cs="宋体"/>
          <w:color w:val="auto"/>
          <w:szCs w:val="21"/>
          <w:highlight w:val="none"/>
          <w:lang w:eastAsia="zh-CN"/>
        </w:rPr>
        <w:t>但不限于</w:t>
      </w:r>
      <w:r>
        <w:rPr>
          <w:rFonts w:hint="eastAsia" w:ascii="宋体" w:hAnsi="宋体" w:eastAsia="宋体" w:cs="宋体"/>
          <w:color w:val="auto"/>
          <w:szCs w:val="21"/>
          <w:highlight w:val="none"/>
        </w:rPr>
        <w:t>原8mm厚硅PU球场拆除</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新建8</w:t>
      </w:r>
      <w:r>
        <w:rPr>
          <w:rFonts w:hint="eastAsia" w:ascii="宋体" w:hAnsi="宋体" w:eastAsia="宋体" w:cs="宋体"/>
          <w:color w:val="auto"/>
          <w:szCs w:val="21"/>
          <w:highlight w:val="none"/>
          <w:lang w:val="en-US" w:eastAsia="zh-CN"/>
        </w:rPr>
        <w:t>mm</w:t>
      </w:r>
      <w:r>
        <w:rPr>
          <w:rFonts w:hint="eastAsia" w:ascii="宋体" w:hAnsi="宋体" w:eastAsia="宋体" w:cs="宋体"/>
          <w:color w:val="auto"/>
          <w:szCs w:val="21"/>
          <w:highlight w:val="none"/>
        </w:rPr>
        <w:t>厚硅PU球场、排水沟等内容。</w:t>
      </w:r>
      <w:r>
        <w:rPr>
          <w:rFonts w:hint="eastAsia" w:ascii="宋体" w:hAnsi="宋体" w:cs="宋体"/>
          <w:color w:val="auto"/>
          <w:szCs w:val="21"/>
          <w:highlight w:val="none"/>
        </w:rPr>
        <w:t>具体保修的内容，双方约定如下：</w:t>
      </w:r>
    </w:p>
    <w:p w14:paraId="7ECEA9EB">
      <w:pPr>
        <w:autoSpaceDE w:val="0"/>
        <w:autoSpaceDN w:val="0"/>
        <w:adjustRightInd w:val="0"/>
        <w:spacing w:line="400" w:lineRule="exact"/>
        <w:ind w:left="-85" w:firstLine="482"/>
        <w:rPr>
          <w:rFonts w:ascii="宋体" w:hAnsi="宋体" w:cs="宋体"/>
          <w:b/>
          <w:color w:val="auto"/>
          <w:szCs w:val="24"/>
          <w:highlight w:val="none"/>
          <w:u w:val="single"/>
        </w:rPr>
      </w:pPr>
      <w:r>
        <w:rPr>
          <w:rFonts w:hint="eastAsia" w:ascii="宋体" w:hAnsi="宋体" w:cs="宋体"/>
          <w:color w:val="auto"/>
          <w:szCs w:val="21"/>
          <w:highlight w:val="none"/>
          <w:u w:val="single"/>
          <w:lang w:eastAsia="zh-CN"/>
        </w:rPr>
        <w:t>承包</w:t>
      </w:r>
      <w:r>
        <w:rPr>
          <w:rFonts w:hint="eastAsia" w:ascii="宋体" w:hAnsi="宋体" w:cs="宋体"/>
          <w:color w:val="auto"/>
          <w:szCs w:val="21"/>
          <w:highlight w:val="none"/>
          <w:u w:val="single"/>
        </w:rPr>
        <w:t>人在质量保修期内，按照有关法律规定和合同约定，承担工程质量保修责任</w:t>
      </w:r>
      <w:r>
        <w:rPr>
          <w:rFonts w:hint="eastAsia" w:ascii="宋体" w:hAnsi="宋体" w:cs="宋体"/>
          <w:color w:val="auto"/>
          <w:szCs w:val="21"/>
          <w:highlight w:val="none"/>
        </w:rPr>
        <w:t>。</w:t>
      </w:r>
    </w:p>
    <w:p w14:paraId="595985CB">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二、质量保修期</w:t>
      </w:r>
    </w:p>
    <w:p w14:paraId="5A6EAC76">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根据《</w:t>
      </w:r>
      <w:bookmarkStart w:id="1463" w:name="OLE_LINK1"/>
      <w:r>
        <w:rPr>
          <w:rFonts w:hint="eastAsia" w:ascii="宋体" w:hAnsi="宋体" w:cs="宋体"/>
          <w:color w:val="auto"/>
          <w:szCs w:val="21"/>
          <w:highlight w:val="none"/>
        </w:rPr>
        <w:t>建设工程质量管理条例</w:t>
      </w:r>
      <w:bookmarkEnd w:id="1463"/>
      <w:r>
        <w:rPr>
          <w:rFonts w:hint="eastAsia" w:ascii="宋体" w:hAnsi="宋体" w:cs="宋体"/>
          <w:color w:val="auto"/>
          <w:szCs w:val="21"/>
          <w:highlight w:val="none"/>
        </w:rPr>
        <w:t>》及有关规定，工程的质量保修期如下：</w:t>
      </w:r>
    </w:p>
    <w:p w14:paraId="62DB2466">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地基基础工程和主体结构工程为设计文件规定的该工程合理使用年限；</w:t>
      </w:r>
    </w:p>
    <w:p w14:paraId="0C104EB9">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屋面防水工程、有防水要求的卫生间、房间和外墙面的防渗漏为</w:t>
      </w:r>
      <w:r>
        <w:rPr>
          <w:rFonts w:hint="eastAsia" w:ascii="宋体" w:hAnsi="宋体" w:cs="宋体"/>
          <w:color w:val="auto"/>
          <w:szCs w:val="21"/>
          <w:highlight w:val="none"/>
          <w:u w:val="single"/>
        </w:rPr>
        <w:t xml:space="preserve">   五   </w:t>
      </w:r>
      <w:r>
        <w:rPr>
          <w:rFonts w:hint="eastAsia" w:ascii="宋体" w:hAnsi="宋体" w:cs="宋体"/>
          <w:color w:val="auto"/>
          <w:szCs w:val="21"/>
          <w:highlight w:val="none"/>
        </w:rPr>
        <w:t>年；</w:t>
      </w:r>
    </w:p>
    <w:p w14:paraId="68A8D7BC">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装修工程为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306940E8">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电气管线、给排水管道、设备安装工程为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50EBD68D">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5.</w:t>
      </w:r>
      <w:r>
        <w:rPr>
          <w:rFonts w:hint="eastAsia" w:ascii="宋体" w:hAnsi="宋体" w:cs="宋体"/>
          <w:color w:val="auto"/>
          <w:szCs w:val="21"/>
          <w:highlight w:val="none"/>
        </w:rPr>
        <w:t>供热与供冷系统为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个采暖期、供冷期；</w:t>
      </w:r>
    </w:p>
    <w:p w14:paraId="0292CA00">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6.</w:t>
      </w:r>
      <w:r>
        <w:rPr>
          <w:rFonts w:hint="eastAsia" w:ascii="宋体" w:hAnsi="宋体" w:cs="宋体"/>
          <w:color w:val="auto"/>
          <w:szCs w:val="21"/>
          <w:highlight w:val="none"/>
        </w:rPr>
        <w:t>住宅小区内的给排水设施、道路等配套工程为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545C0F41">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7.</w:t>
      </w:r>
      <w:r>
        <w:rPr>
          <w:rFonts w:hint="eastAsia" w:ascii="宋体" w:hAnsi="宋体" w:cs="宋体"/>
          <w:color w:val="auto"/>
          <w:szCs w:val="21"/>
          <w:highlight w:val="none"/>
        </w:rPr>
        <w:t>其他项目保修期限约定如下：</w:t>
      </w:r>
      <w:r>
        <w:rPr>
          <w:rFonts w:hint="eastAsia" w:ascii="宋体" w:hAnsi="宋体" w:cs="宋体"/>
          <w:color w:val="auto"/>
          <w:szCs w:val="21"/>
          <w:highlight w:val="none"/>
          <w:u w:val="single"/>
          <w:lang w:eastAsia="zh-CN"/>
        </w:rPr>
        <w:t>本工程</w:t>
      </w:r>
      <w:r>
        <w:rPr>
          <w:rFonts w:hint="eastAsia" w:ascii="宋体" w:hAnsi="宋体" w:cs="宋体"/>
          <w:color w:val="auto"/>
          <w:szCs w:val="21"/>
          <w:highlight w:val="none"/>
          <w:u w:val="single"/>
        </w:rPr>
        <w:t>工程质量保修期不得少于</w:t>
      </w:r>
      <w:r>
        <w:rPr>
          <w:rFonts w:hint="eastAsia" w:ascii="宋体" w:hAnsi="宋体" w:cs="宋体"/>
          <w:color w:val="auto"/>
          <w:szCs w:val="21"/>
          <w:highlight w:val="none"/>
          <w:u w:val="single"/>
          <w:lang w:val="en-US" w:eastAsia="zh-CN"/>
        </w:rPr>
        <w:t>3年</w:t>
      </w:r>
      <w:r>
        <w:rPr>
          <w:rFonts w:hint="eastAsia" w:ascii="宋体" w:hAnsi="宋体" w:cs="宋体"/>
          <w:color w:val="auto"/>
          <w:szCs w:val="21"/>
          <w:highlight w:val="none"/>
        </w:rPr>
        <w:t>。</w:t>
      </w:r>
    </w:p>
    <w:p w14:paraId="6AC225BA">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　质量保修期自工程竣工验收合格之日起计算。</w:t>
      </w:r>
    </w:p>
    <w:p w14:paraId="352E3DB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三、缺陷责任期</w:t>
      </w:r>
    </w:p>
    <w:p w14:paraId="4A036E73">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24</w:t>
      </w:r>
      <w:r>
        <w:rPr>
          <w:rFonts w:hint="eastAsia" w:ascii="宋体" w:hAnsi="宋体" w:cs="宋体"/>
          <w:color w:val="auto"/>
          <w:szCs w:val="21"/>
          <w:highlight w:val="none"/>
        </w:rPr>
        <w:t>个月，缺陷责任期自工程竣工验收合格之日起计算。单位工程先于全部工程进行验收，单位工程缺陷责任期自单位工程验收合格之日起算。</w:t>
      </w:r>
    </w:p>
    <w:p w14:paraId="00B1161C">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24A9EBF7">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 xml:space="preserve"> 四、质量保修责任</w:t>
      </w:r>
    </w:p>
    <w:p w14:paraId="25CE3AA0">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属于保修范围、内容的项目，承包人应当在接到保修通知之日起7天内派人保修。承包人不在约定期限内派人保修的，发包人可以委托他人修理。</w:t>
      </w:r>
    </w:p>
    <w:p w14:paraId="73ABCD92">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发生紧急事故需抢修的，承包人在接到事故通知后，应当立即到达事故现场抢修。</w:t>
      </w:r>
    </w:p>
    <w:p w14:paraId="20FA6080">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054D382">
      <w:pPr>
        <w:spacing w:line="400" w:lineRule="exact"/>
        <w:ind w:left="480" w:leftChars="200" w:firstLine="120" w:firstLineChars="50"/>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质量保修完成后，由发包人组织验收。</w:t>
      </w:r>
    </w:p>
    <w:p w14:paraId="1143073C">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五、保修费用</w:t>
      </w:r>
    </w:p>
    <w:p w14:paraId="53793694">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6C2FA4EE">
      <w:pPr>
        <w:spacing w:line="400" w:lineRule="exact"/>
        <w:ind w:firstLine="482"/>
        <w:jc w:val="left"/>
        <w:rPr>
          <w:rFonts w:ascii="宋体" w:hAnsi="宋体" w:cs="宋体"/>
          <w:color w:val="auto"/>
          <w:szCs w:val="21"/>
          <w:highlight w:val="none"/>
          <w:u w:val="single"/>
        </w:rPr>
      </w:pPr>
      <w:r>
        <w:rPr>
          <w:rFonts w:hint="eastAsia" w:ascii="宋体" w:hAnsi="宋体" w:cs="宋体"/>
          <w:b/>
          <w:color w:val="auto"/>
          <w:szCs w:val="21"/>
          <w:highlight w:val="none"/>
        </w:rPr>
        <w:t>六</w:t>
      </w: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lang w:eastAsia="zh-CN"/>
        </w:rPr>
        <w:t>：</w:t>
      </w:r>
      <w:r>
        <w:rPr>
          <w:rFonts w:hint="eastAsia" w:ascii="宋体" w:hAnsi="宋体" w:cs="宋体"/>
          <w:color w:val="auto"/>
          <w:szCs w:val="21"/>
          <w:highlight w:val="none"/>
          <w:u w:val="single"/>
          <w:lang w:eastAsia="zh-CN"/>
        </w:rPr>
        <w:t>预留</w:t>
      </w:r>
      <w:r>
        <w:rPr>
          <w:rFonts w:hint="eastAsia" w:ascii="宋体" w:hAnsi="宋体" w:eastAsia="宋体" w:cs="宋体"/>
          <w:color w:val="auto"/>
          <w:szCs w:val="21"/>
          <w:highlight w:val="none"/>
          <w:u w:val="single"/>
        </w:rPr>
        <w:t>结算价的3%作为质量保证金待</w:t>
      </w:r>
      <w:r>
        <w:rPr>
          <w:rFonts w:hint="eastAsia" w:ascii="宋体" w:hAnsi="宋体" w:eastAsia="宋体" w:cs="宋体"/>
          <w:color w:val="auto"/>
          <w:szCs w:val="21"/>
          <w:highlight w:val="none"/>
          <w:u w:val="single"/>
          <w:lang w:eastAsia="zh-CN"/>
        </w:rPr>
        <w:t>缺陷</w:t>
      </w:r>
      <w:r>
        <w:rPr>
          <w:rFonts w:hint="eastAsia" w:ascii="宋体" w:hAnsi="宋体" w:eastAsia="宋体" w:cs="宋体"/>
          <w:color w:val="auto"/>
          <w:szCs w:val="21"/>
          <w:highlight w:val="none"/>
          <w:u w:val="single"/>
        </w:rPr>
        <w:t>责任期满后一次性支付（无息）</w:t>
      </w:r>
      <w:r>
        <w:rPr>
          <w:rFonts w:hint="eastAsia" w:ascii="宋体" w:hAnsi="宋体" w:cs="宋体"/>
          <w:color w:val="auto"/>
          <w:szCs w:val="21"/>
          <w:highlight w:val="none"/>
          <w:u w:val="single"/>
        </w:rPr>
        <w:t>。</w:t>
      </w:r>
    </w:p>
    <w:p w14:paraId="7AD71E24">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29AC49A2">
      <w:pPr>
        <w:ind w:firstLine="480"/>
        <w:rPr>
          <w:rFonts w:ascii="宋体" w:hAnsi="宋体" w:cs="宋体"/>
          <w:color w:val="auto"/>
          <w:szCs w:val="21"/>
          <w:highlight w:val="none"/>
        </w:rPr>
      </w:pPr>
    </w:p>
    <w:p w14:paraId="51919DBF">
      <w:pPr>
        <w:ind w:firstLine="480"/>
        <w:rPr>
          <w:rFonts w:ascii="宋体" w:hAnsi="宋体" w:cs="宋体"/>
          <w:color w:val="auto"/>
          <w:szCs w:val="21"/>
          <w:highlight w:val="none"/>
        </w:rPr>
      </w:pPr>
      <w:r>
        <w:rPr>
          <w:rFonts w:hint="eastAsia" w:ascii="宋体" w:hAnsi="宋体" w:cs="宋体"/>
          <w:color w:val="auto"/>
          <w:szCs w:val="21"/>
          <w:highlight w:val="none"/>
        </w:rPr>
        <w:t>发包人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公章</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公章</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A5D96AE">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36A796F">
      <w:pPr>
        <w:ind w:firstLine="480"/>
        <w:rPr>
          <w:rFonts w:ascii="宋体" w:hAnsi="宋体" w:cs="宋体"/>
          <w:color w:val="auto"/>
          <w:szCs w:val="21"/>
          <w:highlight w:val="none"/>
          <w:u w:val="single"/>
        </w:rPr>
      </w:pPr>
      <w:r>
        <w:rPr>
          <w:rFonts w:hint="eastAsia" w:ascii="宋体" w:hAnsi="宋体" w:cs="宋体"/>
          <w:color w:val="auto"/>
          <w:szCs w:val="21"/>
          <w:highlight w:val="none"/>
        </w:rPr>
        <w:t>法定代表人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法定代表人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36C18A91">
      <w:pPr>
        <w:ind w:firstLine="480"/>
        <w:rPr>
          <w:rFonts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39ED9E17">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6BD6A1C8">
      <w:pPr>
        <w:ind w:firstLine="48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w:t>
      </w:r>
    </w:p>
    <w:p w14:paraId="24097629">
      <w:pPr>
        <w:ind w:firstLine="480"/>
        <w:rPr>
          <w:rFonts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14:paraId="1A06CA27">
      <w:pPr>
        <w:ind w:firstLine="480"/>
        <w:rPr>
          <w:rFonts w:ascii="宋体" w:hAnsi="宋体" w:cs="宋体"/>
          <w:color w:val="auto"/>
          <w:szCs w:val="21"/>
          <w:highlight w:val="none"/>
          <w:u w:val="singl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11860A0B">
      <w:pPr>
        <w:ind w:firstLine="48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5E3C139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主要建设工程文件目录</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EADA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left w:val="single" w:color="auto" w:sz="12" w:space="0"/>
              <w:bottom w:val="double" w:color="auto" w:sz="6" w:space="0"/>
              <w:right w:val="single" w:color="auto" w:sz="6" w:space="0"/>
            </w:tcBorders>
            <w:vAlign w:val="center"/>
          </w:tcPr>
          <w:p w14:paraId="41C8B8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文件名称</w:t>
            </w:r>
          </w:p>
        </w:tc>
        <w:tc>
          <w:tcPr>
            <w:tcW w:w="1276" w:type="dxa"/>
            <w:tcBorders>
              <w:top w:val="single" w:color="auto" w:sz="12" w:space="0"/>
              <w:left w:val="single" w:color="auto" w:sz="6" w:space="0"/>
              <w:bottom w:val="double" w:color="auto" w:sz="6" w:space="0"/>
              <w:right w:val="single" w:color="auto" w:sz="6" w:space="0"/>
            </w:tcBorders>
            <w:vAlign w:val="center"/>
          </w:tcPr>
          <w:p w14:paraId="4C6D84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套数</w:t>
            </w:r>
          </w:p>
        </w:tc>
        <w:tc>
          <w:tcPr>
            <w:tcW w:w="1450" w:type="dxa"/>
            <w:tcBorders>
              <w:top w:val="single" w:color="auto" w:sz="12" w:space="0"/>
              <w:left w:val="single" w:color="auto" w:sz="6" w:space="0"/>
              <w:bottom w:val="double" w:color="auto" w:sz="6" w:space="0"/>
              <w:right w:val="single" w:color="auto" w:sz="6" w:space="0"/>
            </w:tcBorders>
            <w:vAlign w:val="center"/>
          </w:tcPr>
          <w:p w14:paraId="20878E42">
            <w:pPr>
              <w:keepNext/>
              <w:autoSpaceDE w:val="0"/>
              <w:autoSpaceDN w:val="0"/>
              <w:spacing w:line="440" w:lineRule="exact"/>
              <w:ind w:right="63"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费用（元）</w:t>
            </w:r>
          </w:p>
        </w:tc>
        <w:tc>
          <w:tcPr>
            <w:tcW w:w="1243" w:type="dxa"/>
            <w:tcBorders>
              <w:top w:val="single" w:color="auto" w:sz="12" w:space="0"/>
              <w:left w:val="single" w:color="auto" w:sz="6" w:space="0"/>
              <w:bottom w:val="double" w:color="auto" w:sz="6" w:space="0"/>
              <w:right w:val="single" w:color="auto" w:sz="6" w:space="0"/>
            </w:tcBorders>
            <w:vAlign w:val="center"/>
          </w:tcPr>
          <w:p w14:paraId="0B69304E">
            <w:pPr>
              <w:keepNext/>
              <w:autoSpaceDE w:val="0"/>
              <w:autoSpaceDN w:val="0"/>
              <w:spacing w:line="440" w:lineRule="exact"/>
              <w:ind w:right="63"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w:t>
            </w:r>
          </w:p>
        </w:tc>
        <w:tc>
          <w:tcPr>
            <w:tcW w:w="1450" w:type="dxa"/>
            <w:tcBorders>
              <w:top w:val="single" w:color="auto" w:sz="12" w:space="0"/>
              <w:left w:val="single" w:color="auto" w:sz="6" w:space="0"/>
              <w:bottom w:val="double" w:color="auto" w:sz="6" w:space="0"/>
              <w:right w:val="single" w:color="auto" w:sz="6" w:space="0"/>
            </w:tcBorders>
          </w:tcPr>
          <w:p w14:paraId="5D6EC7E6">
            <w:pPr>
              <w:keepNext/>
              <w:autoSpaceDE w:val="0"/>
              <w:autoSpaceDN w:val="0"/>
              <w:spacing w:line="440" w:lineRule="exact"/>
              <w:ind w:right="63" w:firstLineChars="0"/>
              <w:jc w:val="left"/>
              <w:rPr>
                <w:rFonts w:ascii="宋体" w:hAnsi="宋体" w:cs="宋体"/>
                <w:color w:val="auto"/>
                <w:kern w:val="0"/>
                <w:sz w:val="21"/>
                <w:szCs w:val="21"/>
                <w:highlight w:val="none"/>
                <w:lang w:bidi="zh-CN"/>
              </w:rPr>
            </w:pPr>
            <w:r>
              <w:rPr>
                <w:rFonts w:hint="eastAsia" w:ascii="宋体" w:hAnsi="宋体" w:cs="宋体"/>
                <w:color w:val="auto"/>
                <w:kern w:val="0"/>
                <w:sz w:val="21"/>
                <w:szCs w:val="21"/>
                <w:highlight w:val="none"/>
                <w:lang w:bidi="zh-CN"/>
              </w:rPr>
              <w:t>移交时间</w:t>
            </w:r>
          </w:p>
        </w:tc>
        <w:tc>
          <w:tcPr>
            <w:tcW w:w="1667" w:type="dxa"/>
            <w:tcBorders>
              <w:top w:val="single" w:color="auto" w:sz="12" w:space="0"/>
              <w:left w:val="single" w:color="auto" w:sz="6" w:space="0"/>
              <w:bottom w:val="double" w:color="auto" w:sz="6" w:space="0"/>
              <w:right w:val="single" w:color="auto" w:sz="12" w:space="0"/>
            </w:tcBorders>
          </w:tcPr>
          <w:p w14:paraId="7DF798CB">
            <w:pPr>
              <w:keepNext/>
              <w:autoSpaceDE w:val="0"/>
              <w:autoSpaceDN w:val="0"/>
              <w:spacing w:line="440" w:lineRule="exact"/>
              <w:ind w:right="63" w:firstLine="489" w:firstLineChars="233"/>
              <w:jc w:val="left"/>
              <w:rPr>
                <w:rFonts w:ascii="宋体" w:hAnsi="宋体" w:cs="宋体"/>
                <w:color w:val="auto"/>
                <w:kern w:val="0"/>
                <w:sz w:val="21"/>
                <w:szCs w:val="21"/>
                <w:highlight w:val="none"/>
                <w:lang w:bidi="zh-CN"/>
              </w:rPr>
            </w:pPr>
            <w:r>
              <w:rPr>
                <w:rFonts w:hint="eastAsia" w:ascii="宋体" w:hAnsi="宋体" w:cs="宋体"/>
                <w:color w:val="auto"/>
                <w:kern w:val="0"/>
                <w:sz w:val="21"/>
                <w:szCs w:val="21"/>
                <w:highlight w:val="none"/>
                <w:lang w:bidi="zh-CN"/>
              </w:rPr>
              <w:t>责任人</w:t>
            </w:r>
          </w:p>
        </w:tc>
      </w:tr>
      <w:tr w14:paraId="1194C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left w:val="single" w:color="auto" w:sz="12" w:space="0"/>
              <w:bottom w:val="single" w:color="auto" w:sz="6" w:space="0"/>
              <w:right w:val="single" w:color="auto" w:sz="6" w:space="0"/>
            </w:tcBorders>
            <w:vAlign w:val="center"/>
          </w:tcPr>
          <w:p w14:paraId="06DC0E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double" w:color="auto" w:sz="6" w:space="0"/>
              <w:left w:val="single" w:color="auto" w:sz="6" w:space="0"/>
              <w:bottom w:val="single" w:color="auto" w:sz="6" w:space="0"/>
              <w:right w:val="single" w:color="auto" w:sz="6" w:space="0"/>
            </w:tcBorders>
            <w:vAlign w:val="center"/>
          </w:tcPr>
          <w:p w14:paraId="4327E7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double" w:color="auto" w:sz="6" w:space="0"/>
              <w:left w:val="single" w:color="auto" w:sz="6" w:space="0"/>
              <w:bottom w:val="single" w:color="auto" w:sz="6" w:space="0"/>
              <w:right w:val="single" w:color="auto" w:sz="6" w:space="0"/>
            </w:tcBorders>
            <w:vAlign w:val="center"/>
          </w:tcPr>
          <w:p w14:paraId="6CEC12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double" w:color="auto" w:sz="6" w:space="0"/>
              <w:left w:val="single" w:color="auto" w:sz="6" w:space="0"/>
              <w:bottom w:val="single" w:color="auto" w:sz="6" w:space="0"/>
              <w:right w:val="single" w:color="auto" w:sz="6" w:space="0"/>
            </w:tcBorders>
            <w:vAlign w:val="center"/>
          </w:tcPr>
          <w:p w14:paraId="3783FF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double" w:color="auto" w:sz="6" w:space="0"/>
              <w:left w:val="single" w:color="auto" w:sz="6" w:space="0"/>
              <w:bottom w:val="single" w:color="auto" w:sz="6" w:space="0"/>
              <w:right w:val="single" w:color="auto" w:sz="6" w:space="0"/>
            </w:tcBorders>
            <w:vAlign w:val="center"/>
          </w:tcPr>
          <w:p w14:paraId="5DEA05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double" w:color="auto" w:sz="6" w:space="0"/>
              <w:left w:val="single" w:color="auto" w:sz="6" w:space="0"/>
              <w:bottom w:val="single" w:color="auto" w:sz="6" w:space="0"/>
              <w:right w:val="single" w:color="auto" w:sz="12" w:space="0"/>
            </w:tcBorders>
            <w:vAlign w:val="center"/>
          </w:tcPr>
          <w:p w14:paraId="75DF46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D15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left w:val="single" w:color="auto" w:sz="12" w:space="0"/>
              <w:bottom w:val="single" w:color="auto" w:sz="6" w:space="0"/>
              <w:right w:val="single" w:color="auto" w:sz="6" w:space="0"/>
            </w:tcBorders>
            <w:vAlign w:val="center"/>
          </w:tcPr>
          <w:p w14:paraId="12E1AD1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nil"/>
              <w:left w:val="single" w:color="auto" w:sz="6" w:space="0"/>
              <w:bottom w:val="single" w:color="auto" w:sz="6" w:space="0"/>
              <w:right w:val="single" w:color="auto" w:sz="6" w:space="0"/>
            </w:tcBorders>
            <w:vAlign w:val="center"/>
          </w:tcPr>
          <w:p w14:paraId="76BA4A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nil"/>
              <w:left w:val="single" w:color="auto" w:sz="6" w:space="0"/>
              <w:bottom w:val="single" w:color="auto" w:sz="6" w:space="0"/>
              <w:right w:val="single" w:color="auto" w:sz="6" w:space="0"/>
            </w:tcBorders>
            <w:vAlign w:val="center"/>
          </w:tcPr>
          <w:p w14:paraId="63C6608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nil"/>
              <w:left w:val="single" w:color="auto" w:sz="6" w:space="0"/>
              <w:bottom w:val="single" w:color="auto" w:sz="6" w:space="0"/>
              <w:right w:val="single" w:color="auto" w:sz="6" w:space="0"/>
            </w:tcBorders>
            <w:vAlign w:val="center"/>
          </w:tcPr>
          <w:p w14:paraId="4C733E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nil"/>
              <w:left w:val="single" w:color="auto" w:sz="6" w:space="0"/>
              <w:bottom w:val="single" w:color="auto" w:sz="6" w:space="0"/>
              <w:right w:val="single" w:color="auto" w:sz="6" w:space="0"/>
            </w:tcBorders>
            <w:vAlign w:val="center"/>
          </w:tcPr>
          <w:p w14:paraId="7C3F9A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nil"/>
              <w:left w:val="single" w:color="auto" w:sz="6" w:space="0"/>
              <w:bottom w:val="single" w:color="auto" w:sz="6" w:space="0"/>
              <w:right w:val="single" w:color="auto" w:sz="12" w:space="0"/>
            </w:tcBorders>
            <w:vAlign w:val="center"/>
          </w:tcPr>
          <w:p w14:paraId="2F0C52C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FB08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7200E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13CB0C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6F9B8A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3D26AA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F6DF7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08B054C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73AF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6246FD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586EEFF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32F7F36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6D4089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5FDE8B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779DAE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075E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BDCB98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4DC7605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74C6D4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0AC77B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21C76E9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7AE9A5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F569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77236D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252EC8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ECF210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3B3308C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2FE457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6606D6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9E57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7202CD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1864D9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6FE769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1BD623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10C624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5321FC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2BB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12" w:space="0"/>
              <w:right w:val="single" w:color="auto" w:sz="6" w:space="0"/>
            </w:tcBorders>
            <w:vAlign w:val="center"/>
          </w:tcPr>
          <w:p w14:paraId="53D273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12" w:space="0"/>
              <w:right w:val="single" w:color="auto" w:sz="6" w:space="0"/>
            </w:tcBorders>
            <w:vAlign w:val="center"/>
          </w:tcPr>
          <w:p w14:paraId="4BA5C02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12" w:space="0"/>
              <w:right w:val="single" w:color="auto" w:sz="6" w:space="0"/>
            </w:tcBorders>
            <w:vAlign w:val="center"/>
          </w:tcPr>
          <w:p w14:paraId="30C8888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12" w:space="0"/>
              <w:right w:val="single" w:color="auto" w:sz="6" w:space="0"/>
            </w:tcBorders>
            <w:vAlign w:val="center"/>
          </w:tcPr>
          <w:p w14:paraId="182A9B6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12" w:space="0"/>
              <w:right w:val="single" w:color="auto" w:sz="6" w:space="0"/>
            </w:tcBorders>
            <w:vAlign w:val="center"/>
          </w:tcPr>
          <w:p w14:paraId="3597A7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12" w:space="0"/>
              <w:right w:val="single" w:color="auto" w:sz="12" w:space="0"/>
            </w:tcBorders>
            <w:vAlign w:val="center"/>
          </w:tcPr>
          <w:p w14:paraId="15F3CD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A399863">
      <w:pPr>
        <w:spacing w:line="440" w:lineRule="exact"/>
        <w:ind w:firstLine="420"/>
        <w:rPr>
          <w:rFonts w:ascii="宋体" w:hAnsi="宋体" w:cs="宋体"/>
          <w:color w:val="auto"/>
          <w:sz w:val="21"/>
          <w:szCs w:val="21"/>
          <w:highlight w:val="none"/>
        </w:rPr>
      </w:pPr>
    </w:p>
    <w:p w14:paraId="4E97E927">
      <w:pPr>
        <w:pStyle w:val="23"/>
        <w:rPr>
          <w:color w:val="auto"/>
          <w:highlight w:val="none"/>
        </w:rPr>
      </w:pPr>
      <w:r>
        <w:rPr>
          <w:color w:val="auto"/>
          <w:highlight w:val="none"/>
        </w:rPr>
        <w:br w:type="page"/>
      </w:r>
    </w:p>
    <w:p w14:paraId="34D8592E">
      <w:pPr>
        <w:spacing w:line="440" w:lineRule="exact"/>
        <w:ind w:firstLine="420"/>
        <w:rPr>
          <w:rFonts w:ascii="宋体" w:hAnsi="宋体" w:cs="宋体"/>
          <w:color w:val="auto"/>
          <w:sz w:val="21"/>
          <w:szCs w:val="21"/>
          <w:highlight w:val="none"/>
        </w:rPr>
      </w:pPr>
    </w:p>
    <w:p w14:paraId="6AE215A5">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64" w:name="_Toc296347226"/>
      <w:bookmarkStart w:id="1465" w:name="_Toc267261698"/>
      <w:bookmarkStart w:id="1466" w:name="_Toc296891267"/>
      <w:bookmarkStart w:id="1467" w:name="_Toc296346728"/>
      <w:bookmarkStart w:id="1468" w:name="_Toc296944566"/>
      <w:bookmarkStart w:id="1469" w:name="_Toc296891055"/>
      <w:bookmarkStart w:id="1470" w:name="_Toc296503227"/>
      <w:r>
        <w:rPr>
          <w:rFonts w:hint="eastAsia" w:ascii="宋体" w:hAnsi="宋体" w:cs="宋体"/>
          <w:color w:val="auto"/>
          <w:szCs w:val="21"/>
          <w:highlight w:val="none"/>
        </w:rPr>
        <w:t>件5：</w:t>
      </w:r>
    </w:p>
    <w:bookmarkEnd w:id="1464"/>
    <w:bookmarkEnd w:id="1465"/>
    <w:bookmarkEnd w:id="1466"/>
    <w:bookmarkEnd w:id="1467"/>
    <w:bookmarkEnd w:id="1468"/>
    <w:bookmarkEnd w:id="1469"/>
    <w:bookmarkEnd w:id="1470"/>
    <w:p w14:paraId="7E655645">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4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6BCB1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left w:val="single" w:color="auto" w:sz="12" w:space="0"/>
              <w:bottom w:val="double" w:color="auto" w:sz="6" w:space="0"/>
              <w:right w:val="single" w:color="auto" w:sz="6" w:space="0"/>
            </w:tcBorders>
            <w:vAlign w:val="center"/>
          </w:tcPr>
          <w:p w14:paraId="10AB94AC">
            <w:pPr>
              <w:ind w:firstLine="319" w:firstLineChars="133"/>
              <w:rPr>
                <w:color w:val="auto"/>
                <w:sz w:val="21"/>
                <w:szCs w:val="24"/>
                <w:highlight w:val="none"/>
              </w:rPr>
            </w:pPr>
            <w:r>
              <w:rPr>
                <w:rFonts w:hint="eastAsia"/>
                <w:color w:val="auto"/>
                <w:highlight w:val="none"/>
              </w:rPr>
              <w:t>序号</w:t>
            </w:r>
          </w:p>
        </w:tc>
        <w:tc>
          <w:tcPr>
            <w:tcW w:w="1418" w:type="dxa"/>
            <w:tcBorders>
              <w:top w:val="single" w:color="auto" w:sz="12" w:space="0"/>
              <w:left w:val="single" w:color="auto" w:sz="6" w:space="0"/>
              <w:bottom w:val="double" w:color="auto" w:sz="6" w:space="0"/>
              <w:right w:val="single" w:color="auto" w:sz="6" w:space="0"/>
            </w:tcBorders>
            <w:vAlign w:val="center"/>
          </w:tcPr>
          <w:p w14:paraId="21734ADA">
            <w:pPr>
              <w:ind w:firstLine="0" w:firstLineChars="0"/>
              <w:jc w:val="center"/>
              <w:rPr>
                <w:color w:val="auto"/>
                <w:sz w:val="21"/>
                <w:szCs w:val="24"/>
                <w:highlight w:val="none"/>
              </w:rPr>
            </w:pPr>
            <w:r>
              <w:rPr>
                <w:rFonts w:hint="eastAsia"/>
                <w:color w:val="auto"/>
                <w:highlight w:val="none"/>
              </w:rPr>
              <w:t>机械或设备名称</w:t>
            </w:r>
          </w:p>
        </w:tc>
        <w:tc>
          <w:tcPr>
            <w:tcW w:w="850" w:type="dxa"/>
            <w:tcBorders>
              <w:top w:val="single" w:color="auto" w:sz="12" w:space="0"/>
              <w:left w:val="single" w:color="auto" w:sz="6" w:space="0"/>
              <w:bottom w:val="double" w:color="auto" w:sz="6" w:space="0"/>
              <w:right w:val="single" w:color="auto" w:sz="6" w:space="0"/>
            </w:tcBorders>
            <w:vAlign w:val="center"/>
          </w:tcPr>
          <w:p w14:paraId="5F0B41CB">
            <w:pPr>
              <w:ind w:firstLine="0" w:firstLineChars="0"/>
              <w:jc w:val="center"/>
              <w:rPr>
                <w:color w:val="auto"/>
                <w:sz w:val="21"/>
                <w:szCs w:val="24"/>
                <w:highlight w:val="none"/>
              </w:rPr>
            </w:pPr>
            <w:r>
              <w:rPr>
                <w:rFonts w:hint="eastAsia"/>
                <w:color w:val="auto"/>
                <w:highlight w:val="none"/>
              </w:rPr>
              <w:t>规格型号</w:t>
            </w:r>
          </w:p>
        </w:tc>
        <w:tc>
          <w:tcPr>
            <w:tcW w:w="1058" w:type="dxa"/>
            <w:tcBorders>
              <w:top w:val="single" w:color="auto" w:sz="12" w:space="0"/>
              <w:left w:val="single" w:color="auto" w:sz="6" w:space="0"/>
              <w:bottom w:val="double" w:color="auto" w:sz="6" w:space="0"/>
              <w:right w:val="single" w:color="auto" w:sz="6" w:space="0"/>
            </w:tcBorders>
            <w:vAlign w:val="center"/>
          </w:tcPr>
          <w:p w14:paraId="4DE7F637">
            <w:pPr>
              <w:ind w:firstLine="199" w:firstLineChars="83"/>
              <w:rPr>
                <w:color w:val="auto"/>
                <w:sz w:val="21"/>
                <w:szCs w:val="24"/>
                <w:highlight w:val="none"/>
              </w:rPr>
            </w:pPr>
            <w:r>
              <w:rPr>
                <w:rFonts w:hint="eastAsia"/>
                <w:color w:val="auto"/>
                <w:highlight w:val="none"/>
              </w:rPr>
              <w:t>数量</w:t>
            </w:r>
          </w:p>
        </w:tc>
        <w:tc>
          <w:tcPr>
            <w:tcW w:w="880" w:type="dxa"/>
            <w:tcBorders>
              <w:top w:val="single" w:color="auto" w:sz="12" w:space="0"/>
              <w:left w:val="single" w:color="auto" w:sz="6" w:space="0"/>
              <w:bottom w:val="double" w:color="auto" w:sz="6" w:space="0"/>
              <w:right w:val="single" w:color="auto" w:sz="6" w:space="0"/>
            </w:tcBorders>
            <w:vAlign w:val="center"/>
          </w:tcPr>
          <w:p w14:paraId="56DD8448">
            <w:pPr>
              <w:ind w:firstLine="0" w:firstLineChars="0"/>
              <w:jc w:val="center"/>
              <w:rPr>
                <w:color w:val="auto"/>
                <w:sz w:val="21"/>
                <w:szCs w:val="24"/>
                <w:highlight w:val="none"/>
              </w:rPr>
            </w:pPr>
            <w:r>
              <w:rPr>
                <w:rFonts w:hint="eastAsia"/>
                <w:color w:val="auto"/>
                <w:highlight w:val="none"/>
              </w:rPr>
              <w:t>产地</w:t>
            </w:r>
          </w:p>
        </w:tc>
        <w:tc>
          <w:tcPr>
            <w:tcW w:w="1020" w:type="dxa"/>
            <w:tcBorders>
              <w:top w:val="single" w:color="auto" w:sz="12" w:space="0"/>
              <w:left w:val="single" w:color="auto" w:sz="6" w:space="0"/>
              <w:bottom w:val="double" w:color="auto" w:sz="6" w:space="0"/>
              <w:right w:val="single" w:color="auto" w:sz="6" w:space="0"/>
            </w:tcBorders>
            <w:vAlign w:val="center"/>
          </w:tcPr>
          <w:p w14:paraId="0B289201">
            <w:pPr>
              <w:ind w:firstLine="0" w:firstLineChars="0"/>
              <w:jc w:val="center"/>
              <w:rPr>
                <w:color w:val="auto"/>
                <w:sz w:val="21"/>
                <w:szCs w:val="24"/>
                <w:highlight w:val="none"/>
              </w:rPr>
            </w:pPr>
            <w:r>
              <w:rPr>
                <w:rFonts w:hint="eastAsia"/>
                <w:color w:val="auto"/>
                <w:highlight w:val="none"/>
              </w:rPr>
              <w:t>制造年份</w:t>
            </w:r>
          </w:p>
        </w:tc>
        <w:tc>
          <w:tcPr>
            <w:tcW w:w="1480" w:type="dxa"/>
            <w:tcBorders>
              <w:top w:val="single" w:color="auto" w:sz="12" w:space="0"/>
              <w:left w:val="single" w:color="auto" w:sz="6" w:space="0"/>
              <w:bottom w:val="double" w:color="auto" w:sz="6" w:space="0"/>
              <w:right w:val="single" w:color="auto" w:sz="6" w:space="0"/>
            </w:tcBorders>
            <w:vAlign w:val="center"/>
          </w:tcPr>
          <w:p w14:paraId="2E75EDA8">
            <w:pPr>
              <w:ind w:firstLine="0" w:firstLineChars="0"/>
              <w:jc w:val="center"/>
              <w:rPr>
                <w:color w:val="auto"/>
                <w:sz w:val="21"/>
                <w:szCs w:val="24"/>
                <w:highlight w:val="none"/>
              </w:rPr>
            </w:pPr>
            <w:r>
              <w:rPr>
                <w:rFonts w:hint="eastAsia"/>
                <w:color w:val="auto"/>
                <w:highlight w:val="none"/>
              </w:rPr>
              <w:t>额定功率</w:t>
            </w:r>
            <w:r>
              <w:rPr>
                <w:rFonts w:hint="eastAsia"/>
                <w:color w:val="auto"/>
                <w:highlight w:val="none"/>
                <w:lang w:eastAsia="zh-CN"/>
              </w:rPr>
              <w:t>（</w:t>
            </w:r>
            <w:r>
              <w:rPr>
                <w:color w:val="auto"/>
                <w:highlight w:val="none"/>
              </w:rPr>
              <w:t>kW</w:t>
            </w:r>
            <w:r>
              <w:rPr>
                <w:rFonts w:hint="eastAsia"/>
                <w:color w:val="auto"/>
                <w:highlight w:val="none"/>
                <w:lang w:eastAsia="zh-CN"/>
              </w:rPr>
              <w:t>）</w:t>
            </w:r>
          </w:p>
        </w:tc>
        <w:tc>
          <w:tcPr>
            <w:tcW w:w="1020" w:type="dxa"/>
            <w:tcBorders>
              <w:top w:val="single" w:color="auto" w:sz="12" w:space="0"/>
              <w:left w:val="single" w:color="auto" w:sz="6" w:space="0"/>
              <w:bottom w:val="double" w:color="auto" w:sz="6" w:space="0"/>
              <w:right w:val="single" w:color="auto" w:sz="6" w:space="0"/>
            </w:tcBorders>
            <w:vAlign w:val="center"/>
          </w:tcPr>
          <w:p w14:paraId="7D2B0FD5">
            <w:pPr>
              <w:ind w:firstLine="0" w:firstLineChars="0"/>
              <w:jc w:val="center"/>
              <w:rPr>
                <w:color w:val="auto"/>
                <w:sz w:val="21"/>
                <w:szCs w:val="24"/>
                <w:highlight w:val="none"/>
              </w:rPr>
            </w:pPr>
            <w:r>
              <w:rPr>
                <w:rFonts w:hint="eastAsia"/>
                <w:color w:val="auto"/>
                <w:highlight w:val="none"/>
              </w:rPr>
              <w:t>生产能力</w:t>
            </w:r>
          </w:p>
        </w:tc>
        <w:tc>
          <w:tcPr>
            <w:tcW w:w="921" w:type="dxa"/>
            <w:tcBorders>
              <w:top w:val="single" w:color="auto" w:sz="12" w:space="0"/>
              <w:left w:val="single" w:color="auto" w:sz="6" w:space="0"/>
              <w:bottom w:val="double" w:color="auto" w:sz="6" w:space="0"/>
              <w:right w:val="single" w:color="auto" w:sz="12" w:space="0"/>
            </w:tcBorders>
            <w:vAlign w:val="center"/>
          </w:tcPr>
          <w:p w14:paraId="780B5B5B">
            <w:pPr>
              <w:ind w:firstLine="0" w:firstLineChars="0"/>
              <w:jc w:val="center"/>
              <w:rPr>
                <w:color w:val="auto"/>
                <w:sz w:val="21"/>
                <w:szCs w:val="24"/>
                <w:highlight w:val="none"/>
              </w:rPr>
            </w:pPr>
            <w:r>
              <w:rPr>
                <w:rFonts w:hint="eastAsia"/>
                <w:color w:val="auto"/>
                <w:highlight w:val="none"/>
              </w:rPr>
              <w:t>备注</w:t>
            </w:r>
          </w:p>
        </w:tc>
      </w:tr>
      <w:tr w14:paraId="38ADB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left w:val="single" w:color="auto" w:sz="12" w:space="0"/>
              <w:bottom w:val="single" w:color="auto" w:sz="6" w:space="0"/>
              <w:right w:val="single" w:color="auto" w:sz="6" w:space="0"/>
            </w:tcBorders>
            <w:vAlign w:val="center"/>
          </w:tcPr>
          <w:p w14:paraId="6FED07A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vAlign w:val="center"/>
          </w:tcPr>
          <w:p w14:paraId="734AE3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6" w:space="0"/>
            </w:tcBorders>
            <w:vAlign w:val="center"/>
          </w:tcPr>
          <w:p w14:paraId="1B0CB68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double" w:color="auto" w:sz="6" w:space="0"/>
              <w:left w:val="single" w:color="auto" w:sz="6" w:space="0"/>
              <w:bottom w:val="single" w:color="auto" w:sz="6" w:space="0"/>
              <w:right w:val="single" w:color="auto" w:sz="6" w:space="0"/>
            </w:tcBorders>
            <w:vAlign w:val="center"/>
          </w:tcPr>
          <w:p w14:paraId="51C2C3F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double" w:color="auto" w:sz="6" w:space="0"/>
              <w:left w:val="single" w:color="auto" w:sz="6" w:space="0"/>
              <w:bottom w:val="single" w:color="auto" w:sz="6" w:space="0"/>
              <w:right w:val="single" w:color="auto" w:sz="6" w:space="0"/>
            </w:tcBorders>
            <w:vAlign w:val="center"/>
          </w:tcPr>
          <w:p w14:paraId="37E599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double" w:color="auto" w:sz="6" w:space="0"/>
              <w:left w:val="single" w:color="auto" w:sz="6" w:space="0"/>
              <w:bottom w:val="single" w:color="auto" w:sz="6" w:space="0"/>
              <w:right w:val="single" w:color="auto" w:sz="6" w:space="0"/>
            </w:tcBorders>
            <w:vAlign w:val="center"/>
          </w:tcPr>
          <w:p w14:paraId="7E322C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double" w:color="auto" w:sz="6" w:space="0"/>
              <w:left w:val="single" w:color="auto" w:sz="6" w:space="0"/>
              <w:bottom w:val="single" w:color="auto" w:sz="6" w:space="0"/>
              <w:right w:val="single" w:color="auto" w:sz="6" w:space="0"/>
            </w:tcBorders>
            <w:vAlign w:val="center"/>
          </w:tcPr>
          <w:p w14:paraId="65D41DE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double" w:color="auto" w:sz="6" w:space="0"/>
              <w:left w:val="single" w:color="auto" w:sz="6" w:space="0"/>
              <w:bottom w:val="single" w:color="auto" w:sz="6" w:space="0"/>
              <w:right w:val="single" w:color="auto" w:sz="6" w:space="0"/>
            </w:tcBorders>
            <w:vAlign w:val="center"/>
          </w:tcPr>
          <w:p w14:paraId="158CAD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double" w:color="auto" w:sz="6" w:space="0"/>
              <w:left w:val="single" w:color="auto" w:sz="6" w:space="0"/>
              <w:bottom w:val="single" w:color="auto" w:sz="6" w:space="0"/>
              <w:right w:val="single" w:color="auto" w:sz="12" w:space="0"/>
            </w:tcBorders>
            <w:vAlign w:val="center"/>
          </w:tcPr>
          <w:p w14:paraId="50D93A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A866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left w:val="single" w:color="auto" w:sz="12" w:space="0"/>
              <w:bottom w:val="single" w:color="auto" w:sz="6" w:space="0"/>
              <w:right w:val="single" w:color="auto" w:sz="6" w:space="0"/>
            </w:tcBorders>
            <w:vAlign w:val="center"/>
          </w:tcPr>
          <w:p w14:paraId="7C0761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vAlign w:val="center"/>
          </w:tcPr>
          <w:p w14:paraId="423DEF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6" w:space="0"/>
            </w:tcBorders>
            <w:vAlign w:val="center"/>
          </w:tcPr>
          <w:p w14:paraId="5D243D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nil"/>
              <w:left w:val="single" w:color="auto" w:sz="6" w:space="0"/>
              <w:bottom w:val="single" w:color="auto" w:sz="6" w:space="0"/>
              <w:right w:val="single" w:color="auto" w:sz="6" w:space="0"/>
            </w:tcBorders>
            <w:vAlign w:val="center"/>
          </w:tcPr>
          <w:p w14:paraId="5257FE5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nil"/>
              <w:left w:val="single" w:color="auto" w:sz="6" w:space="0"/>
              <w:bottom w:val="single" w:color="auto" w:sz="6" w:space="0"/>
              <w:right w:val="single" w:color="auto" w:sz="6" w:space="0"/>
            </w:tcBorders>
            <w:vAlign w:val="center"/>
          </w:tcPr>
          <w:p w14:paraId="14C420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nil"/>
              <w:left w:val="single" w:color="auto" w:sz="6" w:space="0"/>
              <w:bottom w:val="single" w:color="auto" w:sz="6" w:space="0"/>
              <w:right w:val="single" w:color="auto" w:sz="6" w:space="0"/>
            </w:tcBorders>
            <w:vAlign w:val="center"/>
          </w:tcPr>
          <w:p w14:paraId="4319D5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nil"/>
              <w:left w:val="single" w:color="auto" w:sz="6" w:space="0"/>
              <w:bottom w:val="single" w:color="auto" w:sz="6" w:space="0"/>
              <w:right w:val="single" w:color="auto" w:sz="6" w:space="0"/>
            </w:tcBorders>
            <w:vAlign w:val="center"/>
          </w:tcPr>
          <w:p w14:paraId="5125D0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nil"/>
              <w:left w:val="single" w:color="auto" w:sz="6" w:space="0"/>
              <w:bottom w:val="single" w:color="auto" w:sz="6" w:space="0"/>
              <w:right w:val="single" w:color="auto" w:sz="6" w:space="0"/>
            </w:tcBorders>
            <w:vAlign w:val="center"/>
          </w:tcPr>
          <w:p w14:paraId="32B1AD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nil"/>
              <w:left w:val="single" w:color="auto" w:sz="6" w:space="0"/>
              <w:bottom w:val="single" w:color="auto" w:sz="6" w:space="0"/>
              <w:right w:val="single" w:color="auto" w:sz="12" w:space="0"/>
            </w:tcBorders>
            <w:vAlign w:val="center"/>
          </w:tcPr>
          <w:p w14:paraId="65578B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9D69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403311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0242E7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BC424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0EB557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5DE47F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220A4A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7FDDDA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D0CB7A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6BEF63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8EE6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7ED8E2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0F732A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02919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53CD59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07FCD3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093CE8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00BD55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A72B3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1D4E89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6DCC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DA120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4976CF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6DFA76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3C920D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4A1DC9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3C970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11E50F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1B96A5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7D5166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8F72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12" w:space="0"/>
              <w:right w:val="single" w:color="auto" w:sz="6" w:space="0"/>
            </w:tcBorders>
            <w:vAlign w:val="center"/>
          </w:tcPr>
          <w:p w14:paraId="4F068A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vAlign w:val="center"/>
          </w:tcPr>
          <w:p w14:paraId="490158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12" w:space="0"/>
              <w:right w:val="single" w:color="auto" w:sz="6" w:space="0"/>
            </w:tcBorders>
            <w:vAlign w:val="center"/>
          </w:tcPr>
          <w:p w14:paraId="53B28C1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12" w:space="0"/>
              <w:right w:val="single" w:color="auto" w:sz="6" w:space="0"/>
            </w:tcBorders>
            <w:vAlign w:val="center"/>
          </w:tcPr>
          <w:p w14:paraId="03B4C8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12" w:space="0"/>
              <w:right w:val="single" w:color="auto" w:sz="6" w:space="0"/>
            </w:tcBorders>
            <w:vAlign w:val="center"/>
          </w:tcPr>
          <w:p w14:paraId="49889C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12" w:space="0"/>
              <w:right w:val="single" w:color="auto" w:sz="6" w:space="0"/>
            </w:tcBorders>
            <w:vAlign w:val="center"/>
          </w:tcPr>
          <w:p w14:paraId="18E777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12" w:space="0"/>
              <w:right w:val="single" w:color="auto" w:sz="6" w:space="0"/>
            </w:tcBorders>
            <w:vAlign w:val="center"/>
          </w:tcPr>
          <w:p w14:paraId="02D9427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12" w:space="0"/>
              <w:right w:val="single" w:color="auto" w:sz="6" w:space="0"/>
            </w:tcBorders>
            <w:vAlign w:val="center"/>
          </w:tcPr>
          <w:p w14:paraId="63D748C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12" w:space="0"/>
              <w:right w:val="single" w:color="auto" w:sz="12" w:space="0"/>
            </w:tcBorders>
            <w:vAlign w:val="center"/>
          </w:tcPr>
          <w:p w14:paraId="55102F6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6CB37CB1">
      <w:pPr>
        <w:spacing w:line="440" w:lineRule="exact"/>
        <w:ind w:firstLine="420"/>
        <w:rPr>
          <w:rFonts w:ascii="宋体" w:hAnsi="宋体" w:cs="宋体"/>
          <w:color w:val="auto"/>
          <w:sz w:val="21"/>
          <w:szCs w:val="21"/>
          <w:highlight w:val="none"/>
        </w:rPr>
      </w:pPr>
    </w:p>
    <w:p w14:paraId="3CC383AB">
      <w:pPr>
        <w:widowControl/>
        <w:spacing w:line="240" w:lineRule="auto"/>
        <w:ind w:firstLine="0" w:firstLineChars="0"/>
        <w:jc w:val="left"/>
        <w:rPr>
          <w:color w:val="auto"/>
          <w:sz w:val="21"/>
          <w:szCs w:val="24"/>
          <w:highlight w:val="none"/>
        </w:rPr>
      </w:pPr>
      <w:r>
        <w:rPr>
          <w:color w:val="auto"/>
          <w:sz w:val="21"/>
          <w:szCs w:val="24"/>
          <w:highlight w:val="none"/>
        </w:rPr>
        <w:br w:type="page"/>
      </w:r>
    </w:p>
    <w:p w14:paraId="7757CAAD">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71" w:name="_Toc296944567"/>
      <w:bookmarkStart w:id="1472" w:name="_Toc296347227"/>
      <w:bookmarkStart w:id="1473" w:name="_Toc296503228"/>
      <w:bookmarkStart w:id="1474" w:name="_Toc267261699"/>
      <w:bookmarkStart w:id="1475" w:name="_Toc296891268"/>
      <w:bookmarkStart w:id="1476" w:name="_Toc296891056"/>
      <w:bookmarkStart w:id="1477" w:name="_Toc296346729"/>
      <w:r>
        <w:rPr>
          <w:rFonts w:hint="eastAsia" w:ascii="宋体" w:hAnsi="宋体" w:cs="宋体"/>
          <w:color w:val="auto"/>
          <w:szCs w:val="21"/>
          <w:highlight w:val="none"/>
        </w:rPr>
        <w:t>件6：</w:t>
      </w:r>
    </w:p>
    <w:bookmarkEnd w:id="1471"/>
    <w:bookmarkEnd w:id="1472"/>
    <w:bookmarkEnd w:id="1473"/>
    <w:bookmarkEnd w:id="1474"/>
    <w:bookmarkEnd w:id="1475"/>
    <w:bookmarkEnd w:id="1476"/>
    <w:bookmarkEnd w:id="1477"/>
    <w:p w14:paraId="7E0741DC">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C9A5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77768E3A">
            <w:pPr>
              <w:ind w:firstLine="480"/>
              <w:jc w:val="center"/>
              <w:rPr>
                <w:color w:val="auto"/>
                <w:sz w:val="21"/>
                <w:szCs w:val="24"/>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1A3B4A46">
            <w:pPr>
              <w:ind w:firstLine="480"/>
              <w:jc w:val="center"/>
              <w:rPr>
                <w:color w:val="auto"/>
                <w:sz w:val="21"/>
                <w:szCs w:val="24"/>
                <w:highlight w:val="none"/>
              </w:rPr>
            </w:pPr>
            <w:r>
              <w:rPr>
                <w:rFonts w:hint="eastAsia"/>
                <w:color w:val="auto"/>
                <w:highlight w:val="none"/>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6F9D1500">
            <w:pPr>
              <w:ind w:firstLine="480"/>
              <w:jc w:val="center"/>
              <w:rPr>
                <w:color w:val="auto"/>
                <w:sz w:val="21"/>
                <w:szCs w:val="24"/>
                <w:highlight w:val="none"/>
              </w:rPr>
            </w:pPr>
            <w:r>
              <w:rPr>
                <w:rFonts w:hint="eastAsia"/>
                <w:color w:val="auto"/>
                <w:highlight w:val="none"/>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83B9C54">
            <w:pPr>
              <w:ind w:firstLine="480"/>
              <w:jc w:val="center"/>
              <w:rPr>
                <w:color w:val="auto"/>
                <w:sz w:val="21"/>
                <w:szCs w:val="24"/>
                <w:highlight w:val="none"/>
              </w:rPr>
            </w:pPr>
            <w:r>
              <w:rPr>
                <w:rFonts w:hint="eastAsia"/>
                <w:color w:val="auto"/>
                <w:highlight w:val="none"/>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21E9421F">
            <w:pPr>
              <w:ind w:firstLine="480"/>
              <w:jc w:val="center"/>
              <w:rPr>
                <w:color w:val="auto"/>
                <w:sz w:val="21"/>
                <w:szCs w:val="24"/>
                <w:highlight w:val="none"/>
              </w:rPr>
            </w:pPr>
            <w:r>
              <w:rPr>
                <w:rFonts w:hint="eastAsia"/>
                <w:color w:val="auto"/>
                <w:highlight w:val="none"/>
              </w:rPr>
              <w:t>主要资历、经验及承担过的项目</w:t>
            </w:r>
          </w:p>
        </w:tc>
      </w:tr>
      <w:tr w14:paraId="2D673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195358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一、总部人员</w:t>
            </w:r>
          </w:p>
        </w:tc>
      </w:tr>
      <w:tr w14:paraId="1953F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6AE164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项目主管</w:t>
            </w:r>
          </w:p>
        </w:tc>
        <w:tc>
          <w:tcPr>
            <w:tcW w:w="1418" w:type="dxa"/>
            <w:tcBorders>
              <w:top w:val="nil"/>
              <w:left w:val="single" w:color="auto" w:sz="6" w:space="0"/>
              <w:bottom w:val="single" w:color="auto" w:sz="6" w:space="0"/>
              <w:right w:val="single" w:color="auto" w:sz="6" w:space="0"/>
            </w:tcBorders>
            <w:vAlign w:val="center"/>
          </w:tcPr>
          <w:p w14:paraId="63CC99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3B284D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1443A7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nil"/>
              <w:left w:val="single" w:color="auto" w:sz="6" w:space="0"/>
              <w:bottom w:val="single" w:color="auto" w:sz="6" w:space="0"/>
              <w:right w:val="single" w:color="auto" w:sz="12" w:space="0"/>
            </w:tcBorders>
            <w:vAlign w:val="center"/>
          </w:tcPr>
          <w:p w14:paraId="026FE2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5AFF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45C62C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5E96C8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98FDAB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EC577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8796F4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20AA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2A962D2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5E4DF0E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F1FA44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BEF551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A077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B562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6E049F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4258B5E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0479A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5F214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2F7110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21B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34555EC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二、现场人员</w:t>
            </w:r>
          </w:p>
        </w:tc>
      </w:tr>
      <w:tr w14:paraId="128EF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0B11DB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472C3D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73667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D396C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F0FF7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DF21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12B2DBE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72AA22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3EA1C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761AB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8EB82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F3E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BF6A8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20AD28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DF88D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36595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B2F70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4B9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86238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2B0CA2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B11B4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B7004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6365B1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4D45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216547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456D0D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3A1ED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6148F2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DC54A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B7F2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03BF5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5745555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9E896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AF28F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683DB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CA94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8B0B94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6EC0AEB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0FC49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992E5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38ABE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D68A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525C0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044911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21FEF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3D4B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0969F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9817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52FC40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32387F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C6D415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6FDF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CE0DC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9B27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27AA2A7D">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nil"/>
              <w:right w:val="single" w:color="auto" w:sz="6" w:space="0"/>
            </w:tcBorders>
            <w:vAlign w:val="center"/>
          </w:tcPr>
          <w:p w14:paraId="462CCC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3FAF766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495EA7C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nil"/>
              <w:right w:val="single" w:color="auto" w:sz="12" w:space="0"/>
            </w:tcBorders>
            <w:vAlign w:val="center"/>
          </w:tcPr>
          <w:p w14:paraId="4F56A2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DAA9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5F52DBA2">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08C0B76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448FDA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F37C6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9CA36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DDCB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75378361">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6DB810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9519C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AFE70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6E20DD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A10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185241F0">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26B85EE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A1D2E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C878D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4A90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1E9A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15F82A63">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14:paraId="6C7ED7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5926EA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44FF8B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12" w:space="0"/>
              <w:right w:val="single" w:color="auto" w:sz="12" w:space="0"/>
            </w:tcBorders>
            <w:vAlign w:val="center"/>
          </w:tcPr>
          <w:p w14:paraId="1AA39D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4C0EC5AE">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1478" w:name="_Toc296944568"/>
      <w:bookmarkStart w:id="1479" w:name="_Toc296503229"/>
      <w:bookmarkStart w:id="1480" w:name="_Toc296346730"/>
      <w:bookmarkStart w:id="1481" w:name="_Toc296347228"/>
      <w:bookmarkStart w:id="1482" w:name="_Toc296891269"/>
      <w:bookmarkStart w:id="1483" w:name="_Toc296891057"/>
      <w:r>
        <w:rPr>
          <w:rFonts w:hint="eastAsia" w:ascii="宋体" w:hAnsi="宋体" w:cs="宋体"/>
          <w:color w:val="auto"/>
          <w:szCs w:val="21"/>
          <w:highlight w:val="none"/>
        </w:rPr>
        <w:t>件7：</w:t>
      </w:r>
    </w:p>
    <w:bookmarkEnd w:id="1478"/>
    <w:bookmarkEnd w:id="1479"/>
    <w:bookmarkEnd w:id="1480"/>
    <w:bookmarkEnd w:id="1481"/>
    <w:bookmarkEnd w:id="1482"/>
    <w:bookmarkEnd w:id="1483"/>
    <w:p w14:paraId="6DC27E5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C947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597609E0">
            <w:pPr>
              <w:ind w:firstLine="480"/>
              <w:jc w:val="center"/>
              <w:rPr>
                <w:color w:val="auto"/>
                <w:sz w:val="21"/>
                <w:szCs w:val="24"/>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2065C5CC">
            <w:pPr>
              <w:ind w:firstLine="480"/>
              <w:jc w:val="center"/>
              <w:rPr>
                <w:color w:val="auto"/>
                <w:sz w:val="21"/>
                <w:szCs w:val="24"/>
                <w:highlight w:val="none"/>
              </w:rPr>
            </w:pPr>
            <w:r>
              <w:rPr>
                <w:rFonts w:hint="eastAsia"/>
                <w:color w:val="auto"/>
                <w:highlight w:val="none"/>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7B61DA67">
            <w:pPr>
              <w:ind w:firstLine="480"/>
              <w:jc w:val="center"/>
              <w:rPr>
                <w:color w:val="auto"/>
                <w:sz w:val="21"/>
                <w:szCs w:val="24"/>
                <w:highlight w:val="none"/>
              </w:rPr>
            </w:pPr>
            <w:r>
              <w:rPr>
                <w:rFonts w:hint="eastAsia"/>
                <w:color w:val="auto"/>
                <w:highlight w:val="none"/>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404A391">
            <w:pPr>
              <w:ind w:firstLine="480"/>
              <w:jc w:val="center"/>
              <w:rPr>
                <w:color w:val="auto"/>
                <w:sz w:val="21"/>
                <w:szCs w:val="24"/>
                <w:highlight w:val="none"/>
              </w:rPr>
            </w:pPr>
            <w:r>
              <w:rPr>
                <w:rFonts w:hint="eastAsia"/>
                <w:color w:val="auto"/>
                <w:highlight w:val="none"/>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7103DF25">
            <w:pPr>
              <w:ind w:firstLine="480"/>
              <w:jc w:val="center"/>
              <w:rPr>
                <w:color w:val="auto"/>
                <w:sz w:val="21"/>
                <w:szCs w:val="24"/>
                <w:highlight w:val="none"/>
              </w:rPr>
            </w:pPr>
            <w:r>
              <w:rPr>
                <w:rFonts w:hint="eastAsia"/>
                <w:color w:val="auto"/>
                <w:highlight w:val="none"/>
              </w:rPr>
              <w:t>主要资历、经验及承担过的项目</w:t>
            </w:r>
          </w:p>
        </w:tc>
      </w:tr>
      <w:tr w14:paraId="3E6EB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269F0A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一、总部人员</w:t>
            </w:r>
          </w:p>
        </w:tc>
      </w:tr>
      <w:tr w14:paraId="79DAE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7FEB6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项目主管</w:t>
            </w:r>
          </w:p>
        </w:tc>
        <w:tc>
          <w:tcPr>
            <w:tcW w:w="1418" w:type="dxa"/>
            <w:tcBorders>
              <w:top w:val="nil"/>
              <w:left w:val="single" w:color="auto" w:sz="6" w:space="0"/>
              <w:bottom w:val="single" w:color="auto" w:sz="6" w:space="0"/>
              <w:right w:val="single" w:color="auto" w:sz="6" w:space="0"/>
            </w:tcBorders>
            <w:vAlign w:val="center"/>
          </w:tcPr>
          <w:p w14:paraId="41A1EF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7C64EA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469398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nil"/>
              <w:left w:val="single" w:color="auto" w:sz="6" w:space="0"/>
              <w:bottom w:val="single" w:color="auto" w:sz="6" w:space="0"/>
              <w:right w:val="single" w:color="auto" w:sz="12" w:space="0"/>
            </w:tcBorders>
            <w:vAlign w:val="center"/>
          </w:tcPr>
          <w:p w14:paraId="2740BE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4970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5E85D9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5003A8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75516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640E50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29E79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D4E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11EF3F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227144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E4D310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25E55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FFEA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084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666D8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227E87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B15196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37D2E0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45BD5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846B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3345652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二、现场人员</w:t>
            </w:r>
          </w:p>
        </w:tc>
      </w:tr>
      <w:tr w14:paraId="2AC82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1B466BA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779D48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80662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800E96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6064D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E550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AC69D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10A38E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DA7C5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85ED4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90560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F57C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E17DEB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04C718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0684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26B4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5DD8C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65D5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4DB5F5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7EE487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038F57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42CD3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6B9F0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3450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5DB67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2D0B8D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F2FC1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61013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1C08F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69DC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98E85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4BB206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7A255E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9C6CC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AA993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0055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DC5410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735BF6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9FBCC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BD4F1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32F7E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CBDB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7B8A5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31A8B9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0DCB5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2136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B39A0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C014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4483C5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0E41FA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42368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D5B50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3219F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51A0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37D9E97E">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nil"/>
              <w:right w:val="single" w:color="auto" w:sz="6" w:space="0"/>
            </w:tcBorders>
            <w:vAlign w:val="center"/>
          </w:tcPr>
          <w:p w14:paraId="3DDF47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39CFE3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775CFD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nil"/>
              <w:right w:val="single" w:color="auto" w:sz="12" w:space="0"/>
            </w:tcBorders>
            <w:vAlign w:val="center"/>
          </w:tcPr>
          <w:p w14:paraId="4573C3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79A6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5332ED6A">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63CAD4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73F4A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225FA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5FF8B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76D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48FD9599">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4360FBF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AAF87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AE0BB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A77EA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D9A3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7AF97B59">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4FFE03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ED98D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B26DF6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D54E9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48A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60ECA25C">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14:paraId="711D9E7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1854AB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034C9B1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12" w:space="0"/>
              <w:right w:val="single" w:color="auto" w:sz="12" w:space="0"/>
            </w:tcBorders>
            <w:vAlign w:val="center"/>
          </w:tcPr>
          <w:p w14:paraId="2CE7AF9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0724ECB">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br w:type="page"/>
      </w:r>
      <w:bookmarkStart w:id="1484" w:name="_Toc267261701"/>
      <w:r>
        <w:rPr>
          <w:rFonts w:hint="eastAsia" w:ascii="宋体" w:hAnsi="宋体" w:cs="宋体"/>
          <w:color w:val="auto"/>
          <w:szCs w:val="21"/>
          <w:highlight w:val="none"/>
        </w:rPr>
        <w:t>附</w:t>
      </w:r>
      <w:bookmarkStart w:id="1485" w:name="_Toc296503231"/>
      <w:bookmarkStart w:id="1486" w:name="_Toc296891271"/>
      <w:bookmarkStart w:id="1487" w:name="_Toc296346732"/>
      <w:bookmarkStart w:id="1488" w:name="_Toc296891059"/>
      <w:bookmarkStart w:id="1489" w:name="_Toc296347230"/>
      <w:bookmarkStart w:id="1490" w:name="_Toc296944570"/>
      <w:r>
        <w:rPr>
          <w:rFonts w:hint="eastAsia" w:ascii="宋体" w:hAnsi="宋体" w:cs="宋体"/>
          <w:color w:val="auto"/>
          <w:szCs w:val="21"/>
          <w:highlight w:val="none"/>
        </w:rPr>
        <w:t>件8：</w:t>
      </w:r>
    </w:p>
    <w:bookmarkEnd w:id="1484"/>
    <w:bookmarkEnd w:id="1485"/>
    <w:bookmarkEnd w:id="1486"/>
    <w:bookmarkEnd w:id="1487"/>
    <w:bookmarkEnd w:id="1488"/>
    <w:bookmarkEnd w:id="1489"/>
    <w:bookmarkEnd w:id="1490"/>
    <w:p w14:paraId="2C4587E1">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履约担保</w:t>
      </w:r>
    </w:p>
    <w:p w14:paraId="027A9D2E">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34ECAA67">
      <w:pPr>
        <w:spacing w:line="440" w:lineRule="exact"/>
        <w:ind w:firstLine="480"/>
        <w:rPr>
          <w:rFonts w:ascii="宋体" w:hAnsi="宋体" w:cs="宋体"/>
          <w:color w:val="auto"/>
          <w:szCs w:val="21"/>
          <w:highlight w:val="none"/>
        </w:rPr>
      </w:pPr>
    </w:p>
    <w:p w14:paraId="76521034">
      <w:pPr>
        <w:ind w:firstLine="48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4544831E">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w:t>
      </w:r>
      <w:r>
        <w:rPr>
          <w:rFonts w:hint="eastAsia" w:ascii="宋体" w:hAnsi="宋体" w:cs="宋体"/>
          <w:color w:val="auto"/>
          <w:szCs w:val="21"/>
          <w:highlight w:val="none"/>
          <w:lang w:eastAsia="zh-CN"/>
        </w:rPr>
        <w:t>下简</w:t>
      </w:r>
      <w:r>
        <w:rPr>
          <w:rFonts w:hint="eastAsia" w:ascii="宋体" w:hAnsi="宋体" w:cs="宋体"/>
          <w:color w:val="auto"/>
          <w:szCs w:val="21"/>
          <w:highlight w:val="none"/>
        </w:rPr>
        <w:t>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（工程名称）施工及有关事项协商一致共同签订《建设工程施工合同》。我方愿意无条件地、不可撤销地就承包人履行与你方签订的合同</w:t>
      </w:r>
      <w:r>
        <w:rPr>
          <w:rFonts w:hint="eastAsia" w:ascii="宋体" w:hAnsi="宋体" w:cs="宋体"/>
          <w:color w:val="auto"/>
          <w:szCs w:val="21"/>
          <w:highlight w:val="none"/>
          <w:lang w:eastAsia="zh-CN"/>
        </w:rPr>
        <w:t>，并</w:t>
      </w:r>
      <w:r>
        <w:rPr>
          <w:rFonts w:hint="eastAsia" w:ascii="宋体" w:hAnsi="宋体" w:cs="宋体"/>
          <w:color w:val="auto"/>
          <w:szCs w:val="21"/>
          <w:highlight w:val="none"/>
        </w:rPr>
        <w:t xml:space="preserve">向你方提供连带责任担保。 </w:t>
      </w:r>
    </w:p>
    <w:p w14:paraId="7066E2D9">
      <w:pPr>
        <w:ind w:firstLine="48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6198D94">
      <w:pPr>
        <w:ind w:firstLine="480"/>
        <w:rPr>
          <w:rFonts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0D592C3A">
      <w:pPr>
        <w:ind w:firstLine="480"/>
        <w:rPr>
          <w:rFonts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31026F29">
      <w:pPr>
        <w:ind w:firstLine="48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456F3350">
      <w:pPr>
        <w:ind w:firstLine="480"/>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56105F79">
      <w:pPr>
        <w:ind w:firstLine="480"/>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4D2B95E0">
      <w:pPr>
        <w:ind w:firstLine="480"/>
        <w:rPr>
          <w:rFonts w:ascii="宋体" w:hAnsi="宋体" w:cs="宋体"/>
          <w:color w:val="auto"/>
          <w:szCs w:val="21"/>
          <w:highlight w:val="none"/>
        </w:rPr>
      </w:pPr>
    </w:p>
    <w:p w14:paraId="1C2181F4">
      <w:pPr>
        <w:ind w:firstLine="480"/>
        <w:rPr>
          <w:rFonts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4C831D5F">
      <w:pPr>
        <w:ind w:firstLine="48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D0A9409">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79DE04E4">
      <w:pPr>
        <w:ind w:firstLine="48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556EA70C">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110B59E5">
      <w:pPr>
        <w:ind w:firstLine="48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7B845432">
      <w:pPr>
        <w:ind w:firstLine="480"/>
        <w:jc w:val="left"/>
        <w:rPr>
          <w:rFonts w:ascii="宋体" w:hAnsi="宋体" w:cs="宋体"/>
          <w:color w:val="auto"/>
          <w:szCs w:val="21"/>
          <w:highlight w:val="none"/>
          <w:u w:val="single"/>
        </w:rPr>
      </w:pPr>
    </w:p>
    <w:p w14:paraId="1E9EF03C">
      <w:pPr>
        <w:ind w:left="1519" w:hanging="1519" w:hangingChars="633"/>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7AAE417">
      <w:pPr>
        <w:ind w:firstLine="480"/>
        <w:rPr>
          <w:rFonts w:hint="eastAsia" w:ascii="宋体" w:hAnsi="宋体" w:cs="宋体"/>
          <w:color w:val="auto"/>
          <w:szCs w:val="21"/>
          <w:highlight w:val="none"/>
        </w:rPr>
      </w:pPr>
    </w:p>
    <w:p w14:paraId="52730131">
      <w:pPr>
        <w:ind w:firstLine="480"/>
        <w:rPr>
          <w:rFonts w:ascii="宋体" w:hAnsi="宋体" w:cs="宋体"/>
          <w:color w:val="auto"/>
          <w:szCs w:val="21"/>
          <w:highlight w:val="none"/>
        </w:rPr>
      </w:pPr>
      <w:r>
        <w:rPr>
          <w:rFonts w:hint="eastAsia" w:ascii="宋体" w:hAnsi="宋体" w:cs="宋体"/>
          <w:color w:val="auto"/>
          <w:szCs w:val="21"/>
          <w:highlight w:val="none"/>
        </w:rPr>
        <w:t>附</w:t>
      </w:r>
      <w:bookmarkStart w:id="1491" w:name="_Toc267261702"/>
      <w:bookmarkStart w:id="1492" w:name="_Toc296347231"/>
      <w:bookmarkStart w:id="1493" w:name="_Toc296944571"/>
      <w:bookmarkStart w:id="1494" w:name="_Toc296503232"/>
      <w:bookmarkStart w:id="1495" w:name="_Toc296891060"/>
      <w:bookmarkStart w:id="1496" w:name="_Toc296346733"/>
      <w:bookmarkStart w:id="1497" w:name="_Toc296891272"/>
      <w:r>
        <w:rPr>
          <w:rFonts w:hint="eastAsia" w:ascii="宋体" w:hAnsi="宋体" w:cs="宋体"/>
          <w:color w:val="auto"/>
          <w:szCs w:val="21"/>
          <w:highlight w:val="none"/>
        </w:rPr>
        <w:t>件9 ：</w:t>
      </w:r>
    </w:p>
    <w:bookmarkEnd w:id="1491"/>
    <w:bookmarkEnd w:id="1492"/>
    <w:bookmarkEnd w:id="1493"/>
    <w:bookmarkEnd w:id="1494"/>
    <w:bookmarkEnd w:id="1495"/>
    <w:bookmarkEnd w:id="1496"/>
    <w:bookmarkEnd w:id="1497"/>
    <w:p w14:paraId="21019503">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预付款担保</w:t>
      </w:r>
    </w:p>
    <w:p w14:paraId="54BE5042">
      <w:pPr>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2419C859">
      <w:pPr>
        <w:ind w:firstLine="480"/>
        <w:rPr>
          <w:rFonts w:ascii="宋体" w:hAnsi="宋体" w:cs="宋体"/>
          <w:color w:val="auto"/>
          <w:szCs w:val="21"/>
          <w:highlight w:val="none"/>
        </w:rPr>
      </w:pPr>
    </w:p>
    <w:p w14:paraId="0C27C60B">
      <w:pPr>
        <w:ind w:firstLine="48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w:t>
      </w:r>
      <w:r>
        <w:rPr>
          <w:rFonts w:hint="eastAsia" w:ascii="宋体" w:hAnsi="宋体" w:cs="宋体"/>
          <w:color w:val="auto"/>
          <w:szCs w:val="21"/>
          <w:highlight w:val="none"/>
          <w:lang w:eastAsia="zh-CN"/>
        </w:rPr>
        <w:t>下简</w:t>
      </w:r>
      <w:r>
        <w:rPr>
          <w:rFonts w:hint="eastAsia" w:ascii="宋体" w:hAnsi="宋体" w:cs="宋体"/>
          <w:color w:val="auto"/>
          <w:szCs w:val="21"/>
          <w:highlight w:val="none"/>
        </w:rPr>
        <w:t>称“承包人”）与</w:t>
      </w:r>
    </w:p>
    <w:p w14:paraId="6CE540F3">
      <w:pPr>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w:t>
      </w:r>
    </w:p>
    <w:p w14:paraId="31F9A9E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51F70377">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4CC73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78829045">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w:t>
      </w:r>
      <w:r>
        <w:rPr>
          <w:rFonts w:hint="eastAsia" w:ascii="宋体" w:hAnsi="宋体" w:cs="宋体"/>
          <w:color w:val="auto"/>
          <w:szCs w:val="21"/>
          <w:highlight w:val="none"/>
          <w:lang w:eastAsia="zh-CN"/>
        </w:rPr>
        <w:t>7</w:t>
      </w:r>
      <w:r>
        <w:rPr>
          <w:rFonts w:hint="eastAsia" w:ascii="宋体" w:hAnsi="宋体" w:cs="宋体"/>
          <w:color w:val="auto"/>
          <w:szCs w:val="21"/>
          <w:highlight w:val="none"/>
        </w:rPr>
        <w:t>天内无条件支付。但本保函的担保金额，在任何时候不应超过预付款金额减去你方按合同约定在向承包人签发的进度款支付证书中扣除的金额。</w:t>
      </w:r>
    </w:p>
    <w:p w14:paraId="43E58F5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58B9DCFE">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6D5FDFED">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121E7745">
      <w:pPr>
        <w:ind w:firstLine="480"/>
        <w:rPr>
          <w:rFonts w:ascii="宋体" w:hAnsi="宋体" w:cs="宋体"/>
          <w:color w:val="auto"/>
          <w:szCs w:val="21"/>
          <w:highlight w:val="none"/>
        </w:rPr>
      </w:pPr>
    </w:p>
    <w:p w14:paraId="35D24265">
      <w:pPr>
        <w:ind w:firstLine="480"/>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5E49FC99">
      <w:pPr>
        <w:ind w:firstLine="48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76C669A">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4A906CC">
      <w:pPr>
        <w:ind w:firstLine="480"/>
        <w:rPr>
          <w:rFonts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1376ACAF">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4ACB70B1">
      <w:pPr>
        <w:ind w:firstLine="480"/>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9AF1C33">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p>
    <w:p w14:paraId="4DD9D1EE">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857659D">
      <w:pPr>
        <w:spacing w:line="440" w:lineRule="exact"/>
        <w:ind w:firstLine="482"/>
        <w:rPr>
          <w:rFonts w:ascii="宋体" w:hAnsi="宋体" w:cs="宋体"/>
          <w:color w:val="auto"/>
          <w:szCs w:val="21"/>
          <w:highlight w:val="none"/>
        </w:rPr>
      </w:pPr>
      <w:r>
        <w:rPr>
          <w:rFonts w:hint="eastAsia" w:ascii="宋体" w:hAnsi="宋体" w:cs="宋体"/>
          <w:color w:val="auto"/>
          <w:szCs w:val="21"/>
          <w:highlight w:val="none"/>
        </w:rPr>
        <w:t>附</w:t>
      </w:r>
      <w:bookmarkStart w:id="1498" w:name="_Toc296347232"/>
      <w:bookmarkStart w:id="1499" w:name="_Toc296503233"/>
      <w:bookmarkStart w:id="1500" w:name="_Toc296891273"/>
      <w:bookmarkStart w:id="1501" w:name="_Toc296891061"/>
      <w:bookmarkStart w:id="1502" w:name="_Toc296346734"/>
      <w:bookmarkStart w:id="1503" w:name="_Toc296944572"/>
      <w:r>
        <w:rPr>
          <w:rFonts w:hint="eastAsia" w:ascii="宋体" w:hAnsi="宋体" w:cs="宋体"/>
          <w:color w:val="auto"/>
          <w:szCs w:val="21"/>
          <w:highlight w:val="none"/>
        </w:rPr>
        <w:t xml:space="preserve">件10:  </w:t>
      </w:r>
    </w:p>
    <w:bookmarkEnd w:id="1498"/>
    <w:bookmarkEnd w:id="1499"/>
    <w:bookmarkEnd w:id="1500"/>
    <w:bookmarkEnd w:id="1501"/>
    <w:bookmarkEnd w:id="1502"/>
    <w:bookmarkEnd w:id="1503"/>
    <w:p w14:paraId="0BE1FCD3">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支付担保</w:t>
      </w:r>
    </w:p>
    <w:p w14:paraId="77ACD462">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3C5CBA7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4C6A8BF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一、保证的范围及保证金额</w:t>
      </w:r>
    </w:p>
    <w:p w14:paraId="2E899FE3">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70C790A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305DBB8">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CAF56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二、保证的方式及保证期间</w:t>
      </w:r>
    </w:p>
    <w:p w14:paraId="3F34C51C">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667A9D76">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08F7A3F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1F5AFED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三、承担保证责任的形式</w:t>
      </w:r>
    </w:p>
    <w:p w14:paraId="00F08250">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25C3ED9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四、代偿的安排</w:t>
      </w:r>
    </w:p>
    <w:p w14:paraId="687F5C80">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790C963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72ECB4B8">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w:t>
      </w:r>
      <w:r>
        <w:rPr>
          <w:rFonts w:hint="eastAsia" w:ascii="宋体" w:hAnsi="宋体" w:cs="宋体"/>
          <w:color w:val="auto"/>
          <w:szCs w:val="21"/>
          <w:highlight w:val="none"/>
          <w:lang w:eastAsia="zh-CN"/>
        </w:rPr>
        <w:t>7</w:t>
      </w:r>
      <w:r>
        <w:rPr>
          <w:rFonts w:hint="eastAsia" w:ascii="宋体" w:hAnsi="宋体" w:cs="宋体"/>
          <w:color w:val="auto"/>
          <w:szCs w:val="21"/>
          <w:highlight w:val="none"/>
        </w:rPr>
        <w:t>天内无条件支付。</w:t>
      </w:r>
    </w:p>
    <w:p w14:paraId="7DDDDBC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五、保证责任的解除</w:t>
      </w:r>
    </w:p>
    <w:p w14:paraId="4345082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4A57B10A">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212FAEC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我方按照本保函向你方履行保证责任所支付金额达到本保函保证金额时，自我方向你方支付（支付款项从我方账户划出）之日起，保证责任即解除。</w:t>
      </w:r>
    </w:p>
    <w:p w14:paraId="3D515346">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73F480B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05FBCA7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六、免责条款</w:t>
      </w:r>
    </w:p>
    <w:p w14:paraId="2793488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5851D182">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55DF551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D076F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1F720974">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七、争议解决</w:t>
      </w:r>
    </w:p>
    <w:p w14:paraId="74E16182">
      <w:pPr>
        <w:spacing w:after="120" w:line="340" w:lineRule="exact"/>
        <w:ind w:firstLine="480"/>
        <w:rPr>
          <w:rFonts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0566A52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4DDB670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750C0314">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八、保函的生效</w:t>
      </w:r>
    </w:p>
    <w:p w14:paraId="68DF156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51458D26">
      <w:pPr>
        <w:spacing w:line="340" w:lineRule="exact"/>
        <w:ind w:firstLine="480"/>
        <w:jc w:val="left"/>
        <w:rPr>
          <w:rFonts w:ascii="宋体" w:hAnsi="宋体" w:cs="宋体"/>
          <w:color w:val="auto"/>
          <w:szCs w:val="21"/>
          <w:highlight w:val="none"/>
        </w:rPr>
      </w:pPr>
    </w:p>
    <w:p w14:paraId="7444DE7E">
      <w:pPr>
        <w:spacing w:line="340" w:lineRule="exact"/>
        <w:ind w:right="600" w:firstLine="480"/>
        <w:jc w:val="left"/>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11187300">
      <w:pPr>
        <w:spacing w:line="340" w:lineRule="exact"/>
        <w:ind w:right="1200" w:firstLine="480"/>
        <w:rPr>
          <w:rFonts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720077C7">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6FFF0A7">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73BFE4B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23B7686D">
      <w:pPr>
        <w:ind w:right="150" w:firstLine="480"/>
        <w:jc w:val="lef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E2DECF2">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附件11：</w:t>
      </w:r>
    </w:p>
    <w:p w14:paraId="52E7E777">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11-1：材料暂估价表</w:t>
      </w:r>
    </w:p>
    <w:tbl>
      <w:tblPr>
        <w:tblStyle w:val="4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5AF7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25A79B1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29F6B4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7873997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05D3B0C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25321C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0E8438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016909F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B7B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270A19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4986FF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5B00BC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4658E3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5B1CF1E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0079188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40AF36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BBEF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4EDAA4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34E124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3C4A1D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024E36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0DA07A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608769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45F0A38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81B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95EF8A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B75E12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44A8D4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B19970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FC4E6E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FDA03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9CCF28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E566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32EE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EE3AD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F7AA7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F85243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1CC29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05393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1567F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BCF7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356B5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07C35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80B1A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CF5E3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0189C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B2EFC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499654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4413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01B7C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99159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83517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7C00C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DA4D3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75BFD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F289DF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5A60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56DAF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C0384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6E0F197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44FD75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60630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6891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5136F6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D3C5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C7714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F4FA6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DA2F8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02F987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4CF96F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837E3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3277E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4C01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DDD2D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92105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2D512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32ABC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99BE4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C9D563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B0047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FDBF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0940295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12" w:space="0"/>
              <w:right w:val="single" w:color="auto" w:sz="6" w:space="0"/>
            </w:tcBorders>
          </w:tcPr>
          <w:p w14:paraId="7D7F4CE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12" w:space="0"/>
              <w:right w:val="single" w:color="auto" w:sz="6" w:space="0"/>
            </w:tcBorders>
          </w:tcPr>
          <w:p w14:paraId="17B6AA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12" w:space="0"/>
              <w:right w:val="single" w:color="auto" w:sz="6" w:space="0"/>
            </w:tcBorders>
          </w:tcPr>
          <w:p w14:paraId="55B567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12" w:space="0"/>
              <w:right w:val="single" w:color="auto" w:sz="6" w:space="0"/>
            </w:tcBorders>
          </w:tcPr>
          <w:p w14:paraId="2B45DC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tcPr>
          <w:p w14:paraId="321809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12" w:space="0"/>
              <w:right w:val="single" w:color="auto" w:sz="12" w:space="0"/>
            </w:tcBorders>
          </w:tcPr>
          <w:p w14:paraId="5F41F1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540929E">
      <w:pPr>
        <w:spacing w:before="120" w:beforeLines="50" w:after="120" w:afterLines="50" w:line="440" w:lineRule="exact"/>
        <w:ind w:firstLine="420"/>
        <w:jc w:val="center"/>
        <w:rPr>
          <w:rFonts w:ascii="宋体" w:hAnsi="宋体" w:cs="宋体"/>
          <w:color w:val="auto"/>
          <w:sz w:val="21"/>
          <w:szCs w:val="21"/>
          <w:highlight w:val="none"/>
        </w:rPr>
      </w:pPr>
    </w:p>
    <w:p w14:paraId="09458F25">
      <w:pPr>
        <w:spacing w:before="120" w:beforeLines="50" w:after="120" w:afterLines="50" w:line="440" w:lineRule="exact"/>
        <w:ind w:firstLine="480"/>
        <w:jc w:val="center"/>
        <w:rPr>
          <w:rFonts w:ascii="宋体" w:hAnsi="宋体" w:cs="宋体"/>
          <w:color w:val="auto"/>
          <w:szCs w:val="21"/>
          <w:highlight w:val="none"/>
        </w:rPr>
      </w:pPr>
    </w:p>
    <w:p w14:paraId="4C912674">
      <w:pPr>
        <w:spacing w:before="120" w:beforeLines="50" w:after="120" w:afterLines="50" w:line="440" w:lineRule="exact"/>
        <w:ind w:firstLine="480"/>
        <w:jc w:val="center"/>
        <w:rPr>
          <w:rFonts w:ascii="宋体" w:hAnsi="宋体" w:cs="宋体"/>
          <w:color w:val="auto"/>
          <w:szCs w:val="21"/>
          <w:highlight w:val="none"/>
        </w:rPr>
      </w:pPr>
    </w:p>
    <w:p w14:paraId="777D09D4">
      <w:pPr>
        <w:spacing w:before="120" w:beforeLines="50" w:after="120" w:afterLines="50" w:line="440" w:lineRule="exact"/>
        <w:ind w:firstLine="480"/>
        <w:jc w:val="center"/>
        <w:rPr>
          <w:rFonts w:ascii="宋体" w:hAnsi="宋体" w:cs="宋体"/>
          <w:color w:val="auto"/>
          <w:szCs w:val="21"/>
          <w:highlight w:val="none"/>
        </w:rPr>
      </w:pPr>
    </w:p>
    <w:p w14:paraId="12EEF41E">
      <w:pPr>
        <w:spacing w:before="120" w:beforeLines="50" w:after="120" w:afterLines="50" w:line="440" w:lineRule="exact"/>
        <w:ind w:firstLine="480"/>
        <w:jc w:val="center"/>
        <w:rPr>
          <w:rFonts w:ascii="宋体" w:hAnsi="宋体" w:cs="宋体"/>
          <w:color w:val="auto"/>
          <w:szCs w:val="21"/>
          <w:highlight w:val="none"/>
        </w:rPr>
      </w:pPr>
    </w:p>
    <w:p w14:paraId="7417DE2A">
      <w:pPr>
        <w:spacing w:before="120" w:beforeLines="50" w:after="120" w:afterLines="50" w:line="440" w:lineRule="exact"/>
        <w:ind w:firstLine="480"/>
        <w:jc w:val="center"/>
        <w:rPr>
          <w:rFonts w:ascii="宋体" w:hAnsi="宋体" w:cs="宋体"/>
          <w:color w:val="auto"/>
          <w:szCs w:val="21"/>
          <w:highlight w:val="none"/>
        </w:rPr>
      </w:pPr>
    </w:p>
    <w:p w14:paraId="52B2E519">
      <w:pPr>
        <w:spacing w:before="120" w:beforeLines="50" w:after="120" w:afterLines="50" w:line="440" w:lineRule="exact"/>
        <w:ind w:firstLine="480"/>
        <w:jc w:val="center"/>
        <w:rPr>
          <w:rFonts w:ascii="宋体" w:hAnsi="宋体" w:cs="宋体"/>
          <w:color w:val="auto"/>
          <w:szCs w:val="21"/>
          <w:highlight w:val="none"/>
        </w:rPr>
      </w:pPr>
    </w:p>
    <w:p w14:paraId="340BC307">
      <w:pPr>
        <w:spacing w:before="120" w:beforeLines="50" w:after="120" w:afterLines="50" w:line="440" w:lineRule="exact"/>
        <w:ind w:firstLine="480"/>
        <w:jc w:val="center"/>
        <w:rPr>
          <w:rFonts w:ascii="宋体" w:hAnsi="宋体" w:cs="宋体"/>
          <w:color w:val="auto"/>
          <w:szCs w:val="21"/>
          <w:highlight w:val="none"/>
        </w:rPr>
      </w:pPr>
    </w:p>
    <w:p w14:paraId="4245C04E">
      <w:pPr>
        <w:spacing w:before="120" w:beforeLines="50" w:after="120" w:afterLines="50" w:line="440" w:lineRule="exact"/>
        <w:ind w:firstLine="480"/>
        <w:jc w:val="center"/>
        <w:rPr>
          <w:rFonts w:ascii="宋体" w:hAnsi="宋体" w:cs="宋体"/>
          <w:color w:val="auto"/>
          <w:szCs w:val="21"/>
          <w:highlight w:val="none"/>
        </w:rPr>
      </w:pPr>
    </w:p>
    <w:p w14:paraId="08EF453C">
      <w:pPr>
        <w:spacing w:before="120" w:beforeLines="50" w:after="120" w:afterLines="50" w:line="440" w:lineRule="exact"/>
        <w:ind w:firstLine="480"/>
        <w:jc w:val="center"/>
        <w:rPr>
          <w:rFonts w:ascii="宋体" w:hAnsi="宋体" w:cs="宋体"/>
          <w:color w:val="auto"/>
          <w:szCs w:val="21"/>
          <w:highlight w:val="none"/>
        </w:rPr>
      </w:pPr>
    </w:p>
    <w:p w14:paraId="5E3FBA8E">
      <w:pPr>
        <w:widowControl/>
        <w:spacing w:line="240" w:lineRule="auto"/>
        <w:ind w:firstLine="0" w:firstLineChars="0"/>
        <w:jc w:val="left"/>
        <w:rPr>
          <w:rFonts w:ascii="宋体" w:hAnsi="宋体" w:cs="宋体"/>
          <w:color w:val="auto"/>
          <w:szCs w:val="21"/>
          <w:highlight w:val="none"/>
        </w:rPr>
      </w:pPr>
      <w:r>
        <w:rPr>
          <w:rFonts w:ascii="宋体" w:hAnsi="宋体" w:cs="宋体"/>
          <w:color w:val="auto"/>
          <w:szCs w:val="21"/>
          <w:highlight w:val="none"/>
        </w:rPr>
        <w:br w:type="page"/>
      </w:r>
    </w:p>
    <w:p w14:paraId="4DE4B66C">
      <w:pPr>
        <w:spacing w:before="120" w:beforeLines="50" w:after="120" w:afterLines="50" w:line="440" w:lineRule="exact"/>
        <w:ind w:firstLine="480"/>
        <w:jc w:val="center"/>
        <w:rPr>
          <w:rFonts w:ascii="宋体" w:hAnsi="宋体" w:cs="宋体"/>
          <w:color w:val="auto"/>
          <w:szCs w:val="21"/>
          <w:highlight w:val="none"/>
        </w:rPr>
      </w:pPr>
    </w:p>
    <w:p w14:paraId="5A372918">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11-2：工程设备暂估价表</w:t>
      </w:r>
    </w:p>
    <w:tbl>
      <w:tblPr>
        <w:tblStyle w:val="4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8199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113072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0A956C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217D4C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5EEA912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67D024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37048D4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44AC7B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637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797F41C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220BBD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377D05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524F1A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3FB204F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2B7592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58948EC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F9D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29C564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14AC16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28D5DA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2F2BE6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42309E4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5E33E6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082824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CA50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7CE1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3E0FD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96D98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C8999C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5DD18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DF70D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9D2F2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BE55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15FD1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407869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FC230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7C133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9D54D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704F6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46F463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E352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E830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21887CB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C24C35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9675C3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D4981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80824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B6935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C33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98DB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E3342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F8046B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725DB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2689B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224D3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29E04B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9D01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72352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2C555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CD2E6C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1EB9F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76346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68808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BBE2CF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0355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EC4E1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FC77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D83B65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0F6F82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D9AD4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7CB6E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266E39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35F1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9AC728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7B1FC3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22557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D93A5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433A4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C2C8A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3CB8FF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593B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18F4E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1BC5F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29954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F5C7B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A0D7C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25C71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F798F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DF1B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3FAEDF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12" w:space="0"/>
              <w:right w:val="single" w:color="auto" w:sz="6" w:space="0"/>
            </w:tcBorders>
          </w:tcPr>
          <w:p w14:paraId="32C050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12" w:space="0"/>
              <w:right w:val="single" w:color="auto" w:sz="6" w:space="0"/>
            </w:tcBorders>
          </w:tcPr>
          <w:p w14:paraId="16DBDC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12" w:space="0"/>
              <w:right w:val="single" w:color="auto" w:sz="6" w:space="0"/>
            </w:tcBorders>
          </w:tcPr>
          <w:p w14:paraId="0BB313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12" w:space="0"/>
              <w:right w:val="single" w:color="auto" w:sz="6" w:space="0"/>
            </w:tcBorders>
          </w:tcPr>
          <w:p w14:paraId="700E12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tcPr>
          <w:p w14:paraId="66EC67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12" w:space="0"/>
              <w:right w:val="single" w:color="auto" w:sz="12" w:space="0"/>
            </w:tcBorders>
          </w:tcPr>
          <w:p w14:paraId="164987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5C55B836">
      <w:pPr>
        <w:spacing w:line="440" w:lineRule="exact"/>
        <w:ind w:firstLine="420"/>
        <w:rPr>
          <w:rFonts w:ascii="宋体" w:hAnsi="宋体" w:cs="宋体"/>
          <w:color w:val="auto"/>
          <w:sz w:val="21"/>
          <w:szCs w:val="21"/>
          <w:highlight w:val="none"/>
        </w:rPr>
      </w:pPr>
    </w:p>
    <w:p w14:paraId="5F88E28E">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11-3：专业工程暂估价表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349E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left w:val="single" w:color="auto" w:sz="12" w:space="0"/>
              <w:bottom w:val="double" w:color="auto" w:sz="6" w:space="0"/>
              <w:right w:val="single" w:color="auto" w:sz="6" w:space="0"/>
            </w:tcBorders>
          </w:tcPr>
          <w:p w14:paraId="216853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3A65AC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698886C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35A8AED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2347EFF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19CE386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175718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3D76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left w:val="single" w:color="auto" w:sz="12" w:space="0"/>
              <w:bottom w:val="single" w:color="auto" w:sz="6" w:space="0"/>
              <w:right w:val="single" w:color="auto" w:sz="6" w:space="0"/>
            </w:tcBorders>
          </w:tcPr>
          <w:p w14:paraId="44EDBE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6FA173E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1FE790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11A136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70C719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211C71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5B443C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9685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left w:val="single" w:color="auto" w:sz="12" w:space="0"/>
              <w:bottom w:val="single" w:color="auto" w:sz="6" w:space="0"/>
              <w:right w:val="single" w:color="auto" w:sz="6" w:space="0"/>
            </w:tcBorders>
          </w:tcPr>
          <w:p w14:paraId="5AE691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5A7383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1C8D15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6B862A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151C2C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74D9C3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613781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5DDC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3F20A8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78B255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023CF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8CEB12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C6F28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4F8099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37E78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AA7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848FE7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357EAD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ED8DD0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0A3FB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DEFAE0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EF40AB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34B4B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50A8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07D0D3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50AD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F295D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30E88C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45CF59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D478C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CE916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52D5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093B8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E1BDEE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E430A2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CE84F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72FA4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9CEB52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A088D9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1F9F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7822A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7AD22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81113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21AFDD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08931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A4249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BFE33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784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BFEB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9C3D7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91CFC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81B86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42F6C17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F69B6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57D8C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DFE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CC0016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D0254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D62916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97078A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AD26C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5955FF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E8E870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FC17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52660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C60B1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6492A3B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89EDE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31D516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6BE3B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B01D1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8362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B862B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54E9E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42631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84C0C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88622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3CD4D56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C0C20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F14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15030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C6D9D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4455C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3FFE5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B023B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4FB15D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26DA2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2A45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8753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E9D8B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D02BB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CD6EB6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C10D39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C92EC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B915C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D284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6E9F9A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91B30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32E8D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BE965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3E443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71108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037EA9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7F67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C32B9C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10D6F9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B7FCAF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3099C2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5BC8E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DA33D6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A7866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4B04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5CBA8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11164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359F8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D8BBCF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4DC321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6E7A22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E98BD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06E6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AA7F8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9023CF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25EA19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0EA361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42AB0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4CE9A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051CE44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47EF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69CDE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2B1956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60F60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16F984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D62E7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667CF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78C82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65C4694A">
      <w:pPr>
        <w:snapToGrid w:val="0"/>
        <w:spacing w:line="360" w:lineRule="exact"/>
        <w:ind w:right="480" w:firstLine="420"/>
        <w:rPr>
          <w:rFonts w:ascii="宋体" w:hAnsi="宋体" w:cs="宋体"/>
          <w:bCs/>
          <w:color w:val="auto"/>
          <w:sz w:val="21"/>
          <w:szCs w:val="21"/>
          <w:highlight w:val="none"/>
        </w:rPr>
      </w:pPr>
    </w:p>
    <w:p w14:paraId="3B082A54">
      <w:pPr>
        <w:snapToGrid w:val="0"/>
        <w:spacing w:line="360" w:lineRule="exact"/>
        <w:ind w:right="480" w:firstLine="480"/>
        <w:rPr>
          <w:rFonts w:ascii="宋体" w:hAnsi="宋体" w:cs="宋体"/>
          <w:bCs/>
          <w:color w:val="auto"/>
          <w:szCs w:val="21"/>
          <w:highlight w:val="none"/>
        </w:rPr>
      </w:pPr>
    </w:p>
    <w:p w14:paraId="434CA850">
      <w:pPr>
        <w:ind w:firstLine="643"/>
        <w:jc w:val="center"/>
        <w:rPr>
          <w:rFonts w:ascii="宋体" w:hAnsi="宋体" w:cs="宋体"/>
          <w:b/>
          <w:bCs/>
          <w:color w:val="auto"/>
          <w:kern w:val="44"/>
          <w:sz w:val="32"/>
          <w:szCs w:val="32"/>
          <w:highlight w:val="none"/>
          <w:lang w:val="zh-CN"/>
        </w:rPr>
      </w:pPr>
    </w:p>
    <w:p w14:paraId="6EE1F00F">
      <w:pPr>
        <w:spacing w:line="380" w:lineRule="exact"/>
        <w:ind w:firstLine="0" w:firstLineChars="0"/>
        <w:jc w:val="left"/>
        <w:rPr>
          <w:rFonts w:ascii="宋体" w:hAnsi="Calibri"/>
          <w:b/>
          <w:bCs/>
          <w:color w:val="auto"/>
          <w:sz w:val="32"/>
          <w:szCs w:val="24"/>
          <w:highlight w:val="none"/>
        </w:rPr>
      </w:pPr>
    </w:p>
    <w:p w14:paraId="6CC357F9">
      <w:pPr>
        <w:spacing w:line="380" w:lineRule="exact"/>
        <w:ind w:firstLine="0" w:firstLineChars="0"/>
        <w:jc w:val="left"/>
        <w:rPr>
          <w:rFonts w:ascii="宋体" w:hAnsi="Calibri"/>
          <w:b/>
          <w:bCs/>
          <w:color w:val="auto"/>
          <w:sz w:val="32"/>
          <w:szCs w:val="24"/>
          <w:highlight w:val="none"/>
        </w:rPr>
      </w:pPr>
    </w:p>
    <w:p w14:paraId="1D12D449">
      <w:pPr>
        <w:spacing w:line="380" w:lineRule="exact"/>
        <w:ind w:firstLine="0" w:firstLineChars="0"/>
        <w:jc w:val="left"/>
        <w:rPr>
          <w:rFonts w:ascii="宋体" w:hAnsi="Calibri"/>
          <w:b/>
          <w:bCs/>
          <w:color w:val="auto"/>
          <w:sz w:val="32"/>
          <w:szCs w:val="24"/>
          <w:highlight w:val="none"/>
        </w:rPr>
      </w:pPr>
    </w:p>
    <w:p w14:paraId="7666AC7D">
      <w:pPr>
        <w:spacing w:line="380" w:lineRule="exact"/>
        <w:ind w:firstLine="0" w:firstLineChars="0"/>
        <w:jc w:val="left"/>
        <w:rPr>
          <w:rFonts w:ascii="宋体" w:hAnsi="Calibri"/>
          <w:b/>
          <w:bCs/>
          <w:color w:val="auto"/>
          <w:sz w:val="32"/>
          <w:szCs w:val="24"/>
          <w:highlight w:val="none"/>
        </w:rPr>
      </w:pPr>
    </w:p>
    <w:p w14:paraId="5BF42B8C">
      <w:pPr>
        <w:spacing w:line="380" w:lineRule="exact"/>
        <w:ind w:firstLine="0" w:firstLineChars="0"/>
        <w:jc w:val="left"/>
        <w:rPr>
          <w:rFonts w:ascii="宋体" w:hAnsi="Calibri"/>
          <w:b/>
          <w:bCs/>
          <w:color w:val="auto"/>
          <w:sz w:val="32"/>
          <w:szCs w:val="24"/>
          <w:highlight w:val="none"/>
        </w:rPr>
      </w:pPr>
    </w:p>
    <w:p w14:paraId="413788AE">
      <w:pPr>
        <w:snapToGrid w:val="0"/>
        <w:spacing w:line="400" w:lineRule="exact"/>
        <w:ind w:firstLine="0" w:firstLineChars="0"/>
        <w:rPr>
          <w:rFonts w:ascii="宋体" w:hAnsi="宋体" w:cs="宋体"/>
          <w:b/>
          <w:bCs/>
          <w:color w:val="auto"/>
          <w:sz w:val="32"/>
          <w:szCs w:val="32"/>
          <w:highlight w:val="none"/>
        </w:rPr>
      </w:pPr>
    </w:p>
    <w:sectPr>
      <w:headerReference r:id="rId19" w:type="first"/>
      <w:footerReference r:id="rId22" w:type="first"/>
      <w:headerReference r:id="rId17" w:type="default"/>
      <w:footerReference r:id="rId20" w:type="default"/>
      <w:headerReference r:id="rId18" w:type="even"/>
      <w:footerReference r:id="rId21" w:type="even"/>
      <w:pgSz w:w="11907" w:h="16840"/>
      <w:pgMar w:top="1440" w:right="1440" w:bottom="1440" w:left="1797" w:header="851" w:footer="85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74959DA-748B-4EDD-AD83-CE069C3017F1}"/>
  </w:font>
  <w:font w:name="Courier New">
    <w:panose1 w:val="02070309020205020404"/>
    <w:charset w:val="01"/>
    <w:family w:val="modern"/>
    <w:pitch w:val="default"/>
    <w:sig w:usb0="E0002AFF" w:usb1="C0007843" w:usb2="00000009" w:usb3="00000000" w:csb0="400001FF" w:csb1="FFFF0000"/>
    <w:embedRegular r:id="rId2" w:fontKey="{FC4FF4EC-B6C9-4821-BAE6-FF137F65696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294A318-F583-4E5A-A48D-B4FDCC72B4BB}"/>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236A432-1512-49D0-B371-004F5BE56F6A}"/>
  </w:font>
  <w:font w:name="MingLiU">
    <w:panose1 w:val="02020509000000000000"/>
    <w:charset w:val="88"/>
    <w:family w:val="modern"/>
    <w:pitch w:val="default"/>
    <w:sig w:usb0="A00002FF" w:usb1="28CFFCFA" w:usb2="00000016" w:usb3="00000000" w:csb0="00100001" w:csb1="00000000"/>
  </w:font>
  <w:font w:name="华文新魏">
    <w:panose1 w:val="02010800040101010101"/>
    <w:charset w:val="86"/>
    <w:family w:val="auto"/>
    <w:pitch w:val="default"/>
    <w:sig w:usb0="00000001" w:usb1="080F0000" w:usb2="00000000" w:usb3="00000000" w:csb0="00040000" w:csb1="00000000"/>
    <w:embedRegular r:id="rId5" w:fontKey="{95EC9C2A-A5EF-4B36-9BA4-AAAA45C33C0B}"/>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fontKey="{1C4176AC-D777-4FEB-8733-462B28C768D9}"/>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7" w:fontKey="{AEBB63D6-DAD0-4A0F-A0DD-148CBFB94E5A}"/>
  </w:font>
  <w:font w:name="文鼎中隶简">
    <w:altName w:val="隶书"/>
    <w:panose1 w:val="00000000000000000000"/>
    <w:charset w:val="86"/>
    <w:family w:val="modern"/>
    <w:pitch w:val="default"/>
    <w:sig w:usb0="00000000" w:usb1="00000000" w:usb2="00000000" w:usb3="00000000" w:csb0="00040001" w:csb1="00000000"/>
    <w:embedRegular r:id="rId8" w:fontKey="{9ED6F89F-CC5D-4E8B-9303-EAB9D755B9A1}"/>
  </w:font>
  <w:font w:name="隶书">
    <w:panose1 w:val="0201050906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9" w:fontKey="{6724F96C-05F8-4248-9883-FB2DCD92F8D5}"/>
  </w:font>
  <w:font w:name="WPSEMBED7">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F82F">
    <w:pPr>
      <w:pStyle w:val="31"/>
      <w:ind w:firstLine="360"/>
      <w:jc w:val="center"/>
    </w:pPr>
    <w:r>
      <w:fldChar w:fldCharType="begin"/>
    </w:r>
    <w:r>
      <w:instrText xml:space="preserve"> PAGE   \* MERGEFORMAT </w:instrText>
    </w:r>
    <w:r>
      <w:fldChar w:fldCharType="separate"/>
    </w:r>
    <w:r>
      <w:rPr>
        <w:lang w:val="zh-CN"/>
      </w:rPr>
      <w:t>11</w:t>
    </w:r>
    <w:r>
      <w:rPr>
        <w:lang w:val="zh-CN"/>
      </w:rPr>
      <w:fldChar w:fldCharType="end"/>
    </w:r>
  </w:p>
  <w:p w14:paraId="3F9DF918">
    <w:pPr>
      <w:pStyle w:val="3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3214">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12</w:t>
    </w:r>
    <w:r>
      <w:fldChar w:fldCharType="end"/>
    </w:r>
  </w:p>
  <w:p w14:paraId="76191370">
    <w:pPr>
      <w:pStyle w:val="3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707EB">
    <w:pPr>
      <w:pStyle w:val="3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a:effectLst/>
                    </wps:spPr>
                    <wps:txbx>
                      <w:txbxContent>
                        <w:p w14:paraId="022B8600">
                          <w:pPr>
                            <w:ind w:firstLine="48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IxZx9EAAAADAQAADwAAAAAAAAABACAAAAAiAAAA&#10;ZHJzL2Rvd25yZXYueG1sUEsBAhQAFAAAAAgAh07iQJJSGCHVAQAApQMAAA4AAAAAAAAAAQAgAAAA&#10;IAEAAGRycy9lMm9Eb2MueG1sUEsFBgAAAAAGAAYAWQEAAGcFAAAAAA==&#10;">
              <v:fill on="f" focussize="0,0"/>
              <v:stroke on="f"/>
              <v:imagedata o:title=""/>
              <o:lock v:ext="edit" aspectratio="f"/>
              <v:textbox inset="0mm,0mm,0mm,0mm" style="mso-fit-shape-to-text:t;">
                <w:txbxContent>
                  <w:p w14:paraId="022B8600">
                    <w:pPr>
                      <w:ind w:firstLine="48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EF27">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133</w:t>
    </w:r>
    <w:r>
      <w:fldChar w:fldCharType="end"/>
    </w:r>
  </w:p>
  <w:p w14:paraId="522472A6">
    <w:pPr>
      <w:pStyle w:val="3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76981">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132</w:t>
    </w:r>
    <w:r>
      <w:fldChar w:fldCharType="end"/>
    </w:r>
  </w:p>
  <w:p w14:paraId="21D72BFE">
    <w:pPr>
      <w:pStyle w:val="3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A95ED">
    <w:pPr>
      <w:pStyle w:val="31"/>
      <w:ind w:firstLine="360"/>
      <w:jc w:val="center"/>
    </w:pPr>
    <w:r>
      <w:fldChar w:fldCharType="begin"/>
    </w:r>
    <w:r>
      <w:instrText xml:space="preserve"> PAGE   \* MERGEFORMAT </w:instrText>
    </w:r>
    <w:r>
      <w:fldChar w:fldCharType="separate"/>
    </w:r>
    <w:r>
      <w:rPr>
        <w:lang w:val="zh-CN"/>
      </w:rPr>
      <w:t>1</w:t>
    </w:r>
    <w:r>
      <w:rPr>
        <w:lang w:val="zh-CN"/>
      </w:rPr>
      <w:fldChar w:fldCharType="end"/>
    </w:r>
  </w:p>
  <w:p w14:paraId="5A5687C7">
    <w:pPr>
      <w:pStyle w:val="3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D0582">
    <w:pPr>
      <w:pStyle w:val="31"/>
      <w:ind w:firstLine="360"/>
      <w:jc w:val="center"/>
    </w:pPr>
    <w:r>
      <w:fldChar w:fldCharType="begin"/>
    </w:r>
    <w:r>
      <w:instrText xml:space="preserve"> PAGE   \* MERGEFORMAT </w:instrText>
    </w:r>
    <w:r>
      <w:fldChar w:fldCharType="separate"/>
    </w:r>
    <w:r>
      <w:rPr>
        <w:lang w:val="zh-CN"/>
      </w:rPr>
      <w:t>147</w:t>
    </w:r>
    <w:r>
      <w:rPr>
        <w:lang w:val="zh-CN"/>
      </w:rPr>
      <w:fldChar w:fldCharType="end"/>
    </w:r>
  </w:p>
  <w:p w14:paraId="45591009">
    <w:pPr>
      <w:pStyle w:val="31"/>
      <w:ind w:firstLine="360"/>
    </w:pPr>
  </w:p>
  <w:p w14:paraId="04C911E0">
    <w:pPr>
      <w:ind w:firstLine="480"/>
    </w:pPr>
  </w:p>
  <w:p w14:paraId="30BF615E">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FFE9">
    <w:pPr>
      <w:pStyle w:val="31"/>
      <w:ind w:firstLine="360"/>
      <w:jc w:val="center"/>
    </w:pPr>
    <w:r>
      <w:fldChar w:fldCharType="begin"/>
    </w:r>
    <w:r>
      <w:instrText xml:space="preserve"> PAGE   \* MERGEFORMAT </w:instrText>
    </w:r>
    <w:r>
      <w:fldChar w:fldCharType="separate"/>
    </w:r>
    <w:r>
      <w:rPr>
        <w:lang w:val="zh-CN"/>
      </w:rPr>
      <w:t>146</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5E27E">
    <w:pPr>
      <w:pStyle w:val="3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122DA">
    <w:pPr>
      <w:pStyle w:val="32"/>
      <w:pBdr>
        <w:bottom w:val="none" w:color="auto" w:sz="0" w:space="0"/>
      </w:pBdr>
      <w:ind w:firstLine="36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898515" cy="4747260"/>
          <wp:effectExtent l="0" t="0" r="6985" b="15240"/>
          <wp:wrapNone/>
          <wp:docPr id="5" name="WordPictureWatermark1814044"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814044"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E52F9">
    <w:pPr>
      <w:ind w:left="480" w:firstLine="0" w:firstLineChars="0"/>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898515" cy="4747260"/>
          <wp:effectExtent l="0" t="0" r="6985" b="15240"/>
          <wp:wrapNone/>
          <wp:docPr id="2" name="WordPictureWatermark1814043"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814043"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7CA2D">
    <w:pPr>
      <w:ind w:left="480" w:firstLine="0" w:firstLineChars="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898515" cy="4747260"/>
          <wp:effectExtent l="0" t="0" r="6985" b="15240"/>
          <wp:wrapNone/>
          <wp:docPr id="1" name="WordPictureWatermark1814042"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814042"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47BE7">
    <w:pPr>
      <w:pStyle w:val="32"/>
      <w:pBdr>
        <w:bottom w:val="none" w:color="auto" w:sz="0" w:space="0"/>
      </w:pBdr>
      <w:ind w:firstLine="360"/>
    </w:pPr>
    <w: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898515" cy="4747260"/>
          <wp:effectExtent l="0" t="0" r="6985" b="15240"/>
          <wp:wrapNone/>
          <wp:docPr id="8" name="WordPictureWatermark1814047"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1814047"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E9339">
    <w:pPr>
      <w:pStyle w:val="32"/>
      <w:pBdr>
        <w:bottom w:val="none" w:color="auto" w:sz="0" w:space="0"/>
      </w:pBdr>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898515" cy="4747260"/>
          <wp:effectExtent l="0" t="0" r="6985" b="15240"/>
          <wp:wrapNone/>
          <wp:docPr id="7" name="WordPictureWatermark1814046"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814046"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E1E3C">
    <w:pPr>
      <w:pStyle w:val="32"/>
      <w:pBdr>
        <w:bottom w:val="none" w:color="auto" w:sz="0" w:space="0"/>
      </w:pBdr>
      <w:ind w:firstLine="360"/>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898515" cy="4747260"/>
          <wp:effectExtent l="0" t="0" r="6985" b="15240"/>
          <wp:wrapNone/>
          <wp:docPr id="6" name="WordPictureWatermark1814045"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1814045"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7C62E">
    <w:pPr>
      <w:ind w:left="480" w:firstLine="0" w:firstLineChars="0"/>
    </w:pPr>
    <w: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898515" cy="4747260"/>
          <wp:effectExtent l="0" t="0" r="6985" b="15240"/>
          <wp:wrapNone/>
          <wp:docPr id="16" name="WordPictureWatermark1814050"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1814050"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A3669">
    <w:pPr>
      <w:ind w:left="480" w:firstLine="0" w:firstLineChars="0"/>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898515" cy="4747260"/>
          <wp:effectExtent l="0" t="0" r="6985" b="15240"/>
          <wp:wrapNone/>
          <wp:docPr id="15" name="WordPictureWatermark1814049"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1814049"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E317">
    <w:pPr>
      <w:pStyle w:val="32"/>
      <w:ind w:firstLine="360"/>
    </w:pP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898515" cy="4747260"/>
          <wp:effectExtent l="0" t="0" r="6985" b="15240"/>
          <wp:wrapNone/>
          <wp:docPr id="9" name="WordPictureWatermark1814048"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1814048"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F3CDA6"/>
    <w:multiLevelType w:val="singleLevel"/>
    <w:tmpl w:val="DAF3CDA6"/>
    <w:lvl w:ilvl="0" w:tentative="0">
      <w:start w:val="2"/>
      <w:numFmt w:val="decimal"/>
      <w:suff w:val="nothing"/>
      <w:lvlText w:val="（%1）"/>
      <w:lvlJc w:val="left"/>
    </w:lvl>
  </w:abstractNum>
  <w:abstractNum w:abstractNumId="1">
    <w:nsid w:val="05DA267C"/>
    <w:multiLevelType w:val="multilevel"/>
    <w:tmpl w:val="05DA267C"/>
    <w:lvl w:ilvl="0" w:tentative="0">
      <w:start w:val="1"/>
      <w:numFmt w:val="japaneseCounting"/>
      <w:lvlText w:val="第%1章"/>
      <w:lvlJc w:val="left"/>
      <w:pPr>
        <w:tabs>
          <w:tab w:val="left" w:pos="10011"/>
        </w:tabs>
        <w:ind w:left="10011" w:hanging="1080"/>
      </w:pPr>
      <w:rPr>
        <w:rFonts w:hint="default"/>
      </w:rPr>
    </w:lvl>
    <w:lvl w:ilvl="1" w:tentative="0">
      <w:start w:val="1"/>
      <w:numFmt w:val="lowerLetter"/>
      <w:lvlText w:val="%2)"/>
      <w:lvlJc w:val="left"/>
      <w:pPr>
        <w:tabs>
          <w:tab w:val="left" w:pos="9771"/>
        </w:tabs>
        <w:ind w:left="9771" w:hanging="420"/>
      </w:pPr>
    </w:lvl>
    <w:lvl w:ilvl="2" w:tentative="0">
      <w:start w:val="1"/>
      <w:numFmt w:val="lowerRoman"/>
      <w:lvlText w:val="%3."/>
      <w:lvlJc w:val="right"/>
      <w:pPr>
        <w:tabs>
          <w:tab w:val="left" w:pos="10191"/>
        </w:tabs>
        <w:ind w:left="10191" w:hanging="420"/>
      </w:pPr>
    </w:lvl>
    <w:lvl w:ilvl="3" w:tentative="0">
      <w:start w:val="1"/>
      <w:numFmt w:val="decimal"/>
      <w:lvlText w:val="%4."/>
      <w:lvlJc w:val="left"/>
      <w:pPr>
        <w:tabs>
          <w:tab w:val="left" w:pos="10611"/>
        </w:tabs>
        <w:ind w:left="10611" w:hanging="420"/>
      </w:pPr>
    </w:lvl>
    <w:lvl w:ilvl="4" w:tentative="0">
      <w:start w:val="1"/>
      <w:numFmt w:val="lowerLetter"/>
      <w:lvlText w:val="%5)"/>
      <w:lvlJc w:val="left"/>
      <w:pPr>
        <w:tabs>
          <w:tab w:val="left" w:pos="11031"/>
        </w:tabs>
        <w:ind w:left="11031" w:hanging="420"/>
      </w:pPr>
    </w:lvl>
    <w:lvl w:ilvl="5" w:tentative="0">
      <w:start w:val="1"/>
      <w:numFmt w:val="lowerRoman"/>
      <w:lvlText w:val="%6."/>
      <w:lvlJc w:val="right"/>
      <w:pPr>
        <w:tabs>
          <w:tab w:val="left" w:pos="11451"/>
        </w:tabs>
        <w:ind w:left="11451" w:hanging="420"/>
      </w:pPr>
    </w:lvl>
    <w:lvl w:ilvl="6" w:tentative="0">
      <w:start w:val="1"/>
      <w:numFmt w:val="decimal"/>
      <w:lvlText w:val="%7."/>
      <w:lvlJc w:val="left"/>
      <w:pPr>
        <w:tabs>
          <w:tab w:val="left" w:pos="11871"/>
        </w:tabs>
        <w:ind w:left="11871" w:hanging="420"/>
      </w:pPr>
    </w:lvl>
    <w:lvl w:ilvl="7" w:tentative="0">
      <w:start w:val="1"/>
      <w:numFmt w:val="lowerLetter"/>
      <w:lvlText w:val="%8)"/>
      <w:lvlJc w:val="left"/>
      <w:pPr>
        <w:tabs>
          <w:tab w:val="left" w:pos="12291"/>
        </w:tabs>
        <w:ind w:left="12291" w:hanging="420"/>
      </w:pPr>
    </w:lvl>
    <w:lvl w:ilvl="8" w:tentative="0">
      <w:start w:val="1"/>
      <w:numFmt w:val="lowerRoman"/>
      <w:lvlText w:val="%9."/>
      <w:lvlJc w:val="right"/>
      <w:pPr>
        <w:tabs>
          <w:tab w:val="left" w:pos="12711"/>
        </w:tabs>
        <w:ind w:left="12711" w:hanging="420"/>
      </w:pPr>
    </w:lvl>
  </w:abstractNum>
  <w:abstractNum w:abstractNumId="2">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9"/>
      <w:suff w:val="space"/>
      <w:lvlText w:val="%1.%2.%3.%4.%5.%6.%7"/>
      <w:lvlJc w:val="left"/>
      <w:pPr>
        <w:ind w:left="1296" w:hanging="1296"/>
      </w:pPr>
      <w:rPr>
        <w:rFonts w:hint="eastAsia"/>
      </w:rPr>
    </w:lvl>
    <w:lvl w:ilvl="7" w:tentative="0">
      <w:start w:val="1"/>
      <w:numFmt w:val="decimal"/>
      <w:pStyle w:val="11"/>
      <w:suff w:val="space"/>
      <w:lvlText w:val="%1.%2.%3.%4.%5.%6.%7.%8"/>
      <w:lvlJc w:val="left"/>
      <w:pPr>
        <w:ind w:left="1440" w:hanging="1440"/>
      </w:pPr>
      <w:rPr>
        <w:rFonts w:hint="eastAsia"/>
      </w:rPr>
    </w:lvl>
    <w:lvl w:ilvl="8" w:tentative="0">
      <w:start w:val="1"/>
      <w:numFmt w:val="decimal"/>
      <w:pStyle w:val="12"/>
      <w:suff w:val="space"/>
      <w:lvlText w:val="%1.%2.%3.%4.%5.%6.%7.%8.%9"/>
      <w:lvlJc w:val="left"/>
      <w:pPr>
        <w:ind w:left="1584" w:hanging="1584"/>
      </w:pPr>
      <w:rPr>
        <w:rFonts w:hint="eastAsia"/>
      </w:rPr>
    </w:lvl>
  </w:abstractNum>
  <w:abstractNum w:abstractNumId="3">
    <w:nsid w:val="47F5586D"/>
    <w:multiLevelType w:val="multilevel"/>
    <w:tmpl w:val="47F5586D"/>
    <w:lvl w:ilvl="0" w:tentative="0">
      <w:start w:val="2"/>
      <w:numFmt w:val="japaneseCounting"/>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8E2D185"/>
    <w:multiLevelType w:val="singleLevel"/>
    <w:tmpl w:val="78E2D185"/>
    <w:lvl w:ilvl="0" w:tentative="0">
      <w:start w:val="7"/>
      <w:numFmt w:val="chineseCounting"/>
      <w:suff w:val="nothing"/>
      <w:lvlText w:val="%1、"/>
      <w:lvlJc w:val="left"/>
      <w:rPr>
        <w:rFonts w:hint="eastAsia"/>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saveSubsetFonts/>
  <w:bordersDoNotSurroundHeader w:val="0"/>
  <w:bordersDoNotSurroundFooter w:val="0"/>
  <w:hideSpellingErrors/>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MjllNjFhMTFhNTc4NzZmMDM0NjBhMDQ1N2I5NmMifQ=="/>
  </w:docVars>
  <w:rsids>
    <w:rsidRoot w:val="00D0178C"/>
    <w:rsid w:val="00001137"/>
    <w:rsid w:val="000017A7"/>
    <w:rsid w:val="000019AD"/>
    <w:rsid w:val="00001B40"/>
    <w:rsid w:val="00001F7D"/>
    <w:rsid w:val="00003297"/>
    <w:rsid w:val="000036D1"/>
    <w:rsid w:val="0000457E"/>
    <w:rsid w:val="0000516C"/>
    <w:rsid w:val="000054B0"/>
    <w:rsid w:val="00006185"/>
    <w:rsid w:val="00006652"/>
    <w:rsid w:val="00007E20"/>
    <w:rsid w:val="0001030D"/>
    <w:rsid w:val="00010391"/>
    <w:rsid w:val="0001057F"/>
    <w:rsid w:val="00010909"/>
    <w:rsid w:val="00010E4E"/>
    <w:rsid w:val="0001159F"/>
    <w:rsid w:val="00012D7D"/>
    <w:rsid w:val="00012D90"/>
    <w:rsid w:val="00013601"/>
    <w:rsid w:val="00013934"/>
    <w:rsid w:val="00013B96"/>
    <w:rsid w:val="00013D23"/>
    <w:rsid w:val="00013D8A"/>
    <w:rsid w:val="00015D9B"/>
    <w:rsid w:val="00016A50"/>
    <w:rsid w:val="000228F2"/>
    <w:rsid w:val="000259AD"/>
    <w:rsid w:val="00026012"/>
    <w:rsid w:val="000279A4"/>
    <w:rsid w:val="000301BC"/>
    <w:rsid w:val="000310B5"/>
    <w:rsid w:val="00031125"/>
    <w:rsid w:val="0003189C"/>
    <w:rsid w:val="000318A6"/>
    <w:rsid w:val="00032059"/>
    <w:rsid w:val="00032F56"/>
    <w:rsid w:val="000339EF"/>
    <w:rsid w:val="00033E25"/>
    <w:rsid w:val="000341DF"/>
    <w:rsid w:val="000342BC"/>
    <w:rsid w:val="00034AC0"/>
    <w:rsid w:val="00035895"/>
    <w:rsid w:val="00035C45"/>
    <w:rsid w:val="000369A0"/>
    <w:rsid w:val="000402E9"/>
    <w:rsid w:val="00041296"/>
    <w:rsid w:val="00041EFB"/>
    <w:rsid w:val="000421B4"/>
    <w:rsid w:val="00043950"/>
    <w:rsid w:val="00043953"/>
    <w:rsid w:val="000448AE"/>
    <w:rsid w:val="00044C04"/>
    <w:rsid w:val="00045818"/>
    <w:rsid w:val="00045E4C"/>
    <w:rsid w:val="00046A8F"/>
    <w:rsid w:val="000474C6"/>
    <w:rsid w:val="000476EB"/>
    <w:rsid w:val="000506FA"/>
    <w:rsid w:val="000511C3"/>
    <w:rsid w:val="00052368"/>
    <w:rsid w:val="0005263D"/>
    <w:rsid w:val="00052BD2"/>
    <w:rsid w:val="0005449D"/>
    <w:rsid w:val="00055B08"/>
    <w:rsid w:val="000561CD"/>
    <w:rsid w:val="00057AAB"/>
    <w:rsid w:val="000609A0"/>
    <w:rsid w:val="000630B8"/>
    <w:rsid w:val="000634F2"/>
    <w:rsid w:val="00063B0D"/>
    <w:rsid w:val="000647BB"/>
    <w:rsid w:val="00065104"/>
    <w:rsid w:val="0006637A"/>
    <w:rsid w:val="0006660A"/>
    <w:rsid w:val="00066D53"/>
    <w:rsid w:val="00067A57"/>
    <w:rsid w:val="00067AFE"/>
    <w:rsid w:val="00071F3C"/>
    <w:rsid w:val="00073521"/>
    <w:rsid w:val="00073E6A"/>
    <w:rsid w:val="0007440B"/>
    <w:rsid w:val="0007550D"/>
    <w:rsid w:val="000755AA"/>
    <w:rsid w:val="00075C43"/>
    <w:rsid w:val="00076B8D"/>
    <w:rsid w:val="00076CBD"/>
    <w:rsid w:val="00080903"/>
    <w:rsid w:val="0008143C"/>
    <w:rsid w:val="000815A3"/>
    <w:rsid w:val="00082672"/>
    <w:rsid w:val="00084AA8"/>
    <w:rsid w:val="00084FE8"/>
    <w:rsid w:val="0008698B"/>
    <w:rsid w:val="0009012B"/>
    <w:rsid w:val="00090932"/>
    <w:rsid w:val="00091772"/>
    <w:rsid w:val="00091861"/>
    <w:rsid w:val="000924D5"/>
    <w:rsid w:val="000929D5"/>
    <w:rsid w:val="000939AD"/>
    <w:rsid w:val="00094022"/>
    <w:rsid w:val="000944BE"/>
    <w:rsid w:val="0009491C"/>
    <w:rsid w:val="00094A12"/>
    <w:rsid w:val="00096E39"/>
    <w:rsid w:val="00096EB3"/>
    <w:rsid w:val="000970D0"/>
    <w:rsid w:val="000973CE"/>
    <w:rsid w:val="00097707"/>
    <w:rsid w:val="00097E2E"/>
    <w:rsid w:val="000A00E4"/>
    <w:rsid w:val="000A159D"/>
    <w:rsid w:val="000A2427"/>
    <w:rsid w:val="000A3586"/>
    <w:rsid w:val="000A42A5"/>
    <w:rsid w:val="000A42B1"/>
    <w:rsid w:val="000A50BB"/>
    <w:rsid w:val="000A79FC"/>
    <w:rsid w:val="000B1707"/>
    <w:rsid w:val="000B19AD"/>
    <w:rsid w:val="000B21BB"/>
    <w:rsid w:val="000B2D2A"/>
    <w:rsid w:val="000B2E5C"/>
    <w:rsid w:val="000B351D"/>
    <w:rsid w:val="000B3F25"/>
    <w:rsid w:val="000B4308"/>
    <w:rsid w:val="000B4B94"/>
    <w:rsid w:val="000B60E8"/>
    <w:rsid w:val="000B6383"/>
    <w:rsid w:val="000B6491"/>
    <w:rsid w:val="000B6DC2"/>
    <w:rsid w:val="000B6F97"/>
    <w:rsid w:val="000B7479"/>
    <w:rsid w:val="000C016B"/>
    <w:rsid w:val="000C13B3"/>
    <w:rsid w:val="000C1A53"/>
    <w:rsid w:val="000C1A5B"/>
    <w:rsid w:val="000C1C38"/>
    <w:rsid w:val="000C24D0"/>
    <w:rsid w:val="000C2EDB"/>
    <w:rsid w:val="000C3F00"/>
    <w:rsid w:val="000C3FB2"/>
    <w:rsid w:val="000C565F"/>
    <w:rsid w:val="000C6DB8"/>
    <w:rsid w:val="000C7596"/>
    <w:rsid w:val="000D00F7"/>
    <w:rsid w:val="000D013E"/>
    <w:rsid w:val="000D0791"/>
    <w:rsid w:val="000D0F22"/>
    <w:rsid w:val="000D193C"/>
    <w:rsid w:val="000D2533"/>
    <w:rsid w:val="000D6177"/>
    <w:rsid w:val="000D632F"/>
    <w:rsid w:val="000D68C8"/>
    <w:rsid w:val="000D6EF4"/>
    <w:rsid w:val="000E08CE"/>
    <w:rsid w:val="000E15D6"/>
    <w:rsid w:val="000E161F"/>
    <w:rsid w:val="000E2F73"/>
    <w:rsid w:val="000E4A34"/>
    <w:rsid w:val="000E5137"/>
    <w:rsid w:val="000E5348"/>
    <w:rsid w:val="000E5487"/>
    <w:rsid w:val="000E5E42"/>
    <w:rsid w:val="000E6020"/>
    <w:rsid w:val="000E6135"/>
    <w:rsid w:val="000E679F"/>
    <w:rsid w:val="000E6CE0"/>
    <w:rsid w:val="000E793B"/>
    <w:rsid w:val="000F0056"/>
    <w:rsid w:val="000F0064"/>
    <w:rsid w:val="000F0BE9"/>
    <w:rsid w:val="000F14EA"/>
    <w:rsid w:val="000F28ED"/>
    <w:rsid w:val="000F2D24"/>
    <w:rsid w:val="000F3222"/>
    <w:rsid w:val="000F33B0"/>
    <w:rsid w:val="000F40DD"/>
    <w:rsid w:val="000F4FC2"/>
    <w:rsid w:val="000F6DB1"/>
    <w:rsid w:val="000F7051"/>
    <w:rsid w:val="00100537"/>
    <w:rsid w:val="00100E73"/>
    <w:rsid w:val="0010129F"/>
    <w:rsid w:val="00101BD5"/>
    <w:rsid w:val="00102975"/>
    <w:rsid w:val="0010306B"/>
    <w:rsid w:val="00103636"/>
    <w:rsid w:val="00103A01"/>
    <w:rsid w:val="00103B2F"/>
    <w:rsid w:val="001044B6"/>
    <w:rsid w:val="00105207"/>
    <w:rsid w:val="0010562A"/>
    <w:rsid w:val="00105D9F"/>
    <w:rsid w:val="00106308"/>
    <w:rsid w:val="00106520"/>
    <w:rsid w:val="00106880"/>
    <w:rsid w:val="0010744C"/>
    <w:rsid w:val="001102DC"/>
    <w:rsid w:val="0011092F"/>
    <w:rsid w:val="00110984"/>
    <w:rsid w:val="00111288"/>
    <w:rsid w:val="00112621"/>
    <w:rsid w:val="0011355A"/>
    <w:rsid w:val="001143A2"/>
    <w:rsid w:val="00117CE5"/>
    <w:rsid w:val="001201B1"/>
    <w:rsid w:val="00120A8E"/>
    <w:rsid w:val="00120B3F"/>
    <w:rsid w:val="00120C20"/>
    <w:rsid w:val="00120E48"/>
    <w:rsid w:val="001218A7"/>
    <w:rsid w:val="0012216C"/>
    <w:rsid w:val="001234B2"/>
    <w:rsid w:val="00124EC3"/>
    <w:rsid w:val="00125E2E"/>
    <w:rsid w:val="001262F1"/>
    <w:rsid w:val="00126CCD"/>
    <w:rsid w:val="00130A5D"/>
    <w:rsid w:val="00131A89"/>
    <w:rsid w:val="00132830"/>
    <w:rsid w:val="001347FE"/>
    <w:rsid w:val="001361E5"/>
    <w:rsid w:val="00136202"/>
    <w:rsid w:val="00136309"/>
    <w:rsid w:val="0013724D"/>
    <w:rsid w:val="001374FE"/>
    <w:rsid w:val="001400A2"/>
    <w:rsid w:val="00141993"/>
    <w:rsid w:val="00141ED3"/>
    <w:rsid w:val="001420A2"/>
    <w:rsid w:val="00142261"/>
    <w:rsid w:val="0014230B"/>
    <w:rsid w:val="00142F62"/>
    <w:rsid w:val="001434AE"/>
    <w:rsid w:val="0014368A"/>
    <w:rsid w:val="00143845"/>
    <w:rsid w:val="0014399B"/>
    <w:rsid w:val="00143E61"/>
    <w:rsid w:val="00144D3E"/>
    <w:rsid w:val="00146E74"/>
    <w:rsid w:val="0014736A"/>
    <w:rsid w:val="00147C83"/>
    <w:rsid w:val="00150C0A"/>
    <w:rsid w:val="00150F7E"/>
    <w:rsid w:val="001519CD"/>
    <w:rsid w:val="00152688"/>
    <w:rsid w:val="001536B8"/>
    <w:rsid w:val="001538A8"/>
    <w:rsid w:val="0015468E"/>
    <w:rsid w:val="0015508A"/>
    <w:rsid w:val="0015514B"/>
    <w:rsid w:val="0015559E"/>
    <w:rsid w:val="00156E0D"/>
    <w:rsid w:val="00157297"/>
    <w:rsid w:val="001574E6"/>
    <w:rsid w:val="00157A13"/>
    <w:rsid w:val="00161369"/>
    <w:rsid w:val="00162016"/>
    <w:rsid w:val="001633EE"/>
    <w:rsid w:val="001645DB"/>
    <w:rsid w:val="00164F27"/>
    <w:rsid w:val="00165553"/>
    <w:rsid w:val="0016564A"/>
    <w:rsid w:val="00165A12"/>
    <w:rsid w:val="00165B24"/>
    <w:rsid w:val="00166764"/>
    <w:rsid w:val="001670DD"/>
    <w:rsid w:val="00167948"/>
    <w:rsid w:val="00167C0F"/>
    <w:rsid w:val="001733A8"/>
    <w:rsid w:val="001736C6"/>
    <w:rsid w:val="00175B7F"/>
    <w:rsid w:val="00176238"/>
    <w:rsid w:val="001762EF"/>
    <w:rsid w:val="00176873"/>
    <w:rsid w:val="00176FAD"/>
    <w:rsid w:val="00177DF5"/>
    <w:rsid w:val="00177E31"/>
    <w:rsid w:val="001807D1"/>
    <w:rsid w:val="00180E07"/>
    <w:rsid w:val="00181C48"/>
    <w:rsid w:val="001828CD"/>
    <w:rsid w:val="001834AD"/>
    <w:rsid w:val="00183FBD"/>
    <w:rsid w:val="0018406F"/>
    <w:rsid w:val="00184341"/>
    <w:rsid w:val="00186269"/>
    <w:rsid w:val="0018684B"/>
    <w:rsid w:val="00186883"/>
    <w:rsid w:val="00186F64"/>
    <w:rsid w:val="0018738D"/>
    <w:rsid w:val="00187CBF"/>
    <w:rsid w:val="001903F9"/>
    <w:rsid w:val="00191F45"/>
    <w:rsid w:val="00192D60"/>
    <w:rsid w:val="0019309E"/>
    <w:rsid w:val="00195763"/>
    <w:rsid w:val="00195904"/>
    <w:rsid w:val="00195BDE"/>
    <w:rsid w:val="00195D91"/>
    <w:rsid w:val="00196373"/>
    <w:rsid w:val="001964DE"/>
    <w:rsid w:val="001A0594"/>
    <w:rsid w:val="001A0673"/>
    <w:rsid w:val="001A0ADC"/>
    <w:rsid w:val="001A0C89"/>
    <w:rsid w:val="001A1C75"/>
    <w:rsid w:val="001A205F"/>
    <w:rsid w:val="001A2C88"/>
    <w:rsid w:val="001A2E1E"/>
    <w:rsid w:val="001A3A17"/>
    <w:rsid w:val="001A5701"/>
    <w:rsid w:val="001A5922"/>
    <w:rsid w:val="001A6637"/>
    <w:rsid w:val="001A7075"/>
    <w:rsid w:val="001A7268"/>
    <w:rsid w:val="001A73E5"/>
    <w:rsid w:val="001A7D0D"/>
    <w:rsid w:val="001B01F6"/>
    <w:rsid w:val="001B0FA2"/>
    <w:rsid w:val="001B148B"/>
    <w:rsid w:val="001B1F96"/>
    <w:rsid w:val="001B2296"/>
    <w:rsid w:val="001B26AA"/>
    <w:rsid w:val="001B3894"/>
    <w:rsid w:val="001B5057"/>
    <w:rsid w:val="001B5500"/>
    <w:rsid w:val="001B5587"/>
    <w:rsid w:val="001B61EC"/>
    <w:rsid w:val="001B6998"/>
    <w:rsid w:val="001B750B"/>
    <w:rsid w:val="001B7CDC"/>
    <w:rsid w:val="001C0251"/>
    <w:rsid w:val="001C1E01"/>
    <w:rsid w:val="001C2641"/>
    <w:rsid w:val="001C2BEE"/>
    <w:rsid w:val="001C6390"/>
    <w:rsid w:val="001C74D6"/>
    <w:rsid w:val="001C77EE"/>
    <w:rsid w:val="001D054D"/>
    <w:rsid w:val="001D1207"/>
    <w:rsid w:val="001D33FE"/>
    <w:rsid w:val="001D57A1"/>
    <w:rsid w:val="001D6B33"/>
    <w:rsid w:val="001D6FEB"/>
    <w:rsid w:val="001E015F"/>
    <w:rsid w:val="001E0902"/>
    <w:rsid w:val="001E1776"/>
    <w:rsid w:val="001E32A9"/>
    <w:rsid w:val="001E32EA"/>
    <w:rsid w:val="001E3EC3"/>
    <w:rsid w:val="001E537F"/>
    <w:rsid w:val="001E6C39"/>
    <w:rsid w:val="001E6D30"/>
    <w:rsid w:val="001E6E3C"/>
    <w:rsid w:val="001E729B"/>
    <w:rsid w:val="001F0B1F"/>
    <w:rsid w:val="001F1A82"/>
    <w:rsid w:val="001F1A8D"/>
    <w:rsid w:val="001F1FAF"/>
    <w:rsid w:val="001F1FD8"/>
    <w:rsid w:val="001F2108"/>
    <w:rsid w:val="001F3E44"/>
    <w:rsid w:val="001F40BC"/>
    <w:rsid w:val="001F41D6"/>
    <w:rsid w:val="001F5962"/>
    <w:rsid w:val="001F7235"/>
    <w:rsid w:val="001F7F55"/>
    <w:rsid w:val="00200415"/>
    <w:rsid w:val="00200B3B"/>
    <w:rsid w:val="002017FC"/>
    <w:rsid w:val="00202096"/>
    <w:rsid w:val="0020325C"/>
    <w:rsid w:val="00203497"/>
    <w:rsid w:val="00204169"/>
    <w:rsid w:val="002046B8"/>
    <w:rsid w:val="00204961"/>
    <w:rsid w:val="002051FB"/>
    <w:rsid w:val="002056E5"/>
    <w:rsid w:val="00206B6C"/>
    <w:rsid w:val="00206EDE"/>
    <w:rsid w:val="0020731A"/>
    <w:rsid w:val="00211535"/>
    <w:rsid w:val="002123FA"/>
    <w:rsid w:val="0021291F"/>
    <w:rsid w:val="00212B28"/>
    <w:rsid w:val="00213119"/>
    <w:rsid w:val="002135D5"/>
    <w:rsid w:val="0021448D"/>
    <w:rsid w:val="00214D7F"/>
    <w:rsid w:val="00215766"/>
    <w:rsid w:val="0022192D"/>
    <w:rsid w:val="002220E0"/>
    <w:rsid w:val="0022579E"/>
    <w:rsid w:val="0022587C"/>
    <w:rsid w:val="00226918"/>
    <w:rsid w:val="0022729B"/>
    <w:rsid w:val="00227326"/>
    <w:rsid w:val="00227532"/>
    <w:rsid w:val="00227C23"/>
    <w:rsid w:val="002300C9"/>
    <w:rsid w:val="002303EE"/>
    <w:rsid w:val="00230861"/>
    <w:rsid w:val="00231AF9"/>
    <w:rsid w:val="00232FF3"/>
    <w:rsid w:val="002333AE"/>
    <w:rsid w:val="00234189"/>
    <w:rsid w:val="002342D0"/>
    <w:rsid w:val="0023471F"/>
    <w:rsid w:val="00235154"/>
    <w:rsid w:val="00236465"/>
    <w:rsid w:val="0023681F"/>
    <w:rsid w:val="002400B6"/>
    <w:rsid w:val="002432BC"/>
    <w:rsid w:val="00243826"/>
    <w:rsid w:val="00243BE7"/>
    <w:rsid w:val="00243EB3"/>
    <w:rsid w:val="00244792"/>
    <w:rsid w:val="00244AD2"/>
    <w:rsid w:val="00244E16"/>
    <w:rsid w:val="00244FED"/>
    <w:rsid w:val="00245173"/>
    <w:rsid w:val="00245EC5"/>
    <w:rsid w:val="00245FA9"/>
    <w:rsid w:val="002461AE"/>
    <w:rsid w:val="00246A51"/>
    <w:rsid w:val="00250918"/>
    <w:rsid w:val="00251D82"/>
    <w:rsid w:val="0025353D"/>
    <w:rsid w:val="00253584"/>
    <w:rsid w:val="00253B27"/>
    <w:rsid w:val="0025449F"/>
    <w:rsid w:val="00254B9B"/>
    <w:rsid w:val="002564DC"/>
    <w:rsid w:val="00260C7F"/>
    <w:rsid w:val="00260F84"/>
    <w:rsid w:val="002613C2"/>
    <w:rsid w:val="00262544"/>
    <w:rsid w:val="00263545"/>
    <w:rsid w:val="002643A0"/>
    <w:rsid w:val="002644A7"/>
    <w:rsid w:val="00264A2E"/>
    <w:rsid w:val="00264A4E"/>
    <w:rsid w:val="00265207"/>
    <w:rsid w:val="00265707"/>
    <w:rsid w:val="00265D1D"/>
    <w:rsid w:val="00267288"/>
    <w:rsid w:val="002674DA"/>
    <w:rsid w:val="002675D4"/>
    <w:rsid w:val="00267E36"/>
    <w:rsid w:val="0027070E"/>
    <w:rsid w:val="00270D7D"/>
    <w:rsid w:val="00273A3C"/>
    <w:rsid w:val="00273AED"/>
    <w:rsid w:val="00274CCD"/>
    <w:rsid w:val="00275554"/>
    <w:rsid w:val="00276660"/>
    <w:rsid w:val="0027701C"/>
    <w:rsid w:val="0028021E"/>
    <w:rsid w:val="0028067B"/>
    <w:rsid w:val="00280F11"/>
    <w:rsid w:val="002822AE"/>
    <w:rsid w:val="0028245B"/>
    <w:rsid w:val="00282858"/>
    <w:rsid w:val="00282A44"/>
    <w:rsid w:val="00282DDE"/>
    <w:rsid w:val="0028473B"/>
    <w:rsid w:val="002848F9"/>
    <w:rsid w:val="00285085"/>
    <w:rsid w:val="002858F7"/>
    <w:rsid w:val="00285FB3"/>
    <w:rsid w:val="00286500"/>
    <w:rsid w:val="00287DF3"/>
    <w:rsid w:val="00290629"/>
    <w:rsid w:val="002909BD"/>
    <w:rsid w:val="002909EA"/>
    <w:rsid w:val="00292970"/>
    <w:rsid w:val="00293036"/>
    <w:rsid w:val="00294B05"/>
    <w:rsid w:val="00294DFF"/>
    <w:rsid w:val="00295052"/>
    <w:rsid w:val="00296BD6"/>
    <w:rsid w:val="002A0A7E"/>
    <w:rsid w:val="002A0E7A"/>
    <w:rsid w:val="002A2E17"/>
    <w:rsid w:val="002A3728"/>
    <w:rsid w:val="002A3974"/>
    <w:rsid w:val="002A7239"/>
    <w:rsid w:val="002B144A"/>
    <w:rsid w:val="002B2085"/>
    <w:rsid w:val="002B41F0"/>
    <w:rsid w:val="002B543B"/>
    <w:rsid w:val="002B57EC"/>
    <w:rsid w:val="002B6182"/>
    <w:rsid w:val="002B631B"/>
    <w:rsid w:val="002B797D"/>
    <w:rsid w:val="002B79E8"/>
    <w:rsid w:val="002B7E26"/>
    <w:rsid w:val="002C0BB0"/>
    <w:rsid w:val="002C22C5"/>
    <w:rsid w:val="002C3600"/>
    <w:rsid w:val="002C4336"/>
    <w:rsid w:val="002C5BAE"/>
    <w:rsid w:val="002C5FDD"/>
    <w:rsid w:val="002C676E"/>
    <w:rsid w:val="002C6802"/>
    <w:rsid w:val="002C6C26"/>
    <w:rsid w:val="002C6DEC"/>
    <w:rsid w:val="002D23ED"/>
    <w:rsid w:val="002D4680"/>
    <w:rsid w:val="002D6C27"/>
    <w:rsid w:val="002E0200"/>
    <w:rsid w:val="002E075F"/>
    <w:rsid w:val="002E0D44"/>
    <w:rsid w:val="002E0F2D"/>
    <w:rsid w:val="002E0F39"/>
    <w:rsid w:val="002E0F8E"/>
    <w:rsid w:val="002E136C"/>
    <w:rsid w:val="002E1756"/>
    <w:rsid w:val="002E33D2"/>
    <w:rsid w:val="002E3F68"/>
    <w:rsid w:val="002E42ED"/>
    <w:rsid w:val="002E456E"/>
    <w:rsid w:val="002E4674"/>
    <w:rsid w:val="002E4F2F"/>
    <w:rsid w:val="002E60DC"/>
    <w:rsid w:val="002E6272"/>
    <w:rsid w:val="002E6CB2"/>
    <w:rsid w:val="002E6DD9"/>
    <w:rsid w:val="002E7FE4"/>
    <w:rsid w:val="002F00A7"/>
    <w:rsid w:val="002F0EDF"/>
    <w:rsid w:val="002F1B42"/>
    <w:rsid w:val="002F24E1"/>
    <w:rsid w:val="002F278A"/>
    <w:rsid w:val="002F296A"/>
    <w:rsid w:val="002F3128"/>
    <w:rsid w:val="002F3F8E"/>
    <w:rsid w:val="002F4F23"/>
    <w:rsid w:val="002F71C3"/>
    <w:rsid w:val="002F74A9"/>
    <w:rsid w:val="002F7F4C"/>
    <w:rsid w:val="003002A6"/>
    <w:rsid w:val="00300860"/>
    <w:rsid w:val="00300A6B"/>
    <w:rsid w:val="00301A08"/>
    <w:rsid w:val="00301E10"/>
    <w:rsid w:val="00301FEC"/>
    <w:rsid w:val="003021BA"/>
    <w:rsid w:val="00303442"/>
    <w:rsid w:val="00304AEE"/>
    <w:rsid w:val="0030527A"/>
    <w:rsid w:val="00305539"/>
    <w:rsid w:val="00305934"/>
    <w:rsid w:val="00305D83"/>
    <w:rsid w:val="00306801"/>
    <w:rsid w:val="00310701"/>
    <w:rsid w:val="00310781"/>
    <w:rsid w:val="00310E66"/>
    <w:rsid w:val="00312642"/>
    <w:rsid w:val="00312D07"/>
    <w:rsid w:val="003133D2"/>
    <w:rsid w:val="00313BF6"/>
    <w:rsid w:val="003161B3"/>
    <w:rsid w:val="00316B98"/>
    <w:rsid w:val="00317BDA"/>
    <w:rsid w:val="00320A19"/>
    <w:rsid w:val="0032160A"/>
    <w:rsid w:val="003216C9"/>
    <w:rsid w:val="00322106"/>
    <w:rsid w:val="003223ED"/>
    <w:rsid w:val="00324C5E"/>
    <w:rsid w:val="00324DDF"/>
    <w:rsid w:val="00324EEA"/>
    <w:rsid w:val="00324EF6"/>
    <w:rsid w:val="00325591"/>
    <w:rsid w:val="003257D9"/>
    <w:rsid w:val="003264AE"/>
    <w:rsid w:val="0032693E"/>
    <w:rsid w:val="00326D83"/>
    <w:rsid w:val="00327C81"/>
    <w:rsid w:val="003308E6"/>
    <w:rsid w:val="00330C28"/>
    <w:rsid w:val="00331B3D"/>
    <w:rsid w:val="00331C2D"/>
    <w:rsid w:val="00331CF2"/>
    <w:rsid w:val="0033203B"/>
    <w:rsid w:val="00333052"/>
    <w:rsid w:val="003363F7"/>
    <w:rsid w:val="00336AB2"/>
    <w:rsid w:val="00336C56"/>
    <w:rsid w:val="00337661"/>
    <w:rsid w:val="00337A5B"/>
    <w:rsid w:val="00337B53"/>
    <w:rsid w:val="00340B53"/>
    <w:rsid w:val="003413B7"/>
    <w:rsid w:val="0034142E"/>
    <w:rsid w:val="00341A60"/>
    <w:rsid w:val="00342883"/>
    <w:rsid w:val="00342ACA"/>
    <w:rsid w:val="003434A3"/>
    <w:rsid w:val="0034396E"/>
    <w:rsid w:val="00344EFF"/>
    <w:rsid w:val="00345D59"/>
    <w:rsid w:val="003464E3"/>
    <w:rsid w:val="00346EF5"/>
    <w:rsid w:val="00347AD0"/>
    <w:rsid w:val="00350377"/>
    <w:rsid w:val="00350437"/>
    <w:rsid w:val="003513A8"/>
    <w:rsid w:val="00351740"/>
    <w:rsid w:val="00352439"/>
    <w:rsid w:val="003549B3"/>
    <w:rsid w:val="00354EEE"/>
    <w:rsid w:val="00355BCE"/>
    <w:rsid w:val="00357CBE"/>
    <w:rsid w:val="00357F8B"/>
    <w:rsid w:val="0036074B"/>
    <w:rsid w:val="00360D4A"/>
    <w:rsid w:val="003615EA"/>
    <w:rsid w:val="00361CEE"/>
    <w:rsid w:val="003631B6"/>
    <w:rsid w:val="003634A0"/>
    <w:rsid w:val="00363B39"/>
    <w:rsid w:val="00365FC4"/>
    <w:rsid w:val="003675C5"/>
    <w:rsid w:val="003715C7"/>
    <w:rsid w:val="003717C4"/>
    <w:rsid w:val="00373170"/>
    <w:rsid w:val="00373DDB"/>
    <w:rsid w:val="00373F95"/>
    <w:rsid w:val="00374E8F"/>
    <w:rsid w:val="00375E65"/>
    <w:rsid w:val="00376DA8"/>
    <w:rsid w:val="00377884"/>
    <w:rsid w:val="003779E8"/>
    <w:rsid w:val="00380D3B"/>
    <w:rsid w:val="003823F5"/>
    <w:rsid w:val="0038347D"/>
    <w:rsid w:val="00383BA0"/>
    <w:rsid w:val="0038404B"/>
    <w:rsid w:val="0038523E"/>
    <w:rsid w:val="0038587E"/>
    <w:rsid w:val="0038594B"/>
    <w:rsid w:val="00386020"/>
    <w:rsid w:val="00386067"/>
    <w:rsid w:val="00386698"/>
    <w:rsid w:val="00386A8F"/>
    <w:rsid w:val="003870AC"/>
    <w:rsid w:val="003877D8"/>
    <w:rsid w:val="00387EC4"/>
    <w:rsid w:val="00390EED"/>
    <w:rsid w:val="0039121E"/>
    <w:rsid w:val="00391401"/>
    <w:rsid w:val="0039268D"/>
    <w:rsid w:val="003929BC"/>
    <w:rsid w:val="00392B9A"/>
    <w:rsid w:val="00392C55"/>
    <w:rsid w:val="003936FD"/>
    <w:rsid w:val="003948D3"/>
    <w:rsid w:val="003A0880"/>
    <w:rsid w:val="003A0D0C"/>
    <w:rsid w:val="003A1852"/>
    <w:rsid w:val="003A20E7"/>
    <w:rsid w:val="003A221C"/>
    <w:rsid w:val="003A296F"/>
    <w:rsid w:val="003A2B52"/>
    <w:rsid w:val="003A2F1B"/>
    <w:rsid w:val="003A348C"/>
    <w:rsid w:val="003A39B1"/>
    <w:rsid w:val="003A551D"/>
    <w:rsid w:val="003A5EEF"/>
    <w:rsid w:val="003A6429"/>
    <w:rsid w:val="003A6DEE"/>
    <w:rsid w:val="003B0247"/>
    <w:rsid w:val="003B02D0"/>
    <w:rsid w:val="003B085D"/>
    <w:rsid w:val="003B2B65"/>
    <w:rsid w:val="003B3199"/>
    <w:rsid w:val="003B329E"/>
    <w:rsid w:val="003B44D0"/>
    <w:rsid w:val="003B515F"/>
    <w:rsid w:val="003B5A19"/>
    <w:rsid w:val="003B6EAB"/>
    <w:rsid w:val="003C067E"/>
    <w:rsid w:val="003C1E51"/>
    <w:rsid w:val="003C213A"/>
    <w:rsid w:val="003C4201"/>
    <w:rsid w:val="003C4E00"/>
    <w:rsid w:val="003C592F"/>
    <w:rsid w:val="003C5D8C"/>
    <w:rsid w:val="003C675E"/>
    <w:rsid w:val="003C695B"/>
    <w:rsid w:val="003C722E"/>
    <w:rsid w:val="003C761B"/>
    <w:rsid w:val="003D0067"/>
    <w:rsid w:val="003D007D"/>
    <w:rsid w:val="003D06F9"/>
    <w:rsid w:val="003D08A0"/>
    <w:rsid w:val="003D2133"/>
    <w:rsid w:val="003D2617"/>
    <w:rsid w:val="003D2D3D"/>
    <w:rsid w:val="003D3675"/>
    <w:rsid w:val="003D37C2"/>
    <w:rsid w:val="003D51FE"/>
    <w:rsid w:val="003D560E"/>
    <w:rsid w:val="003D6FAF"/>
    <w:rsid w:val="003D787C"/>
    <w:rsid w:val="003E01C9"/>
    <w:rsid w:val="003E0837"/>
    <w:rsid w:val="003E16AA"/>
    <w:rsid w:val="003E212C"/>
    <w:rsid w:val="003E257E"/>
    <w:rsid w:val="003E3378"/>
    <w:rsid w:val="003E4072"/>
    <w:rsid w:val="003E46E3"/>
    <w:rsid w:val="003E4DB5"/>
    <w:rsid w:val="003E5616"/>
    <w:rsid w:val="003E6525"/>
    <w:rsid w:val="003E7D43"/>
    <w:rsid w:val="003F007C"/>
    <w:rsid w:val="003F0688"/>
    <w:rsid w:val="003F06BA"/>
    <w:rsid w:val="003F084B"/>
    <w:rsid w:val="003F0A78"/>
    <w:rsid w:val="003F13C3"/>
    <w:rsid w:val="003F19EA"/>
    <w:rsid w:val="003F1FBC"/>
    <w:rsid w:val="003F2A02"/>
    <w:rsid w:val="003F2BCB"/>
    <w:rsid w:val="003F31FE"/>
    <w:rsid w:val="003F3D5B"/>
    <w:rsid w:val="003F414E"/>
    <w:rsid w:val="003F433D"/>
    <w:rsid w:val="003F4473"/>
    <w:rsid w:val="003F5253"/>
    <w:rsid w:val="003F52C0"/>
    <w:rsid w:val="003F56D6"/>
    <w:rsid w:val="003F6CAF"/>
    <w:rsid w:val="003F6D16"/>
    <w:rsid w:val="003F6FDA"/>
    <w:rsid w:val="003F744D"/>
    <w:rsid w:val="003F7D09"/>
    <w:rsid w:val="00400130"/>
    <w:rsid w:val="00400280"/>
    <w:rsid w:val="00402805"/>
    <w:rsid w:val="004034D4"/>
    <w:rsid w:val="00403919"/>
    <w:rsid w:val="00403975"/>
    <w:rsid w:val="00403C6A"/>
    <w:rsid w:val="00404F12"/>
    <w:rsid w:val="00406333"/>
    <w:rsid w:val="00406415"/>
    <w:rsid w:val="00406BB9"/>
    <w:rsid w:val="00406CC1"/>
    <w:rsid w:val="00410018"/>
    <w:rsid w:val="00410136"/>
    <w:rsid w:val="00410819"/>
    <w:rsid w:val="00411638"/>
    <w:rsid w:val="00411734"/>
    <w:rsid w:val="004125A4"/>
    <w:rsid w:val="004126FB"/>
    <w:rsid w:val="004128CC"/>
    <w:rsid w:val="00412CA2"/>
    <w:rsid w:val="00412EEE"/>
    <w:rsid w:val="00413356"/>
    <w:rsid w:val="004142F6"/>
    <w:rsid w:val="004143FA"/>
    <w:rsid w:val="00414936"/>
    <w:rsid w:val="004149EB"/>
    <w:rsid w:val="00416099"/>
    <w:rsid w:val="00416220"/>
    <w:rsid w:val="00417D32"/>
    <w:rsid w:val="0042163B"/>
    <w:rsid w:val="0042236E"/>
    <w:rsid w:val="00425563"/>
    <w:rsid w:val="00425BC1"/>
    <w:rsid w:val="00425EE1"/>
    <w:rsid w:val="00425F08"/>
    <w:rsid w:val="0042603A"/>
    <w:rsid w:val="004263DD"/>
    <w:rsid w:val="00426C70"/>
    <w:rsid w:val="00430393"/>
    <w:rsid w:val="00430395"/>
    <w:rsid w:val="00430D0C"/>
    <w:rsid w:val="00431222"/>
    <w:rsid w:val="004315FE"/>
    <w:rsid w:val="0043240A"/>
    <w:rsid w:val="00433DF9"/>
    <w:rsid w:val="0043510F"/>
    <w:rsid w:val="00435AE3"/>
    <w:rsid w:val="00436D4E"/>
    <w:rsid w:val="0044063E"/>
    <w:rsid w:val="00440E1F"/>
    <w:rsid w:val="0044136F"/>
    <w:rsid w:val="004423A7"/>
    <w:rsid w:val="00442897"/>
    <w:rsid w:val="0044314B"/>
    <w:rsid w:val="004432A0"/>
    <w:rsid w:val="004432FB"/>
    <w:rsid w:val="00443F3D"/>
    <w:rsid w:val="00444299"/>
    <w:rsid w:val="00445B9B"/>
    <w:rsid w:val="00446265"/>
    <w:rsid w:val="004463A4"/>
    <w:rsid w:val="0044681C"/>
    <w:rsid w:val="00446FB8"/>
    <w:rsid w:val="00447C1D"/>
    <w:rsid w:val="0045091D"/>
    <w:rsid w:val="004509DA"/>
    <w:rsid w:val="0045526B"/>
    <w:rsid w:val="004554F2"/>
    <w:rsid w:val="00456876"/>
    <w:rsid w:val="00456C3E"/>
    <w:rsid w:val="00457D9F"/>
    <w:rsid w:val="00460C84"/>
    <w:rsid w:val="00460EC6"/>
    <w:rsid w:val="00461E9D"/>
    <w:rsid w:val="00463965"/>
    <w:rsid w:val="00463D2D"/>
    <w:rsid w:val="0046472A"/>
    <w:rsid w:val="0046569F"/>
    <w:rsid w:val="00467198"/>
    <w:rsid w:val="004672D4"/>
    <w:rsid w:val="00467859"/>
    <w:rsid w:val="00467CD3"/>
    <w:rsid w:val="004700FC"/>
    <w:rsid w:val="00472C68"/>
    <w:rsid w:val="00473EDD"/>
    <w:rsid w:val="00474008"/>
    <w:rsid w:val="0047424F"/>
    <w:rsid w:val="0047452D"/>
    <w:rsid w:val="004765EE"/>
    <w:rsid w:val="00476D48"/>
    <w:rsid w:val="004838E4"/>
    <w:rsid w:val="00483BC4"/>
    <w:rsid w:val="00484454"/>
    <w:rsid w:val="0048451A"/>
    <w:rsid w:val="004847F0"/>
    <w:rsid w:val="00484AB0"/>
    <w:rsid w:val="004855D1"/>
    <w:rsid w:val="0048595F"/>
    <w:rsid w:val="0048623A"/>
    <w:rsid w:val="00486280"/>
    <w:rsid w:val="004868E5"/>
    <w:rsid w:val="0048791E"/>
    <w:rsid w:val="00490CBD"/>
    <w:rsid w:val="004911C2"/>
    <w:rsid w:val="00491D83"/>
    <w:rsid w:val="004920A4"/>
    <w:rsid w:val="00492875"/>
    <w:rsid w:val="00492B9F"/>
    <w:rsid w:val="004930E7"/>
    <w:rsid w:val="0049342B"/>
    <w:rsid w:val="00493CB7"/>
    <w:rsid w:val="00493CFE"/>
    <w:rsid w:val="0049425E"/>
    <w:rsid w:val="00497097"/>
    <w:rsid w:val="004973EA"/>
    <w:rsid w:val="00497545"/>
    <w:rsid w:val="00497EFC"/>
    <w:rsid w:val="004A062D"/>
    <w:rsid w:val="004A0937"/>
    <w:rsid w:val="004A0F5D"/>
    <w:rsid w:val="004A3125"/>
    <w:rsid w:val="004A3F7D"/>
    <w:rsid w:val="004A4255"/>
    <w:rsid w:val="004A5C54"/>
    <w:rsid w:val="004A632D"/>
    <w:rsid w:val="004A680B"/>
    <w:rsid w:val="004A79B5"/>
    <w:rsid w:val="004B0BFF"/>
    <w:rsid w:val="004B29D2"/>
    <w:rsid w:val="004B2E2F"/>
    <w:rsid w:val="004B2F93"/>
    <w:rsid w:val="004B381B"/>
    <w:rsid w:val="004B3AF3"/>
    <w:rsid w:val="004B4591"/>
    <w:rsid w:val="004B4EAB"/>
    <w:rsid w:val="004B5022"/>
    <w:rsid w:val="004B5294"/>
    <w:rsid w:val="004B55FE"/>
    <w:rsid w:val="004B6DF3"/>
    <w:rsid w:val="004B6F6E"/>
    <w:rsid w:val="004B70B2"/>
    <w:rsid w:val="004B7678"/>
    <w:rsid w:val="004B779A"/>
    <w:rsid w:val="004C106B"/>
    <w:rsid w:val="004C3AE0"/>
    <w:rsid w:val="004C3C1F"/>
    <w:rsid w:val="004C4593"/>
    <w:rsid w:val="004C55CD"/>
    <w:rsid w:val="004C6A31"/>
    <w:rsid w:val="004C76AA"/>
    <w:rsid w:val="004C77BF"/>
    <w:rsid w:val="004D35DA"/>
    <w:rsid w:val="004D4D0D"/>
    <w:rsid w:val="004D513F"/>
    <w:rsid w:val="004D5B50"/>
    <w:rsid w:val="004D69AF"/>
    <w:rsid w:val="004D6D36"/>
    <w:rsid w:val="004D7090"/>
    <w:rsid w:val="004D7A81"/>
    <w:rsid w:val="004D7CA7"/>
    <w:rsid w:val="004E03AA"/>
    <w:rsid w:val="004E0AFE"/>
    <w:rsid w:val="004E0C1A"/>
    <w:rsid w:val="004E0DB7"/>
    <w:rsid w:val="004E1149"/>
    <w:rsid w:val="004E2873"/>
    <w:rsid w:val="004E3157"/>
    <w:rsid w:val="004E3CF9"/>
    <w:rsid w:val="004E453A"/>
    <w:rsid w:val="004E4DBD"/>
    <w:rsid w:val="004E5598"/>
    <w:rsid w:val="004E5CE0"/>
    <w:rsid w:val="004E5D0D"/>
    <w:rsid w:val="004E63B2"/>
    <w:rsid w:val="004E66BC"/>
    <w:rsid w:val="004E67A0"/>
    <w:rsid w:val="004E68CC"/>
    <w:rsid w:val="004E6DB4"/>
    <w:rsid w:val="004E7341"/>
    <w:rsid w:val="004F0363"/>
    <w:rsid w:val="004F09F5"/>
    <w:rsid w:val="004F115F"/>
    <w:rsid w:val="004F1C42"/>
    <w:rsid w:val="004F1E28"/>
    <w:rsid w:val="004F21CA"/>
    <w:rsid w:val="004F2437"/>
    <w:rsid w:val="004F263E"/>
    <w:rsid w:val="004F2F00"/>
    <w:rsid w:val="004F4181"/>
    <w:rsid w:val="004F670F"/>
    <w:rsid w:val="004F7517"/>
    <w:rsid w:val="004F7BD6"/>
    <w:rsid w:val="00500473"/>
    <w:rsid w:val="00500702"/>
    <w:rsid w:val="005012D2"/>
    <w:rsid w:val="0050307E"/>
    <w:rsid w:val="00503EA9"/>
    <w:rsid w:val="0050456B"/>
    <w:rsid w:val="00506B90"/>
    <w:rsid w:val="005074F0"/>
    <w:rsid w:val="00507FAC"/>
    <w:rsid w:val="00510AE2"/>
    <w:rsid w:val="00511E93"/>
    <w:rsid w:val="005144D2"/>
    <w:rsid w:val="0051460F"/>
    <w:rsid w:val="0051466D"/>
    <w:rsid w:val="0051649A"/>
    <w:rsid w:val="0051655D"/>
    <w:rsid w:val="00517362"/>
    <w:rsid w:val="0051762A"/>
    <w:rsid w:val="005176C0"/>
    <w:rsid w:val="005203BB"/>
    <w:rsid w:val="00520FCF"/>
    <w:rsid w:val="0052129F"/>
    <w:rsid w:val="00521385"/>
    <w:rsid w:val="005216DF"/>
    <w:rsid w:val="005218A6"/>
    <w:rsid w:val="00521F4A"/>
    <w:rsid w:val="0052319D"/>
    <w:rsid w:val="005246A9"/>
    <w:rsid w:val="00524875"/>
    <w:rsid w:val="00524C29"/>
    <w:rsid w:val="00525BDC"/>
    <w:rsid w:val="005265F4"/>
    <w:rsid w:val="0052661B"/>
    <w:rsid w:val="0052757C"/>
    <w:rsid w:val="00527944"/>
    <w:rsid w:val="00527CB5"/>
    <w:rsid w:val="00527EEC"/>
    <w:rsid w:val="005302C9"/>
    <w:rsid w:val="0053133B"/>
    <w:rsid w:val="00531AF5"/>
    <w:rsid w:val="0053214C"/>
    <w:rsid w:val="00532DC9"/>
    <w:rsid w:val="00533C6F"/>
    <w:rsid w:val="00534770"/>
    <w:rsid w:val="00534CFB"/>
    <w:rsid w:val="0053603D"/>
    <w:rsid w:val="005363A9"/>
    <w:rsid w:val="00540B5A"/>
    <w:rsid w:val="00541554"/>
    <w:rsid w:val="00541585"/>
    <w:rsid w:val="005420BD"/>
    <w:rsid w:val="00542678"/>
    <w:rsid w:val="00542B01"/>
    <w:rsid w:val="00543DCB"/>
    <w:rsid w:val="00543E0F"/>
    <w:rsid w:val="00544CB9"/>
    <w:rsid w:val="00545037"/>
    <w:rsid w:val="0054510A"/>
    <w:rsid w:val="0054529E"/>
    <w:rsid w:val="00547C0A"/>
    <w:rsid w:val="00551104"/>
    <w:rsid w:val="0055148C"/>
    <w:rsid w:val="005519D7"/>
    <w:rsid w:val="005521BE"/>
    <w:rsid w:val="00552A95"/>
    <w:rsid w:val="00553629"/>
    <w:rsid w:val="00553B3B"/>
    <w:rsid w:val="00553D6B"/>
    <w:rsid w:val="00555E77"/>
    <w:rsid w:val="00556DE2"/>
    <w:rsid w:val="00557589"/>
    <w:rsid w:val="005578C9"/>
    <w:rsid w:val="00560866"/>
    <w:rsid w:val="005618EF"/>
    <w:rsid w:val="00562DB7"/>
    <w:rsid w:val="00564A0C"/>
    <w:rsid w:val="00565603"/>
    <w:rsid w:val="00565883"/>
    <w:rsid w:val="00566059"/>
    <w:rsid w:val="00566C0B"/>
    <w:rsid w:val="0056761B"/>
    <w:rsid w:val="00571532"/>
    <w:rsid w:val="00574042"/>
    <w:rsid w:val="00574119"/>
    <w:rsid w:val="00574AFA"/>
    <w:rsid w:val="00574BDC"/>
    <w:rsid w:val="00574F43"/>
    <w:rsid w:val="00574FAC"/>
    <w:rsid w:val="0057764F"/>
    <w:rsid w:val="00577F0B"/>
    <w:rsid w:val="00577F28"/>
    <w:rsid w:val="00577F2E"/>
    <w:rsid w:val="00580BBE"/>
    <w:rsid w:val="00580C3A"/>
    <w:rsid w:val="00581B1C"/>
    <w:rsid w:val="00581B41"/>
    <w:rsid w:val="00581FC8"/>
    <w:rsid w:val="00582255"/>
    <w:rsid w:val="0058231A"/>
    <w:rsid w:val="005827C8"/>
    <w:rsid w:val="00583414"/>
    <w:rsid w:val="00583FF2"/>
    <w:rsid w:val="00584026"/>
    <w:rsid w:val="00585122"/>
    <w:rsid w:val="0058514E"/>
    <w:rsid w:val="00585226"/>
    <w:rsid w:val="00585F9B"/>
    <w:rsid w:val="00586544"/>
    <w:rsid w:val="005869C4"/>
    <w:rsid w:val="00587C0E"/>
    <w:rsid w:val="00587DF7"/>
    <w:rsid w:val="0059056C"/>
    <w:rsid w:val="00591138"/>
    <w:rsid w:val="00591618"/>
    <w:rsid w:val="00591CE1"/>
    <w:rsid w:val="0059266E"/>
    <w:rsid w:val="00593E2B"/>
    <w:rsid w:val="0059436E"/>
    <w:rsid w:val="005970A8"/>
    <w:rsid w:val="005979C2"/>
    <w:rsid w:val="005A0EF9"/>
    <w:rsid w:val="005A2D81"/>
    <w:rsid w:val="005A2F64"/>
    <w:rsid w:val="005A4576"/>
    <w:rsid w:val="005A4D38"/>
    <w:rsid w:val="005A50D0"/>
    <w:rsid w:val="005A5BF0"/>
    <w:rsid w:val="005A7065"/>
    <w:rsid w:val="005A7506"/>
    <w:rsid w:val="005B022A"/>
    <w:rsid w:val="005B1099"/>
    <w:rsid w:val="005B1366"/>
    <w:rsid w:val="005B1A22"/>
    <w:rsid w:val="005B1F9C"/>
    <w:rsid w:val="005B218A"/>
    <w:rsid w:val="005B2D72"/>
    <w:rsid w:val="005B30A5"/>
    <w:rsid w:val="005B5105"/>
    <w:rsid w:val="005B5661"/>
    <w:rsid w:val="005B5AE0"/>
    <w:rsid w:val="005B5D8D"/>
    <w:rsid w:val="005B5EDF"/>
    <w:rsid w:val="005B704D"/>
    <w:rsid w:val="005B7F9A"/>
    <w:rsid w:val="005C06AD"/>
    <w:rsid w:val="005C089C"/>
    <w:rsid w:val="005C1511"/>
    <w:rsid w:val="005C1E28"/>
    <w:rsid w:val="005C2CAB"/>
    <w:rsid w:val="005C2DFE"/>
    <w:rsid w:val="005C3281"/>
    <w:rsid w:val="005C389C"/>
    <w:rsid w:val="005C3AF0"/>
    <w:rsid w:val="005C46CF"/>
    <w:rsid w:val="005C55E4"/>
    <w:rsid w:val="005C5BEA"/>
    <w:rsid w:val="005C61FD"/>
    <w:rsid w:val="005C7A41"/>
    <w:rsid w:val="005D14E7"/>
    <w:rsid w:val="005D1B19"/>
    <w:rsid w:val="005D1DB3"/>
    <w:rsid w:val="005D342E"/>
    <w:rsid w:val="005D4CBB"/>
    <w:rsid w:val="005D5069"/>
    <w:rsid w:val="005D5247"/>
    <w:rsid w:val="005D59B6"/>
    <w:rsid w:val="005D5B65"/>
    <w:rsid w:val="005D5E9F"/>
    <w:rsid w:val="005D610D"/>
    <w:rsid w:val="005D6319"/>
    <w:rsid w:val="005D65AD"/>
    <w:rsid w:val="005D69B2"/>
    <w:rsid w:val="005E0FE1"/>
    <w:rsid w:val="005E3E3A"/>
    <w:rsid w:val="005E4357"/>
    <w:rsid w:val="005E4AF2"/>
    <w:rsid w:val="005E5F5D"/>
    <w:rsid w:val="005F0714"/>
    <w:rsid w:val="005F0819"/>
    <w:rsid w:val="005F16FA"/>
    <w:rsid w:val="005F1D03"/>
    <w:rsid w:val="005F2DE5"/>
    <w:rsid w:val="005F3CA2"/>
    <w:rsid w:val="005F4EB2"/>
    <w:rsid w:val="005F5858"/>
    <w:rsid w:val="005F5F95"/>
    <w:rsid w:val="005F6964"/>
    <w:rsid w:val="005F7AB7"/>
    <w:rsid w:val="006003E6"/>
    <w:rsid w:val="00600E4C"/>
    <w:rsid w:val="00600F24"/>
    <w:rsid w:val="006017F4"/>
    <w:rsid w:val="00601A19"/>
    <w:rsid w:val="00602061"/>
    <w:rsid w:val="0060254E"/>
    <w:rsid w:val="00602B2C"/>
    <w:rsid w:val="0060359A"/>
    <w:rsid w:val="00603DA8"/>
    <w:rsid w:val="0060460B"/>
    <w:rsid w:val="00604ED6"/>
    <w:rsid w:val="00605851"/>
    <w:rsid w:val="00606127"/>
    <w:rsid w:val="00606A46"/>
    <w:rsid w:val="00611D0E"/>
    <w:rsid w:val="00612567"/>
    <w:rsid w:val="006127E7"/>
    <w:rsid w:val="00612C56"/>
    <w:rsid w:val="00612DCD"/>
    <w:rsid w:val="0061354D"/>
    <w:rsid w:val="00613BA1"/>
    <w:rsid w:val="006140C3"/>
    <w:rsid w:val="0061554F"/>
    <w:rsid w:val="00615FF2"/>
    <w:rsid w:val="00616FE8"/>
    <w:rsid w:val="00617FEF"/>
    <w:rsid w:val="00620620"/>
    <w:rsid w:val="0062158B"/>
    <w:rsid w:val="00621BB5"/>
    <w:rsid w:val="00622211"/>
    <w:rsid w:val="0062269B"/>
    <w:rsid w:val="006239F8"/>
    <w:rsid w:val="006244E3"/>
    <w:rsid w:val="00624B9E"/>
    <w:rsid w:val="00624F65"/>
    <w:rsid w:val="00625E3D"/>
    <w:rsid w:val="006275F7"/>
    <w:rsid w:val="00627F6A"/>
    <w:rsid w:val="00630215"/>
    <w:rsid w:val="00630367"/>
    <w:rsid w:val="006309D5"/>
    <w:rsid w:val="00630C13"/>
    <w:rsid w:val="00630C4D"/>
    <w:rsid w:val="00631114"/>
    <w:rsid w:val="0063170A"/>
    <w:rsid w:val="00631CA5"/>
    <w:rsid w:val="0063305E"/>
    <w:rsid w:val="00636833"/>
    <w:rsid w:val="00636ED8"/>
    <w:rsid w:val="006405F6"/>
    <w:rsid w:val="0064074B"/>
    <w:rsid w:val="0064106D"/>
    <w:rsid w:val="00641C1A"/>
    <w:rsid w:val="00641E45"/>
    <w:rsid w:val="00641E72"/>
    <w:rsid w:val="00641E98"/>
    <w:rsid w:val="00643B69"/>
    <w:rsid w:val="00643F81"/>
    <w:rsid w:val="00644111"/>
    <w:rsid w:val="006446B8"/>
    <w:rsid w:val="00644BF1"/>
    <w:rsid w:val="00644E67"/>
    <w:rsid w:val="00644FC5"/>
    <w:rsid w:val="00645B7E"/>
    <w:rsid w:val="00645EFD"/>
    <w:rsid w:val="0064602F"/>
    <w:rsid w:val="006474A9"/>
    <w:rsid w:val="006502A7"/>
    <w:rsid w:val="00650434"/>
    <w:rsid w:val="00650A0A"/>
    <w:rsid w:val="00651206"/>
    <w:rsid w:val="00651BD4"/>
    <w:rsid w:val="00655400"/>
    <w:rsid w:val="00655A2B"/>
    <w:rsid w:val="00655A86"/>
    <w:rsid w:val="00656643"/>
    <w:rsid w:val="00657457"/>
    <w:rsid w:val="00660705"/>
    <w:rsid w:val="0066321B"/>
    <w:rsid w:val="00663BA0"/>
    <w:rsid w:val="00663E95"/>
    <w:rsid w:val="006647EC"/>
    <w:rsid w:val="00664A72"/>
    <w:rsid w:val="00665B09"/>
    <w:rsid w:val="00667926"/>
    <w:rsid w:val="00670510"/>
    <w:rsid w:val="00670AFA"/>
    <w:rsid w:val="00670CF1"/>
    <w:rsid w:val="00670DC1"/>
    <w:rsid w:val="0067126F"/>
    <w:rsid w:val="00671D13"/>
    <w:rsid w:val="00672A60"/>
    <w:rsid w:val="00672C16"/>
    <w:rsid w:val="00672E87"/>
    <w:rsid w:val="0067442A"/>
    <w:rsid w:val="00675261"/>
    <w:rsid w:val="00676279"/>
    <w:rsid w:val="00676669"/>
    <w:rsid w:val="00676930"/>
    <w:rsid w:val="0067778F"/>
    <w:rsid w:val="00677ABB"/>
    <w:rsid w:val="00677B1E"/>
    <w:rsid w:val="00677FA2"/>
    <w:rsid w:val="006800A9"/>
    <w:rsid w:val="00680C80"/>
    <w:rsid w:val="0068105E"/>
    <w:rsid w:val="00681315"/>
    <w:rsid w:val="00682B77"/>
    <w:rsid w:val="00682E96"/>
    <w:rsid w:val="0068319B"/>
    <w:rsid w:val="0068380B"/>
    <w:rsid w:val="00683918"/>
    <w:rsid w:val="006847EF"/>
    <w:rsid w:val="0068529F"/>
    <w:rsid w:val="00686042"/>
    <w:rsid w:val="006870DD"/>
    <w:rsid w:val="00687F42"/>
    <w:rsid w:val="00690708"/>
    <w:rsid w:val="0069074B"/>
    <w:rsid w:val="00691046"/>
    <w:rsid w:val="006917F7"/>
    <w:rsid w:val="00691CE5"/>
    <w:rsid w:val="00693011"/>
    <w:rsid w:val="00693EF3"/>
    <w:rsid w:val="006946A3"/>
    <w:rsid w:val="00695B61"/>
    <w:rsid w:val="0069657A"/>
    <w:rsid w:val="00696DAC"/>
    <w:rsid w:val="00697438"/>
    <w:rsid w:val="006975DC"/>
    <w:rsid w:val="0069779F"/>
    <w:rsid w:val="006A0487"/>
    <w:rsid w:val="006A1072"/>
    <w:rsid w:val="006A1C48"/>
    <w:rsid w:val="006A1FB1"/>
    <w:rsid w:val="006A3507"/>
    <w:rsid w:val="006A3DBC"/>
    <w:rsid w:val="006A40B2"/>
    <w:rsid w:val="006A4785"/>
    <w:rsid w:val="006A4B48"/>
    <w:rsid w:val="006A52F7"/>
    <w:rsid w:val="006A56B8"/>
    <w:rsid w:val="006A5C05"/>
    <w:rsid w:val="006A5D33"/>
    <w:rsid w:val="006A5F80"/>
    <w:rsid w:val="006A6BAF"/>
    <w:rsid w:val="006A77F7"/>
    <w:rsid w:val="006B0A8C"/>
    <w:rsid w:val="006B469F"/>
    <w:rsid w:val="006B4CD9"/>
    <w:rsid w:val="006B5083"/>
    <w:rsid w:val="006B560A"/>
    <w:rsid w:val="006B5D2F"/>
    <w:rsid w:val="006B6B44"/>
    <w:rsid w:val="006B6F33"/>
    <w:rsid w:val="006B7839"/>
    <w:rsid w:val="006B7EFC"/>
    <w:rsid w:val="006C14B3"/>
    <w:rsid w:val="006C1BB0"/>
    <w:rsid w:val="006C1DAE"/>
    <w:rsid w:val="006C5107"/>
    <w:rsid w:val="006C53A7"/>
    <w:rsid w:val="006C5644"/>
    <w:rsid w:val="006C5D6B"/>
    <w:rsid w:val="006C5F90"/>
    <w:rsid w:val="006C6312"/>
    <w:rsid w:val="006C6948"/>
    <w:rsid w:val="006C6F94"/>
    <w:rsid w:val="006D004A"/>
    <w:rsid w:val="006D1774"/>
    <w:rsid w:val="006D194F"/>
    <w:rsid w:val="006D1AF8"/>
    <w:rsid w:val="006D241F"/>
    <w:rsid w:val="006D2772"/>
    <w:rsid w:val="006D2779"/>
    <w:rsid w:val="006D311F"/>
    <w:rsid w:val="006D34CB"/>
    <w:rsid w:val="006D3DD2"/>
    <w:rsid w:val="006D426B"/>
    <w:rsid w:val="006D4322"/>
    <w:rsid w:val="006D51BD"/>
    <w:rsid w:val="006D679B"/>
    <w:rsid w:val="006D6CAA"/>
    <w:rsid w:val="006D6FEB"/>
    <w:rsid w:val="006D7A25"/>
    <w:rsid w:val="006E1760"/>
    <w:rsid w:val="006E1AC5"/>
    <w:rsid w:val="006E2125"/>
    <w:rsid w:val="006E285F"/>
    <w:rsid w:val="006E387B"/>
    <w:rsid w:val="006E4C91"/>
    <w:rsid w:val="006E549E"/>
    <w:rsid w:val="006E6029"/>
    <w:rsid w:val="006E68C5"/>
    <w:rsid w:val="006E6DDB"/>
    <w:rsid w:val="006E6EDB"/>
    <w:rsid w:val="006E70D4"/>
    <w:rsid w:val="006E726B"/>
    <w:rsid w:val="006E7C11"/>
    <w:rsid w:val="006E7D27"/>
    <w:rsid w:val="006E7F85"/>
    <w:rsid w:val="006F060C"/>
    <w:rsid w:val="006F073A"/>
    <w:rsid w:val="006F0DC7"/>
    <w:rsid w:val="006F106F"/>
    <w:rsid w:val="006F1256"/>
    <w:rsid w:val="006F142E"/>
    <w:rsid w:val="006F1595"/>
    <w:rsid w:val="006F1FA1"/>
    <w:rsid w:val="006F234A"/>
    <w:rsid w:val="006F3045"/>
    <w:rsid w:val="006F3344"/>
    <w:rsid w:val="006F3A42"/>
    <w:rsid w:val="006F5683"/>
    <w:rsid w:val="006F5D77"/>
    <w:rsid w:val="006F689B"/>
    <w:rsid w:val="006F6CED"/>
    <w:rsid w:val="006F6E9A"/>
    <w:rsid w:val="006F7599"/>
    <w:rsid w:val="006F7913"/>
    <w:rsid w:val="007002BD"/>
    <w:rsid w:val="00700E04"/>
    <w:rsid w:val="00702144"/>
    <w:rsid w:val="0070219E"/>
    <w:rsid w:val="0070236C"/>
    <w:rsid w:val="0070242B"/>
    <w:rsid w:val="00702668"/>
    <w:rsid w:val="00703853"/>
    <w:rsid w:val="00703858"/>
    <w:rsid w:val="007041DC"/>
    <w:rsid w:val="007047FF"/>
    <w:rsid w:val="00704A7C"/>
    <w:rsid w:val="00705104"/>
    <w:rsid w:val="00705368"/>
    <w:rsid w:val="0070540B"/>
    <w:rsid w:val="007056B4"/>
    <w:rsid w:val="0070575F"/>
    <w:rsid w:val="0070642E"/>
    <w:rsid w:val="007065D3"/>
    <w:rsid w:val="0070740B"/>
    <w:rsid w:val="0070776B"/>
    <w:rsid w:val="007103B3"/>
    <w:rsid w:val="00710E8F"/>
    <w:rsid w:val="00711C1E"/>
    <w:rsid w:val="007122FE"/>
    <w:rsid w:val="007123A3"/>
    <w:rsid w:val="007125E6"/>
    <w:rsid w:val="00712B3E"/>
    <w:rsid w:val="00712B4B"/>
    <w:rsid w:val="00713056"/>
    <w:rsid w:val="00714234"/>
    <w:rsid w:val="0071505B"/>
    <w:rsid w:val="007154E7"/>
    <w:rsid w:val="00715DDD"/>
    <w:rsid w:val="007203DD"/>
    <w:rsid w:val="0072308F"/>
    <w:rsid w:val="00723FC0"/>
    <w:rsid w:val="00725447"/>
    <w:rsid w:val="0072589E"/>
    <w:rsid w:val="007258E1"/>
    <w:rsid w:val="00725ACA"/>
    <w:rsid w:val="007266A7"/>
    <w:rsid w:val="007269AD"/>
    <w:rsid w:val="007272B5"/>
    <w:rsid w:val="007277D9"/>
    <w:rsid w:val="007305F0"/>
    <w:rsid w:val="007318AC"/>
    <w:rsid w:val="00732EB4"/>
    <w:rsid w:val="00734033"/>
    <w:rsid w:val="0073417E"/>
    <w:rsid w:val="007347E8"/>
    <w:rsid w:val="00734F88"/>
    <w:rsid w:val="007352E1"/>
    <w:rsid w:val="00735555"/>
    <w:rsid w:val="00735798"/>
    <w:rsid w:val="00735B17"/>
    <w:rsid w:val="00736A4C"/>
    <w:rsid w:val="00736BAF"/>
    <w:rsid w:val="00737BE8"/>
    <w:rsid w:val="00737C91"/>
    <w:rsid w:val="00737D37"/>
    <w:rsid w:val="00740B80"/>
    <w:rsid w:val="00741619"/>
    <w:rsid w:val="00742D4E"/>
    <w:rsid w:val="00742F34"/>
    <w:rsid w:val="00743966"/>
    <w:rsid w:val="00743F20"/>
    <w:rsid w:val="007443D1"/>
    <w:rsid w:val="007452E9"/>
    <w:rsid w:val="00745B08"/>
    <w:rsid w:val="007460FC"/>
    <w:rsid w:val="0074633F"/>
    <w:rsid w:val="007469C5"/>
    <w:rsid w:val="00747C9B"/>
    <w:rsid w:val="00750C48"/>
    <w:rsid w:val="007511AC"/>
    <w:rsid w:val="00751549"/>
    <w:rsid w:val="0075188F"/>
    <w:rsid w:val="00751D4C"/>
    <w:rsid w:val="00752777"/>
    <w:rsid w:val="00753056"/>
    <w:rsid w:val="0075383D"/>
    <w:rsid w:val="00753ED2"/>
    <w:rsid w:val="00754776"/>
    <w:rsid w:val="007547B0"/>
    <w:rsid w:val="00754F68"/>
    <w:rsid w:val="0075676D"/>
    <w:rsid w:val="00757AF4"/>
    <w:rsid w:val="00757B0F"/>
    <w:rsid w:val="00757B65"/>
    <w:rsid w:val="0076042F"/>
    <w:rsid w:val="00761208"/>
    <w:rsid w:val="0076147F"/>
    <w:rsid w:val="00762BF5"/>
    <w:rsid w:val="00762F96"/>
    <w:rsid w:val="00763324"/>
    <w:rsid w:val="00763769"/>
    <w:rsid w:val="00765E69"/>
    <w:rsid w:val="00766752"/>
    <w:rsid w:val="00766908"/>
    <w:rsid w:val="00767D8B"/>
    <w:rsid w:val="00767E68"/>
    <w:rsid w:val="0077029F"/>
    <w:rsid w:val="00770D0F"/>
    <w:rsid w:val="0077367F"/>
    <w:rsid w:val="007739E5"/>
    <w:rsid w:val="007744F1"/>
    <w:rsid w:val="007746C0"/>
    <w:rsid w:val="00774A40"/>
    <w:rsid w:val="00774AB6"/>
    <w:rsid w:val="00775030"/>
    <w:rsid w:val="007751EF"/>
    <w:rsid w:val="007772F4"/>
    <w:rsid w:val="00777634"/>
    <w:rsid w:val="00777D2D"/>
    <w:rsid w:val="007801AE"/>
    <w:rsid w:val="00780260"/>
    <w:rsid w:val="00781D95"/>
    <w:rsid w:val="00781FA7"/>
    <w:rsid w:val="007821F1"/>
    <w:rsid w:val="007836EF"/>
    <w:rsid w:val="00783A45"/>
    <w:rsid w:val="00783C91"/>
    <w:rsid w:val="007842AB"/>
    <w:rsid w:val="00784899"/>
    <w:rsid w:val="00784EC0"/>
    <w:rsid w:val="00785D5F"/>
    <w:rsid w:val="00785FD3"/>
    <w:rsid w:val="007865EA"/>
    <w:rsid w:val="00786C5E"/>
    <w:rsid w:val="00786F4D"/>
    <w:rsid w:val="00786FD8"/>
    <w:rsid w:val="00787E5D"/>
    <w:rsid w:val="007911E3"/>
    <w:rsid w:val="00791223"/>
    <w:rsid w:val="007913BD"/>
    <w:rsid w:val="0079192C"/>
    <w:rsid w:val="00792FA5"/>
    <w:rsid w:val="00793514"/>
    <w:rsid w:val="0079356E"/>
    <w:rsid w:val="0079373F"/>
    <w:rsid w:val="0079379A"/>
    <w:rsid w:val="0079437E"/>
    <w:rsid w:val="0079444C"/>
    <w:rsid w:val="00794D42"/>
    <w:rsid w:val="00796A17"/>
    <w:rsid w:val="0079720F"/>
    <w:rsid w:val="00797311"/>
    <w:rsid w:val="00797535"/>
    <w:rsid w:val="00797BC8"/>
    <w:rsid w:val="007A215F"/>
    <w:rsid w:val="007A25ED"/>
    <w:rsid w:val="007A2E65"/>
    <w:rsid w:val="007A3490"/>
    <w:rsid w:val="007A35F7"/>
    <w:rsid w:val="007A37A3"/>
    <w:rsid w:val="007A3BD5"/>
    <w:rsid w:val="007A422D"/>
    <w:rsid w:val="007A4367"/>
    <w:rsid w:val="007A4E96"/>
    <w:rsid w:val="007A54AF"/>
    <w:rsid w:val="007A560A"/>
    <w:rsid w:val="007A5827"/>
    <w:rsid w:val="007A662D"/>
    <w:rsid w:val="007A7337"/>
    <w:rsid w:val="007A767F"/>
    <w:rsid w:val="007A7A84"/>
    <w:rsid w:val="007B03C0"/>
    <w:rsid w:val="007B06D9"/>
    <w:rsid w:val="007B0EE8"/>
    <w:rsid w:val="007B15FE"/>
    <w:rsid w:val="007B1DD6"/>
    <w:rsid w:val="007B21AB"/>
    <w:rsid w:val="007B245F"/>
    <w:rsid w:val="007B30C1"/>
    <w:rsid w:val="007B31D6"/>
    <w:rsid w:val="007B36DF"/>
    <w:rsid w:val="007B56AC"/>
    <w:rsid w:val="007B78BF"/>
    <w:rsid w:val="007B7E37"/>
    <w:rsid w:val="007C0261"/>
    <w:rsid w:val="007C0803"/>
    <w:rsid w:val="007C3061"/>
    <w:rsid w:val="007C37AA"/>
    <w:rsid w:val="007C3B9E"/>
    <w:rsid w:val="007C3EE4"/>
    <w:rsid w:val="007C41DD"/>
    <w:rsid w:val="007C45F2"/>
    <w:rsid w:val="007C48FF"/>
    <w:rsid w:val="007C4A92"/>
    <w:rsid w:val="007C579C"/>
    <w:rsid w:val="007C69A3"/>
    <w:rsid w:val="007C6CAE"/>
    <w:rsid w:val="007C6FB0"/>
    <w:rsid w:val="007D2F12"/>
    <w:rsid w:val="007D36CD"/>
    <w:rsid w:val="007D37B1"/>
    <w:rsid w:val="007D38B9"/>
    <w:rsid w:val="007D49CE"/>
    <w:rsid w:val="007D4BB8"/>
    <w:rsid w:val="007D4BD5"/>
    <w:rsid w:val="007D66A2"/>
    <w:rsid w:val="007D7598"/>
    <w:rsid w:val="007D7DA0"/>
    <w:rsid w:val="007D7FC6"/>
    <w:rsid w:val="007E11FA"/>
    <w:rsid w:val="007E121A"/>
    <w:rsid w:val="007E1C3B"/>
    <w:rsid w:val="007E35B8"/>
    <w:rsid w:val="007E37FC"/>
    <w:rsid w:val="007E43F9"/>
    <w:rsid w:val="007E4663"/>
    <w:rsid w:val="007E4DF4"/>
    <w:rsid w:val="007E5236"/>
    <w:rsid w:val="007E57A9"/>
    <w:rsid w:val="007E5C61"/>
    <w:rsid w:val="007E5DFA"/>
    <w:rsid w:val="007E676A"/>
    <w:rsid w:val="007E7883"/>
    <w:rsid w:val="007F0B3C"/>
    <w:rsid w:val="007F0D6E"/>
    <w:rsid w:val="007F1651"/>
    <w:rsid w:val="007F3F63"/>
    <w:rsid w:val="007F4B9D"/>
    <w:rsid w:val="007F4C7B"/>
    <w:rsid w:val="007F4F3A"/>
    <w:rsid w:val="007F55EA"/>
    <w:rsid w:val="007F741E"/>
    <w:rsid w:val="007F7706"/>
    <w:rsid w:val="0080005F"/>
    <w:rsid w:val="00800630"/>
    <w:rsid w:val="008009AC"/>
    <w:rsid w:val="008018FE"/>
    <w:rsid w:val="00803C48"/>
    <w:rsid w:val="008045AE"/>
    <w:rsid w:val="00804675"/>
    <w:rsid w:val="008048DF"/>
    <w:rsid w:val="00804C9B"/>
    <w:rsid w:val="00804D43"/>
    <w:rsid w:val="00806236"/>
    <w:rsid w:val="00806E0C"/>
    <w:rsid w:val="00810B67"/>
    <w:rsid w:val="00812B97"/>
    <w:rsid w:val="00815632"/>
    <w:rsid w:val="00816872"/>
    <w:rsid w:val="0081698F"/>
    <w:rsid w:val="00817748"/>
    <w:rsid w:val="008200CA"/>
    <w:rsid w:val="0082052A"/>
    <w:rsid w:val="00820579"/>
    <w:rsid w:val="0082109B"/>
    <w:rsid w:val="00821110"/>
    <w:rsid w:val="00821F16"/>
    <w:rsid w:val="008224AD"/>
    <w:rsid w:val="00822F3A"/>
    <w:rsid w:val="008241C2"/>
    <w:rsid w:val="0082429A"/>
    <w:rsid w:val="00824662"/>
    <w:rsid w:val="00824D33"/>
    <w:rsid w:val="00825639"/>
    <w:rsid w:val="00825E30"/>
    <w:rsid w:val="008262BE"/>
    <w:rsid w:val="00827212"/>
    <w:rsid w:val="008278B4"/>
    <w:rsid w:val="00830912"/>
    <w:rsid w:val="00830C44"/>
    <w:rsid w:val="008326F1"/>
    <w:rsid w:val="00832A21"/>
    <w:rsid w:val="008346D1"/>
    <w:rsid w:val="008358F9"/>
    <w:rsid w:val="00835CC8"/>
    <w:rsid w:val="008365D7"/>
    <w:rsid w:val="00836752"/>
    <w:rsid w:val="008367B8"/>
    <w:rsid w:val="008379C4"/>
    <w:rsid w:val="00840802"/>
    <w:rsid w:val="008420D6"/>
    <w:rsid w:val="00842C38"/>
    <w:rsid w:val="008432A5"/>
    <w:rsid w:val="00843569"/>
    <w:rsid w:val="008439D8"/>
    <w:rsid w:val="00844008"/>
    <w:rsid w:val="0084498E"/>
    <w:rsid w:val="00844ED2"/>
    <w:rsid w:val="00846DFD"/>
    <w:rsid w:val="008507D7"/>
    <w:rsid w:val="00850F5F"/>
    <w:rsid w:val="00851089"/>
    <w:rsid w:val="0085138F"/>
    <w:rsid w:val="008516EB"/>
    <w:rsid w:val="00852718"/>
    <w:rsid w:val="00852DEA"/>
    <w:rsid w:val="008538D0"/>
    <w:rsid w:val="0085397B"/>
    <w:rsid w:val="00853A77"/>
    <w:rsid w:val="00853D4C"/>
    <w:rsid w:val="00854286"/>
    <w:rsid w:val="00854349"/>
    <w:rsid w:val="008543D2"/>
    <w:rsid w:val="008547FF"/>
    <w:rsid w:val="00854EEF"/>
    <w:rsid w:val="00854F40"/>
    <w:rsid w:val="00855625"/>
    <w:rsid w:val="008565F6"/>
    <w:rsid w:val="00856706"/>
    <w:rsid w:val="00857011"/>
    <w:rsid w:val="00857E49"/>
    <w:rsid w:val="00860D31"/>
    <w:rsid w:val="008614EA"/>
    <w:rsid w:val="0086327B"/>
    <w:rsid w:val="0086350C"/>
    <w:rsid w:val="008637E0"/>
    <w:rsid w:val="00863DF4"/>
    <w:rsid w:val="008669EC"/>
    <w:rsid w:val="00867CCC"/>
    <w:rsid w:val="008720D9"/>
    <w:rsid w:val="008744EB"/>
    <w:rsid w:val="0087470E"/>
    <w:rsid w:val="00874807"/>
    <w:rsid w:val="008767E8"/>
    <w:rsid w:val="008770AB"/>
    <w:rsid w:val="008805F0"/>
    <w:rsid w:val="00881B78"/>
    <w:rsid w:val="00883129"/>
    <w:rsid w:val="0088339F"/>
    <w:rsid w:val="00883460"/>
    <w:rsid w:val="00883D40"/>
    <w:rsid w:val="00883FCE"/>
    <w:rsid w:val="00884F83"/>
    <w:rsid w:val="00885905"/>
    <w:rsid w:val="00885FDA"/>
    <w:rsid w:val="008868C5"/>
    <w:rsid w:val="00886B6E"/>
    <w:rsid w:val="00886D0E"/>
    <w:rsid w:val="00886EE6"/>
    <w:rsid w:val="00890EE7"/>
    <w:rsid w:val="00893172"/>
    <w:rsid w:val="0089407C"/>
    <w:rsid w:val="0089482F"/>
    <w:rsid w:val="00894BD9"/>
    <w:rsid w:val="00894E4F"/>
    <w:rsid w:val="00894E9E"/>
    <w:rsid w:val="00895A46"/>
    <w:rsid w:val="00895F8C"/>
    <w:rsid w:val="00896224"/>
    <w:rsid w:val="008962BD"/>
    <w:rsid w:val="00896C3C"/>
    <w:rsid w:val="00896C62"/>
    <w:rsid w:val="00897289"/>
    <w:rsid w:val="0089764D"/>
    <w:rsid w:val="00897795"/>
    <w:rsid w:val="008A13CE"/>
    <w:rsid w:val="008A17DD"/>
    <w:rsid w:val="008A26A4"/>
    <w:rsid w:val="008A31FE"/>
    <w:rsid w:val="008A3A0D"/>
    <w:rsid w:val="008A3FB3"/>
    <w:rsid w:val="008A50D9"/>
    <w:rsid w:val="008A5DA8"/>
    <w:rsid w:val="008A7010"/>
    <w:rsid w:val="008A78B8"/>
    <w:rsid w:val="008B01D3"/>
    <w:rsid w:val="008B0B15"/>
    <w:rsid w:val="008B1A44"/>
    <w:rsid w:val="008B2E22"/>
    <w:rsid w:val="008B39F2"/>
    <w:rsid w:val="008B3C89"/>
    <w:rsid w:val="008B588B"/>
    <w:rsid w:val="008B59B3"/>
    <w:rsid w:val="008B6228"/>
    <w:rsid w:val="008B6F30"/>
    <w:rsid w:val="008B73A1"/>
    <w:rsid w:val="008B75B3"/>
    <w:rsid w:val="008B7ACA"/>
    <w:rsid w:val="008C0BEB"/>
    <w:rsid w:val="008C0D60"/>
    <w:rsid w:val="008C0F4C"/>
    <w:rsid w:val="008C1158"/>
    <w:rsid w:val="008C1B35"/>
    <w:rsid w:val="008C2992"/>
    <w:rsid w:val="008C3505"/>
    <w:rsid w:val="008C351E"/>
    <w:rsid w:val="008C420E"/>
    <w:rsid w:val="008C4813"/>
    <w:rsid w:val="008C4E3C"/>
    <w:rsid w:val="008C6137"/>
    <w:rsid w:val="008C62D6"/>
    <w:rsid w:val="008C679F"/>
    <w:rsid w:val="008C74B0"/>
    <w:rsid w:val="008D088E"/>
    <w:rsid w:val="008D097D"/>
    <w:rsid w:val="008D273D"/>
    <w:rsid w:val="008D336D"/>
    <w:rsid w:val="008D4B72"/>
    <w:rsid w:val="008D52B1"/>
    <w:rsid w:val="008D5585"/>
    <w:rsid w:val="008D7A27"/>
    <w:rsid w:val="008D7B1D"/>
    <w:rsid w:val="008E03A0"/>
    <w:rsid w:val="008E0AD2"/>
    <w:rsid w:val="008E11A4"/>
    <w:rsid w:val="008E163A"/>
    <w:rsid w:val="008E2645"/>
    <w:rsid w:val="008E3057"/>
    <w:rsid w:val="008E3189"/>
    <w:rsid w:val="008E3252"/>
    <w:rsid w:val="008E3BB0"/>
    <w:rsid w:val="008E4ED6"/>
    <w:rsid w:val="008E5156"/>
    <w:rsid w:val="008E6518"/>
    <w:rsid w:val="008E654A"/>
    <w:rsid w:val="008E7571"/>
    <w:rsid w:val="008E7715"/>
    <w:rsid w:val="008F1A61"/>
    <w:rsid w:val="008F23C2"/>
    <w:rsid w:val="008F33A0"/>
    <w:rsid w:val="008F410A"/>
    <w:rsid w:val="008F4B7D"/>
    <w:rsid w:val="008F4FAD"/>
    <w:rsid w:val="008F5354"/>
    <w:rsid w:val="008F54CD"/>
    <w:rsid w:val="008F58B7"/>
    <w:rsid w:val="008F6DA7"/>
    <w:rsid w:val="008F7E8C"/>
    <w:rsid w:val="00900A26"/>
    <w:rsid w:val="0090190B"/>
    <w:rsid w:val="00902B00"/>
    <w:rsid w:val="00902F85"/>
    <w:rsid w:val="0090367D"/>
    <w:rsid w:val="00904480"/>
    <w:rsid w:val="0090465D"/>
    <w:rsid w:val="0090478D"/>
    <w:rsid w:val="00904EB1"/>
    <w:rsid w:val="00905187"/>
    <w:rsid w:val="00905548"/>
    <w:rsid w:val="0090568B"/>
    <w:rsid w:val="0090618B"/>
    <w:rsid w:val="009066A2"/>
    <w:rsid w:val="00907151"/>
    <w:rsid w:val="00907DDB"/>
    <w:rsid w:val="009104FF"/>
    <w:rsid w:val="009108F1"/>
    <w:rsid w:val="00911334"/>
    <w:rsid w:val="00911512"/>
    <w:rsid w:val="00911A35"/>
    <w:rsid w:val="00911F32"/>
    <w:rsid w:val="009120C5"/>
    <w:rsid w:val="009127E3"/>
    <w:rsid w:val="00912B1E"/>
    <w:rsid w:val="00912C98"/>
    <w:rsid w:val="00912E04"/>
    <w:rsid w:val="0091384A"/>
    <w:rsid w:val="009161F6"/>
    <w:rsid w:val="0091696B"/>
    <w:rsid w:val="009179EA"/>
    <w:rsid w:val="00920D72"/>
    <w:rsid w:val="009212C4"/>
    <w:rsid w:val="009214DF"/>
    <w:rsid w:val="009223E3"/>
    <w:rsid w:val="0092332A"/>
    <w:rsid w:val="0092358D"/>
    <w:rsid w:val="00923726"/>
    <w:rsid w:val="009237F0"/>
    <w:rsid w:val="00925143"/>
    <w:rsid w:val="00925749"/>
    <w:rsid w:val="00926337"/>
    <w:rsid w:val="00926C46"/>
    <w:rsid w:val="00930EEE"/>
    <w:rsid w:val="0093142A"/>
    <w:rsid w:val="009318FB"/>
    <w:rsid w:val="00934607"/>
    <w:rsid w:val="00934948"/>
    <w:rsid w:val="00935221"/>
    <w:rsid w:val="00936AFE"/>
    <w:rsid w:val="0093700E"/>
    <w:rsid w:val="009374C1"/>
    <w:rsid w:val="00940BBE"/>
    <w:rsid w:val="00940DB6"/>
    <w:rsid w:val="00941E37"/>
    <w:rsid w:val="009435D6"/>
    <w:rsid w:val="009444D6"/>
    <w:rsid w:val="00944D56"/>
    <w:rsid w:val="0094521B"/>
    <w:rsid w:val="0094599D"/>
    <w:rsid w:val="00945AA0"/>
    <w:rsid w:val="00945C51"/>
    <w:rsid w:val="009467CB"/>
    <w:rsid w:val="00946ECC"/>
    <w:rsid w:val="00950729"/>
    <w:rsid w:val="009513C7"/>
    <w:rsid w:val="00951B6D"/>
    <w:rsid w:val="009528D1"/>
    <w:rsid w:val="009543AF"/>
    <w:rsid w:val="00954ED9"/>
    <w:rsid w:val="00955A34"/>
    <w:rsid w:val="00956452"/>
    <w:rsid w:val="0095754A"/>
    <w:rsid w:val="0096032D"/>
    <w:rsid w:val="00961145"/>
    <w:rsid w:val="00962CFD"/>
    <w:rsid w:val="00963B70"/>
    <w:rsid w:val="0096406F"/>
    <w:rsid w:val="009642D8"/>
    <w:rsid w:val="00964609"/>
    <w:rsid w:val="00965BFF"/>
    <w:rsid w:val="00965E86"/>
    <w:rsid w:val="00966A44"/>
    <w:rsid w:val="00967962"/>
    <w:rsid w:val="00970094"/>
    <w:rsid w:val="00971536"/>
    <w:rsid w:val="009718C6"/>
    <w:rsid w:val="009720F6"/>
    <w:rsid w:val="009728E7"/>
    <w:rsid w:val="0097324A"/>
    <w:rsid w:val="00973D3A"/>
    <w:rsid w:val="00974A46"/>
    <w:rsid w:val="009756A4"/>
    <w:rsid w:val="009764DD"/>
    <w:rsid w:val="009766F5"/>
    <w:rsid w:val="009768B3"/>
    <w:rsid w:val="00981B81"/>
    <w:rsid w:val="00982BB1"/>
    <w:rsid w:val="00982BD7"/>
    <w:rsid w:val="00983196"/>
    <w:rsid w:val="00984153"/>
    <w:rsid w:val="00985087"/>
    <w:rsid w:val="00986199"/>
    <w:rsid w:val="00990134"/>
    <w:rsid w:val="00991B93"/>
    <w:rsid w:val="00993006"/>
    <w:rsid w:val="0099341E"/>
    <w:rsid w:val="00993C3D"/>
    <w:rsid w:val="00994972"/>
    <w:rsid w:val="00994BBD"/>
    <w:rsid w:val="00994FE6"/>
    <w:rsid w:val="009954AB"/>
    <w:rsid w:val="009954F9"/>
    <w:rsid w:val="00995925"/>
    <w:rsid w:val="00995957"/>
    <w:rsid w:val="00995EA2"/>
    <w:rsid w:val="00996B2D"/>
    <w:rsid w:val="009A00D6"/>
    <w:rsid w:val="009A016C"/>
    <w:rsid w:val="009A1948"/>
    <w:rsid w:val="009A1ABB"/>
    <w:rsid w:val="009A1C38"/>
    <w:rsid w:val="009A4092"/>
    <w:rsid w:val="009A4469"/>
    <w:rsid w:val="009A48EF"/>
    <w:rsid w:val="009A521C"/>
    <w:rsid w:val="009A6741"/>
    <w:rsid w:val="009A686F"/>
    <w:rsid w:val="009B0213"/>
    <w:rsid w:val="009B13B7"/>
    <w:rsid w:val="009B152A"/>
    <w:rsid w:val="009B2180"/>
    <w:rsid w:val="009B257D"/>
    <w:rsid w:val="009B42DC"/>
    <w:rsid w:val="009B470A"/>
    <w:rsid w:val="009B4F1D"/>
    <w:rsid w:val="009B5811"/>
    <w:rsid w:val="009B63DF"/>
    <w:rsid w:val="009B74F5"/>
    <w:rsid w:val="009C096D"/>
    <w:rsid w:val="009C1A01"/>
    <w:rsid w:val="009C20D2"/>
    <w:rsid w:val="009C2656"/>
    <w:rsid w:val="009C30B9"/>
    <w:rsid w:val="009C506D"/>
    <w:rsid w:val="009C5DAC"/>
    <w:rsid w:val="009C5E7A"/>
    <w:rsid w:val="009C5EDF"/>
    <w:rsid w:val="009C7297"/>
    <w:rsid w:val="009C771E"/>
    <w:rsid w:val="009D0D94"/>
    <w:rsid w:val="009D1190"/>
    <w:rsid w:val="009D1D98"/>
    <w:rsid w:val="009D269C"/>
    <w:rsid w:val="009D326B"/>
    <w:rsid w:val="009D34FA"/>
    <w:rsid w:val="009D3EEE"/>
    <w:rsid w:val="009D50C8"/>
    <w:rsid w:val="009D5592"/>
    <w:rsid w:val="009D58E1"/>
    <w:rsid w:val="009D63CF"/>
    <w:rsid w:val="009D6A56"/>
    <w:rsid w:val="009D7D6D"/>
    <w:rsid w:val="009E06DC"/>
    <w:rsid w:val="009E06E4"/>
    <w:rsid w:val="009E1B2C"/>
    <w:rsid w:val="009E2329"/>
    <w:rsid w:val="009E3B6D"/>
    <w:rsid w:val="009E3CB3"/>
    <w:rsid w:val="009E3D50"/>
    <w:rsid w:val="009E6005"/>
    <w:rsid w:val="009E649B"/>
    <w:rsid w:val="009E6540"/>
    <w:rsid w:val="009E6FB1"/>
    <w:rsid w:val="009E7447"/>
    <w:rsid w:val="009E75A9"/>
    <w:rsid w:val="009F02C8"/>
    <w:rsid w:val="009F169E"/>
    <w:rsid w:val="009F1D2C"/>
    <w:rsid w:val="009F28AD"/>
    <w:rsid w:val="009F2939"/>
    <w:rsid w:val="009F4F03"/>
    <w:rsid w:val="009F5017"/>
    <w:rsid w:val="009F5C2E"/>
    <w:rsid w:val="009F5F28"/>
    <w:rsid w:val="009F7522"/>
    <w:rsid w:val="009F792B"/>
    <w:rsid w:val="00A0062C"/>
    <w:rsid w:val="00A00D54"/>
    <w:rsid w:val="00A017D7"/>
    <w:rsid w:val="00A01937"/>
    <w:rsid w:val="00A01AE7"/>
    <w:rsid w:val="00A01FFB"/>
    <w:rsid w:val="00A02706"/>
    <w:rsid w:val="00A02BDB"/>
    <w:rsid w:val="00A03314"/>
    <w:rsid w:val="00A0359A"/>
    <w:rsid w:val="00A0398F"/>
    <w:rsid w:val="00A03BE9"/>
    <w:rsid w:val="00A04147"/>
    <w:rsid w:val="00A04206"/>
    <w:rsid w:val="00A044D9"/>
    <w:rsid w:val="00A056CF"/>
    <w:rsid w:val="00A07D79"/>
    <w:rsid w:val="00A1011A"/>
    <w:rsid w:val="00A110A5"/>
    <w:rsid w:val="00A11229"/>
    <w:rsid w:val="00A121F1"/>
    <w:rsid w:val="00A12AF9"/>
    <w:rsid w:val="00A13382"/>
    <w:rsid w:val="00A13470"/>
    <w:rsid w:val="00A1353C"/>
    <w:rsid w:val="00A13757"/>
    <w:rsid w:val="00A138B7"/>
    <w:rsid w:val="00A138BD"/>
    <w:rsid w:val="00A138D6"/>
    <w:rsid w:val="00A14434"/>
    <w:rsid w:val="00A16630"/>
    <w:rsid w:val="00A168E1"/>
    <w:rsid w:val="00A16C9B"/>
    <w:rsid w:val="00A21AA9"/>
    <w:rsid w:val="00A21D50"/>
    <w:rsid w:val="00A22910"/>
    <w:rsid w:val="00A252ED"/>
    <w:rsid w:val="00A269A5"/>
    <w:rsid w:val="00A26F1A"/>
    <w:rsid w:val="00A30E20"/>
    <w:rsid w:val="00A31BCC"/>
    <w:rsid w:val="00A3235D"/>
    <w:rsid w:val="00A34D5D"/>
    <w:rsid w:val="00A35545"/>
    <w:rsid w:val="00A358E9"/>
    <w:rsid w:val="00A3695F"/>
    <w:rsid w:val="00A374BD"/>
    <w:rsid w:val="00A3777B"/>
    <w:rsid w:val="00A37C52"/>
    <w:rsid w:val="00A37E7E"/>
    <w:rsid w:val="00A40035"/>
    <w:rsid w:val="00A40360"/>
    <w:rsid w:val="00A40CC1"/>
    <w:rsid w:val="00A41679"/>
    <w:rsid w:val="00A41C10"/>
    <w:rsid w:val="00A429F7"/>
    <w:rsid w:val="00A42BFE"/>
    <w:rsid w:val="00A42FA3"/>
    <w:rsid w:val="00A4382E"/>
    <w:rsid w:val="00A438BC"/>
    <w:rsid w:val="00A43F5E"/>
    <w:rsid w:val="00A461F7"/>
    <w:rsid w:val="00A47A2F"/>
    <w:rsid w:val="00A5044B"/>
    <w:rsid w:val="00A5044F"/>
    <w:rsid w:val="00A50A00"/>
    <w:rsid w:val="00A5226B"/>
    <w:rsid w:val="00A54E58"/>
    <w:rsid w:val="00A55708"/>
    <w:rsid w:val="00A561B9"/>
    <w:rsid w:val="00A56641"/>
    <w:rsid w:val="00A56913"/>
    <w:rsid w:val="00A60059"/>
    <w:rsid w:val="00A6241A"/>
    <w:rsid w:val="00A62899"/>
    <w:rsid w:val="00A629A9"/>
    <w:rsid w:val="00A646CD"/>
    <w:rsid w:val="00A64806"/>
    <w:rsid w:val="00A67FC6"/>
    <w:rsid w:val="00A70ED1"/>
    <w:rsid w:val="00A717ED"/>
    <w:rsid w:val="00A71DC9"/>
    <w:rsid w:val="00A7211C"/>
    <w:rsid w:val="00A74665"/>
    <w:rsid w:val="00A752C0"/>
    <w:rsid w:val="00A76B53"/>
    <w:rsid w:val="00A777F8"/>
    <w:rsid w:val="00A805F4"/>
    <w:rsid w:val="00A80CF3"/>
    <w:rsid w:val="00A819BB"/>
    <w:rsid w:val="00A81A5E"/>
    <w:rsid w:val="00A82D48"/>
    <w:rsid w:val="00A836AF"/>
    <w:rsid w:val="00A838EF"/>
    <w:rsid w:val="00A858C4"/>
    <w:rsid w:val="00A85A40"/>
    <w:rsid w:val="00A85D2B"/>
    <w:rsid w:val="00A860B5"/>
    <w:rsid w:val="00A862D0"/>
    <w:rsid w:val="00A865D4"/>
    <w:rsid w:val="00A87724"/>
    <w:rsid w:val="00A87DF5"/>
    <w:rsid w:val="00A9007B"/>
    <w:rsid w:val="00A903ED"/>
    <w:rsid w:val="00A912F2"/>
    <w:rsid w:val="00A91878"/>
    <w:rsid w:val="00A922BB"/>
    <w:rsid w:val="00A9257C"/>
    <w:rsid w:val="00A9352B"/>
    <w:rsid w:val="00A93576"/>
    <w:rsid w:val="00A937BC"/>
    <w:rsid w:val="00A944CC"/>
    <w:rsid w:val="00A94601"/>
    <w:rsid w:val="00A95460"/>
    <w:rsid w:val="00A95E51"/>
    <w:rsid w:val="00A96327"/>
    <w:rsid w:val="00A977B8"/>
    <w:rsid w:val="00A97A41"/>
    <w:rsid w:val="00AA0109"/>
    <w:rsid w:val="00AA0435"/>
    <w:rsid w:val="00AA0584"/>
    <w:rsid w:val="00AA0A41"/>
    <w:rsid w:val="00AA0B29"/>
    <w:rsid w:val="00AA1D15"/>
    <w:rsid w:val="00AA4663"/>
    <w:rsid w:val="00AA4864"/>
    <w:rsid w:val="00AA4AF9"/>
    <w:rsid w:val="00AA4C8E"/>
    <w:rsid w:val="00AA5175"/>
    <w:rsid w:val="00AA59F3"/>
    <w:rsid w:val="00AA69D7"/>
    <w:rsid w:val="00AA7513"/>
    <w:rsid w:val="00AB09A9"/>
    <w:rsid w:val="00AB0A07"/>
    <w:rsid w:val="00AB253C"/>
    <w:rsid w:val="00AB2C55"/>
    <w:rsid w:val="00AB378B"/>
    <w:rsid w:val="00AB54E2"/>
    <w:rsid w:val="00AB5D8A"/>
    <w:rsid w:val="00AB7C10"/>
    <w:rsid w:val="00AC008F"/>
    <w:rsid w:val="00AC05A1"/>
    <w:rsid w:val="00AC3592"/>
    <w:rsid w:val="00AC3BF1"/>
    <w:rsid w:val="00AC3FD9"/>
    <w:rsid w:val="00AC664F"/>
    <w:rsid w:val="00AC6863"/>
    <w:rsid w:val="00AD05EC"/>
    <w:rsid w:val="00AD0FC1"/>
    <w:rsid w:val="00AD181D"/>
    <w:rsid w:val="00AD27A3"/>
    <w:rsid w:val="00AD298B"/>
    <w:rsid w:val="00AD2B89"/>
    <w:rsid w:val="00AD3FF8"/>
    <w:rsid w:val="00AD423E"/>
    <w:rsid w:val="00AD4969"/>
    <w:rsid w:val="00AD4A3D"/>
    <w:rsid w:val="00AD58A8"/>
    <w:rsid w:val="00AD66D0"/>
    <w:rsid w:val="00AD74EC"/>
    <w:rsid w:val="00AE1563"/>
    <w:rsid w:val="00AE1A9C"/>
    <w:rsid w:val="00AE1FBC"/>
    <w:rsid w:val="00AE2AC1"/>
    <w:rsid w:val="00AE3676"/>
    <w:rsid w:val="00AE38DE"/>
    <w:rsid w:val="00AE395F"/>
    <w:rsid w:val="00AE53FD"/>
    <w:rsid w:val="00AE5A9D"/>
    <w:rsid w:val="00AE5CFB"/>
    <w:rsid w:val="00AE7758"/>
    <w:rsid w:val="00AE7F75"/>
    <w:rsid w:val="00AF08C1"/>
    <w:rsid w:val="00AF0BB2"/>
    <w:rsid w:val="00AF184D"/>
    <w:rsid w:val="00AF19CB"/>
    <w:rsid w:val="00AF335C"/>
    <w:rsid w:val="00AF3EC8"/>
    <w:rsid w:val="00AF4524"/>
    <w:rsid w:val="00AF512A"/>
    <w:rsid w:val="00AF54E3"/>
    <w:rsid w:val="00AF55EB"/>
    <w:rsid w:val="00AF6617"/>
    <w:rsid w:val="00AF6E70"/>
    <w:rsid w:val="00AF6F41"/>
    <w:rsid w:val="00B0087B"/>
    <w:rsid w:val="00B00BC4"/>
    <w:rsid w:val="00B01515"/>
    <w:rsid w:val="00B01A2F"/>
    <w:rsid w:val="00B0294B"/>
    <w:rsid w:val="00B02D77"/>
    <w:rsid w:val="00B03A41"/>
    <w:rsid w:val="00B03EFC"/>
    <w:rsid w:val="00B0440D"/>
    <w:rsid w:val="00B04981"/>
    <w:rsid w:val="00B05269"/>
    <w:rsid w:val="00B054DF"/>
    <w:rsid w:val="00B057C3"/>
    <w:rsid w:val="00B05CCC"/>
    <w:rsid w:val="00B0616E"/>
    <w:rsid w:val="00B06652"/>
    <w:rsid w:val="00B079ED"/>
    <w:rsid w:val="00B10E64"/>
    <w:rsid w:val="00B1177C"/>
    <w:rsid w:val="00B122AF"/>
    <w:rsid w:val="00B136BA"/>
    <w:rsid w:val="00B138CA"/>
    <w:rsid w:val="00B14065"/>
    <w:rsid w:val="00B14892"/>
    <w:rsid w:val="00B14C13"/>
    <w:rsid w:val="00B14D6B"/>
    <w:rsid w:val="00B155CF"/>
    <w:rsid w:val="00B1566D"/>
    <w:rsid w:val="00B15D19"/>
    <w:rsid w:val="00B16115"/>
    <w:rsid w:val="00B165CC"/>
    <w:rsid w:val="00B1700B"/>
    <w:rsid w:val="00B20D00"/>
    <w:rsid w:val="00B21740"/>
    <w:rsid w:val="00B22F7F"/>
    <w:rsid w:val="00B23520"/>
    <w:rsid w:val="00B24791"/>
    <w:rsid w:val="00B250DB"/>
    <w:rsid w:val="00B25EE8"/>
    <w:rsid w:val="00B26CA5"/>
    <w:rsid w:val="00B310F2"/>
    <w:rsid w:val="00B311FE"/>
    <w:rsid w:val="00B3128B"/>
    <w:rsid w:val="00B31672"/>
    <w:rsid w:val="00B32BBA"/>
    <w:rsid w:val="00B32FC9"/>
    <w:rsid w:val="00B33155"/>
    <w:rsid w:val="00B336E3"/>
    <w:rsid w:val="00B3393D"/>
    <w:rsid w:val="00B34718"/>
    <w:rsid w:val="00B3491A"/>
    <w:rsid w:val="00B35795"/>
    <w:rsid w:val="00B35A87"/>
    <w:rsid w:val="00B35AC2"/>
    <w:rsid w:val="00B36B74"/>
    <w:rsid w:val="00B41426"/>
    <w:rsid w:val="00B42027"/>
    <w:rsid w:val="00B4255F"/>
    <w:rsid w:val="00B44A29"/>
    <w:rsid w:val="00B45069"/>
    <w:rsid w:val="00B453B7"/>
    <w:rsid w:val="00B45546"/>
    <w:rsid w:val="00B45570"/>
    <w:rsid w:val="00B455AB"/>
    <w:rsid w:val="00B45E7F"/>
    <w:rsid w:val="00B4618C"/>
    <w:rsid w:val="00B468DA"/>
    <w:rsid w:val="00B46BDC"/>
    <w:rsid w:val="00B47F2D"/>
    <w:rsid w:val="00B51018"/>
    <w:rsid w:val="00B5155D"/>
    <w:rsid w:val="00B51880"/>
    <w:rsid w:val="00B5196E"/>
    <w:rsid w:val="00B51FAF"/>
    <w:rsid w:val="00B527E5"/>
    <w:rsid w:val="00B53DD8"/>
    <w:rsid w:val="00B54051"/>
    <w:rsid w:val="00B5464A"/>
    <w:rsid w:val="00B54781"/>
    <w:rsid w:val="00B54894"/>
    <w:rsid w:val="00B55754"/>
    <w:rsid w:val="00B57C59"/>
    <w:rsid w:val="00B57F70"/>
    <w:rsid w:val="00B60457"/>
    <w:rsid w:val="00B60822"/>
    <w:rsid w:val="00B61601"/>
    <w:rsid w:val="00B62676"/>
    <w:rsid w:val="00B635A3"/>
    <w:rsid w:val="00B63670"/>
    <w:rsid w:val="00B63E33"/>
    <w:rsid w:val="00B6405F"/>
    <w:rsid w:val="00B65376"/>
    <w:rsid w:val="00B6553E"/>
    <w:rsid w:val="00B65EFE"/>
    <w:rsid w:val="00B662E2"/>
    <w:rsid w:val="00B67B3C"/>
    <w:rsid w:val="00B705B6"/>
    <w:rsid w:val="00B70D46"/>
    <w:rsid w:val="00B710D7"/>
    <w:rsid w:val="00B719F8"/>
    <w:rsid w:val="00B71B15"/>
    <w:rsid w:val="00B72487"/>
    <w:rsid w:val="00B72A4F"/>
    <w:rsid w:val="00B736BA"/>
    <w:rsid w:val="00B73D26"/>
    <w:rsid w:val="00B746DD"/>
    <w:rsid w:val="00B748B1"/>
    <w:rsid w:val="00B74A0C"/>
    <w:rsid w:val="00B74D26"/>
    <w:rsid w:val="00B76697"/>
    <w:rsid w:val="00B766CB"/>
    <w:rsid w:val="00B76AA4"/>
    <w:rsid w:val="00B771EE"/>
    <w:rsid w:val="00B773EE"/>
    <w:rsid w:val="00B80D80"/>
    <w:rsid w:val="00B80D88"/>
    <w:rsid w:val="00B80E9D"/>
    <w:rsid w:val="00B81086"/>
    <w:rsid w:val="00B81254"/>
    <w:rsid w:val="00B8138B"/>
    <w:rsid w:val="00B81A82"/>
    <w:rsid w:val="00B823F5"/>
    <w:rsid w:val="00B82E0F"/>
    <w:rsid w:val="00B83353"/>
    <w:rsid w:val="00B833EB"/>
    <w:rsid w:val="00B83489"/>
    <w:rsid w:val="00B83A89"/>
    <w:rsid w:val="00B84C11"/>
    <w:rsid w:val="00B85FEA"/>
    <w:rsid w:val="00B8641E"/>
    <w:rsid w:val="00B86AD2"/>
    <w:rsid w:val="00B86C17"/>
    <w:rsid w:val="00B8792D"/>
    <w:rsid w:val="00B9088F"/>
    <w:rsid w:val="00B90901"/>
    <w:rsid w:val="00B9161B"/>
    <w:rsid w:val="00B91D83"/>
    <w:rsid w:val="00B926B7"/>
    <w:rsid w:val="00B92BA7"/>
    <w:rsid w:val="00B92D6C"/>
    <w:rsid w:val="00B938BB"/>
    <w:rsid w:val="00B94FDA"/>
    <w:rsid w:val="00B950A7"/>
    <w:rsid w:val="00B95326"/>
    <w:rsid w:val="00BA0114"/>
    <w:rsid w:val="00BA0452"/>
    <w:rsid w:val="00BA071C"/>
    <w:rsid w:val="00BA0BB5"/>
    <w:rsid w:val="00BA0C6A"/>
    <w:rsid w:val="00BA2AE8"/>
    <w:rsid w:val="00BA321C"/>
    <w:rsid w:val="00BA38A5"/>
    <w:rsid w:val="00BA3D97"/>
    <w:rsid w:val="00BA3E18"/>
    <w:rsid w:val="00BA4B2E"/>
    <w:rsid w:val="00BA4D03"/>
    <w:rsid w:val="00BA541A"/>
    <w:rsid w:val="00BA59C3"/>
    <w:rsid w:val="00BA644A"/>
    <w:rsid w:val="00BA6832"/>
    <w:rsid w:val="00BB0BBD"/>
    <w:rsid w:val="00BB13E2"/>
    <w:rsid w:val="00BB1B0A"/>
    <w:rsid w:val="00BB1DCB"/>
    <w:rsid w:val="00BB286A"/>
    <w:rsid w:val="00BB2D8D"/>
    <w:rsid w:val="00BB3116"/>
    <w:rsid w:val="00BB5126"/>
    <w:rsid w:val="00BB5194"/>
    <w:rsid w:val="00BB5EDC"/>
    <w:rsid w:val="00BC152C"/>
    <w:rsid w:val="00BC23E2"/>
    <w:rsid w:val="00BC2AFF"/>
    <w:rsid w:val="00BC2DC4"/>
    <w:rsid w:val="00BC3748"/>
    <w:rsid w:val="00BC40A5"/>
    <w:rsid w:val="00BC438C"/>
    <w:rsid w:val="00BC51A6"/>
    <w:rsid w:val="00BC51AB"/>
    <w:rsid w:val="00BC5668"/>
    <w:rsid w:val="00BC57B2"/>
    <w:rsid w:val="00BC5E8D"/>
    <w:rsid w:val="00BC643D"/>
    <w:rsid w:val="00BD0F10"/>
    <w:rsid w:val="00BD21F3"/>
    <w:rsid w:val="00BD29BB"/>
    <w:rsid w:val="00BD34F2"/>
    <w:rsid w:val="00BD391B"/>
    <w:rsid w:val="00BD4993"/>
    <w:rsid w:val="00BD5AAA"/>
    <w:rsid w:val="00BD5C34"/>
    <w:rsid w:val="00BD7351"/>
    <w:rsid w:val="00BD7CC1"/>
    <w:rsid w:val="00BD7D76"/>
    <w:rsid w:val="00BE0953"/>
    <w:rsid w:val="00BE0A75"/>
    <w:rsid w:val="00BE1EE1"/>
    <w:rsid w:val="00BE2387"/>
    <w:rsid w:val="00BE297C"/>
    <w:rsid w:val="00BE2B60"/>
    <w:rsid w:val="00BE2B66"/>
    <w:rsid w:val="00BE307F"/>
    <w:rsid w:val="00BE3CEC"/>
    <w:rsid w:val="00BE531C"/>
    <w:rsid w:val="00BE5B2A"/>
    <w:rsid w:val="00BE6A0F"/>
    <w:rsid w:val="00BE6D44"/>
    <w:rsid w:val="00BE759F"/>
    <w:rsid w:val="00BE766C"/>
    <w:rsid w:val="00BE7BDD"/>
    <w:rsid w:val="00BE7DA4"/>
    <w:rsid w:val="00BE7EC5"/>
    <w:rsid w:val="00BF03CE"/>
    <w:rsid w:val="00BF1145"/>
    <w:rsid w:val="00BF1826"/>
    <w:rsid w:val="00BF1E58"/>
    <w:rsid w:val="00BF2371"/>
    <w:rsid w:val="00BF2F8E"/>
    <w:rsid w:val="00BF354E"/>
    <w:rsid w:val="00BF4DF5"/>
    <w:rsid w:val="00BF5F69"/>
    <w:rsid w:val="00BF6173"/>
    <w:rsid w:val="00BF6341"/>
    <w:rsid w:val="00BF78CD"/>
    <w:rsid w:val="00BF7B2A"/>
    <w:rsid w:val="00C011BF"/>
    <w:rsid w:val="00C01375"/>
    <w:rsid w:val="00C02105"/>
    <w:rsid w:val="00C0240A"/>
    <w:rsid w:val="00C03162"/>
    <w:rsid w:val="00C04225"/>
    <w:rsid w:val="00C043FA"/>
    <w:rsid w:val="00C06D40"/>
    <w:rsid w:val="00C06F3B"/>
    <w:rsid w:val="00C06F97"/>
    <w:rsid w:val="00C11F8C"/>
    <w:rsid w:val="00C133B1"/>
    <w:rsid w:val="00C138BE"/>
    <w:rsid w:val="00C14E73"/>
    <w:rsid w:val="00C16617"/>
    <w:rsid w:val="00C16B15"/>
    <w:rsid w:val="00C16EBD"/>
    <w:rsid w:val="00C1719C"/>
    <w:rsid w:val="00C17D07"/>
    <w:rsid w:val="00C22996"/>
    <w:rsid w:val="00C22DB0"/>
    <w:rsid w:val="00C2317F"/>
    <w:rsid w:val="00C23245"/>
    <w:rsid w:val="00C23BC8"/>
    <w:rsid w:val="00C24F10"/>
    <w:rsid w:val="00C251BD"/>
    <w:rsid w:val="00C25297"/>
    <w:rsid w:val="00C255B3"/>
    <w:rsid w:val="00C25707"/>
    <w:rsid w:val="00C30576"/>
    <w:rsid w:val="00C31DB2"/>
    <w:rsid w:val="00C320AD"/>
    <w:rsid w:val="00C32A31"/>
    <w:rsid w:val="00C33B83"/>
    <w:rsid w:val="00C33FF4"/>
    <w:rsid w:val="00C3640C"/>
    <w:rsid w:val="00C370FA"/>
    <w:rsid w:val="00C424E5"/>
    <w:rsid w:val="00C425E0"/>
    <w:rsid w:val="00C4268B"/>
    <w:rsid w:val="00C42E85"/>
    <w:rsid w:val="00C43023"/>
    <w:rsid w:val="00C43987"/>
    <w:rsid w:val="00C43F5F"/>
    <w:rsid w:val="00C4442B"/>
    <w:rsid w:val="00C44903"/>
    <w:rsid w:val="00C45BA7"/>
    <w:rsid w:val="00C468A1"/>
    <w:rsid w:val="00C47162"/>
    <w:rsid w:val="00C47C27"/>
    <w:rsid w:val="00C47D56"/>
    <w:rsid w:val="00C47E30"/>
    <w:rsid w:val="00C50E18"/>
    <w:rsid w:val="00C51239"/>
    <w:rsid w:val="00C52A20"/>
    <w:rsid w:val="00C53EB8"/>
    <w:rsid w:val="00C54733"/>
    <w:rsid w:val="00C55AF9"/>
    <w:rsid w:val="00C563B1"/>
    <w:rsid w:val="00C5674F"/>
    <w:rsid w:val="00C5727E"/>
    <w:rsid w:val="00C57BD3"/>
    <w:rsid w:val="00C61F18"/>
    <w:rsid w:val="00C62468"/>
    <w:rsid w:val="00C624BF"/>
    <w:rsid w:val="00C626A4"/>
    <w:rsid w:val="00C65BE2"/>
    <w:rsid w:val="00C7083F"/>
    <w:rsid w:val="00C71C73"/>
    <w:rsid w:val="00C71DE0"/>
    <w:rsid w:val="00C7350A"/>
    <w:rsid w:val="00C7494F"/>
    <w:rsid w:val="00C74AC3"/>
    <w:rsid w:val="00C76709"/>
    <w:rsid w:val="00C77332"/>
    <w:rsid w:val="00C77678"/>
    <w:rsid w:val="00C77D32"/>
    <w:rsid w:val="00C8093A"/>
    <w:rsid w:val="00C80F5D"/>
    <w:rsid w:val="00C81118"/>
    <w:rsid w:val="00C82502"/>
    <w:rsid w:val="00C85500"/>
    <w:rsid w:val="00C85B3F"/>
    <w:rsid w:val="00C86C9E"/>
    <w:rsid w:val="00C87C96"/>
    <w:rsid w:val="00C902B7"/>
    <w:rsid w:val="00C908FA"/>
    <w:rsid w:val="00C90BFF"/>
    <w:rsid w:val="00C91068"/>
    <w:rsid w:val="00C91A57"/>
    <w:rsid w:val="00C93D27"/>
    <w:rsid w:val="00C97700"/>
    <w:rsid w:val="00C97AE9"/>
    <w:rsid w:val="00C97F9E"/>
    <w:rsid w:val="00CA0109"/>
    <w:rsid w:val="00CA039E"/>
    <w:rsid w:val="00CA2EE9"/>
    <w:rsid w:val="00CA305E"/>
    <w:rsid w:val="00CA40DA"/>
    <w:rsid w:val="00CA4552"/>
    <w:rsid w:val="00CA469B"/>
    <w:rsid w:val="00CA4F32"/>
    <w:rsid w:val="00CA5FAC"/>
    <w:rsid w:val="00CA67AA"/>
    <w:rsid w:val="00CA6BEA"/>
    <w:rsid w:val="00CA6C98"/>
    <w:rsid w:val="00CA7446"/>
    <w:rsid w:val="00CA7CB6"/>
    <w:rsid w:val="00CB08CF"/>
    <w:rsid w:val="00CB0B8D"/>
    <w:rsid w:val="00CB1053"/>
    <w:rsid w:val="00CB1BEB"/>
    <w:rsid w:val="00CB2AAD"/>
    <w:rsid w:val="00CB3639"/>
    <w:rsid w:val="00CB38BB"/>
    <w:rsid w:val="00CB3980"/>
    <w:rsid w:val="00CB3EAE"/>
    <w:rsid w:val="00CB41FF"/>
    <w:rsid w:val="00CB6B64"/>
    <w:rsid w:val="00CB734B"/>
    <w:rsid w:val="00CB7D08"/>
    <w:rsid w:val="00CC1512"/>
    <w:rsid w:val="00CC177E"/>
    <w:rsid w:val="00CC2BF7"/>
    <w:rsid w:val="00CC3900"/>
    <w:rsid w:val="00CC3ACA"/>
    <w:rsid w:val="00CC419D"/>
    <w:rsid w:val="00CC4D0F"/>
    <w:rsid w:val="00CC5B4F"/>
    <w:rsid w:val="00CC6838"/>
    <w:rsid w:val="00CC710C"/>
    <w:rsid w:val="00CC76F9"/>
    <w:rsid w:val="00CD1C18"/>
    <w:rsid w:val="00CD1C27"/>
    <w:rsid w:val="00CD2335"/>
    <w:rsid w:val="00CD55DC"/>
    <w:rsid w:val="00CE0197"/>
    <w:rsid w:val="00CE0D18"/>
    <w:rsid w:val="00CE15A4"/>
    <w:rsid w:val="00CE15EE"/>
    <w:rsid w:val="00CE193E"/>
    <w:rsid w:val="00CE22C8"/>
    <w:rsid w:val="00CE24D2"/>
    <w:rsid w:val="00CE388E"/>
    <w:rsid w:val="00CE4285"/>
    <w:rsid w:val="00CE4BAB"/>
    <w:rsid w:val="00CE4C2F"/>
    <w:rsid w:val="00CE5775"/>
    <w:rsid w:val="00CE5815"/>
    <w:rsid w:val="00CE5992"/>
    <w:rsid w:val="00CE5CF4"/>
    <w:rsid w:val="00CE5DA9"/>
    <w:rsid w:val="00CE6670"/>
    <w:rsid w:val="00CE6703"/>
    <w:rsid w:val="00CE697D"/>
    <w:rsid w:val="00CF032B"/>
    <w:rsid w:val="00CF0331"/>
    <w:rsid w:val="00CF1F5A"/>
    <w:rsid w:val="00CF2F20"/>
    <w:rsid w:val="00CF391D"/>
    <w:rsid w:val="00CF3946"/>
    <w:rsid w:val="00CF4246"/>
    <w:rsid w:val="00CF5DE5"/>
    <w:rsid w:val="00CF6E10"/>
    <w:rsid w:val="00D00EDE"/>
    <w:rsid w:val="00D0178C"/>
    <w:rsid w:val="00D02438"/>
    <w:rsid w:val="00D03042"/>
    <w:rsid w:val="00D03A15"/>
    <w:rsid w:val="00D04246"/>
    <w:rsid w:val="00D04B0B"/>
    <w:rsid w:val="00D04BAE"/>
    <w:rsid w:val="00D05699"/>
    <w:rsid w:val="00D05915"/>
    <w:rsid w:val="00D06D50"/>
    <w:rsid w:val="00D07054"/>
    <w:rsid w:val="00D11284"/>
    <w:rsid w:val="00D11541"/>
    <w:rsid w:val="00D11B47"/>
    <w:rsid w:val="00D125E0"/>
    <w:rsid w:val="00D160F5"/>
    <w:rsid w:val="00D16992"/>
    <w:rsid w:val="00D16F64"/>
    <w:rsid w:val="00D17DB2"/>
    <w:rsid w:val="00D204D1"/>
    <w:rsid w:val="00D20DA6"/>
    <w:rsid w:val="00D20E73"/>
    <w:rsid w:val="00D21B73"/>
    <w:rsid w:val="00D23896"/>
    <w:rsid w:val="00D25409"/>
    <w:rsid w:val="00D270C5"/>
    <w:rsid w:val="00D27DFC"/>
    <w:rsid w:val="00D32022"/>
    <w:rsid w:val="00D3260A"/>
    <w:rsid w:val="00D3279A"/>
    <w:rsid w:val="00D32B5E"/>
    <w:rsid w:val="00D33750"/>
    <w:rsid w:val="00D33AA6"/>
    <w:rsid w:val="00D349A5"/>
    <w:rsid w:val="00D35DDA"/>
    <w:rsid w:val="00D37779"/>
    <w:rsid w:val="00D40A87"/>
    <w:rsid w:val="00D41AEB"/>
    <w:rsid w:val="00D427AE"/>
    <w:rsid w:val="00D4488E"/>
    <w:rsid w:val="00D45847"/>
    <w:rsid w:val="00D46766"/>
    <w:rsid w:val="00D47878"/>
    <w:rsid w:val="00D5133D"/>
    <w:rsid w:val="00D516C5"/>
    <w:rsid w:val="00D51848"/>
    <w:rsid w:val="00D51C40"/>
    <w:rsid w:val="00D51E42"/>
    <w:rsid w:val="00D52C85"/>
    <w:rsid w:val="00D52FC0"/>
    <w:rsid w:val="00D5306D"/>
    <w:rsid w:val="00D5378A"/>
    <w:rsid w:val="00D5423D"/>
    <w:rsid w:val="00D54492"/>
    <w:rsid w:val="00D54667"/>
    <w:rsid w:val="00D546DE"/>
    <w:rsid w:val="00D54E02"/>
    <w:rsid w:val="00D5527D"/>
    <w:rsid w:val="00D55ACE"/>
    <w:rsid w:val="00D56E32"/>
    <w:rsid w:val="00D57F84"/>
    <w:rsid w:val="00D604C7"/>
    <w:rsid w:val="00D604CC"/>
    <w:rsid w:val="00D60540"/>
    <w:rsid w:val="00D60A92"/>
    <w:rsid w:val="00D61C68"/>
    <w:rsid w:val="00D61F22"/>
    <w:rsid w:val="00D629A6"/>
    <w:rsid w:val="00D63C48"/>
    <w:rsid w:val="00D6406B"/>
    <w:rsid w:val="00D647A6"/>
    <w:rsid w:val="00D64C74"/>
    <w:rsid w:val="00D656F0"/>
    <w:rsid w:val="00D66267"/>
    <w:rsid w:val="00D66C26"/>
    <w:rsid w:val="00D676FC"/>
    <w:rsid w:val="00D67979"/>
    <w:rsid w:val="00D67A4D"/>
    <w:rsid w:val="00D67C4A"/>
    <w:rsid w:val="00D71636"/>
    <w:rsid w:val="00D71A49"/>
    <w:rsid w:val="00D71D83"/>
    <w:rsid w:val="00D71F38"/>
    <w:rsid w:val="00D72435"/>
    <w:rsid w:val="00D72679"/>
    <w:rsid w:val="00D726ED"/>
    <w:rsid w:val="00D763A2"/>
    <w:rsid w:val="00D77797"/>
    <w:rsid w:val="00D8014F"/>
    <w:rsid w:val="00D80DF2"/>
    <w:rsid w:val="00D8156D"/>
    <w:rsid w:val="00D816F4"/>
    <w:rsid w:val="00D817F9"/>
    <w:rsid w:val="00D81E01"/>
    <w:rsid w:val="00D8201F"/>
    <w:rsid w:val="00D820A6"/>
    <w:rsid w:val="00D82922"/>
    <w:rsid w:val="00D84585"/>
    <w:rsid w:val="00D85226"/>
    <w:rsid w:val="00D853F0"/>
    <w:rsid w:val="00D85578"/>
    <w:rsid w:val="00D85786"/>
    <w:rsid w:val="00D85ADB"/>
    <w:rsid w:val="00D863CB"/>
    <w:rsid w:val="00D877DB"/>
    <w:rsid w:val="00D92598"/>
    <w:rsid w:val="00D92AC7"/>
    <w:rsid w:val="00D931E0"/>
    <w:rsid w:val="00D93C6E"/>
    <w:rsid w:val="00D94EAB"/>
    <w:rsid w:val="00D96DC3"/>
    <w:rsid w:val="00D97361"/>
    <w:rsid w:val="00D973C9"/>
    <w:rsid w:val="00DA0AB9"/>
    <w:rsid w:val="00DA0F30"/>
    <w:rsid w:val="00DA11BA"/>
    <w:rsid w:val="00DA13DF"/>
    <w:rsid w:val="00DA2017"/>
    <w:rsid w:val="00DA2E83"/>
    <w:rsid w:val="00DA4ECA"/>
    <w:rsid w:val="00DA52A5"/>
    <w:rsid w:val="00DA5996"/>
    <w:rsid w:val="00DA5FD4"/>
    <w:rsid w:val="00DA63D8"/>
    <w:rsid w:val="00DA67D1"/>
    <w:rsid w:val="00DB0CEB"/>
    <w:rsid w:val="00DB0F0C"/>
    <w:rsid w:val="00DB1002"/>
    <w:rsid w:val="00DB1C33"/>
    <w:rsid w:val="00DB1F67"/>
    <w:rsid w:val="00DB242C"/>
    <w:rsid w:val="00DB28B5"/>
    <w:rsid w:val="00DB2D35"/>
    <w:rsid w:val="00DB2E46"/>
    <w:rsid w:val="00DB3357"/>
    <w:rsid w:val="00DB494A"/>
    <w:rsid w:val="00DB51C3"/>
    <w:rsid w:val="00DB6020"/>
    <w:rsid w:val="00DB67F9"/>
    <w:rsid w:val="00DB6943"/>
    <w:rsid w:val="00DB7139"/>
    <w:rsid w:val="00DB7801"/>
    <w:rsid w:val="00DB7FE0"/>
    <w:rsid w:val="00DC253A"/>
    <w:rsid w:val="00DC2650"/>
    <w:rsid w:val="00DC39B9"/>
    <w:rsid w:val="00DC449F"/>
    <w:rsid w:val="00DC468C"/>
    <w:rsid w:val="00DC59AF"/>
    <w:rsid w:val="00DC629B"/>
    <w:rsid w:val="00DC6592"/>
    <w:rsid w:val="00DC680F"/>
    <w:rsid w:val="00DC6E6D"/>
    <w:rsid w:val="00DC6EC5"/>
    <w:rsid w:val="00DD0378"/>
    <w:rsid w:val="00DD0F42"/>
    <w:rsid w:val="00DD1120"/>
    <w:rsid w:val="00DD14C2"/>
    <w:rsid w:val="00DD29B0"/>
    <w:rsid w:val="00DD342E"/>
    <w:rsid w:val="00DD49FB"/>
    <w:rsid w:val="00DD4E6D"/>
    <w:rsid w:val="00DD5090"/>
    <w:rsid w:val="00DD52A1"/>
    <w:rsid w:val="00DD644B"/>
    <w:rsid w:val="00DD7200"/>
    <w:rsid w:val="00DD7510"/>
    <w:rsid w:val="00DE09F8"/>
    <w:rsid w:val="00DE186B"/>
    <w:rsid w:val="00DE1D13"/>
    <w:rsid w:val="00DE23C1"/>
    <w:rsid w:val="00DE24F9"/>
    <w:rsid w:val="00DE26A0"/>
    <w:rsid w:val="00DE2CCF"/>
    <w:rsid w:val="00DE418A"/>
    <w:rsid w:val="00DE4381"/>
    <w:rsid w:val="00DE478A"/>
    <w:rsid w:val="00DE4955"/>
    <w:rsid w:val="00DE5BDE"/>
    <w:rsid w:val="00DE5F32"/>
    <w:rsid w:val="00DE694F"/>
    <w:rsid w:val="00DE76C0"/>
    <w:rsid w:val="00DE7A56"/>
    <w:rsid w:val="00DF0AE9"/>
    <w:rsid w:val="00DF10F2"/>
    <w:rsid w:val="00DF1D77"/>
    <w:rsid w:val="00DF1F73"/>
    <w:rsid w:val="00DF21DA"/>
    <w:rsid w:val="00DF32E2"/>
    <w:rsid w:val="00DF392D"/>
    <w:rsid w:val="00DF3958"/>
    <w:rsid w:val="00DF3A31"/>
    <w:rsid w:val="00DF5A99"/>
    <w:rsid w:val="00DF5DA1"/>
    <w:rsid w:val="00DF5EC4"/>
    <w:rsid w:val="00DF6675"/>
    <w:rsid w:val="00DF6E57"/>
    <w:rsid w:val="00E011E8"/>
    <w:rsid w:val="00E02787"/>
    <w:rsid w:val="00E03115"/>
    <w:rsid w:val="00E035E8"/>
    <w:rsid w:val="00E0376A"/>
    <w:rsid w:val="00E0449C"/>
    <w:rsid w:val="00E0503B"/>
    <w:rsid w:val="00E05546"/>
    <w:rsid w:val="00E0652C"/>
    <w:rsid w:val="00E07810"/>
    <w:rsid w:val="00E07C95"/>
    <w:rsid w:val="00E10A52"/>
    <w:rsid w:val="00E10CA8"/>
    <w:rsid w:val="00E1126F"/>
    <w:rsid w:val="00E115FB"/>
    <w:rsid w:val="00E13D9B"/>
    <w:rsid w:val="00E143CF"/>
    <w:rsid w:val="00E14523"/>
    <w:rsid w:val="00E14EB8"/>
    <w:rsid w:val="00E1509A"/>
    <w:rsid w:val="00E16751"/>
    <w:rsid w:val="00E1681E"/>
    <w:rsid w:val="00E16ADA"/>
    <w:rsid w:val="00E17556"/>
    <w:rsid w:val="00E17EEA"/>
    <w:rsid w:val="00E17F50"/>
    <w:rsid w:val="00E2173A"/>
    <w:rsid w:val="00E226F4"/>
    <w:rsid w:val="00E2283E"/>
    <w:rsid w:val="00E22B73"/>
    <w:rsid w:val="00E232A0"/>
    <w:rsid w:val="00E2439A"/>
    <w:rsid w:val="00E24633"/>
    <w:rsid w:val="00E24881"/>
    <w:rsid w:val="00E2536D"/>
    <w:rsid w:val="00E25954"/>
    <w:rsid w:val="00E2678E"/>
    <w:rsid w:val="00E27C89"/>
    <w:rsid w:val="00E3088E"/>
    <w:rsid w:val="00E3138C"/>
    <w:rsid w:val="00E330E5"/>
    <w:rsid w:val="00E338D1"/>
    <w:rsid w:val="00E33B67"/>
    <w:rsid w:val="00E343A0"/>
    <w:rsid w:val="00E34AD9"/>
    <w:rsid w:val="00E34E3C"/>
    <w:rsid w:val="00E34F07"/>
    <w:rsid w:val="00E402A4"/>
    <w:rsid w:val="00E4152A"/>
    <w:rsid w:val="00E41888"/>
    <w:rsid w:val="00E4285D"/>
    <w:rsid w:val="00E44760"/>
    <w:rsid w:val="00E44FC2"/>
    <w:rsid w:val="00E46AA5"/>
    <w:rsid w:val="00E50589"/>
    <w:rsid w:val="00E50A4A"/>
    <w:rsid w:val="00E533B5"/>
    <w:rsid w:val="00E533DD"/>
    <w:rsid w:val="00E54269"/>
    <w:rsid w:val="00E55C4C"/>
    <w:rsid w:val="00E56E26"/>
    <w:rsid w:val="00E57058"/>
    <w:rsid w:val="00E57A64"/>
    <w:rsid w:val="00E61429"/>
    <w:rsid w:val="00E63DC2"/>
    <w:rsid w:val="00E6408A"/>
    <w:rsid w:val="00E640AE"/>
    <w:rsid w:val="00E640B3"/>
    <w:rsid w:val="00E6435D"/>
    <w:rsid w:val="00E64399"/>
    <w:rsid w:val="00E6453B"/>
    <w:rsid w:val="00E64AAB"/>
    <w:rsid w:val="00E664E6"/>
    <w:rsid w:val="00E66931"/>
    <w:rsid w:val="00E669D5"/>
    <w:rsid w:val="00E66B77"/>
    <w:rsid w:val="00E67435"/>
    <w:rsid w:val="00E67640"/>
    <w:rsid w:val="00E679FF"/>
    <w:rsid w:val="00E67F3E"/>
    <w:rsid w:val="00E73C96"/>
    <w:rsid w:val="00E7437E"/>
    <w:rsid w:val="00E74F92"/>
    <w:rsid w:val="00E757FB"/>
    <w:rsid w:val="00E76037"/>
    <w:rsid w:val="00E76D78"/>
    <w:rsid w:val="00E77A67"/>
    <w:rsid w:val="00E77CC9"/>
    <w:rsid w:val="00E80DBD"/>
    <w:rsid w:val="00E81C53"/>
    <w:rsid w:val="00E82DF3"/>
    <w:rsid w:val="00E83902"/>
    <w:rsid w:val="00E83D84"/>
    <w:rsid w:val="00E841C4"/>
    <w:rsid w:val="00E844CF"/>
    <w:rsid w:val="00E84620"/>
    <w:rsid w:val="00E84952"/>
    <w:rsid w:val="00E85031"/>
    <w:rsid w:val="00E85816"/>
    <w:rsid w:val="00E866C3"/>
    <w:rsid w:val="00E87106"/>
    <w:rsid w:val="00E87B19"/>
    <w:rsid w:val="00E903CA"/>
    <w:rsid w:val="00E905A5"/>
    <w:rsid w:val="00E90EA4"/>
    <w:rsid w:val="00E90FF3"/>
    <w:rsid w:val="00E9136F"/>
    <w:rsid w:val="00E9291F"/>
    <w:rsid w:val="00E93740"/>
    <w:rsid w:val="00E94184"/>
    <w:rsid w:val="00E94689"/>
    <w:rsid w:val="00E9512E"/>
    <w:rsid w:val="00E95F62"/>
    <w:rsid w:val="00E95F93"/>
    <w:rsid w:val="00E96641"/>
    <w:rsid w:val="00E96B01"/>
    <w:rsid w:val="00E96C20"/>
    <w:rsid w:val="00E972FF"/>
    <w:rsid w:val="00EA0334"/>
    <w:rsid w:val="00EA23B7"/>
    <w:rsid w:val="00EA2F29"/>
    <w:rsid w:val="00EA3372"/>
    <w:rsid w:val="00EA5CB4"/>
    <w:rsid w:val="00EA6BC5"/>
    <w:rsid w:val="00EA7159"/>
    <w:rsid w:val="00EB05F6"/>
    <w:rsid w:val="00EB1506"/>
    <w:rsid w:val="00EB15A3"/>
    <w:rsid w:val="00EB28D8"/>
    <w:rsid w:val="00EB31EB"/>
    <w:rsid w:val="00EB3A4A"/>
    <w:rsid w:val="00EB45DE"/>
    <w:rsid w:val="00EB5FAA"/>
    <w:rsid w:val="00EB60FB"/>
    <w:rsid w:val="00EC061B"/>
    <w:rsid w:val="00EC1D6F"/>
    <w:rsid w:val="00EC2D6C"/>
    <w:rsid w:val="00EC2D73"/>
    <w:rsid w:val="00EC4A4D"/>
    <w:rsid w:val="00EC5936"/>
    <w:rsid w:val="00EC5E48"/>
    <w:rsid w:val="00EC64FA"/>
    <w:rsid w:val="00EC6E97"/>
    <w:rsid w:val="00EC77DA"/>
    <w:rsid w:val="00EC7BC0"/>
    <w:rsid w:val="00ED294C"/>
    <w:rsid w:val="00ED29F8"/>
    <w:rsid w:val="00ED2BA6"/>
    <w:rsid w:val="00ED2BBA"/>
    <w:rsid w:val="00ED3012"/>
    <w:rsid w:val="00ED335B"/>
    <w:rsid w:val="00ED3B78"/>
    <w:rsid w:val="00ED3EAC"/>
    <w:rsid w:val="00ED4C9F"/>
    <w:rsid w:val="00ED532F"/>
    <w:rsid w:val="00ED602F"/>
    <w:rsid w:val="00ED69D4"/>
    <w:rsid w:val="00ED6A74"/>
    <w:rsid w:val="00EE17A0"/>
    <w:rsid w:val="00EE19D0"/>
    <w:rsid w:val="00EE2DE2"/>
    <w:rsid w:val="00EE3122"/>
    <w:rsid w:val="00EE37A6"/>
    <w:rsid w:val="00EE3898"/>
    <w:rsid w:val="00EE5312"/>
    <w:rsid w:val="00EE65E6"/>
    <w:rsid w:val="00EE78E9"/>
    <w:rsid w:val="00EF0234"/>
    <w:rsid w:val="00EF2559"/>
    <w:rsid w:val="00EF25B4"/>
    <w:rsid w:val="00EF27E0"/>
    <w:rsid w:val="00EF388F"/>
    <w:rsid w:val="00EF3AEC"/>
    <w:rsid w:val="00EF425C"/>
    <w:rsid w:val="00EF4ABE"/>
    <w:rsid w:val="00EF501C"/>
    <w:rsid w:val="00EF51C1"/>
    <w:rsid w:val="00EF5A28"/>
    <w:rsid w:val="00EF5E44"/>
    <w:rsid w:val="00EF5E51"/>
    <w:rsid w:val="00EF6BE6"/>
    <w:rsid w:val="00EF6FDD"/>
    <w:rsid w:val="00EF7702"/>
    <w:rsid w:val="00EF7EBA"/>
    <w:rsid w:val="00F00012"/>
    <w:rsid w:val="00F004F4"/>
    <w:rsid w:val="00F024BA"/>
    <w:rsid w:val="00F02667"/>
    <w:rsid w:val="00F02A61"/>
    <w:rsid w:val="00F02B2D"/>
    <w:rsid w:val="00F02C37"/>
    <w:rsid w:val="00F05630"/>
    <w:rsid w:val="00F06B45"/>
    <w:rsid w:val="00F06BBF"/>
    <w:rsid w:val="00F0733B"/>
    <w:rsid w:val="00F075EC"/>
    <w:rsid w:val="00F07B19"/>
    <w:rsid w:val="00F10616"/>
    <w:rsid w:val="00F10EF5"/>
    <w:rsid w:val="00F11455"/>
    <w:rsid w:val="00F121EC"/>
    <w:rsid w:val="00F12281"/>
    <w:rsid w:val="00F12B66"/>
    <w:rsid w:val="00F12E3B"/>
    <w:rsid w:val="00F12EAB"/>
    <w:rsid w:val="00F14300"/>
    <w:rsid w:val="00F14F57"/>
    <w:rsid w:val="00F154B9"/>
    <w:rsid w:val="00F16BC7"/>
    <w:rsid w:val="00F17777"/>
    <w:rsid w:val="00F17791"/>
    <w:rsid w:val="00F17994"/>
    <w:rsid w:val="00F20519"/>
    <w:rsid w:val="00F20F2D"/>
    <w:rsid w:val="00F22849"/>
    <w:rsid w:val="00F22D2E"/>
    <w:rsid w:val="00F2312F"/>
    <w:rsid w:val="00F24C51"/>
    <w:rsid w:val="00F24CB6"/>
    <w:rsid w:val="00F27119"/>
    <w:rsid w:val="00F27827"/>
    <w:rsid w:val="00F279AE"/>
    <w:rsid w:val="00F27B72"/>
    <w:rsid w:val="00F27D1C"/>
    <w:rsid w:val="00F30805"/>
    <w:rsid w:val="00F30CFF"/>
    <w:rsid w:val="00F311AB"/>
    <w:rsid w:val="00F317D8"/>
    <w:rsid w:val="00F31C06"/>
    <w:rsid w:val="00F32E27"/>
    <w:rsid w:val="00F33E15"/>
    <w:rsid w:val="00F34CCE"/>
    <w:rsid w:val="00F3560E"/>
    <w:rsid w:val="00F35BE5"/>
    <w:rsid w:val="00F370DC"/>
    <w:rsid w:val="00F374D3"/>
    <w:rsid w:val="00F37E4B"/>
    <w:rsid w:val="00F413ED"/>
    <w:rsid w:val="00F41FF6"/>
    <w:rsid w:val="00F424D9"/>
    <w:rsid w:val="00F42B90"/>
    <w:rsid w:val="00F45188"/>
    <w:rsid w:val="00F454F8"/>
    <w:rsid w:val="00F45AFE"/>
    <w:rsid w:val="00F45FC5"/>
    <w:rsid w:val="00F468DF"/>
    <w:rsid w:val="00F46AB6"/>
    <w:rsid w:val="00F46E6D"/>
    <w:rsid w:val="00F46FF3"/>
    <w:rsid w:val="00F4732A"/>
    <w:rsid w:val="00F475F9"/>
    <w:rsid w:val="00F5016F"/>
    <w:rsid w:val="00F51223"/>
    <w:rsid w:val="00F51693"/>
    <w:rsid w:val="00F51C16"/>
    <w:rsid w:val="00F522C9"/>
    <w:rsid w:val="00F52354"/>
    <w:rsid w:val="00F52E82"/>
    <w:rsid w:val="00F52F32"/>
    <w:rsid w:val="00F52F8B"/>
    <w:rsid w:val="00F53C12"/>
    <w:rsid w:val="00F54528"/>
    <w:rsid w:val="00F574BE"/>
    <w:rsid w:val="00F57605"/>
    <w:rsid w:val="00F57857"/>
    <w:rsid w:val="00F60F6D"/>
    <w:rsid w:val="00F60FF3"/>
    <w:rsid w:val="00F63737"/>
    <w:rsid w:val="00F63E12"/>
    <w:rsid w:val="00F63E90"/>
    <w:rsid w:val="00F64111"/>
    <w:rsid w:val="00F64234"/>
    <w:rsid w:val="00F644C0"/>
    <w:rsid w:val="00F64EA7"/>
    <w:rsid w:val="00F64F27"/>
    <w:rsid w:val="00F658DD"/>
    <w:rsid w:val="00F65A9E"/>
    <w:rsid w:val="00F66AFA"/>
    <w:rsid w:val="00F66E3F"/>
    <w:rsid w:val="00F6722E"/>
    <w:rsid w:val="00F67A31"/>
    <w:rsid w:val="00F7086F"/>
    <w:rsid w:val="00F7254A"/>
    <w:rsid w:val="00F72780"/>
    <w:rsid w:val="00F72A4C"/>
    <w:rsid w:val="00F7319C"/>
    <w:rsid w:val="00F74037"/>
    <w:rsid w:val="00F74C5F"/>
    <w:rsid w:val="00F74DF6"/>
    <w:rsid w:val="00F74F91"/>
    <w:rsid w:val="00F752F5"/>
    <w:rsid w:val="00F76595"/>
    <w:rsid w:val="00F76BF9"/>
    <w:rsid w:val="00F776AD"/>
    <w:rsid w:val="00F7788B"/>
    <w:rsid w:val="00F80324"/>
    <w:rsid w:val="00F80AFC"/>
    <w:rsid w:val="00F815E2"/>
    <w:rsid w:val="00F81F18"/>
    <w:rsid w:val="00F8202A"/>
    <w:rsid w:val="00F83F40"/>
    <w:rsid w:val="00F8406D"/>
    <w:rsid w:val="00F864DE"/>
    <w:rsid w:val="00F86EE8"/>
    <w:rsid w:val="00F8725A"/>
    <w:rsid w:val="00F906D9"/>
    <w:rsid w:val="00F93522"/>
    <w:rsid w:val="00F95296"/>
    <w:rsid w:val="00F95BBB"/>
    <w:rsid w:val="00F96B9B"/>
    <w:rsid w:val="00F96BF4"/>
    <w:rsid w:val="00F97501"/>
    <w:rsid w:val="00F97C2E"/>
    <w:rsid w:val="00FA00A3"/>
    <w:rsid w:val="00FA2BC4"/>
    <w:rsid w:val="00FA2C0E"/>
    <w:rsid w:val="00FA2E62"/>
    <w:rsid w:val="00FA44BB"/>
    <w:rsid w:val="00FA4D9F"/>
    <w:rsid w:val="00FA55D8"/>
    <w:rsid w:val="00FA649B"/>
    <w:rsid w:val="00FA6F45"/>
    <w:rsid w:val="00FA76DD"/>
    <w:rsid w:val="00FA7C66"/>
    <w:rsid w:val="00FB11A9"/>
    <w:rsid w:val="00FB2512"/>
    <w:rsid w:val="00FB33BB"/>
    <w:rsid w:val="00FB3AAB"/>
    <w:rsid w:val="00FB504D"/>
    <w:rsid w:val="00FB675B"/>
    <w:rsid w:val="00FB6BCF"/>
    <w:rsid w:val="00FC22EE"/>
    <w:rsid w:val="00FC27C7"/>
    <w:rsid w:val="00FC29D8"/>
    <w:rsid w:val="00FC3E1B"/>
    <w:rsid w:val="00FC433D"/>
    <w:rsid w:val="00FC5C04"/>
    <w:rsid w:val="00FC64B2"/>
    <w:rsid w:val="00FC6D5E"/>
    <w:rsid w:val="00FC6F84"/>
    <w:rsid w:val="00FC79BF"/>
    <w:rsid w:val="00FC7EEC"/>
    <w:rsid w:val="00FD186F"/>
    <w:rsid w:val="00FD1A2D"/>
    <w:rsid w:val="00FD1D8D"/>
    <w:rsid w:val="00FD1EC1"/>
    <w:rsid w:val="00FD1FB4"/>
    <w:rsid w:val="00FD2D95"/>
    <w:rsid w:val="00FD34CB"/>
    <w:rsid w:val="00FD3C90"/>
    <w:rsid w:val="00FD48CD"/>
    <w:rsid w:val="00FD4EA5"/>
    <w:rsid w:val="00FD5DD2"/>
    <w:rsid w:val="00FD6970"/>
    <w:rsid w:val="00FD7462"/>
    <w:rsid w:val="00FD7685"/>
    <w:rsid w:val="00FE1E05"/>
    <w:rsid w:val="00FE3D9B"/>
    <w:rsid w:val="00FE4955"/>
    <w:rsid w:val="00FE4E2B"/>
    <w:rsid w:val="00FE4EF4"/>
    <w:rsid w:val="00FE557D"/>
    <w:rsid w:val="00FE56BD"/>
    <w:rsid w:val="00FE67EC"/>
    <w:rsid w:val="00FE6A36"/>
    <w:rsid w:val="00FE7F60"/>
    <w:rsid w:val="00FF02C2"/>
    <w:rsid w:val="00FF1AC4"/>
    <w:rsid w:val="00FF2A35"/>
    <w:rsid w:val="00FF318A"/>
    <w:rsid w:val="00FF4364"/>
    <w:rsid w:val="00FF4DCB"/>
    <w:rsid w:val="00FF504A"/>
    <w:rsid w:val="00FF54FB"/>
    <w:rsid w:val="00FF5880"/>
    <w:rsid w:val="00FF5C55"/>
    <w:rsid w:val="00FF63BB"/>
    <w:rsid w:val="00FF644C"/>
    <w:rsid w:val="00FF7320"/>
    <w:rsid w:val="013A2793"/>
    <w:rsid w:val="0156026D"/>
    <w:rsid w:val="018F38F6"/>
    <w:rsid w:val="01E90844"/>
    <w:rsid w:val="022E26FA"/>
    <w:rsid w:val="02511314"/>
    <w:rsid w:val="03443858"/>
    <w:rsid w:val="035D4076"/>
    <w:rsid w:val="036A4F37"/>
    <w:rsid w:val="0392072B"/>
    <w:rsid w:val="03A74512"/>
    <w:rsid w:val="03AA5DB1"/>
    <w:rsid w:val="04395055"/>
    <w:rsid w:val="047C20F3"/>
    <w:rsid w:val="0481143B"/>
    <w:rsid w:val="04954AC7"/>
    <w:rsid w:val="04964902"/>
    <w:rsid w:val="04BF2C00"/>
    <w:rsid w:val="04D70E27"/>
    <w:rsid w:val="05300538"/>
    <w:rsid w:val="054162A1"/>
    <w:rsid w:val="0578144E"/>
    <w:rsid w:val="05B42F17"/>
    <w:rsid w:val="05D90BCF"/>
    <w:rsid w:val="06513492"/>
    <w:rsid w:val="06723D89"/>
    <w:rsid w:val="067C38A5"/>
    <w:rsid w:val="068648B3"/>
    <w:rsid w:val="073C31C4"/>
    <w:rsid w:val="0774124D"/>
    <w:rsid w:val="07766439"/>
    <w:rsid w:val="07A33592"/>
    <w:rsid w:val="07BF0F29"/>
    <w:rsid w:val="07DA6724"/>
    <w:rsid w:val="086E3851"/>
    <w:rsid w:val="08A07782"/>
    <w:rsid w:val="08A32A73"/>
    <w:rsid w:val="08C571E9"/>
    <w:rsid w:val="08EC0C19"/>
    <w:rsid w:val="097F1E8C"/>
    <w:rsid w:val="09A31262"/>
    <w:rsid w:val="0A14667A"/>
    <w:rsid w:val="0A390502"/>
    <w:rsid w:val="0A4F2E9A"/>
    <w:rsid w:val="0A527505"/>
    <w:rsid w:val="0A54652A"/>
    <w:rsid w:val="0A922957"/>
    <w:rsid w:val="0A9D21CB"/>
    <w:rsid w:val="0AC0410C"/>
    <w:rsid w:val="0AC202F5"/>
    <w:rsid w:val="0AFF46CE"/>
    <w:rsid w:val="0B016BFE"/>
    <w:rsid w:val="0B6151C6"/>
    <w:rsid w:val="0BA80D1B"/>
    <w:rsid w:val="0BAD4690"/>
    <w:rsid w:val="0BB04180"/>
    <w:rsid w:val="0BB665C2"/>
    <w:rsid w:val="0C3C5A14"/>
    <w:rsid w:val="0C7B7B44"/>
    <w:rsid w:val="0C8C699B"/>
    <w:rsid w:val="0C9B7CE9"/>
    <w:rsid w:val="0CA75583"/>
    <w:rsid w:val="0CBA3508"/>
    <w:rsid w:val="0D1321C5"/>
    <w:rsid w:val="0DA44D27"/>
    <w:rsid w:val="0DB154A0"/>
    <w:rsid w:val="0E5A619D"/>
    <w:rsid w:val="0E7201B5"/>
    <w:rsid w:val="0E8C4A31"/>
    <w:rsid w:val="0EC3241C"/>
    <w:rsid w:val="0ECA37AB"/>
    <w:rsid w:val="0EF91A2E"/>
    <w:rsid w:val="0EFD435B"/>
    <w:rsid w:val="0F244675"/>
    <w:rsid w:val="0F2A424A"/>
    <w:rsid w:val="0F59068B"/>
    <w:rsid w:val="0F7554C5"/>
    <w:rsid w:val="0F7979B8"/>
    <w:rsid w:val="0FCC70AF"/>
    <w:rsid w:val="10926AB7"/>
    <w:rsid w:val="10AB4BE4"/>
    <w:rsid w:val="10AF2C58"/>
    <w:rsid w:val="10CC380A"/>
    <w:rsid w:val="10CD30DE"/>
    <w:rsid w:val="10D764EC"/>
    <w:rsid w:val="10F42D61"/>
    <w:rsid w:val="11166B93"/>
    <w:rsid w:val="11423ACC"/>
    <w:rsid w:val="11627CCB"/>
    <w:rsid w:val="11C262C0"/>
    <w:rsid w:val="11E54835"/>
    <w:rsid w:val="11F72B09"/>
    <w:rsid w:val="12016786"/>
    <w:rsid w:val="12512C71"/>
    <w:rsid w:val="12521AED"/>
    <w:rsid w:val="12633CFA"/>
    <w:rsid w:val="126E262F"/>
    <w:rsid w:val="12707088"/>
    <w:rsid w:val="12AF0A22"/>
    <w:rsid w:val="12ED7A68"/>
    <w:rsid w:val="13525B1D"/>
    <w:rsid w:val="137A2ED6"/>
    <w:rsid w:val="13A22600"/>
    <w:rsid w:val="13C5610C"/>
    <w:rsid w:val="13D027D0"/>
    <w:rsid w:val="14294AD0"/>
    <w:rsid w:val="1471597C"/>
    <w:rsid w:val="14717CCD"/>
    <w:rsid w:val="148D1503"/>
    <w:rsid w:val="14942DA7"/>
    <w:rsid w:val="15170DCC"/>
    <w:rsid w:val="15C154CF"/>
    <w:rsid w:val="15F317A5"/>
    <w:rsid w:val="15FF0ADE"/>
    <w:rsid w:val="16775FC6"/>
    <w:rsid w:val="16835BB7"/>
    <w:rsid w:val="1684100F"/>
    <w:rsid w:val="16902DC4"/>
    <w:rsid w:val="16A85011"/>
    <w:rsid w:val="16B25250"/>
    <w:rsid w:val="172318A2"/>
    <w:rsid w:val="172F68A1"/>
    <w:rsid w:val="173A3A3F"/>
    <w:rsid w:val="17D31922"/>
    <w:rsid w:val="17D56760"/>
    <w:rsid w:val="186A04B9"/>
    <w:rsid w:val="187379FD"/>
    <w:rsid w:val="187F1162"/>
    <w:rsid w:val="189A7199"/>
    <w:rsid w:val="18F172D7"/>
    <w:rsid w:val="19BF6247"/>
    <w:rsid w:val="19C657F5"/>
    <w:rsid w:val="19E07411"/>
    <w:rsid w:val="19E41BC5"/>
    <w:rsid w:val="19EF6273"/>
    <w:rsid w:val="19FC2552"/>
    <w:rsid w:val="1A0B266A"/>
    <w:rsid w:val="1A12061E"/>
    <w:rsid w:val="1A2367C2"/>
    <w:rsid w:val="1AB94C2D"/>
    <w:rsid w:val="1AD54F08"/>
    <w:rsid w:val="1AE600F4"/>
    <w:rsid w:val="1B7451E9"/>
    <w:rsid w:val="1B94140F"/>
    <w:rsid w:val="1BD05350"/>
    <w:rsid w:val="1C00080C"/>
    <w:rsid w:val="1C11391D"/>
    <w:rsid w:val="1CD854DF"/>
    <w:rsid w:val="1CDC3027"/>
    <w:rsid w:val="1D3F5364"/>
    <w:rsid w:val="1D7D3EDE"/>
    <w:rsid w:val="1DA50771"/>
    <w:rsid w:val="1E5C3978"/>
    <w:rsid w:val="1E7E1EBC"/>
    <w:rsid w:val="1EB842D7"/>
    <w:rsid w:val="1EFD7285"/>
    <w:rsid w:val="1F784BFC"/>
    <w:rsid w:val="1F792DAF"/>
    <w:rsid w:val="1F896D6A"/>
    <w:rsid w:val="1FB84222"/>
    <w:rsid w:val="1FF24233"/>
    <w:rsid w:val="1FF97A4C"/>
    <w:rsid w:val="20320D85"/>
    <w:rsid w:val="208D0A85"/>
    <w:rsid w:val="210743EB"/>
    <w:rsid w:val="21204F6E"/>
    <w:rsid w:val="21204FF0"/>
    <w:rsid w:val="214473ED"/>
    <w:rsid w:val="21983295"/>
    <w:rsid w:val="21A4301C"/>
    <w:rsid w:val="21B17FE2"/>
    <w:rsid w:val="21F01F1F"/>
    <w:rsid w:val="222D1C2F"/>
    <w:rsid w:val="227C6712"/>
    <w:rsid w:val="22EF4F37"/>
    <w:rsid w:val="233252EB"/>
    <w:rsid w:val="23515DF1"/>
    <w:rsid w:val="235A6A54"/>
    <w:rsid w:val="235D4796"/>
    <w:rsid w:val="23767606"/>
    <w:rsid w:val="237C7D5E"/>
    <w:rsid w:val="2389558B"/>
    <w:rsid w:val="23902475"/>
    <w:rsid w:val="23A067C1"/>
    <w:rsid w:val="23A203FB"/>
    <w:rsid w:val="246F652F"/>
    <w:rsid w:val="24A3646D"/>
    <w:rsid w:val="24BE60D3"/>
    <w:rsid w:val="24C67E36"/>
    <w:rsid w:val="24CB7AAA"/>
    <w:rsid w:val="24D32F62"/>
    <w:rsid w:val="24F609FE"/>
    <w:rsid w:val="25824926"/>
    <w:rsid w:val="25AD2581"/>
    <w:rsid w:val="26064C71"/>
    <w:rsid w:val="262B2929"/>
    <w:rsid w:val="263A491A"/>
    <w:rsid w:val="263B7010"/>
    <w:rsid w:val="267E37CA"/>
    <w:rsid w:val="26B96122"/>
    <w:rsid w:val="26BC7A25"/>
    <w:rsid w:val="26FA0563"/>
    <w:rsid w:val="272A498F"/>
    <w:rsid w:val="27644345"/>
    <w:rsid w:val="27C14247"/>
    <w:rsid w:val="27CE5C62"/>
    <w:rsid w:val="280B4196"/>
    <w:rsid w:val="28551EE0"/>
    <w:rsid w:val="28667C49"/>
    <w:rsid w:val="288307FB"/>
    <w:rsid w:val="28B23E2E"/>
    <w:rsid w:val="29177560"/>
    <w:rsid w:val="2934650A"/>
    <w:rsid w:val="29451F54"/>
    <w:rsid w:val="29465E87"/>
    <w:rsid w:val="29A22F02"/>
    <w:rsid w:val="29A44ECD"/>
    <w:rsid w:val="29D273F6"/>
    <w:rsid w:val="29E96D0E"/>
    <w:rsid w:val="29F076F8"/>
    <w:rsid w:val="2A035437"/>
    <w:rsid w:val="2A443FBA"/>
    <w:rsid w:val="2A602AE0"/>
    <w:rsid w:val="2AA04671"/>
    <w:rsid w:val="2AA65E2B"/>
    <w:rsid w:val="2ABB2C22"/>
    <w:rsid w:val="2AD90BA6"/>
    <w:rsid w:val="2ADA512F"/>
    <w:rsid w:val="2B434271"/>
    <w:rsid w:val="2BD15D21"/>
    <w:rsid w:val="2C91021D"/>
    <w:rsid w:val="2C982A58"/>
    <w:rsid w:val="2D051917"/>
    <w:rsid w:val="2D122B4E"/>
    <w:rsid w:val="2D8A43D9"/>
    <w:rsid w:val="2D8C0151"/>
    <w:rsid w:val="2DA336ED"/>
    <w:rsid w:val="2DC132EA"/>
    <w:rsid w:val="2E084AD9"/>
    <w:rsid w:val="2E7763D7"/>
    <w:rsid w:val="2EE35A97"/>
    <w:rsid w:val="2F087CAC"/>
    <w:rsid w:val="2F21303A"/>
    <w:rsid w:val="2F3C1703"/>
    <w:rsid w:val="2F725125"/>
    <w:rsid w:val="2FA06136"/>
    <w:rsid w:val="2FF81ACE"/>
    <w:rsid w:val="30297EDA"/>
    <w:rsid w:val="305B205D"/>
    <w:rsid w:val="3062519A"/>
    <w:rsid w:val="30704FFF"/>
    <w:rsid w:val="307373A7"/>
    <w:rsid w:val="30E81B43"/>
    <w:rsid w:val="30EA1F29"/>
    <w:rsid w:val="31726692"/>
    <w:rsid w:val="31B25CAD"/>
    <w:rsid w:val="31F77939"/>
    <w:rsid w:val="321F3964"/>
    <w:rsid w:val="3255145A"/>
    <w:rsid w:val="328C4750"/>
    <w:rsid w:val="32A630D7"/>
    <w:rsid w:val="32F32A21"/>
    <w:rsid w:val="331C5AD4"/>
    <w:rsid w:val="33292BD1"/>
    <w:rsid w:val="33356B95"/>
    <w:rsid w:val="339A6005"/>
    <w:rsid w:val="33AF6948"/>
    <w:rsid w:val="33C1667B"/>
    <w:rsid w:val="34041715"/>
    <w:rsid w:val="34790D04"/>
    <w:rsid w:val="347C3432"/>
    <w:rsid w:val="347F596E"/>
    <w:rsid w:val="34873421"/>
    <w:rsid w:val="349F1742"/>
    <w:rsid w:val="34A935F3"/>
    <w:rsid w:val="34AA39CC"/>
    <w:rsid w:val="34AE30A3"/>
    <w:rsid w:val="34BA37F6"/>
    <w:rsid w:val="356419B4"/>
    <w:rsid w:val="357A4D33"/>
    <w:rsid w:val="361B5455"/>
    <w:rsid w:val="36325040"/>
    <w:rsid w:val="366A2FFA"/>
    <w:rsid w:val="36C175C6"/>
    <w:rsid w:val="36E538DC"/>
    <w:rsid w:val="36F34D9D"/>
    <w:rsid w:val="36FB4647"/>
    <w:rsid w:val="370A4EA2"/>
    <w:rsid w:val="371B7C79"/>
    <w:rsid w:val="3797278D"/>
    <w:rsid w:val="379C42AF"/>
    <w:rsid w:val="379C5435"/>
    <w:rsid w:val="38117DB1"/>
    <w:rsid w:val="381672D6"/>
    <w:rsid w:val="38351B40"/>
    <w:rsid w:val="38895DF3"/>
    <w:rsid w:val="389D1465"/>
    <w:rsid w:val="38C52A81"/>
    <w:rsid w:val="38DB01DF"/>
    <w:rsid w:val="38DB6C35"/>
    <w:rsid w:val="38F4304F"/>
    <w:rsid w:val="39162FC5"/>
    <w:rsid w:val="391F00CC"/>
    <w:rsid w:val="392576AC"/>
    <w:rsid w:val="3978218A"/>
    <w:rsid w:val="398F4694"/>
    <w:rsid w:val="399F120C"/>
    <w:rsid w:val="39C3314D"/>
    <w:rsid w:val="39DD3AE3"/>
    <w:rsid w:val="39FC665F"/>
    <w:rsid w:val="3A4A1178"/>
    <w:rsid w:val="3A816B64"/>
    <w:rsid w:val="3ABC621B"/>
    <w:rsid w:val="3AE27603"/>
    <w:rsid w:val="3B0C65F0"/>
    <w:rsid w:val="3B1E43B3"/>
    <w:rsid w:val="3BA743A8"/>
    <w:rsid w:val="3BAF567D"/>
    <w:rsid w:val="3BF25B5C"/>
    <w:rsid w:val="3BF3242B"/>
    <w:rsid w:val="3C0C42A9"/>
    <w:rsid w:val="3C0F288D"/>
    <w:rsid w:val="3C101F4E"/>
    <w:rsid w:val="3C1A7270"/>
    <w:rsid w:val="3C467402"/>
    <w:rsid w:val="3C6A3D54"/>
    <w:rsid w:val="3CC86CCC"/>
    <w:rsid w:val="3CE16539"/>
    <w:rsid w:val="3D5D7415"/>
    <w:rsid w:val="3DA72764"/>
    <w:rsid w:val="3DAA5519"/>
    <w:rsid w:val="3DAD2B87"/>
    <w:rsid w:val="3DAE5D24"/>
    <w:rsid w:val="3DE5503A"/>
    <w:rsid w:val="3E071210"/>
    <w:rsid w:val="3E34420B"/>
    <w:rsid w:val="3E495BEB"/>
    <w:rsid w:val="3ECF4342"/>
    <w:rsid w:val="3ED2798E"/>
    <w:rsid w:val="3EFF42AE"/>
    <w:rsid w:val="3F346B36"/>
    <w:rsid w:val="3F3E6DD2"/>
    <w:rsid w:val="3F7E5908"/>
    <w:rsid w:val="3F8C4845"/>
    <w:rsid w:val="3FB9136B"/>
    <w:rsid w:val="3FCD646B"/>
    <w:rsid w:val="3FD85478"/>
    <w:rsid w:val="40271B91"/>
    <w:rsid w:val="403E177F"/>
    <w:rsid w:val="40580C20"/>
    <w:rsid w:val="40E449D3"/>
    <w:rsid w:val="41206E76"/>
    <w:rsid w:val="41614FF9"/>
    <w:rsid w:val="418C58B6"/>
    <w:rsid w:val="41970A1B"/>
    <w:rsid w:val="42554B5E"/>
    <w:rsid w:val="43192030"/>
    <w:rsid w:val="433912BA"/>
    <w:rsid w:val="438D4536"/>
    <w:rsid w:val="43BC57F0"/>
    <w:rsid w:val="43F02873"/>
    <w:rsid w:val="43F63950"/>
    <w:rsid w:val="449C4CC6"/>
    <w:rsid w:val="44B87626"/>
    <w:rsid w:val="44DC1567"/>
    <w:rsid w:val="44E421C9"/>
    <w:rsid w:val="452E7FD4"/>
    <w:rsid w:val="453853F6"/>
    <w:rsid w:val="455A06DD"/>
    <w:rsid w:val="45610BD0"/>
    <w:rsid w:val="460A2104"/>
    <w:rsid w:val="469A6FE4"/>
    <w:rsid w:val="46E719AA"/>
    <w:rsid w:val="46F824BB"/>
    <w:rsid w:val="4723522B"/>
    <w:rsid w:val="473A4323"/>
    <w:rsid w:val="473D3E13"/>
    <w:rsid w:val="475F1429"/>
    <w:rsid w:val="478163F5"/>
    <w:rsid w:val="478C2ED5"/>
    <w:rsid w:val="47EB2FFC"/>
    <w:rsid w:val="480C5CBF"/>
    <w:rsid w:val="48343468"/>
    <w:rsid w:val="48F02F04"/>
    <w:rsid w:val="496D09DF"/>
    <w:rsid w:val="49926698"/>
    <w:rsid w:val="49EE2AC8"/>
    <w:rsid w:val="4A31525C"/>
    <w:rsid w:val="4A475610"/>
    <w:rsid w:val="4A80578F"/>
    <w:rsid w:val="4AE271AB"/>
    <w:rsid w:val="4B18719D"/>
    <w:rsid w:val="4B4C734F"/>
    <w:rsid w:val="4B58746D"/>
    <w:rsid w:val="4B773956"/>
    <w:rsid w:val="4B7A5635"/>
    <w:rsid w:val="4B7C315C"/>
    <w:rsid w:val="4BBC17AA"/>
    <w:rsid w:val="4BC90A28"/>
    <w:rsid w:val="4BE34F89"/>
    <w:rsid w:val="4BE73BDE"/>
    <w:rsid w:val="4C254AA8"/>
    <w:rsid w:val="4C3B4FDC"/>
    <w:rsid w:val="4C757967"/>
    <w:rsid w:val="4CE01414"/>
    <w:rsid w:val="4D085C5F"/>
    <w:rsid w:val="4D3B0EF1"/>
    <w:rsid w:val="4DA14831"/>
    <w:rsid w:val="4DA85F2B"/>
    <w:rsid w:val="4DB0533F"/>
    <w:rsid w:val="4E10612E"/>
    <w:rsid w:val="4EA8070C"/>
    <w:rsid w:val="4EF15C0F"/>
    <w:rsid w:val="4F640757"/>
    <w:rsid w:val="50015CFD"/>
    <w:rsid w:val="50250358"/>
    <w:rsid w:val="50387027"/>
    <w:rsid w:val="50540565"/>
    <w:rsid w:val="505709DA"/>
    <w:rsid w:val="505B3C87"/>
    <w:rsid w:val="506027FF"/>
    <w:rsid w:val="507408A5"/>
    <w:rsid w:val="514205CA"/>
    <w:rsid w:val="514C0312"/>
    <w:rsid w:val="515561D0"/>
    <w:rsid w:val="517B5C63"/>
    <w:rsid w:val="51907961"/>
    <w:rsid w:val="51A60DB4"/>
    <w:rsid w:val="52291CD0"/>
    <w:rsid w:val="5244074B"/>
    <w:rsid w:val="52E33975"/>
    <w:rsid w:val="530B42C2"/>
    <w:rsid w:val="536E33AD"/>
    <w:rsid w:val="541C1980"/>
    <w:rsid w:val="545855A0"/>
    <w:rsid w:val="545A4256"/>
    <w:rsid w:val="54B32284"/>
    <w:rsid w:val="54DC69F7"/>
    <w:rsid w:val="550B72FE"/>
    <w:rsid w:val="551F2FA5"/>
    <w:rsid w:val="55474FEC"/>
    <w:rsid w:val="55CE4439"/>
    <w:rsid w:val="56187F25"/>
    <w:rsid w:val="56315A5F"/>
    <w:rsid w:val="56630E61"/>
    <w:rsid w:val="56666EE2"/>
    <w:rsid w:val="566A5CE2"/>
    <w:rsid w:val="56C562EE"/>
    <w:rsid w:val="56C77D58"/>
    <w:rsid w:val="56D7210F"/>
    <w:rsid w:val="56F50A55"/>
    <w:rsid w:val="57407733"/>
    <w:rsid w:val="57530294"/>
    <w:rsid w:val="57783371"/>
    <w:rsid w:val="578641E7"/>
    <w:rsid w:val="57C945D3"/>
    <w:rsid w:val="58345199"/>
    <w:rsid w:val="58496ABB"/>
    <w:rsid w:val="58727DC0"/>
    <w:rsid w:val="58754A86"/>
    <w:rsid w:val="587868EA"/>
    <w:rsid w:val="58BD150F"/>
    <w:rsid w:val="590F1AB3"/>
    <w:rsid w:val="592875B7"/>
    <w:rsid w:val="594C6863"/>
    <w:rsid w:val="59765B98"/>
    <w:rsid w:val="599C373B"/>
    <w:rsid w:val="59DC2372"/>
    <w:rsid w:val="5A0507C0"/>
    <w:rsid w:val="5A3719C7"/>
    <w:rsid w:val="5AE8436A"/>
    <w:rsid w:val="5AFD10E3"/>
    <w:rsid w:val="5AFE1BD7"/>
    <w:rsid w:val="5B5F03A4"/>
    <w:rsid w:val="5B5F602A"/>
    <w:rsid w:val="5C4A4F8E"/>
    <w:rsid w:val="5CF644C9"/>
    <w:rsid w:val="5CFC0A90"/>
    <w:rsid w:val="5D107BA8"/>
    <w:rsid w:val="5D1F603D"/>
    <w:rsid w:val="5D215911"/>
    <w:rsid w:val="5D6F2F67"/>
    <w:rsid w:val="5D8C6CB5"/>
    <w:rsid w:val="5D916C44"/>
    <w:rsid w:val="5DAB167E"/>
    <w:rsid w:val="5DC170D8"/>
    <w:rsid w:val="5E766130"/>
    <w:rsid w:val="5EE22240"/>
    <w:rsid w:val="5EED6987"/>
    <w:rsid w:val="5EFF7ED4"/>
    <w:rsid w:val="5F3B17EE"/>
    <w:rsid w:val="5F3E6C4E"/>
    <w:rsid w:val="5FA34D03"/>
    <w:rsid w:val="5FCD5CFB"/>
    <w:rsid w:val="5FDF108A"/>
    <w:rsid w:val="5FE01420"/>
    <w:rsid w:val="5FF057E4"/>
    <w:rsid w:val="60243AEA"/>
    <w:rsid w:val="60427493"/>
    <w:rsid w:val="606515C6"/>
    <w:rsid w:val="60E82395"/>
    <w:rsid w:val="6110461A"/>
    <w:rsid w:val="61167757"/>
    <w:rsid w:val="61C947C9"/>
    <w:rsid w:val="621D1991"/>
    <w:rsid w:val="623954AB"/>
    <w:rsid w:val="626B7A8A"/>
    <w:rsid w:val="629152E7"/>
    <w:rsid w:val="62970423"/>
    <w:rsid w:val="629D3C8C"/>
    <w:rsid w:val="63165E53"/>
    <w:rsid w:val="634A36E8"/>
    <w:rsid w:val="635B76A3"/>
    <w:rsid w:val="63633F82"/>
    <w:rsid w:val="63AF1794"/>
    <w:rsid w:val="63ED479F"/>
    <w:rsid w:val="63FC0D50"/>
    <w:rsid w:val="6407253D"/>
    <w:rsid w:val="644545DB"/>
    <w:rsid w:val="64495F3F"/>
    <w:rsid w:val="6472739A"/>
    <w:rsid w:val="64A10C94"/>
    <w:rsid w:val="64AB32D4"/>
    <w:rsid w:val="64EA12AF"/>
    <w:rsid w:val="653D52B2"/>
    <w:rsid w:val="657809E0"/>
    <w:rsid w:val="65C634F9"/>
    <w:rsid w:val="65E6594A"/>
    <w:rsid w:val="661B575E"/>
    <w:rsid w:val="6639016F"/>
    <w:rsid w:val="665A4EEE"/>
    <w:rsid w:val="666F0C16"/>
    <w:rsid w:val="66F80E70"/>
    <w:rsid w:val="672F2593"/>
    <w:rsid w:val="67867289"/>
    <w:rsid w:val="6796514D"/>
    <w:rsid w:val="681945A2"/>
    <w:rsid w:val="682269E1"/>
    <w:rsid w:val="685C1EF3"/>
    <w:rsid w:val="685C7E37"/>
    <w:rsid w:val="68747311"/>
    <w:rsid w:val="688361C7"/>
    <w:rsid w:val="68EB00D2"/>
    <w:rsid w:val="69472BA3"/>
    <w:rsid w:val="69AF0748"/>
    <w:rsid w:val="69B016A1"/>
    <w:rsid w:val="69E07153"/>
    <w:rsid w:val="6A1E657F"/>
    <w:rsid w:val="6A2B6021"/>
    <w:rsid w:val="6A4B33A7"/>
    <w:rsid w:val="6AC124E1"/>
    <w:rsid w:val="6B2111D2"/>
    <w:rsid w:val="6B282560"/>
    <w:rsid w:val="6B8C0D41"/>
    <w:rsid w:val="6BD12EC6"/>
    <w:rsid w:val="6BE6053B"/>
    <w:rsid w:val="6BF05BAA"/>
    <w:rsid w:val="6BF41C1E"/>
    <w:rsid w:val="6C8A2FA4"/>
    <w:rsid w:val="6CCF6BCB"/>
    <w:rsid w:val="6CDC7AA6"/>
    <w:rsid w:val="6CE34991"/>
    <w:rsid w:val="6CE60925"/>
    <w:rsid w:val="6CFB692B"/>
    <w:rsid w:val="6D0C2BFA"/>
    <w:rsid w:val="6D3B2A1F"/>
    <w:rsid w:val="6DB024D9"/>
    <w:rsid w:val="6E1B45FE"/>
    <w:rsid w:val="6E5B49FB"/>
    <w:rsid w:val="6E66587A"/>
    <w:rsid w:val="6EB178F7"/>
    <w:rsid w:val="6EB365E5"/>
    <w:rsid w:val="6EE13152"/>
    <w:rsid w:val="6F2D7ED8"/>
    <w:rsid w:val="6F665D41"/>
    <w:rsid w:val="6F891957"/>
    <w:rsid w:val="6F9B77A5"/>
    <w:rsid w:val="70757FF6"/>
    <w:rsid w:val="70B84386"/>
    <w:rsid w:val="70D540F2"/>
    <w:rsid w:val="711452F5"/>
    <w:rsid w:val="71205150"/>
    <w:rsid w:val="713E6740"/>
    <w:rsid w:val="715F1BDC"/>
    <w:rsid w:val="7189187F"/>
    <w:rsid w:val="71A5490B"/>
    <w:rsid w:val="71CF3736"/>
    <w:rsid w:val="71E566E8"/>
    <w:rsid w:val="71E7506F"/>
    <w:rsid w:val="72231CD3"/>
    <w:rsid w:val="72435ED2"/>
    <w:rsid w:val="72710C91"/>
    <w:rsid w:val="727A7482"/>
    <w:rsid w:val="72B8241C"/>
    <w:rsid w:val="72EB2597"/>
    <w:rsid w:val="73005EB5"/>
    <w:rsid w:val="73942E89"/>
    <w:rsid w:val="739968CA"/>
    <w:rsid w:val="73E22112"/>
    <w:rsid w:val="73EF3D7E"/>
    <w:rsid w:val="742666EF"/>
    <w:rsid w:val="75731E4D"/>
    <w:rsid w:val="75930F1E"/>
    <w:rsid w:val="75995C02"/>
    <w:rsid w:val="75DB7BB6"/>
    <w:rsid w:val="75E56138"/>
    <w:rsid w:val="75EC5C91"/>
    <w:rsid w:val="76123CE0"/>
    <w:rsid w:val="76F0011C"/>
    <w:rsid w:val="770E0AD4"/>
    <w:rsid w:val="77D77C19"/>
    <w:rsid w:val="78113211"/>
    <w:rsid w:val="78286D62"/>
    <w:rsid w:val="782E0677"/>
    <w:rsid w:val="78375E26"/>
    <w:rsid w:val="784A7FBA"/>
    <w:rsid w:val="790F182A"/>
    <w:rsid w:val="791A1C51"/>
    <w:rsid w:val="794F33AE"/>
    <w:rsid w:val="7A301431"/>
    <w:rsid w:val="7A3D3336"/>
    <w:rsid w:val="7A644EE6"/>
    <w:rsid w:val="7A7E03EF"/>
    <w:rsid w:val="7AA8546C"/>
    <w:rsid w:val="7B544DE1"/>
    <w:rsid w:val="7B7D06A6"/>
    <w:rsid w:val="7B8D6D92"/>
    <w:rsid w:val="7B900CE5"/>
    <w:rsid w:val="7BB86E92"/>
    <w:rsid w:val="7BD8022F"/>
    <w:rsid w:val="7C384856"/>
    <w:rsid w:val="7C492337"/>
    <w:rsid w:val="7CF16C56"/>
    <w:rsid w:val="7D140858"/>
    <w:rsid w:val="7D5B41D7"/>
    <w:rsid w:val="7D627B5B"/>
    <w:rsid w:val="7DD50326"/>
    <w:rsid w:val="7E3322A7"/>
    <w:rsid w:val="7E3C65F7"/>
    <w:rsid w:val="7E5A4CCF"/>
    <w:rsid w:val="7E5F5E41"/>
    <w:rsid w:val="7E930E19"/>
    <w:rsid w:val="7E991353"/>
    <w:rsid w:val="7EB50985"/>
    <w:rsid w:val="7EE34CC4"/>
    <w:rsid w:val="7EFCB9A9"/>
    <w:rsid w:val="7F7342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0" w:semiHidden="0" w:name="toc 1"/>
    <w:lsdException w:qFormat="1" w:uiPriority="0" w:semiHidden="0" w:name="toc 2"/>
    <w:lsdException w:qFormat="1" w:uiPriority="0" w:semiHidden="0" w:name="toc 3"/>
    <w:lsdException w:qFormat="1" w:unhideWhenUsed="0" w:uiPriority="0" w:semiHidden="0" w:name="toc 4"/>
    <w:lsdException w:qFormat="1" w:uiPriority="0" w:name="toc 5"/>
    <w:lsdException w:qFormat="1" w:uiPriority="0" w:name="toc 6"/>
    <w:lsdException w:qFormat="1" w:uiPriority="0" w:name="toc 7"/>
    <w:lsdException w:qFormat="1" w:uiPriority="0" w:name="toc 8"/>
    <w:lsdException w:qFormat="1" w:uiPriority="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99"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4"/>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65"/>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66"/>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67"/>
    <w:qFormat/>
    <w:uiPriority w:val="0"/>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8"/>
    <w:link w:val="68"/>
    <w:qFormat/>
    <w:uiPriority w:val="99"/>
    <w:pPr>
      <w:keepNext/>
      <w:keepLines/>
      <w:numPr>
        <w:ilvl w:val="4"/>
        <w:numId w:val="1"/>
      </w:numPr>
      <w:ind w:firstLine="0" w:firstLineChars="0"/>
      <w:jc w:val="left"/>
      <w:outlineLvl w:val="4"/>
    </w:pPr>
    <w:rPr>
      <w:rFonts w:ascii="黑体" w:hAnsi="黑体" w:eastAsia="黑体"/>
      <w:szCs w:val="24"/>
      <w:lang w:val="zh-CN"/>
    </w:rPr>
  </w:style>
  <w:style w:type="paragraph" w:styleId="9">
    <w:name w:val="heading 6"/>
    <w:basedOn w:val="1"/>
    <w:next w:val="1"/>
    <w:link w:val="69"/>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10">
    <w:name w:val="heading 7"/>
    <w:basedOn w:val="1"/>
    <w:next w:val="1"/>
    <w:link w:val="70"/>
    <w:qFormat/>
    <w:uiPriority w:val="0"/>
    <w:pPr>
      <w:keepNext/>
      <w:keepLines/>
      <w:spacing w:before="240" w:after="64" w:line="320" w:lineRule="auto"/>
      <w:ind w:firstLine="0" w:firstLineChars="0"/>
      <w:outlineLvl w:val="6"/>
    </w:pPr>
    <w:rPr>
      <w:b/>
      <w:bCs/>
      <w:szCs w:val="24"/>
    </w:rPr>
  </w:style>
  <w:style w:type="paragraph" w:styleId="11">
    <w:name w:val="heading 8"/>
    <w:basedOn w:val="1"/>
    <w:next w:val="1"/>
    <w:link w:val="71"/>
    <w:qFormat/>
    <w:uiPriority w:val="0"/>
    <w:pPr>
      <w:keepNext/>
      <w:keepLines/>
      <w:numPr>
        <w:ilvl w:val="7"/>
        <w:numId w:val="1"/>
      </w:numPr>
      <w:spacing w:before="240" w:after="64" w:line="320" w:lineRule="auto"/>
      <w:ind w:firstLine="0" w:firstLineChars="0"/>
      <w:outlineLvl w:val="7"/>
    </w:pPr>
    <w:rPr>
      <w:rFonts w:ascii="Cambria" w:hAnsi="Cambria"/>
      <w:szCs w:val="24"/>
    </w:rPr>
  </w:style>
  <w:style w:type="paragraph" w:styleId="12">
    <w:name w:val="heading 9"/>
    <w:basedOn w:val="1"/>
    <w:next w:val="1"/>
    <w:link w:val="72"/>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50">
    <w:name w:val="Default Paragraph Font"/>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7"/>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8">
    <w:name w:val="Normal Indent"/>
    <w:basedOn w:val="1"/>
    <w:link w:val="73"/>
    <w:qFormat/>
    <w:uiPriority w:val="0"/>
    <w:pPr>
      <w:spacing w:line="240" w:lineRule="auto"/>
      <w:ind w:firstLine="420" w:firstLineChars="0"/>
    </w:pPr>
    <w:rPr>
      <w:sz w:val="21"/>
      <w:szCs w:val="20"/>
    </w:rPr>
  </w:style>
  <w:style w:type="paragraph" w:styleId="13">
    <w:name w:val="toc 7"/>
    <w:basedOn w:val="1"/>
    <w:next w:val="1"/>
    <w:autoRedefine/>
    <w:semiHidden/>
    <w:unhideWhenUsed/>
    <w:qFormat/>
    <w:uiPriority w:val="0"/>
    <w:pPr>
      <w:adjustRightInd w:val="0"/>
      <w:spacing w:line="312" w:lineRule="atLeast"/>
      <w:ind w:left="2520" w:firstLine="0" w:firstLineChars="0"/>
    </w:pPr>
    <w:rPr>
      <w:kern w:val="0"/>
      <w:sz w:val="21"/>
      <w:szCs w:val="20"/>
    </w:rPr>
  </w:style>
  <w:style w:type="paragraph" w:styleId="14">
    <w:name w:val="index 8"/>
    <w:basedOn w:val="1"/>
    <w:next w:val="1"/>
    <w:qFormat/>
    <w:uiPriority w:val="0"/>
    <w:pPr>
      <w:spacing w:line="240" w:lineRule="auto"/>
      <w:ind w:left="2940" w:firstLine="0" w:firstLineChars="0"/>
    </w:pPr>
    <w:rPr>
      <w:sz w:val="21"/>
      <w:szCs w:val="24"/>
    </w:rPr>
  </w:style>
  <w:style w:type="paragraph" w:styleId="15">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6">
    <w:name w:val="caption"/>
    <w:basedOn w:val="1"/>
    <w:next w:val="1"/>
    <w:qFormat/>
    <w:uiPriority w:val="0"/>
    <w:pPr>
      <w:ind w:firstLine="0" w:firstLineChars="0"/>
      <w:jc w:val="center"/>
    </w:pPr>
    <w:rPr>
      <w:rFonts w:ascii="Cambria" w:hAnsi="Cambria" w:eastAsia="黑体"/>
      <w:sz w:val="20"/>
      <w:szCs w:val="20"/>
    </w:rPr>
  </w:style>
  <w:style w:type="paragraph" w:styleId="17">
    <w:name w:val="Document Map"/>
    <w:basedOn w:val="1"/>
    <w:link w:val="74"/>
    <w:unhideWhenUsed/>
    <w:qFormat/>
    <w:uiPriority w:val="0"/>
    <w:pPr>
      <w:spacing w:line="240" w:lineRule="auto"/>
      <w:ind w:firstLine="0" w:firstLineChars="0"/>
    </w:pPr>
    <w:rPr>
      <w:rFonts w:ascii="宋体"/>
      <w:sz w:val="18"/>
      <w:szCs w:val="18"/>
    </w:rPr>
  </w:style>
  <w:style w:type="paragraph" w:styleId="18">
    <w:name w:val="annotation text"/>
    <w:basedOn w:val="1"/>
    <w:link w:val="75"/>
    <w:unhideWhenUsed/>
    <w:qFormat/>
    <w:uiPriority w:val="99"/>
    <w:pPr>
      <w:jc w:val="left"/>
    </w:pPr>
  </w:style>
  <w:style w:type="paragraph" w:styleId="19">
    <w:name w:val="Body Text 3"/>
    <w:basedOn w:val="1"/>
    <w:link w:val="76"/>
    <w:qFormat/>
    <w:uiPriority w:val="0"/>
    <w:pPr>
      <w:spacing w:line="240" w:lineRule="exact"/>
      <w:ind w:firstLine="0" w:firstLineChars="0"/>
    </w:pPr>
    <w:rPr>
      <w:rFonts w:ascii="宋体" w:hAnsi="宋体"/>
      <w:color w:val="000000"/>
      <w:sz w:val="21"/>
      <w:szCs w:val="21"/>
    </w:rPr>
  </w:style>
  <w:style w:type="paragraph" w:styleId="20">
    <w:name w:val="Body Text Indent"/>
    <w:basedOn w:val="1"/>
    <w:link w:val="78"/>
    <w:unhideWhenUsed/>
    <w:qFormat/>
    <w:uiPriority w:val="0"/>
    <w:pPr>
      <w:spacing w:after="120" w:line="240" w:lineRule="auto"/>
      <w:ind w:left="420" w:leftChars="200" w:firstLine="0" w:firstLineChars="0"/>
    </w:pPr>
    <w:rPr>
      <w:sz w:val="21"/>
      <w:szCs w:val="24"/>
    </w:rPr>
  </w:style>
  <w:style w:type="paragraph" w:styleId="21">
    <w:name w:val="List Number 3"/>
    <w:basedOn w:val="1"/>
    <w:qFormat/>
    <w:uiPriority w:val="0"/>
    <w:pPr>
      <w:tabs>
        <w:tab w:val="left" w:pos="1350"/>
      </w:tabs>
      <w:spacing w:line="240" w:lineRule="auto"/>
      <w:ind w:left="1350" w:hanging="720" w:firstLineChars="0"/>
    </w:pPr>
    <w:rPr>
      <w:sz w:val="21"/>
      <w:szCs w:val="24"/>
    </w:rPr>
  </w:style>
  <w:style w:type="paragraph" w:styleId="22">
    <w:name w:val="List 2"/>
    <w:basedOn w:val="1"/>
    <w:qFormat/>
    <w:uiPriority w:val="99"/>
    <w:pPr>
      <w:spacing w:line="240" w:lineRule="auto"/>
      <w:ind w:left="100" w:leftChars="200" w:hanging="200" w:hangingChars="200"/>
    </w:pPr>
    <w:rPr>
      <w:sz w:val="28"/>
      <w:szCs w:val="24"/>
    </w:rPr>
  </w:style>
  <w:style w:type="paragraph" w:styleId="23">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4">
    <w:name w:val="toc 5"/>
    <w:basedOn w:val="1"/>
    <w:next w:val="1"/>
    <w:autoRedefine/>
    <w:semiHidden/>
    <w:unhideWhenUsed/>
    <w:qFormat/>
    <w:uiPriority w:val="0"/>
    <w:pPr>
      <w:adjustRightInd w:val="0"/>
      <w:spacing w:line="312" w:lineRule="atLeast"/>
      <w:ind w:left="1680" w:firstLine="0" w:firstLineChars="0"/>
    </w:pPr>
    <w:rPr>
      <w:kern w:val="0"/>
      <w:sz w:val="21"/>
      <w:szCs w:val="20"/>
    </w:rPr>
  </w:style>
  <w:style w:type="paragraph" w:styleId="25">
    <w:name w:val="toc 3"/>
    <w:basedOn w:val="1"/>
    <w:next w:val="1"/>
    <w:unhideWhenUsed/>
    <w:qFormat/>
    <w:uiPriority w:val="0"/>
    <w:pPr>
      <w:ind w:left="840" w:leftChars="400" w:firstLine="0" w:firstLineChars="0"/>
    </w:pPr>
    <w:rPr>
      <w:rFonts w:ascii="Calibri" w:hAnsi="Calibri"/>
    </w:rPr>
  </w:style>
  <w:style w:type="paragraph" w:styleId="26">
    <w:name w:val="Plain Text"/>
    <w:basedOn w:val="1"/>
    <w:next w:val="1"/>
    <w:link w:val="79"/>
    <w:qFormat/>
    <w:uiPriority w:val="0"/>
    <w:pPr>
      <w:spacing w:line="460" w:lineRule="exact"/>
      <w:ind w:firstLine="0" w:firstLineChars="0"/>
    </w:pPr>
    <w:rPr>
      <w:lang w:val="en-GB"/>
    </w:rPr>
  </w:style>
  <w:style w:type="paragraph" w:styleId="27">
    <w:name w:val="toc 8"/>
    <w:basedOn w:val="1"/>
    <w:next w:val="1"/>
    <w:autoRedefine/>
    <w:semiHidden/>
    <w:unhideWhenUsed/>
    <w:qFormat/>
    <w:uiPriority w:val="0"/>
    <w:pPr>
      <w:adjustRightInd w:val="0"/>
      <w:spacing w:line="312" w:lineRule="atLeast"/>
      <w:ind w:left="2940" w:firstLine="0" w:firstLineChars="0"/>
    </w:pPr>
    <w:rPr>
      <w:kern w:val="0"/>
      <w:sz w:val="21"/>
      <w:szCs w:val="20"/>
    </w:rPr>
  </w:style>
  <w:style w:type="paragraph" w:styleId="28">
    <w:name w:val="Date"/>
    <w:basedOn w:val="1"/>
    <w:next w:val="1"/>
    <w:link w:val="80"/>
    <w:unhideWhenUsed/>
    <w:qFormat/>
    <w:uiPriority w:val="0"/>
    <w:pPr>
      <w:ind w:left="100" w:leftChars="2500"/>
    </w:pPr>
  </w:style>
  <w:style w:type="paragraph" w:styleId="29">
    <w:name w:val="Body Text Indent 2"/>
    <w:basedOn w:val="1"/>
    <w:link w:val="81"/>
    <w:unhideWhenUsed/>
    <w:qFormat/>
    <w:uiPriority w:val="0"/>
    <w:pPr>
      <w:spacing w:after="120" w:line="480" w:lineRule="auto"/>
      <w:ind w:left="420" w:leftChars="200" w:firstLine="0" w:firstLineChars="0"/>
    </w:pPr>
    <w:rPr>
      <w:sz w:val="21"/>
      <w:szCs w:val="20"/>
    </w:rPr>
  </w:style>
  <w:style w:type="paragraph" w:styleId="30">
    <w:name w:val="Balloon Text"/>
    <w:basedOn w:val="1"/>
    <w:link w:val="82"/>
    <w:unhideWhenUsed/>
    <w:qFormat/>
    <w:uiPriority w:val="0"/>
    <w:pPr>
      <w:spacing w:line="240" w:lineRule="auto"/>
    </w:pPr>
    <w:rPr>
      <w:sz w:val="18"/>
      <w:szCs w:val="18"/>
    </w:rPr>
  </w:style>
  <w:style w:type="paragraph" w:styleId="31">
    <w:name w:val="footer"/>
    <w:basedOn w:val="1"/>
    <w:link w:val="83"/>
    <w:unhideWhenUsed/>
    <w:qFormat/>
    <w:uiPriority w:val="99"/>
    <w:pPr>
      <w:tabs>
        <w:tab w:val="center" w:pos="4153"/>
        <w:tab w:val="right" w:pos="8306"/>
      </w:tabs>
      <w:snapToGrid w:val="0"/>
      <w:jc w:val="left"/>
    </w:pPr>
    <w:rPr>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unhideWhenUsed/>
    <w:qFormat/>
    <w:uiPriority w:val="0"/>
    <w:pPr>
      <w:ind w:firstLine="0" w:firstLineChars="0"/>
    </w:pPr>
    <w:rPr>
      <w:rFonts w:ascii="Calibri" w:hAnsi="Calibri"/>
      <w:b/>
    </w:rPr>
  </w:style>
  <w:style w:type="paragraph" w:styleId="34">
    <w:name w:val="toc 4"/>
    <w:basedOn w:val="1"/>
    <w:next w:val="1"/>
    <w:qFormat/>
    <w:uiPriority w:val="0"/>
    <w:pPr>
      <w:spacing w:line="240" w:lineRule="auto"/>
      <w:ind w:left="630" w:firstLine="0" w:firstLineChars="0"/>
      <w:jc w:val="left"/>
    </w:pPr>
    <w:rPr>
      <w:sz w:val="18"/>
      <w:szCs w:val="18"/>
    </w:rPr>
  </w:style>
  <w:style w:type="paragraph" w:styleId="35">
    <w:name w:val="List"/>
    <w:basedOn w:val="1"/>
    <w:qFormat/>
    <w:uiPriority w:val="0"/>
    <w:pPr>
      <w:spacing w:line="240" w:lineRule="auto"/>
      <w:ind w:left="200" w:hanging="200" w:hangingChars="200"/>
    </w:pPr>
    <w:rPr>
      <w:sz w:val="28"/>
      <w:szCs w:val="24"/>
    </w:rPr>
  </w:style>
  <w:style w:type="paragraph" w:styleId="36">
    <w:name w:val="toc 6"/>
    <w:basedOn w:val="1"/>
    <w:next w:val="1"/>
    <w:autoRedefine/>
    <w:semiHidden/>
    <w:unhideWhenUsed/>
    <w:qFormat/>
    <w:uiPriority w:val="0"/>
    <w:pPr>
      <w:adjustRightInd w:val="0"/>
      <w:spacing w:line="312" w:lineRule="atLeast"/>
      <w:ind w:left="2100" w:firstLine="0" w:firstLineChars="0"/>
    </w:pPr>
    <w:rPr>
      <w:kern w:val="0"/>
      <w:sz w:val="21"/>
      <w:szCs w:val="20"/>
    </w:rPr>
  </w:style>
  <w:style w:type="paragraph" w:styleId="37">
    <w:name w:val="List 5"/>
    <w:basedOn w:val="1"/>
    <w:qFormat/>
    <w:uiPriority w:val="0"/>
    <w:pPr>
      <w:spacing w:line="240" w:lineRule="auto"/>
      <w:ind w:left="2100" w:hanging="420" w:firstLineChars="0"/>
    </w:pPr>
    <w:rPr>
      <w:sz w:val="21"/>
      <w:szCs w:val="20"/>
    </w:rPr>
  </w:style>
  <w:style w:type="paragraph" w:styleId="38">
    <w:name w:val="Body Text Indent 3"/>
    <w:basedOn w:val="1"/>
    <w:link w:val="85"/>
    <w:unhideWhenUsed/>
    <w:qFormat/>
    <w:uiPriority w:val="0"/>
    <w:pPr>
      <w:spacing w:after="120" w:line="240" w:lineRule="auto"/>
      <w:ind w:left="420" w:leftChars="200" w:firstLine="0" w:firstLineChars="0"/>
    </w:pPr>
    <w:rPr>
      <w:sz w:val="16"/>
      <w:szCs w:val="16"/>
    </w:rPr>
  </w:style>
  <w:style w:type="paragraph" w:styleId="39">
    <w:name w:val="toc 2"/>
    <w:basedOn w:val="1"/>
    <w:next w:val="1"/>
    <w:unhideWhenUsed/>
    <w:qFormat/>
    <w:uiPriority w:val="0"/>
    <w:pPr>
      <w:ind w:left="420" w:leftChars="200" w:firstLine="0" w:firstLineChars="0"/>
    </w:pPr>
    <w:rPr>
      <w:rFonts w:ascii="Calibri" w:hAnsi="Calibri"/>
    </w:rPr>
  </w:style>
  <w:style w:type="paragraph" w:styleId="40">
    <w:name w:val="toc 9"/>
    <w:basedOn w:val="1"/>
    <w:next w:val="1"/>
    <w:autoRedefine/>
    <w:semiHidden/>
    <w:unhideWhenUsed/>
    <w:qFormat/>
    <w:uiPriority w:val="0"/>
    <w:pPr>
      <w:adjustRightInd w:val="0"/>
      <w:spacing w:line="312" w:lineRule="atLeast"/>
      <w:ind w:left="3360" w:firstLine="0" w:firstLineChars="0"/>
    </w:pPr>
    <w:rPr>
      <w:kern w:val="0"/>
      <w:sz w:val="21"/>
      <w:szCs w:val="20"/>
    </w:rPr>
  </w:style>
  <w:style w:type="paragraph" w:styleId="41">
    <w:name w:val="Body Text 2"/>
    <w:basedOn w:val="1"/>
    <w:link w:val="86"/>
    <w:qFormat/>
    <w:uiPriority w:val="0"/>
    <w:pPr>
      <w:spacing w:after="120" w:line="480" w:lineRule="auto"/>
      <w:ind w:firstLine="0" w:firstLineChars="0"/>
    </w:pPr>
    <w:rPr>
      <w:sz w:val="21"/>
      <w:szCs w:val="24"/>
    </w:rPr>
  </w:style>
  <w:style w:type="paragraph" w:styleId="42">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3">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4">
    <w:name w:val="index 1"/>
    <w:basedOn w:val="1"/>
    <w:next w:val="1"/>
    <w:semiHidden/>
    <w:qFormat/>
    <w:uiPriority w:val="0"/>
    <w:pPr>
      <w:spacing w:line="400" w:lineRule="exact"/>
      <w:ind w:firstLine="420"/>
    </w:pPr>
    <w:rPr>
      <w:rFonts w:ascii="宋体" w:hAnsi="Courier New"/>
      <w:b/>
      <w:sz w:val="21"/>
      <w:szCs w:val="20"/>
    </w:rPr>
  </w:style>
  <w:style w:type="paragraph" w:styleId="45">
    <w:name w:val="Title"/>
    <w:basedOn w:val="1"/>
    <w:next w:val="1"/>
    <w:link w:val="88"/>
    <w:qFormat/>
    <w:uiPriority w:val="0"/>
    <w:pPr>
      <w:spacing w:before="240" w:after="60" w:line="240" w:lineRule="auto"/>
      <w:ind w:firstLine="0" w:firstLineChars="0"/>
      <w:jc w:val="center"/>
      <w:outlineLvl w:val="0"/>
    </w:pPr>
    <w:rPr>
      <w:rFonts w:ascii="Cambria" w:hAnsi="Cambria"/>
      <w:b/>
      <w:bCs/>
      <w:sz w:val="32"/>
      <w:szCs w:val="32"/>
    </w:rPr>
  </w:style>
  <w:style w:type="paragraph" w:styleId="46">
    <w:name w:val="annotation subject"/>
    <w:basedOn w:val="18"/>
    <w:next w:val="18"/>
    <w:link w:val="89"/>
    <w:unhideWhenUsed/>
    <w:qFormat/>
    <w:uiPriority w:val="0"/>
    <w:rPr>
      <w:b/>
      <w:bCs/>
    </w:rPr>
  </w:style>
  <w:style w:type="paragraph" w:styleId="47">
    <w:name w:val="Body Text First Indent 2"/>
    <w:basedOn w:val="20"/>
    <w:link w:val="90"/>
    <w:unhideWhenUsed/>
    <w:qFormat/>
    <w:uiPriority w:val="0"/>
    <w:pPr>
      <w:ind w:firstLine="420" w:firstLineChars="200"/>
    </w:pPr>
  </w:style>
  <w:style w:type="table" w:styleId="49">
    <w:name w:val="Table Grid"/>
    <w:basedOn w:val="4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0"/>
    <w:rPr>
      <w:b/>
      <w:bCs/>
    </w:rPr>
  </w:style>
  <w:style w:type="character" w:styleId="52">
    <w:name w:val="page number"/>
    <w:basedOn w:val="50"/>
    <w:qFormat/>
    <w:uiPriority w:val="0"/>
  </w:style>
  <w:style w:type="character" w:styleId="53">
    <w:name w:val="FollowedHyperlink"/>
    <w:basedOn w:val="50"/>
    <w:unhideWhenUsed/>
    <w:qFormat/>
    <w:uiPriority w:val="0"/>
    <w:rPr>
      <w:color w:val="800080"/>
      <w:u w:val="single"/>
    </w:rPr>
  </w:style>
  <w:style w:type="character" w:styleId="54">
    <w:name w:val="Emphasis"/>
    <w:qFormat/>
    <w:uiPriority w:val="0"/>
  </w:style>
  <w:style w:type="character" w:styleId="55">
    <w:name w:val="HTML Definition"/>
    <w:basedOn w:val="50"/>
    <w:semiHidden/>
    <w:unhideWhenUsed/>
    <w:qFormat/>
    <w:uiPriority w:val="0"/>
  </w:style>
  <w:style w:type="character" w:styleId="56">
    <w:name w:val="HTML Typewriter"/>
    <w:basedOn w:val="50"/>
    <w:semiHidden/>
    <w:unhideWhenUsed/>
    <w:qFormat/>
    <w:uiPriority w:val="0"/>
    <w:rPr>
      <w:rFonts w:hint="default" w:ascii="Courier New" w:hAnsi="Courier New" w:eastAsia="Courier New" w:cs="Courier New"/>
      <w:sz w:val="24"/>
      <w:szCs w:val="24"/>
    </w:rPr>
  </w:style>
  <w:style w:type="character" w:styleId="57">
    <w:name w:val="HTML Variable"/>
    <w:basedOn w:val="50"/>
    <w:semiHidden/>
    <w:unhideWhenUsed/>
    <w:qFormat/>
    <w:uiPriority w:val="0"/>
    <w:rPr>
      <w:vanish/>
      <w:bdr w:val="single" w:color="DCDCDC" w:sz="6" w:space="0"/>
    </w:rPr>
  </w:style>
  <w:style w:type="character" w:styleId="58">
    <w:name w:val="Hyperlink"/>
    <w:basedOn w:val="50"/>
    <w:unhideWhenUsed/>
    <w:qFormat/>
    <w:uiPriority w:val="0"/>
    <w:rPr>
      <w:color w:val="0000FF"/>
      <w:u w:val="single"/>
    </w:rPr>
  </w:style>
  <w:style w:type="character" w:styleId="59">
    <w:name w:val="HTML Code"/>
    <w:basedOn w:val="50"/>
    <w:semiHidden/>
    <w:unhideWhenUsed/>
    <w:qFormat/>
    <w:uiPriority w:val="0"/>
    <w:rPr>
      <w:rFonts w:hint="default" w:ascii="Courier New" w:hAnsi="Courier New" w:eastAsia="Courier New" w:cs="Courier New"/>
      <w:sz w:val="24"/>
      <w:szCs w:val="24"/>
    </w:rPr>
  </w:style>
  <w:style w:type="character" w:styleId="60">
    <w:name w:val="annotation reference"/>
    <w:basedOn w:val="50"/>
    <w:unhideWhenUsed/>
    <w:qFormat/>
    <w:uiPriority w:val="99"/>
    <w:rPr>
      <w:sz w:val="21"/>
      <w:szCs w:val="21"/>
    </w:rPr>
  </w:style>
  <w:style w:type="character" w:styleId="61">
    <w:name w:val="HTML Cite"/>
    <w:basedOn w:val="50"/>
    <w:semiHidden/>
    <w:unhideWhenUsed/>
    <w:qFormat/>
    <w:uiPriority w:val="0"/>
  </w:style>
  <w:style w:type="character" w:styleId="62">
    <w:name w:val="HTML Keyboard"/>
    <w:basedOn w:val="50"/>
    <w:semiHidden/>
    <w:unhideWhenUsed/>
    <w:qFormat/>
    <w:uiPriority w:val="0"/>
    <w:rPr>
      <w:rFonts w:hint="default" w:ascii="Courier New" w:hAnsi="Courier New" w:eastAsia="Courier New" w:cs="Courier New"/>
      <w:sz w:val="24"/>
      <w:szCs w:val="24"/>
    </w:rPr>
  </w:style>
  <w:style w:type="character" w:styleId="63">
    <w:name w:val="HTML Sample"/>
    <w:basedOn w:val="50"/>
    <w:semiHidden/>
    <w:unhideWhenUsed/>
    <w:qFormat/>
    <w:uiPriority w:val="0"/>
    <w:rPr>
      <w:rFonts w:hint="default" w:ascii="Courier New" w:hAnsi="Courier New" w:eastAsia="Courier New" w:cs="Courier New"/>
    </w:rPr>
  </w:style>
  <w:style w:type="character" w:customStyle="1" w:styleId="64">
    <w:name w:val="标题 1 字符"/>
    <w:basedOn w:val="50"/>
    <w:link w:val="3"/>
    <w:qFormat/>
    <w:uiPriority w:val="0"/>
    <w:rPr>
      <w:rFonts w:ascii="黑体" w:hAnsi="黑体" w:eastAsia="黑体"/>
      <w:b/>
      <w:bCs/>
      <w:kern w:val="44"/>
      <w:sz w:val="28"/>
      <w:szCs w:val="28"/>
      <w:lang w:val="zh-CN"/>
    </w:rPr>
  </w:style>
  <w:style w:type="character" w:customStyle="1" w:styleId="65">
    <w:name w:val="标题 2 字符"/>
    <w:basedOn w:val="50"/>
    <w:link w:val="4"/>
    <w:qFormat/>
    <w:uiPriority w:val="0"/>
    <w:rPr>
      <w:rFonts w:ascii="黑体" w:hAnsi="黑体" w:eastAsia="黑体"/>
      <w:b/>
      <w:bCs/>
      <w:kern w:val="2"/>
      <w:sz w:val="24"/>
      <w:szCs w:val="24"/>
      <w:lang w:val="zh-CN"/>
    </w:rPr>
  </w:style>
  <w:style w:type="character" w:customStyle="1" w:styleId="66">
    <w:name w:val="标题 3 字符"/>
    <w:basedOn w:val="50"/>
    <w:link w:val="5"/>
    <w:qFormat/>
    <w:uiPriority w:val="0"/>
    <w:rPr>
      <w:rFonts w:ascii="黑体" w:hAnsi="黑体" w:eastAsia="黑体"/>
      <w:b/>
      <w:bCs/>
      <w:kern w:val="2"/>
      <w:sz w:val="24"/>
      <w:szCs w:val="24"/>
      <w:lang w:val="zh-CN"/>
    </w:rPr>
  </w:style>
  <w:style w:type="character" w:customStyle="1" w:styleId="67">
    <w:name w:val="标题 4 字符"/>
    <w:basedOn w:val="50"/>
    <w:link w:val="6"/>
    <w:qFormat/>
    <w:uiPriority w:val="0"/>
    <w:rPr>
      <w:rFonts w:ascii="黑体" w:hAnsi="黑体" w:eastAsia="黑体"/>
      <w:kern w:val="2"/>
      <w:sz w:val="24"/>
      <w:szCs w:val="24"/>
      <w:lang w:val="zh-CN"/>
    </w:rPr>
  </w:style>
  <w:style w:type="character" w:customStyle="1" w:styleId="68">
    <w:name w:val="标题 5 字符"/>
    <w:basedOn w:val="50"/>
    <w:link w:val="7"/>
    <w:qFormat/>
    <w:uiPriority w:val="99"/>
    <w:rPr>
      <w:rFonts w:ascii="黑体" w:hAnsi="黑体" w:eastAsia="黑体"/>
      <w:kern w:val="2"/>
      <w:sz w:val="24"/>
      <w:szCs w:val="24"/>
      <w:lang w:val="zh-CN"/>
    </w:rPr>
  </w:style>
  <w:style w:type="character" w:customStyle="1" w:styleId="69">
    <w:name w:val="标题 6 字符"/>
    <w:basedOn w:val="50"/>
    <w:link w:val="9"/>
    <w:qFormat/>
    <w:uiPriority w:val="0"/>
    <w:rPr>
      <w:rFonts w:ascii="黑体" w:hAnsi="黑体" w:eastAsia="黑体"/>
      <w:kern w:val="2"/>
      <w:sz w:val="24"/>
      <w:szCs w:val="24"/>
      <w:lang w:val="zh-CN"/>
    </w:rPr>
  </w:style>
  <w:style w:type="character" w:customStyle="1" w:styleId="70">
    <w:name w:val="标题 7 字符"/>
    <w:basedOn w:val="50"/>
    <w:link w:val="10"/>
    <w:qFormat/>
    <w:uiPriority w:val="0"/>
    <w:rPr>
      <w:rFonts w:eastAsia="宋体"/>
      <w:b/>
      <w:bCs/>
      <w:sz w:val="24"/>
      <w:szCs w:val="24"/>
    </w:rPr>
  </w:style>
  <w:style w:type="character" w:customStyle="1" w:styleId="71">
    <w:name w:val="标题 8 字符"/>
    <w:basedOn w:val="50"/>
    <w:link w:val="11"/>
    <w:qFormat/>
    <w:uiPriority w:val="0"/>
    <w:rPr>
      <w:rFonts w:ascii="Cambria" w:hAnsi="Cambria"/>
      <w:kern w:val="2"/>
      <w:sz w:val="24"/>
      <w:szCs w:val="24"/>
    </w:rPr>
  </w:style>
  <w:style w:type="character" w:customStyle="1" w:styleId="72">
    <w:name w:val="标题 9 字符"/>
    <w:basedOn w:val="50"/>
    <w:link w:val="12"/>
    <w:qFormat/>
    <w:uiPriority w:val="0"/>
    <w:rPr>
      <w:rFonts w:ascii="Cambria" w:hAnsi="Cambria"/>
      <w:kern w:val="2"/>
      <w:sz w:val="21"/>
      <w:szCs w:val="21"/>
    </w:rPr>
  </w:style>
  <w:style w:type="character" w:customStyle="1" w:styleId="73">
    <w:name w:val="正文缩进 字符"/>
    <w:link w:val="8"/>
    <w:qFormat/>
    <w:locked/>
    <w:uiPriority w:val="0"/>
    <w:rPr>
      <w:rFonts w:ascii="Times New Roman" w:hAnsi="Times New Roman"/>
      <w:kern w:val="2"/>
      <w:sz w:val="21"/>
    </w:rPr>
  </w:style>
  <w:style w:type="character" w:customStyle="1" w:styleId="74">
    <w:name w:val="文档结构图 字符"/>
    <w:link w:val="17"/>
    <w:qFormat/>
    <w:uiPriority w:val="0"/>
    <w:rPr>
      <w:rFonts w:ascii="宋体" w:hAnsi="Times New Roman"/>
      <w:kern w:val="2"/>
      <w:sz w:val="18"/>
      <w:szCs w:val="18"/>
    </w:rPr>
  </w:style>
  <w:style w:type="character" w:customStyle="1" w:styleId="75">
    <w:name w:val="批注文字 字符"/>
    <w:basedOn w:val="50"/>
    <w:link w:val="18"/>
    <w:qFormat/>
    <w:uiPriority w:val="99"/>
    <w:rPr>
      <w:rFonts w:eastAsia="宋体"/>
      <w:sz w:val="24"/>
    </w:rPr>
  </w:style>
  <w:style w:type="character" w:customStyle="1" w:styleId="76">
    <w:name w:val="正文文本 3 字符"/>
    <w:basedOn w:val="50"/>
    <w:link w:val="19"/>
    <w:qFormat/>
    <w:uiPriority w:val="0"/>
    <w:rPr>
      <w:rFonts w:ascii="宋体" w:hAnsi="宋体"/>
      <w:color w:val="000000"/>
      <w:kern w:val="2"/>
      <w:sz w:val="21"/>
      <w:szCs w:val="21"/>
    </w:rPr>
  </w:style>
  <w:style w:type="character" w:customStyle="1" w:styleId="77">
    <w:name w:val="正文文本 字符"/>
    <w:basedOn w:val="50"/>
    <w:link w:val="2"/>
    <w:qFormat/>
    <w:uiPriority w:val="0"/>
    <w:rPr>
      <w:rFonts w:ascii="宋体" w:hAnsi="宋体" w:eastAsia="宋体" w:cs="宋体"/>
      <w:kern w:val="0"/>
      <w:szCs w:val="21"/>
      <w:lang w:val="zh-CN" w:bidi="zh-CN"/>
    </w:rPr>
  </w:style>
  <w:style w:type="character" w:customStyle="1" w:styleId="78">
    <w:name w:val="正文文本缩进 字符"/>
    <w:link w:val="20"/>
    <w:qFormat/>
    <w:uiPriority w:val="0"/>
    <w:rPr>
      <w:rFonts w:ascii="Times New Roman" w:hAnsi="Times New Roman"/>
      <w:kern w:val="2"/>
      <w:sz w:val="21"/>
      <w:szCs w:val="24"/>
    </w:rPr>
  </w:style>
  <w:style w:type="character" w:customStyle="1" w:styleId="79">
    <w:name w:val="纯文本 字符1"/>
    <w:basedOn w:val="50"/>
    <w:link w:val="26"/>
    <w:qFormat/>
    <w:uiPriority w:val="0"/>
    <w:rPr>
      <w:rFonts w:eastAsia="宋体"/>
      <w:sz w:val="24"/>
      <w:lang w:val="en-GB"/>
    </w:rPr>
  </w:style>
  <w:style w:type="character" w:customStyle="1" w:styleId="80">
    <w:name w:val="日期 字符"/>
    <w:basedOn w:val="50"/>
    <w:link w:val="28"/>
    <w:qFormat/>
    <w:uiPriority w:val="0"/>
    <w:rPr>
      <w:rFonts w:eastAsia="宋体"/>
      <w:sz w:val="24"/>
    </w:rPr>
  </w:style>
  <w:style w:type="character" w:customStyle="1" w:styleId="81">
    <w:name w:val="正文文本缩进 2 字符"/>
    <w:basedOn w:val="50"/>
    <w:link w:val="29"/>
    <w:qFormat/>
    <w:uiPriority w:val="0"/>
    <w:rPr>
      <w:rFonts w:ascii="Times New Roman" w:hAnsi="Times New Roman"/>
      <w:kern w:val="2"/>
      <w:sz w:val="21"/>
    </w:rPr>
  </w:style>
  <w:style w:type="character" w:customStyle="1" w:styleId="82">
    <w:name w:val="批注框文本 字符"/>
    <w:basedOn w:val="50"/>
    <w:link w:val="30"/>
    <w:qFormat/>
    <w:uiPriority w:val="0"/>
    <w:rPr>
      <w:rFonts w:eastAsia="宋体"/>
      <w:sz w:val="18"/>
      <w:szCs w:val="18"/>
    </w:rPr>
  </w:style>
  <w:style w:type="character" w:customStyle="1" w:styleId="83">
    <w:name w:val="页脚 字符"/>
    <w:basedOn w:val="50"/>
    <w:link w:val="31"/>
    <w:qFormat/>
    <w:uiPriority w:val="99"/>
    <w:rPr>
      <w:sz w:val="18"/>
      <w:szCs w:val="18"/>
    </w:rPr>
  </w:style>
  <w:style w:type="character" w:customStyle="1" w:styleId="84">
    <w:name w:val="页眉 字符"/>
    <w:basedOn w:val="50"/>
    <w:link w:val="32"/>
    <w:qFormat/>
    <w:uiPriority w:val="0"/>
    <w:rPr>
      <w:sz w:val="18"/>
      <w:szCs w:val="18"/>
    </w:rPr>
  </w:style>
  <w:style w:type="character" w:customStyle="1" w:styleId="85">
    <w:name w:val="正文文本缩进 3 字符1"/>
    <w:basedOn w:val="50"/>
    <w:link w:val="38"/>
    <w:qFormat/>
    <w:uiPriority w:val="0"/>
    <w:rPr>
      <w:rFonts w:ascii="Times New Roman" w:hAnsi="Times New Roman"/>
      <w:kern w:val="2"/>
      <w:sz w:val="16"/>
      <w:szCs w:val="16"/>
    </w:rPr>
  </w:style>
  <w:style w:type="character" w:customStyle="1" w:styleId="86">
    <w:name w:val="正文文本 2 字符"/>
    <w:basedOn w:val="50"/>
    <w:link w:val="41"/>
    <w:qFormat/>
    <w:uiPriority w:val="0"/>
    <w:rPr>
      <w:rFonts w:ascii="Times New Roman" w:hAnsi="Times New Roman"/>
      <w:kern w:val="2"/>
      <w:sz w:val="21"/>
      <w:szCs w:val="24"/>
    </w:rPr>
  </w:style>
  <w:style w:type="character" w:customStyle="1" w:styleId="87">
    <w:name w:val="HTML 预设格式 字符"/>
    <w:basedOn w:val="50"/>
    <w:link w:val="42"/>
    <w:qFormat/>
    <w:uiPriority w:val="0"/>
    <w:rPr>
      <w:rFonts w:ascii="宋体" w:hAnsi="宋体"/>
      <w:sz w:val="24"/>
      <w:szCs w:val="24"/>
    </w:rPr>
  </w:style>
  <w:style w:type="character" w:customStyle="1" w:styleId="88">
    <w:name w:val="标题 字符"/>
    <w:basedOn w:val="50"/>
    <w:link w:val="45"/>
    <w:qFormat/>
    <w:uiPriority w:val="0"/>
    <w:rPr>
      <w:rFonts w:ascii="Cambria" w:hAnsi="Cambria"/>
      <w:b/>
      <w:bCs/>
      <w:kern w:val="2"/>
      <w:sz w:val="32"/>
      <w:szCs w:val="32"/>
    </w:rPr>
  </w:style>
  <w:style w:type="character" w:customStyle="1" w:styleId="89">
    <w:name w:val="批注主题 字符"/>
    <w:basedOn w:val="75"/>
    <w:link w:val="46"/>
    <w:qFormat/>
    <w:uiPriority w:val="0"/>
    <w:rPr>
      <w:rFonts w:eastAsia="宋体"/>
      <w:b/>
      <w:bCs/>
      <w:sz w:val="24"/>
    </w:rPr>
  </w:style>
  <w:style w:type="character" w:customStyle="1" w:styleId="90">
    <w:name w:val="正文首行缩进 2 字符"/>
    <w:basedOn w:val="91"/>
    <w:link w:val="47"/>
    <w:qFormat/>
    <w:uiPriority w:val="0"/>
    <w:rPr>
      <w:rFonts w:ascii="Times New Roman" w:hAnsi="Times New Roman"/>
      <w:kern w:val="2"/>
      <w:sz w:val="21"/>
      <w:szCs w:val="24"/>
    </w:rPr>
  </w:style>
  <w:style w:type="character" w:customStyle="1" w:styleId="91">
    <w:name w:val="正文文本缩进 Char"/>
    <w:basedOn w:val="50"/>
    <w:link w:val="92"/>
    <w:qFormat/>
    <w:uiPriority w:val="0"/>
    <w:rPr>
      <w:kern w:val="2"/>
      <w:sz w:val="24"/>
      <w:szCs w:val="22"/>
    </w:rPr>
  </w:style>
  <w:style w:type="paragraph" w:customStyle="1" w:styleId="92">
    <w:name w:val="正文文本缩进1"/>
    <w:basedOn w:val="1"/>
    <w:next w:val="20"/>
    <w:link w:val="91"/>
    <w:qFormat/>
    <w:uiPriority w:val="0"/>
    <w:pPr>
      <w:spacing w:after="120" w:line="240" w:lineRule="auto"/>
      <w:ind w:left="420" w:leftChars="200" w:firstLine="0" w:firstLineChars="0"/>
    </w:pPr>
  </w:style>
  <w:style w:type="character" w:customStyle="1" w:styleId="93">
    <w:name w:val="apple-style-span"/>
    <w:qFormat/>
    <w:uiPriority w:val="0"/>
  </w:style>
  <w:style w:type="character" w:customStyle="1" w:styleId="94">
    <w:name w:val="标题 9 Char1"/>
    <w:semiHidden/>
    <w:qFormat/>
    <w:uiPriority w:val="0"/>
    <w:rPr>
      <w:rFonts w:ascii="Cambria" w:hAnsi="Cambria" w:eastAsia="宋体" w:cs="Times New Roman"/>
      <w:kern w:val="2"/>
      <w:sz w:val="21"/>
      <w:szCs w:val="21"/>
    </w:rPr>
  </w:style>
  <w:style w:type="character" w:customStyle="1" w:styleId="95">
    <w:name w:val="Char Char1"/>
    <w:qFormat/>
    <w:uiPriority w:val="0"/>
    <w:rPr>
      <w:rFonts w:eastAsia="宋体"/>
      <w:kern w:val="2"/>
      <w:sz w:val="21"/>
      <w:szCs w:val="24"/>
      <w:lang w:val="en-US" w:eastAsia="zh-CN" w:bidi="ar-SA"/>
    </w:rPr>
  </w:style>
  <w:style w:type="character" w:customStyle="1" w:styleId="96">
    <w:name w:val="表格正文 Char"/>
    <w:link w:val="97"/>
    <w:qFormat/>
    <w:locked/>
    <w:uiPriority w:val="0"/>
    <w:rPr>
      <w:szCs w:val="24"/>
    </w:rPr>
  </w:style>
  <w:style w:type="paragraph" w:customStyle="1" w:styleId="97">
    <w:name w:val="表格正文"/>
    <w:basedOn w:val="1"/>
    <w:link w:val="96"/>
    <w:qFormat/>
    <w:uiPriority w:val="0"/>
    <w:pPr>
      <w:ind w:firstLine="0" w:firstLineChars="0"/>
    </w:pPr>
    <w:rPr>
      <w:kern w:val="0"/>
      <w:sz w:val="20"/>
      <w:szCs w:val="24"/>
    </w:rPr>
  </w:style>
  <w:style w:type="character" w:customStyle="1" w:styleId="98">
    <w:name w:val="Char Char10"/>
    <w:qFormat/>
    <w:uiPriority w:val="0"/>
    <w:rPr>
      <w:rFonts w:eastAsia="宋体"/>
      <w:kern w:val="2"/>
      <w:sz w:val="21"/>
      <w:szCs w:val="24"/>
      <w:lang w:val="en-US" w:eastAsia="zh-CN" w:bidi="ar-SA"/>
    </w:rPr>
  </w:style>
  <w:style w:type="character" w:customStyle="1" w:styleId="99">
    <w:name w:val="1ji Char"/>
    <w:link w:val="100"/>
    <w:qFormat/>
    <w:uiPriority w:val="0"/>
    <w:rPr>
      <w:rFonts w:ascii="宋体" w:hAnsi="宋体"/>
      <w:b/>
      <w:bCs/>
      <w:kern w:val="44"/>
      <w:sz w:val="36"/>
      <w:szCs w:val="44"/>
    </w:rPr>
  </w:style>
  <w:style w:type="paragraph" w:customStyle="1" w:styleId="100">
    <w:name w:val="1ji"/>
    <w:basedOn w:val="3"/>
    <w:link w:val="99"/>
    <w:qFormat/>
    <w:uiPriority w:val="0"/>
    <w:pPr>
      <w:keepLines w:val="0"/>
      <w:numPr>
        <w:numId w:val="0"/>
      </w:numPr>
      <w:spacing w:line="240" w:lineRule="auto"/>
      <w:jc w:val="center"/>
    </w:pPr>
    <w:rPr>
      <w:rFonts w:ascii="宋体" w:hAnsi="宋体" w:eastAsia="宋体"/>
      <w:sz w:val="36"/>
      <w:szCs w:val="44"/>
    </w:rPr>
  </w:style>
  <w:style w:type="character" w:customStyle="1" w:styleId="101">
    <w:name w:val="标书4级 Char"/>
    <w:link w:val="102"/>
    <w:qFormat/>
    <w:uiPriority w:val="0"/>
    <w:rPr>
      <w:rFonts w:ascii="宋体" w:hAnsi="宋体"/>
      <w:b/>
      <w:bCs/>
      <w:kern w:val="2"/>
      <w:sz w:val="28"/>
      <w:szCs w:val="28"/>
    </w:rPr>
  </w:style>
  <w:style w:type="paragraph" w:customStyle="1" w:styleId="102">
    <w:name w:val="标书4级"/>
    <w:basedOn w:val="6"/>
    <w:link w:val="101"/>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03">
    <w:name w:val="font51"/>
    <w:qFormat/>
    <w:uiPriority w:val="0"/>
    <w:rPr>
      <w:rFonts w:hint="eastAsia" w:ascii="宋体" w:hAnsi="宋体" w:eastAsia="宋体" w:cs="宋体"/>
      <w:color w:val="000000"/>
      <w:sz w:val="18"/>
      <w:szCs w:val="18"/>
      <w:u w:val="none"/>
    </w:rPr>
  </w:style>
  <w:style w:type="character" w:customStyle="1" w:styleId="104">
    <w:name w:val="批注文字 Char1"/>
    <w:qFormat/>
    <w:uiPriority w:val="99"/>
    <w:rPr>
      <w:rFonts w:ascii="Times New Roman" w:hAnsi="Times New Roman"/>
      <w:kern w:val="2"/>
      <w:sz w:val="21"/>
      <w:szCs w:val="24"/>
    </w:rPr>
  </w:style>
  <w:style w:type="character" w:customStyle="1" w:styleId="105">
    <w:name w:val="Char Char"/>
    <w:qFormat/>
    <w:locked/>
    <w:uiPriority w:val="0"/>
    <w:rPr>
      <w:rFonts w:ascii="宋体" w:hAnsi="宋体" w:eastAsia="宋体"/>
      <w:kern w:val="2"/>
      <w:sz w:val="21"/>
      <w:szCs w:val="24"/>
      <w:lang w:val="en-US" w:eastAsia="zh-CN" w:bidi="ar-SA"/>
    </w:rPr>
  </w:style>
  <w:style w:type="character" w:customStyle="1" w:styleId="106">
    <w:name w:val="纯文本 Char1"/>
    <w:qFormat/>
    <w:uiPriority w:val="0"/>
    <w:rPr>
      <w:rFonts w:ascii="宋体" w:hAnsi="Courier New"/>
      <w:kern w:val="2"/>
      <w:sz w:val="21"/>
    </w:rPr>
  </w:style>
  <w:style w:type="character" w:customStyle="1" w:styleId="107">
    <w:name w:val="A15"/>
    <w:qFormat/>
    <w:uiPriority w:val="0"/>
    <w:rPr>
      <w:rFonts w:ascii="Times New Roman" w:hAnsi="Times New Roman"/>
      <w:color w:val="000000"/>
      <w:sz w:val="14"/>
      <w:szCs w:val="14"/>
    </w:rPr>
  </w:style>
  <w:style w:type="character" w:customStyle="1" w:styleId="108">
    <w:name w:val="纯文本 Char3"/>
    <w:qFormat/>
    <w:uiPriority w:val="0"/>
    <w:rPr>
      <w:rFonts w:ascii="宋体" w:hAnsi="Courier New"/>
      <w:szCs w:val="21"/>
    </w:rPr>
  </w:style>
  <w:style w:type="character" w:customStyle="1" w:styleId="109">
    <w:name w:val="无间隔 Char"/>
    <w:link w:val="110"/>
    <w:qFormat/>
    <w:uiPriority w:val="1"/>
    <w:rPr>
      <w:kern w:val="2"/>
      <w:sz w:val="21"/>
      <w:szCs w:val="22"/>
      <w:lang w:val="en-US" w:eastAsia="zh-CN" w:bidi="ar-SA"/>
    </w:rPr>
  </w:style>
  <w:style w:type="paragraph" w:customStyle="1" w:styleId="110">
    <w:name w:val="无间隔1"/>
    <w:link w:val="109"/>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11">
    <w:name w:val="普通文字 Char Char2"/>
    <w:qFormat/>
    <w:uiPriority w:val="0"/>
    <w:rPr>
      <w:rFonts w:ascii="宋体" w:hAnsi="Courier New" w:eastAsia="宋体" w:cs="Courier New"/>
      <w:szCs w:val="21"/>
    </w:rPr>
  </w:style>
  <w:style w:type="character" w:customStyle="1" w:styleId="112">
    <w:name w:val="Char Char3"/>
    <w:qFormat/>
    <w:uiPriority w:val="0"/>
    <w:rPr>
      <w:rFonts w:ascii="宋体" w:hAnsi="Courier New" w:eastAsia="宋体"/>
      <w:kern w:val="2"/>
      <w:sz w:val="21"/>
      <w:lang w:val="en-US" w:eastAsia="zh-CN" w:bidi="ar-SA"/>
    </w:rPr>
  </w:style>
  <w:style w:type="character" w:customStyle="1" w:styleId="113">
    <w:name w:val="标题 Char1"/>
    <w:basedOn w:val="50"/>
    <w:qFormat/>
    <w:uiPriority w:val="0"/>
    <w:rPr>
      <w:rFonts w:ascii="Cambria" w:hAnsi="Cambria" w:cs="Times New Roman"/>
      <w:b/>
      <w:bCs/>
      <w:kern w:val="2"/>
      <w:sz w:val="32"/>
      <w:szCs w:val="32"/>
    </w:rPr>
  </w:style>
  <w:style w:type="character" w:customStyle="1" w:styleId="114">
    <w:name w:val="普通文字 Char Char1 Char"/>
    <w:qFormat/>
    <w:locked/>
    <w:uiPriority w:val="0"/>
    <w:rPr>
      <w:rFonts w:ascii="宋体" w:hAnsi="Courier New" w:eastAsia="宋体" w:cs="宋体"/>
      <w:kern w:val="2"/>
      <w:sz w:val="21"/>
      <w:szCs w:val="21"/>
      <w:lang w:val="en-US" w:eastAsia="zh-CN"/>
    </w:rPr>
  </w:style>
  <w:style w:type="character" w:customStyle="1" w:styleId="115">
    <w:name w:val="纯文本 字符"/>
    <w:basedOn w:val="50"/>
    <w:qFormat/>
    <w:uiPriority w:val="0"/>
    <w:rPr>
      <w:rFonts w:ascii="宋体" w:hAnsi="Courier New" w:cs="Courier New"/>
      <w:sz w:val="24"/>
    </w:rPr>
  </w:style>
  <w:style w:type="character" w:customStyle="1" w:styleId="116">
    <w:name w:val="*正文 Char"/>
    <w:link w:val="117"/>
    <w:qFormat/>
    <w:uiPriority w:val="0"/>
    <w:rPr>
      <w:rFonts w:ascii="仿宋_GB2312" w:eastAsia="仿宋_GB2312"/>
      <w:sz w:val="24"/>
      <w:szCs w:val="28"/>
    </w:rPr>
  </w:style>
  <w:style w:type="paragraph" w:customStyle="1" w:styleId="117">
    <w:name w:val="*正文"/>
    <w:basedOn w:val="1"/>
    <w:link w:val="116"/>
    <w:qFormat/>
    <w:uiPriority w:val="0"/>
    <w:pPr>
      <w:widowControl/>
      <w:spacing w:line="240" w:lineRule="auto"/>
      <w:jc w:val="left"/>
    </w:pPr>
    <w:rPr>
      <w:rFonts w:ascii="仿宋_GB2312" w:eastAsia="仿宋_GB2312"/>
      <w:kern w:val="0"/>
      <w:szCs w:val="28"/>
    </w:rPr>
  </w:style>
  <w:style w:type="character" w:customStyle="1" w:styleId="118">
    <w:name w:val="标题 1 Char1"/>
    <w:qFormat/>
    <w:uiPriority w:val="0"/>
    <w:rPr>
      <w:b/>
      <w:bCs/>
      <w:kern w:val="44"/>
      <w:sz w:val="44"/>
      <w:szCs w:val="44"/>
    </w:rPr>
  </w:style>
  <w:style w:type="character" w:customStyle="1" w:styleId="119">
    <w:name w:val="case31"/>
    <w:qFormat/>
    <w:uiPriority w:val="0"/>
    <w:rPr>
      <w:rFonts w:hint="default"/>
      <w:sz w:val="21"/>
      <w:szCs w:val="21"/>
    </w:rPr>
  </w:style>
  <w:style w:type="character" w:customStyle="1" w:styleId="120">
    <w:name w:val="062"/>
    <w:qFormat/>
    <w:uiPriority w:val="0"/>
    <w:rPr>
      <w:rFonts w:ascii="宋体" w:hAnsi="宋体"/>
      <w:b/>
      <w:bCs/>
      <w:sz w:val="32"/>
    </w:rPr>
  </w:style>
  <w:style w:type="character" w:customStyle="1" w:styleId="121">
    <w:name w:val="正文缩进 Char1"/>
    <w:qFormat/>
    <w:locked/>
    <w:uiPriority w:val="0"/>
    <w:rPr>
      <w:rFonts w:eastAsia="宋体"/>
      <w:kern w:val="2"/>
      <w:sz w:val="21"/>
      <w:lang w:val="en-US" w:eastAsia="zh-CN" w:bidi="ar-SA"/>
    </w:rPr>
  </w:style>
  <w:style w:type="character" w:customStyle="1" w:styleId="122">
    <w:name w:val="普通文字 Char Char3"/>
    <w:qFormat/>
    <w:uiPriority w:val="0"/>
    <w:rPr>
      <w:rFonts w:ascii="宋体" w:hAnsi="Courier New"/>
      <w:kern w:val="2"/>
      <w:sz w:val="21"/>
    </w:rPr>
  </w:style>
  <w:style w:type="character" w:customStyle="1" w:styleId="123">
    <w:name w:val="font41"/>
    <w:qFormat/>
    <w:uiPriority w:val="0"/>
    <w:rPr>
      <w:rFonts w:hint="eastAsia" w:ascii="宋体" w:hAnsi="宋体" w:eastAsia="宋体" w:cs="宋体"/>
      <w:color w:val="FF0000"/>
      <w:sz w:val="18"/>
      <w:szCs w:val="18"/>
      <w:u w:val="none"/>
    </w:rPr>
  </w:style>
  <w:style w:type="character" w:customStyle="1" w:styleId="124">
    <w:name w:val="正文文本缩进 字符1"/>
    <w:basedOn w:val="50"/>
    <w:semiHidden/>
    <w:qFormat/>
    <w:uiPriority w:val="99"/>
  </w:style>
  <w:style w:type="character" w:customStyle="1" w:styleId="125">
    <w:name w:val="正文文本缩进 3 字符"/>
    <w:semiHidden/>
    <w:qFormat/>
    <w:uiPriority w:val="99"/>
    <w:rPr>
      <w:sz w:val="16"/>
      <w:szCs w:val="16"/>
    </w:rPr>
  </w:style>
  <w:style w:type="character" w:customStyle="1" w:styleId="126">
    <w:name w:val="纯文本 字符2"/>
    <w:qFormat/>
    <w:uiPriority w:val="0"/>
    <w:rPr>
      <w:rFonts w:ascii="宋体" w:hAnsi="Courier New" w:eastAsia="宋体" w:cs="Courier New"/>
      <w:kern w:val="2"/>
      <w:sz w:val="21"/>
      <w:szCs w:val="21"/>
      <w:lang w:val="en-US" w:eastAsia="zh-CN" w:bidi="ar-SA"/>
    </w:rPr>
  </w:style>
  <w:style w:type="character" w:customStyle="1" w:styleId="127">
    <w:name w:val="标题 8 Char1"/>
    <w:semiHidden/>
    <w:qFormat/>
    <w:uiPriority w:val="0"/>
    <w:rPr>
      <w:rFonts w:ascii="Cambria" w:hAnsi="Cambria" w:eastAsia="宋体" w:cs="Times New Roman"/>
      <w:kern w:val="2"/>
      <w:sz w:val="24"/>
      <w:szCs w:val="24"/>
    </w:rPr>
  </w:style>
  <w:style w:type="character" w:customStyle="1" w:styleId="128">
    <w:name w:val="正文文本 (2)_"/>
    <w:link w:val="129"/>
    <w:qFormat/>
    <w:locked/>
    <w:uiPriority w:val="0"/>
    <w:rPr>
      <w:rFonts w:ascii="MingLiU" w:hAnsi="MingLiU" w:eastAsia="MingLiU" w:cs="MingLiU"/>
      <w:sz w:val="22"/>
      <w:shd w:val="clear" w:color="auto" w:fill="FFFFFF"/>
    </w:rPr>
  </w:style>
  <w:style w:type="paragraph" w:customStyle="1" w:styleId="129">
    <w:name w:val="正文文本 (2)5"/>
    <w:basedOn w:val="1"/>
    <w:link w:val="128"/>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30">
    <w:name w:val="表格标题 Char"/>
    <w:link w:val="131"/>
    <w:qFormat/>
    <w:uiPriority w:val="0"/>
    <w:rPr>
      <w:rFonts w:ascii="Calibri" w:hAnsi="Calibri" w:eastAsia="宋体" w:cs="Times New Roman"/>
      <w:b/>
      <w:sz w:val="24"/>
      <w:lang w:val="zh-CN"/>
    </w:rPr>
  </w:style>
  <w:style w:type="paragraph" w:customStyle="1" w:styleId="131">
    <w:name w:val="表格标题"/>
    <w:basedOn w:val="132"/>
    <w:link w:val="130"/>
    <w:qFormat/>
    <w:uiPriority w:val="0"/>
    <w:pPr>
      <w:jc w:val="center"/>
    </w:pPr>
    <w:rPr>
      <w:b/>
    </w:rPr>
  </w:style>
  <w:style w:type="paragraph" w:customStyle="1" w:styleId="132">
    <w:name w:val="表格文本"/>
    <w:basedOn w:val="1"/>
    <w:link w:val="133"/>
    <w:qFormat/>
    <w:uiPriority w:val="0"/>
    <w:pPr>
      <w:spacing w:line="276" w:lineRule="auto"/>
      <w:ind w:firstLine="0" w:firstLineChars="0"/>
    </w:pPr>
    <w:rPr>
      <w:kern w:val="0"/>
      <w:szCs w:val="20"/>
      <w:lang w:val="zh-CN"/>
    </w:rPr>
  </w:style>
  <w:style w:type="character" w:customStyle="1" w:styleId="133">
    <w:name w:val="表格文本 Char"/>
    <w:link w:val="132"/>
    <w:qFormat/>
    <w:uiPriority w:val="0"/>
    <w:rPr>
      <w:rFonts w:ascii="Calibri" w:hAnsi="Calibri" w:eastAsia="宋体" w:cs="Times New Roman"/>
      <w:sz w:val="24"/>
      <w:lang w:val="zh-CN"/>
    </w:rPr>
  </w:style>
  <w:style w:type="character" w:customStyle="1" w:styleId="134">
    <w:name w:val="t-14"/>
    <w:basedOn w:val="50"/>
    <w:qFormat/>
    <w:uiPriority w:val="0"/>
  </w:style>
  <w:style w:type="character" w:customStyle="1" w:styleId="135">
    <w:name w:val="ca-142"/>
    <w:basedOn w:val="50"/>
    <w:qFormat/>
    <w:uiPriority w:val="0"/>
  </w:style>
  <w:style w:type="character" w:customStyle="1" w:styleId="136">
    <w:name w:val="NormalCharacter"/>
    <w:qFormat/>
    <w:uiPriority w:val="0"/>
    <w:rPr>
      <w:rFonts w:ascii="Times New Roman" w:hAnsi="Times New Roman" w:eastAsia="华文新魏" w:cs="Times New Roman"/>
      <w:lang w:bidi="ar-SA"/>
    </w:rPr>
  </w:style>
  <w:style w:type="character" w:customStyle="1" w:styleId="137">
    <w:name w:val="A正文小四 Char"/>
    <w:link w:val="138"/>
    <w:qFormat/>
    <w:uiPriority w:val="0"/>
    <w:rPr>
      <w:sz w:val="24"/>
      <w:szCs w:val="24"/>
    </w:rPr>
  </w:style>
  <w:style w:type="paragraph" w:customStyle="1" w:styleId="138">
    <w:name w:val="A正文小四"/>
    <w:basedOn w:val="1"/>
    <w:link w:val="137"/>
    <w:qFormat/>
    <w:uiPriority w:val="0"/>
    <w:rPr>
      <w:kern w:val="0"/>
      <w:szCs w:val="24"/>
    </w:rPr>
  </w:style>
  <w:style w:type="character" w:customStyle="1" w:styleId="139">
    <w:name w:val="标题 4 Char1"/>
    <w:semiHidden/>
    <w:qFormat/>
    <w:uiPriority w:val="0"/>
    <w:rPr>
      <w:rFonts w:ascii="Cambria" w:hAnsi="Cambria" w:eastAsia="宋体" w:cs="Times New Roman"/>
      <w:b/>
      <w:bCs/>
      <w:kern w:val="2"/>
      <w:sz w:val="28"/>
      <w:szCs w:val="28"/>
    </w:rPr>
  </w:style>
  <w:style w:type="character" w:customStyle="1" w:styleId="140">
    <w:name w:val="font21"/>
    <w:qFormat/>
    <w:uiPriority w:val="0"/>
    <w:rPr>
      <w:rFonts w:hint="default" w:ascii="Times New Roman" w:hAnsi="Times New Roman" w:cs="Times New Roman"/>
      <w:color w:val="000000"/>
      <w:sz w:val="18"/>
      <w:szCs w:val="18"/>
      <w:u w:val="none"/>
    </w:rPr>
  </w:style>
  <w:style w:type="character" w:customStyle="1" w:styleId="141">
    <w:name w:val="apple-converted-space"/>
    <w:basedOn w:val="50"/>
    <w:qFormat/>
    <w:uiPriority w:val="0"/>
  </w:style>
  <w:style w:type="character" w:customStyle="1" w:styleId="142">
    <w:name w:val="列出段落 Char"/>
    <w:link w:val="143"/>
    <w:qFormat/>
    <w:locked/>
    <w:uiPriority w:val="0"/>
    <w:rPr>
      <w:kern w:val="2"/>
      <w:sz w:val="21"/>
      <w:szCs w:val="24"/>
    </w:rPr>
  </w:style>
  <w:style w:type="paragraph" w:customStyle="1" w:styleId="143">
    <w:name w:val="列出段落2"/>
    <w:basedOn w:val="1"/>
    <w:link w:val="142"/>
    <w:unhideWhenUsed/>
    <w:qFormat/>
    <w:uiPriority w:val="0"/>
    <w:pPr>
      <w:spacing w:line="240" w:lineRule="auto"/>
      <w:ind w:firstLine="420"/>
    </w:pPr>
    <w:rPr>
      <w:sz w:val="21"/>
      <w:szCs w:val="24"/>
    </w:rPr>
  </w:style>
  <w:style w:type="character" w:customStyle="1" w:styleId="144">
    <w:name w:val="标题 Char2"/>
    <w:basedOn w:val="50"/>
    <w:qFormat/>
    <w:uiPriority w:val="10"/>
    <w:rPr>
      <w:rFonts w:ascii="Cambria" w:hAnsi="Cambria" w:cs="Times New Roman"/>
      <w:b/>
      <w:bCs/>
      <w:kern w:val="2"/>
      <w:sz w:val="32"/>
      <w:szCs w:val="32"/>
    </w:rPr>
  </w:style>
  <w:style w:type="character" w:customStyle="1" w:styleId="145">
    <w:name w:val="fontstyle11"/>
    <w:basedOn w:val="50"/>
    <w:qFormat/>
    <w:uiPriority w:val="0"/>
    <w:rPr>
      <w:rFonts w:hint="eastAsia" w:ascii="宋体" w:hAnsi="宋体" w:eastAsia="宋体"/>
      <w:color w:val="000000"/>
      <w:sz w:val="22"/>
      <w:szCs w:val="22"/>
    </w:rPr>
  </w:style>
  <w:style w:type="character" w:customStyle="1" w:styleId="146">
    <w:name w:val="文档结构图 Char"/>
    <w:basedOn w:val="50"/>
    <w:link w:val="147"/>
    <w:qFormat/>
    <w:uiPriority w:val="0"/>
    <w:rPr>
      <w:rFonts w:ascii="宋体"/>
      <w:kern w:val="2"/>
      <w:sz w:val="18"/>
      <w:szCs w:val="18"/>
    </w:rPr>
  </w:style>
  <w:style w:type="paragraph" w:customStyle="1" w:styleId="147">
    <w:name w:val="文档结构图1"/>
    <w:basedOn w:val="1"/>
    <w:next w:val="17"/>
    <w:link w:val="146"/>
    <w:unhideWhenUsed/>
    <w:qFormat/>
    <w:uiPriority w:val="0"/>
    <w:pPr>
      <w:spacing w:line="240" w:lineRule="auto"/>
      <w:ind w:firstLine="0" w:firstLineChars="0"/>
    </w:pPr>
    <w:rPr>
      <w:rFonts w:ascii="宋体"/>
      <w:sz w:val="18"/>
      <w:szCs w:val="18"/>
    </w:rPr>
  </w:style>
  <w:style w:type="character" w:customStyle="1" w:styleId="148">
    <w:name w:val="Char Char5"/>
    <w:qFormat/>
    <w:locked/>
    <w:uiPriority w:val="0"/>
    <w:rPr>
      <w:rFonts w:cs="Times New Roman"/>
      <w:sz w:val="21"/>
      <w:szCs w:val="21"/>
    </w:rPr>
  </w:style>
  <w:style w:type="character" w:customStyle="1" w:styleId="149">
    <w:name w:val="正文缩进2字符 Char"/>
    <w:link w:val="150"/>
    <w:qFormat/>
    <w:locked/>
    <w:uiPriority w:val="0"/>
    <w:rPr>
      <w:kern w:val="2"/>
      <w:sz w:val="24"/>
      <w:szCs w:val="24"/>
    </w:rPr>
  </w:style>
  <w:style w:type="paragraph" w:customStyle="1" w:styleId="150">
    <w:name w:val="正文缩进2字符"/>
    <w:basedOn w:val="1"/>
    <w:next w:val="1"/>
    <w:link w:val="149"/>
    <w:qFormat/>
    <w:uiPriority w:val="0"/>
    <w:pPr>
      <w:ind w:firstLine="480"/>
    </w:pPr>
    <w:rPr>
      <w:szCs w:val="24"/>
    </w:rPr>
  </w:style>
  <w:style w:type="character" w:customStyle="1" w:styleId="151">
    <w:name w:val="font61"/>
    <w:basedOn w:val="50"/>
    <w:qFormat/>
    <w:uiPriority w:val="0"/>
    <w:rPr>
      <w:rFonts w:hint="eastAsia" w:ascii="宋体" w:hAnsi="宋体" w:eastAsia="宋体" w:cs="宋体"/>
      <w:color w:val="000000"/>
      <w:sz w:val="18"/>
      <w:szCs w:val="18"/>
      <w:u w:val="none"/>
    </w:rPr>
  </w:style>
  <w:style w:type="character" w:customStyle="1" w:styleId="152">
    <w:name w:val="font71"/>
    <w:qFormat/>
    <w:uiPriority w:val="0"/>
    <w:rPr>
      <w:rFonts w:hint="eastAsia" w:ascii="宋体" w:hAnsi="宋体" w:eastAsia="宋体" w:cs="宋体"/>
      <w:color w:val="000000"/>
      <w:sz w:val="21"/>
      <w:szCs w:val="21"/>
      <w:u w:val="none"/>
    </w:rPr>
  </w:style>
  <w:style w:type="character" w:customStyle="1" w:styleId="153">
    <w:name w:val="span_param1"/>
    <w:basedOn w:val="50"/>
    <w:qFormat/>
    <w:uiPriority w:val="0"/>
  </w:style>
  <w:style w:type="character" w:customStyle="1" w:styleId="154">
    <w:name w:val="普通文字 Char Char5"/>
    <w:qFormat/>
    <w:uiPriority w:val="0"/>
    <w:rPr>
      <w:rFonts w:ascii="宋体" w:hAnsi="Courier New" w:eastAsia="宋体"/>
      <w:szCs w:val="21"/>
      <w:lang w:bidi="ar-SA"/>
    </w:rPr>
  </w:style>
  <w:style w:type="character" w:customStyle="1" w:styleId="155">
    <w:name w:val="标准正文 Char"/>
    <w:link w:val="156"/>
    <w:qFormat/>
    <w:locked/>
    <w:uiPriority w:val="0"/>
    <w:rPr>
      <w:rFonts w:ascii="宋体" w:hAnsi="宋体"/>
      <w:kern w:val="2"/>
      <w:sz w:val="24"/>
      <w:szCs w:val="22"/>
    </w:rPr>
  </w:style>
  <w:style w:type="paragraph" w:customStyle="1" w:styleId="156">
    <w:name w:val="标准正文"/>
    <w:basedOn w:val="1"/>
    <w:link w:val="155"/>
    <w:qFormat/>
    <w:uiPriority w:val="0"/>
    <w:pPr>
      <w:ind w:firstLine="420"/>
    </w:pPr>
    <w:rPr>
      <w:rFonts w:ascii="宋体" w:hAnsi="宋体"/>
    </w:rPr>
  </w:style>
  <w:style w:type="character" w:customStyle="1" w:styleId="157">
    <w:name w:val="页脚 Char1"/>
    <w:basedOn w:val="50"/>
    <w:qFormat/>
    <w:uiPriority w:val="0"/>
    <w:rPr>
      <w:rFonts w:eastAsia="宋体"/>
      <w:kern w:val="2"/>
      <w:sz w:val="18"/>
      <w:szCs w:val="18"/>
    </w:rPr>
  </w:style>
  <w:style w:type="character" w:customStyle="1" w:styleId="158">
    <w:name w:val="style291"/>
    <w:qFormat/>
    <w:uiPriority w:val="0"/>
    <w:rPr>
      <w:rFonts w:hint="eastAsia" w:ascii="仿宋_GB2312" w:eastAsia="仿宋_GB2312"/>
    </w:rPr>
  </w:style>
  <w:style w:type="character" w:customStyle="1" w:styleId="159">
    <w:name w:val="A4"/>
    <w:qFormat/>
    <w:uiPriority w:val="0"/>
    <w:rPr>
      <w:rFonts w:ascii="新宋体" w:eastAsia="新宋体" w:cs="新宋体"/>
      <w:color w:val="000000"/>
      <w:lang w:bidi="ar-SA"/>
    </w:rPr>
  </w:style>
  <w:style w:type="character" w:customStyle="1" w:styleId="160">
    <w:name w:val="纯文本 Char2"/>
    <w:qFormat/>
    <w:uiPriority w:val="0"/>
    <w:rPr>
      <w:rFonts w:ascii="宋体" w:hAnsi="Courier New" w:cs="Courier New"/>
      <w:kern w:val="2"/>
      <w:sz w:val="21"/>
      <w:szCs w:val="21"/>
    </w:rPr>
  </w:style>
  <w:style w:type="character" w:customStyle="1" w:styleId="161">
    <w:name w:val="正文文本 Char1"/>
    <w:semiHidden/>
    <w:qFormat/>
    <w:locked/>
    <w:uiPriority w:val="0"/>
    <w:rPr>
      <w:kern w:val="2"/>
      <w:sz w:val="21"/>
      <w:szCs w:val="24"/>
    </w:rPr>
  </w:style>
  <w:style w:type="character" w:customStyle="1" w:styleId="162">
    <w:name w:val="标准正文 S字符"/>
    <w:link w:val="163"/>
    <w:qFormat/>
    <w:locked/>
    <w:uiPriority w:val="0"/>
    <w:rPr>
      <w:kern w:val="2"/>
      <w:sz w:val="24"/>
      <w:szCs w:val="24"/>
    </w:rPr>
  </w:style>
  <w:style w:type="paragraph" w:customStyle="1" w:styleId="163">
    <w:name w:val="标准正文 S"/>
    <w:basedOn w:val="1"/>
    <w:link w:val="162"/>
    <w:qFormat/>
    <w:uiPriority w:val="0"/>
    <w:pPr>
      <w:spacing w:beforeLines="50" w:afterLines="50"/>
      <w:ind w:firstLine="480" w:firstLineChars="0"/>
      <w:jc w:val="left"/>
    </w:pPr>
    <w:rPr>
      <w:szCs w:val="24"/>
    </w:rPr>
  </w:style>
  <w:style w:type="character" w:customStyle="1" w:styleId="164">
    <w:name w:val="副章标题 Char"/>
    <w:link w:val="165"/>
    <w:qFormat/>
    <w:uiPriority w:val="0"/>
    <w:rPr>
      <w:rFonts w:hAnsi="微软雅黑"/>
      <w:b/>
      <w:color w:val="000000"/>
      <w:sz w:val="36"/>
      <w:szCs w:val="36"/>
    </w:rPr>
  </w:style>
  <w:style w:type="paragraph" w:customStyle="1" w:styleId="165">
    <w:name w:val="副章标题"/>
    <w:basedOn w:val="1"/>
    <w:link w:val="164"/>
    <w:qFormat/>
    <w:uiPriority w:val="0"/>
    <w:pPr>
      <w:spacing w:line="240" w:lineRule="auto"/>
      <w:ind w:firstLine="0" w:firstLineChars="0"/>
      <w:outlineLvl w:val="1"/>
    </w:pPr>
    <w:rPr>
      <w:rFonts w:hAnsi="微软雅黑"/>
      <w:b/>
      <w:color w:val="000000"/>
      <w:kern w:val="0"/>
      <w:sz w:val="36"/>
      <w:szCs w:val="36"/>
    </w:rPr>
  </w:style>
  <w:style w:type="paragraph" w:customStyle="1" w:styleId="166">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167">
    <w:name w:val="Char Char Char"/>
    <w:basedOn w:val="1"/>
    <w:qFormat/>
    <w:uiPriority w:val="0"/>
    <w:pPr>
      <w:spacing w:line="240" w:lineRule="auto"/>
      <w:ind w:firstLine="0" w:firstLineChars="0"/>
    </w:pPr>
    <w:rPr>
      <w:rFonts w:ascii="Tahoma" w:hAnsi="Tahoma"/>
      <w:szCs w:val="20"/>
    </w:rPr>
  </w:style>
  <w:style w:type="paragraph" w:customStyle="1" w:styleId="168">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69">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70">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71">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72">
    <w:name w:val="Char1"/>
    <w:basedOn w:val="1"/>
    <w:qFormat/>
    <w:uiPriority w:val="0"/>
    <w:pPr>
      <w:spacing w:line="240" w:lineRule="auto"/>
      <w:ind w:firstLine="0" w:firstLineChars="0"/>
    </w:pPr>
    <w:rPr>
      <w:sz w:val="21"/>
      <w:szCs w:val="21"/>
    </w:rPr>
  </w:style>
  <w:style w:type="paragraph" w:customStyle="1" w:styleId="173">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74">
    <w:name w:val="_Style 29"/>
    <w:basedOn w:val="1"/>
    <w:qFormat/>
    <w:uiPriority w:val="0"/>
    <w:pPr>
      <w:spacing w:line="240" w:lineRule="auto"/>
      <w:ind w:firstLine="0" w:firstLineChars="0"/>
    </w:pPr>
    <w:rPr>
      <w:rFonts w:ascii="Tahoma" w:hAnsi="Tahoma"/>
      <w:szCs w:val="20"/>
    </w:rPr>
  </w:style>
  <w:style w:type="paragraph" w:customStyle="1" w:styleId="17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6">
    <w:name w:val="列出段落3"/>
    <w:basedOn w:val="1"/>
    <w:unhideWhenUsed/>
    <w:qFormat/>
    <w:uiPriority w:val="99"/>
    <w:pPr>
      <w:spacing w:line="240" w:lineRule="auto"/>
      <w:ind w:firstLine="420"/>
    </w:pPr>
    <w:rPr>
      <w:sz w:val="21"/>
      <w:szCs w:val="24"/>
    </w:rPr>
  </w:style>
  <w:style w:type="paragraph" w:customStyle="1" w:styleId="177">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178">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79">
    <w:name w:val="List Paragraph"/>
    <w:basedOn w:val="1"/>
    <w:qFormat/>
    <w:uiPriority w:val="0"/>
    <w:pPr>
      <w:ind w:firstLine="420"/>
    </w:pPr>
  </w:style>
  <w:style w:type="paragraph" w:customStyle="1" w:styleId="180">
    <w:name w:val="表格"/>
    <w:basedOn w:val="1"/>
    <w:qFormat/>
    <w:uiPriority w:val="0"/>
    <w:pPr>
      <w:spacing w:line="400" w:lineRule="exact"/>
      <w:ind w:firstLine="0" w:firstLineChars="0"/>
    </w:pPr>
    <w:rPr>
      <w:szCs w:val="24"/>
    </w:rPr>
  </w:style>
  <w:style w:type="paragraph" w:customStyle="1" w:styleId="181">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82">
    <w:name w:val="修订1"/>
    <w:semiHidden/>
    <w:qFormat/>
    <w:uiPriority w:val="99"/>
    <w:rPr>
      <w:rFonts w:ascii="Times New Roman" w:hAnsi="Times New Roman" w:eastAsia="宋体" w:cs="Times New Roman"/>
      <w:kern w:val="2"/>
      <w:sz w:val="21"/>
      <w:lang w:val="en-US" w:eastAsia="zh-CN" w:bidi="ar-SA"/>
    </w:rPr>
  </w:style>
  <w:style w:type="paragraph" w:customStyle="1" w:styleId="183">
    <w:name w:val="ZW"/>
    <w:basedOn w:val="1"/>
    <w:qFormat/>
    <w:uiPriority w:val="0"/>
    <w:pPr>
      <w:spacing w:line="560" w:lineRule="exact"/>
      <w:ind w:firstLine="560"/>
    </w:pPr>
    <w:rPr>
      <w:rFonts w:hAnsi="宋体"/>
      <w:sz w:val="28"/>
      <w:szCs w:val="28"/>
    </w:rPr>
  </w:style>
  <w:style w:type="paragraph" w:styleId="184">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85">
    <w:name w:val="列出段落11"/>
    <w:basedOn w:val="1"/>
    <w:qFormat/>
    <w:uiPriority w:val="34"/>
    <w:pPr>
      <w:spacing w:line="240" w:lineRule="auto"/>
      <w:ind w:firstLine="420"/>
    </w:pPr>
    <w:rPr>
      <w:sz w:val="21"/>
      <w:szCs w:val="24"/>
    </w:rPr>
  </w:style>
  <w:style w:type="paragraph" w:customStyle="1" w:styleId="186">
    <w:name w:val="样式 首行缩进:  2 字符"/>
    <w:basedOn w:val="1"/>
    <w:qFormat/>
    <w:uiPriority w:val="0"/>
    <w:pPr>
      <w:spacing w:line="400" w:lineRule="exact"/>
    </w:pPr>
    <w:rPr>
      <w:rFonts w:cs="宋体"/>
      <w:szCs w:val="24"/>
    </w:rPr>
  </w:style>
  <w:style w:type="paragraph" w:customStyle="1" w:styleId="187">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88">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89">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90">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91">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9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93">
    <w:name w:val="Default"/>
    <w:qFormat/>
    <w:uiPriority w:val="99"/>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94">
    <w:name w:val="TOC 标题1"/>
    <w:basedOn w:val="3"/>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95">
    <w:name w:val="列表段落1"/>
    <w:basedOn w:val="1"/>
    <w:qFormat/>
    <w:uiPriority w:val="34"/>
    <w:pPr>
      <w:spacing w:beforeLines="50" w:afterLines="50" w:line="240" w:lineRule="auto"/>
      <w:ind w:firstLine="420"/>
    </w:pPr>
  </w:style>
  <w:style w:type="paragraph" w:customStyle="1" w:styleId="196">
    <w:name w:val="3 级标题"/>
    <w:basedOn w:val="5"/>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97">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98">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99">
    <w:name w:val="TOC 标题11"/>
    <w:basedOn w:val="3"/>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200">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1">
    <w:name w:val="正文段"/>
    <w:basedOn w:val="1"/>
    <w:qFormat/>
    <w:uiPriority w:val="0"/>
    <w:pPr>
      <w:widowControl/>
      <w:snapToGrid w:val="0"/>
      <w:spacing w:afterLines="50" w:line="240" w:lineRule="auto"/>
    </w:pPr>
    <w:rPr>
      <w:kern w:val="0"/>
      <w:szCs w:val="20"/>
    </w:rPr>
  </w:style>
  <w:style w:type="paragraph" w:customStyle="1" w:styleId="202">
    <w:name w:val="样式 Verdana 首行缩进:  0.74 厘米"/>
    <w:basedOn w:val="1"/>
    <w:qFormat/>
    <w:uiPriority w:val="0"/>
    <w:pPr>
      <w:ind w:firstLine="420" w:firstLineChars="0"/>
    </w:pPr>
    <w:rPr>
      <w:rFonts w:ascii="Verdana" w:hAnsi="Verdana"/>
      <w:szCs w:val="20"/>
    </w:rPr>
  </w:style>
  <w:style w:type="paragraph" w:customStyle="1" w:styleId="203">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204">
    <w:name w:val="p0"/>
    <w:basedOn w:val="1"/>
    <w:qFormat/>
    <w:uiPriority w:val="0"/>
    <w:pPr>
      <w:widowControl/>
      <w:spacing w:line="240" w:lineRule="auto"/>
      <w:ind w:firstLine="0" w:firstLineChars="0"/>
    </w:pPr>
    <w:rPr>
      <w:kern w:val="0"/>
      <w:sz w:val="21"/>
      <w:szCs w:val="21"/>
    </w:rPr>
  </w:style>
  <w:style w:type="paragraph" w:customStyle="1" w:styleId="205">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206">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7">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208">
    <w:name w:val="1"/>
    <w:basedOn w:val="1"/>
    <w:next w:val="26"/>
    <w:qFormat/>
    <w:uiPriority w:val="0"/>
    <w:pPr>
      <w:spacing w:line="240" w:lineRule="auto"/>
      <w:ind w:firstLine="0" w:firstLineChars="0"/>
    </w:pPr>
    <w:rPr>
      <w:rFonts w:ascii="宋体" w:hAnsi="Courier New"/>
      <w:sz w:val="21"/>
      <w:szCs w:val="20"/>
    </w:rPr>
  </w:style>
  <w:style w:type="paragraph" w:customStyle="1" w:styleId="209">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210">
    <w:name w:val="列出段落1"/>
    <w:basedOn w:val="1"/>
    <w:qFormat/>
    <w:uiPriority w:val="0"/>
    <w:pPr>
      <w:spacing w:line="240" w:lineRule="auto"/>
      <w:ind w:firstLine="420"/>
    </w:pPr>
    <w:rPr>
      <w:sz w:val="21"/>
    </w:rPr>
  </w:style>
  <w:style w:type="paragraph" w:customStyle="1" w:styleId="211">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12">
    <w:name w:val="样式 小四正文 + 首行缩进:  2 字符 段前: 0.5 行"/>
    <w:basedOn w:val="1"/>
    <w:qFormat/>
    <w:uiPriority w:val="0"/>
    <w:pPr>
      <w:spacing w:beforeLines="50"/>
    </w:pPr>
    <w:rPr>
      <w:rFonts w:ascii="宋体" w:hAnsi="宋体"/>
      <w:szCs w:val="20"/>
    </w:rPr>
  </w:style>
  <w:style w:type="paragraph" w:customStyle="1" w:styleId="213">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2ji"/>
    <w:basedOn w:val="4"/>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15">
    <w:name w:val="Char Char16 Char Char"/>
    <w:basedOn w:val="1"/>
    <w:qFormat/>
    <w:uiPriority w:val="0"/>
    <w:pPr>
      <w:adjustRightInd w:val="0"/>
      <w:ind w:firstLine="0" w:firstLineChars="0"/>
    </w:pPr>
    <w:rPr>
      <w:sz w:val="21"/>
      <w:szCs w:val="24"/>
    </w:rPr>
  </w:style>
  <w:style w:type="paragraph" w:customStyle="1" w:styleId="216">
    <w:name w:val="正文首行缩进两字符"/>
    <w:basedOn w:val="1"/>
    <w:qFormat/>
    <w:uiPriority w:val="0"/>
    <w:rPr>
      <w:sz w:val="21"/>
      <w:szCs w:val="24"/>
    </w:rPr>
  </w:style>
  <w:style w:type="paragraph" w:customStyle="1" w:styleId="217">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18">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19">
    <w:name w:val="_Style 36"/>
    <w:basedOn w:val="1"/>
    <w:qFormat/>
    <w:uiPriority w:val="0"/>
    <w:pPr>
      <w:spacing w:line="240" w:lineRule="auto"/>
      <w:ind w:firstLine="0" w:firstLineChars="0"/>
    </w:pPr>
    <w:rPr>
      <w:rFonts w:ascii="Tahoma" w:hAnsi="Tahoma"/>
      <w:szCs w:val="20"/>
    </w:rPr>
  </w:style>
  <w:style w:type="paragraph" w:customStyle="1" w:styleId="220">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21">
    <w:name w:val="Char"/>
    <w:basedOn w:val="1"/>
    <w:qFormat/>
    <w:uiPriority w:val="0"/>
    <w:pPr>
      <w:spacing w:line="240" w:lineRule="auto"/>
      <w:ind w:firstLine="0" w:firstLineChars="0"/>
    </w:pPr>
    <w:rPr>
      <w:sz w:val="21"/>
      <w:szCs w:val="24"/>
    </w:rPr>
  </w:style>
  <w:style w:type="paragraph" w:customStyle="1" w:styleId="222">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23">
    <w:name w:val="列出段落12"/>
    <w:basedOn w:val="1"/>
    <w:qFormat/>
    <w:uiPriority w:val="34"/>
    <w:pPr>
      <w:spacing w:line="240" w:lineRule="auto"/>
      <w:ind w:firstLine="420"/>
    </w:pPr>
    <w:rPr>
      <w:sz w:val="21"/>
      <w:szCs w:val="24"/>
    </w:rPr>
  </w:style>
  <w:style w:type="paragraph" w:customStyle="1" w:styleId="224">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225">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26">
    <w:name w:val="样式 标题 3 + (中文) 黑体 小四 非加粗 段前: 7.8 磅 段后: 0 磅 行距: 固定值 20 磅"/>
    <w:basedOn w:val="5"/>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27">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8">
    <w:name w:val="样式1"/>
    <w:basedOn w:val="1"/>
    <w:qFormat/>
    <w:uiPriority w:val="0"/>
    <w:pPr>
      <w:spacing w:before="120" w:after="120" w:line="300" w:lineRule="auto"/>
      <w:ind w:firstLine="0" w:firstLineChars="0"/>
    </w:pPr>
    <w:rPr>
      <w:rFonts w:ascii="宋体" w:hAnsi="宋体"/>
      <w:b/>
      <w:szCs w:val="20"/>
    </w:rPr>
  </w:style>
  <w:style w:type="paragraph" w:customStyle="1" w:styleId="229">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30">
    <w:name w:val="网格型2"/>
    <w:basedOn w:val="48"/>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
    <w:name w:val="网格型1"/>
    <w:basedOn w:val="4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2">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3">
    <w:name w:val="修订2"/>
    <w:hidden/>
    <w:unhideWhenUsed/>
    <w:qFormat/>
    <w:uiPriority w:val="99"/>
    <w:rPr>
      <w:rFonts w:ascii="Times New Roman" w:hAnsi="Times New Roman" w:eastAsia="宋体" w:cs="Times New Roman"/>
      <w:kern w:val="2"/>
      <w:sz w:val="24"/>
      <w:szCs w:val="22"/>
      <w:lang w:val="en-US" w:eastAsia="zh-CN" w:bidi="ar-SA"/>
    </w:rPr>
  </w:style>
  <w:style w:type="paragraph" w:customStyle="1" w:styleId="234">
    <w:name w:val="正文呀2"/>
    <w:basedOn w:val="235"/>
    <w:link w:val="240"/>
    <w:qFormat/>
    <w:uiPriority w:val="0"/>
    <w:rPr>
      <w:rFonts w:ascii="Times New Roman" w:hAnsi="Times New Roman"/>
    </w:rPr>
  </w:style>
  <w:style w:type="paragraph" w:customStyle="1" w:styleId="235">
    <w:name w:val="正文呀"/>
    <w:basedOn w:val="1"/>
    <w:link w:val="237"/>
    <w:qFormat/>
    <w:uiPriority w:val="0"/>
    <w:pPr>
      <w:spacing w:line="420" w:lineRule="exact"/>
      <w:ind w:firstLine="420"/>
    </w:pPr>
    <w:rPr>
      <w:rFonts w:ascii="宋体" w:hAnsi="宋体"/>
    </w:rPr>
  </w:style>
  <w:style w:type="paragraph" w:customStyle="1" w:styleId="236">
    <w:name w:val="表格文字"/>
    <w:basedOn w:val="1"/>
    <w:qFormat/>
    <w:uiPriority w:val="0"/>
    <w:pPr>
      <w:adjustRightInd w:val="0"/>
      <w:spacing w:line="420" w:lineRule="atLeast"/>
      <w:ind w:firstLine="0" w:firstLineChars="0"/>
      <w:jc w:val="left"/>
    </w:pPr>
    <w:rPr>
      <w:kern w:val="0"/>
      <w:sz w:val="21"/>
      <w:szCs w:val="24"/>
    </w:rPr>
  </w:style>
  <w:style w:type="character" w:customStyle="1" w:styleId="237">
    <w:name w:val="正文呀 Char"/>
    <w:link w:val="235"/>
    <w:qFormat/>
    <w:locked/>
    <w:uiPriority w:val="0"/>
    <w:rPr>
      <w:rFonts w:ascii="宋体" w:hAnsi="宋体"/>
      <w:kern w:val="2"/>
      <w:sz w:val="24"/>
      <w:szCs w:val="22"/>
    </w:rPr>
  </w:style>
  <w:style w:type="character" w:customStyle="1" w:styleId="238">
    <w:name w:val="标准文本 Char"/>
    <w:link w:val="239"/>
    <w:qFormat/>
    <w:locked/>
    <w:uiPriority w:val="0"/>
    <w:rPr>
      <w:kern w:val="2"/>
      <w:sz w:val="24"/>
    </w:rPr>
  </w:style>
  <w:style w:type="paragraph" w:customStyle="1" w:styleId="239">
    <w:name w:val="标准文本"/>
    <w:basedOn w:val="1"/>
    <w:link w:val="238"/>
    <w:qFormat/>
    <w:uiPriority w:val="0"/>
    <w:pPr>
      <w:ind w:firstLine="480"/>
    </w:pPr>
    <w:rPr>
      <w:szCs w:val="20"/>
    </w:rPr>
  </w:style>
  <w:style w:type="character" w:customStyle="1" w:styleId="240">
    <w:name w:val="正文呀2 Char"/>
    <w:basedOn w:val="237"/>
    <w:link w:val="234"/>
    <w:qFormat/>
    <w:locked/>
    <w:uiPriority w:val="0"/>
    <w:rPr>
      <w:rFonts w:ascii="宋体" w:hAnsi="宋体"/>
      <w:kern w:val="2"/>
      <w:sz w:val="24"/>
      <w:szCs w:val="22"/>
    </w:rPr>
  </w:style>
  <w:style w:type="character" w:customStyle="1" w:styleId="241">
    <w:name w:val="！正文 Char Char"/>
    <w:link w:val="242"/>
    <w:qFormat/>
    <w:locked/>
    <w:uiPriority w:val="0"/>
    <w:rPr>
      <w:rFonts w:ascii="华文细黑" w:hAnsi="华文细黑" w:eastAsia="华文细黑"/>
      <w:sz w:val="24"/>
    </w:rPr>
  </w:style>
  <w:style w:type="paragraph" w:customStyle="1" w:styleId="242">
    <w:name w:val="！正文"/>
    <w:basedOn w:val="1"/>
    <w:link w:val="241"/>
    <w:qFormat/>
    <w:uiPriority w:val="0"/>
    <w:rPr>
      <w:rFonts w:ascii="华文细黑" w:hAnsi="华文细黑" w:eastAsia="华文细黑"/>
      <w:kern w:val="0"/>
      <w:szCs w:val="20"/>
    </w:rPr>
  </w:style>
  <w:style w:type="character" w:customStyle="1" w:styleId="243">
    <w:name w:val="段 Char"/>
    <w:link w:val="244"/>
    <w:qFormat/>
    <w:locked/>
    <w:uiPriority w:val="0"/>
    <w:rPr>
      <w:rFonts w:ascii="宋体" w:hAnsi="宋体"/>
    </w:rPr>
  </w:style>
  <w:style w:type="paragraph" w:customStyle="1" w:styleId="244">
    <w:name w:val="段"/>
    <w:link w:val="243"/>
    <w:qFormat/>
    <w:uiPriority w:val="0"/>
    <w:pPr>
      <w:autoSpaceDE w:val="0"/>
      <w:autoSpaceDN w:val="0"/>
      <w:ind w:firstLine="200" w:firstLineChars="200"/>
      <w:jc w:val="both"/>
    </w:pPr>
    <w:rPr>
      <w:rFonts w:ascii="宋体" w:hAnsi="宋体" w:eastAsia="宋体" w:cs="Times New Roman"/>
      <w:lang w:val="en-US" w:eastAsia="zh-CN" w:bidi="ar-SA"/>
    </w:rPr>
  </w:style>
  <w:style w:type="paragraph" w:customStyle="1" w:styleId="245">
    <w:name w:val="标题 2_0"/>
    <w:basedOn w:val="1"/>
    <w:next w:val="1"/>
    <w:qFormat/>
    <w:uiPriority w:val="9"/>
    <w:pPr>
      <w:keepNext/>
      <w:keepLines/>
      <w:spacing w:before="260" w:after="260" w:line="412" w:lineRule="auto"/>
      <w:ind w:firstLine="0" w:firstLineChars="0"/>
      <w:jc w:val="left"/>
      <w:outlineLvl w:val="1"/>
    </w:pPr>
    <w:rPr>
      <w:rFonts w:ascii="Arial" w:hAnsi="Arial"/>
      <w:b/>
      <w:sz w:val="21"/>
      <w:szCs w:val="24"/>
    </w:rPr>
  </w:style>
  <w:style w:type="paragraph" w:customStyle="1" w:styleId="246">
    <w:name w:val="xl51"/>
    <w:basedOn w:val="1"/>
    <w:qFormat/>
    <w:uiPriority w:val="0"/>
    <w:pPr>
      <w:widowControl/>
      <w:pBdr>
        <w:top w:val="single" w:color="0000FF" w:sz="4" w:space="0"/>
        <w:left w:val="single" w:color="0000FF" w:sz="4" w:space="0"/>
        <w:bottom w:val="single" w:color="0000FF" w:sz="8" w:space="0"/>
        <w:right w:val="single" w:color="0000FF"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247">
    <w:name w:val="one"/>
    <w:basedOn w:val="1"/>
    <w:qFormat/>
    <w:uiPriority w:val="0"/>
    <w:pPr>
      <w:widowControl/>
      <w:spacing w:line="240" w:lineRule="auto"/>
      <w:ind w:firstLine="0" w:firstLineChars="0"/>
      <w:jc w:val="left"/>
    </w:pPr>
    <w:rPr>
      <w:rFonts w:ascii="宋体" w:cs="宋体"/>
      <w:kern w:val="0"/>
      <w:szCs w:val="24"/>
    </w:rPr>
  </w:style>
  <w:style w:type="paragraph" w:customStyle="1" w:styleId="248">
    <w:name w:val="_Style 37"/>
    <w:basedOn w:val="1"/>
    <w:qFormat/>
    <w:uiPriority w:val="0"/>
    <w:pPr>
      <w:spacing w:line="240" w:lineRule="auto"/>
      <w:ind w:firstLine="0" w:firstLineChars="0"/>
    </w:pPr>
    <w:rPr>
      <w:rFonts w:ascii="Tahoma" w:hAnsi="Tahoma"/>
      <w:szCs w:val="20"/>
    </w:rPr>
  </w:style>
  <w:style w:type="paragraph" w:customStyle="1" w:styleId="249">
    <w:name w:val="正文_0"/>
    <w:qFormat/>
    <w:uiPriority w:val="0"/>
    <w:pPr>
      <w:widowControl w:val="0"/>
      <w:spacing w:before="120" w:after="120"/>
      <w:jc w:val="both"/>
    </w:pPr>
    <w:rPr>
      <w:rFonts w:ascii="Calibri" w:hAnsi="Calibri" w:eastAsia="宋体" w:cs="Times New Roman"/>
      <w:kern w:val="2"/>
      <w:sz w:val="21"/>
      <w:szCs w:val="24"/>
      <w:lang w:val="en-US" w:eastAsia="zh-CN" w:bidi="ar-SA"/>
    </w:rPr>
  </w:style>
  <w:style w:type="paragraph" w:customStyle="1" w:styleId="250">
    <w:name w:val="正文1"/>
    <w:basedOn w:val="1"/>
    <w:qFormat/>
    <w:uiPriority w:val="0"/>
    <w:pPr>
      <w:adjustRightInd w:val="0"/>
      <w:spacing w:before="360" w:after="360" w:line="312" w:lineRule="atLeast"/>
      <w:ind w:firstLine="0" w:firstLineChars="0"/>
      <w:jc w:val="center"/>
    </w:pPr>
    <w:rPr>
      <w:b/>
      <w:kern w:val="0"/>
      <w:sz w:val="52"/>
      <w:szCs w:val="20"/>
    </w:rPr>
  </w:style>
  <w:style w:type="paragraph" w:customStyle="1" w:styleId="251">
    <w:name w:val="font6"/>
    <w:basedOn w:val="1"/>
    <w:qFormat/>
    <w:uiPriority w:val="0"/>
    <w:pPr>
      <w:widowControl/>
      <w:spacing w:before="100" w:beforeAutospacing="1" w:after="100" w:afterAutospacing="1" w:line="240" w:lineRule="auto"/>
      <w:ind w:firstLine="0" w:firstLineChars="0"/>
      <w:jc w:val="left"/>
    </w:pPr>
    <w:rPr>
      <w:rFonts w:ascii="宋体" w:hAnsi="宋体"/>
      <w:kern w:val="0"/>
      <w:sz w:val="20"/>
      <w:szCs w:val="20"/>
    </w:rPr>
  </w:style>
  <w:style w:type="paragraph" w:customStyle="1" w:styleId="252">
    <w:name w:val="Char Char1 Char Char Char Char Char Char Char Char Char Char"/>
    <w:basedOn w:val="1"/>
    <w:qFormat/>
    <w:uiPriority w:val="0"/>
    <w:pPr>
      <w:widowControl/>
      <w:spacing w:after="160" w:line="240" w:lineRule="exact"/>
      <w:ind w:firstLine="0" w:firstLineChars="0"/>
      <w:jc w:val="left"/>
    </w:pPr>
    <w:rPr>
      <w:sz w:val="21"/>
      <w:szCs w:val="20"/>
    </w:rPr>
  </w:style>
  <w:style w:type="paragraph" w:customStyle="1" w:styleId="253">
    <w:name w:val="正文缩进1"/>
    <w:basedOn w:val="1"/>
    <w:next w:val="1"/>
    <w:qFormat/>
    <w:uiPriority w:val="0"/>
    <w:pPr>
      <w:widowControl/>
      <w:spacing w:line="240" w:lineRule="auto"/>
      <w:ind w:firstLine="420" w:firstLineChars="0"/>
    </w:pPr>
    <w:rPr>
      <w:color w:val="000000"/>
      <w:sz w:val="21"/>
      <w:szCs w:val="20"/>
    </w:rPr>
  </w:style>
  <w:style w:type="paragraph" w:customStyle="1" w:styleId="254">
    <w:name w:val="xl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szCs w:val="21"/>
    </w:rPr>
  </w:style>
  <w:style w:type="paragraph" w:customStyle="1" w:styleId="255">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xl52"/>
    <w:basedOn w:val="1"/>
    <w:qFormat/>
    <w:uiPriority w:val="0"/>
    <w:pPr>
      <w:widowControl/>
      <w:pBdr>
        <w:top w:val="single" w:color="0000FF" w:sz="8"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57">
    <w:name w:val="xl57"/>
    <w:basedOn w:val="1"/>
    <w:qFormat/>
    <w:uiPriority w:val="0"/>
    <w:pPr>
      <w:widowControl/>
      <w:pBdr>
        <w:left w:val="single" w:color="0000FF" w:sz="4" w:space="0"/>
        <w:bottom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58">
    <w:name w:val="xl2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59">
    <w:name w:val="xl2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b/>
      <w:bCs/>
      <w:kern w:val="0"/>
      <w:sz w:val="21"/>
      <w:szCs w:val="21"/>
    </w:rPr>
  </w:style>
  <w:style w:type="paragraph" w:customStyle="1" w:styleId="260">
    <w:name w:val="xl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pPr>
    <w:rPr>
      <w:rFonts w:ascii="宋体" w:hAnsi="宋体"/>
      <w:kern w:val="0"/>
      <w:sz w:val="21"/>
      <w:szCs w:val="21"/>
    </w:rPr>
  </w:style>
  <w:style w:type="paragraph" w:customStyle="1" w:styleId="261">
    <w:name w:val="正文小标题"/>
    <w:basedOn w:val="3"/>
    <w:qFormat/>
    <w:uiPriority w:val="0"/>
    <w:pPr>
      <w:widowControl w:val="0"/>
      <w:numPr>
        <w:numId w:val="0"/>
      </w:numPr>
      <w:spacing w:before="340" w:after="330" w:line="420" w:lineRule="exact"/>
      <w:jc w:val="both"/>
    </w:pPr>
    <w:rPr>
      <w:rFonts w:ascii="Times New Roman" w:hAnsi="宋体" w:eastAsia="宋体"/>
      <w:sz w:val="21"/>
      <w:szCs w:val="21"/>
      <w:lang w:val="en-US"/>
    </w:rPr>
  </w:style>
  <w:style w:type="paragraph" w:customStyle="1" w:styleId="262">
    <w:name w:val="Blockquote"/>
    <w:basedOn w:val="1"/>
    <w:qFormat/>
    <w:uiPriority w:val="0"/>
    <w:pPr>
      <w:autoSpaceDE w:val="0"/>
      <w:autoSpaceDN w:val="0"/>
      <w:adjustRightInd w:val="0"/>
      <w:spacing w:before="100" w:after="100" w:line="312" w:lineRule="atLeast"/>
      <w:ind w:left="360" w:right="360" w:firstLine="0" w:firstLineChars="0"/>
    </w:pPr>
    <w:rPr>
      <w:kern w:val="0"/>
      <w:szCs w:val="20"/>
    </w:rPr>
  </w:style>
  <w:style w:type="paragraph" w:customStyle="1" w:styleId="263">
    <w:name w:val="CM24"/>
    <w:basedOn w:val="1"/>
    <w:next w:val="1"/>
    <w:qFormat/>
    <w:uiPriority w:val="0"/>
    <w:pPr>
      <w:autoSpaceDE w:val="0"/>
      <w:autoSpaceDN w:val="0"/>
      <w:adjustRightInd w:val="0"/>
      <w:spacing w:after="298" w:line="240" w:lineRule="auto"/>
      <w:ind w:firstLine="0" w:firstLineChars="0"/>
      <w:jc w:val="left"/>
    </w:pPr>
    <w:rPr>
      <w:rFonts w:ascii="楷体_GB2312" w:eastAsia="楷体_GB2312" w:cs="楷体_GB2312"/>
      <w:kern w:val="0"/>
      <w:szCs w:val="24"/>
    </w:rPr>
  </w:style>
  <w:style w:type="paragraph" w:customStyle="1" w:styleId="26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szCs w:val="21"/>
      <w:u w:val="single"/>
    </w:rPr>
  </w:style>
  <w:style w:type="paragraph" w:customStyle="1" w:styleId="265">
    <w:name w:val="font7"/>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266">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7">
    <w:name w:val="xl4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楷体_GB2312" w:hAnsi="宋体" w:eastAsia="楷体_GB2312"/>
      <w:b/>
      <w:bCs/>
      <w:kern w:val="0"/>
      <w:sz w:val="20"/>
      <w:szCs w:val="20"/>
    </w:rPr>
  </w:style>
  <w:style w:type="paragraph" w:customStyle="1" w:styleId="268">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69">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kern w:val="0"/>
      <w:sz w:val="20"/>
      <w:szCs w:val="20"/>
    </w:rPr>
  </w:style>
  <w:style w:type="paragraph" w:customStyle="1" w:styleId="270">
    <w:name w:val="Char Char Char Char"/>
    <w:basedOn w:val="1"/>
    <w:qFormat/>
    <w:uiPriority w:val="0"/>
    <w:pPr>
      <w:spacing w:line="240" w:lineRule="auto"/>
      <w:ind w:firstLine="0" w:firstLineChars="0"/>
    </w:pPr>
    <w:rPr>
      <w:rFonts w:ascii="Tahoma" w:hAnsi="Tahoma"/>
      <w:szCs w:val="20"/>
    </w:rPr>
  </w:style>
  <w:style w:type="paragraph" w:customStyle="1" w:styleId="271">
    <w:name w:val="正文_1_0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2">
    <w:name w:val="xl46"/>
    <w:basedOn w:val="1"/>
    <w:qFormat/>
    <w:uiPriority w:val="0"/>
    <w:pPr>
      <w:widowControl/>
      <w:pBdr>
        <w:top w:val="single" w:color="0000FF" w:sz="8" w:space="0"/>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7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74">
    <w:name w:val="xl31"/>
    <w:basedOn w:val="1"/>
    <w:qFormat/>
    <w:uiPriority w:val="0"/>
    <w:pPr>
      <w:widowControl/>
      <w:spacing w:before="100" w:beforeAutospacing="1" w:after="100" w:afterAutospacing="1" w:line="240" w:lineRule="auto"/>
      <w:ind w:firstLine="0" w:firstLineChars="0"/>
      <w:jc w:val="center"/>
    </w:pPr>
    <w:rPr>
      <w:rFonts w:ascii="Arial Unicode MS" w:hAnsi="Arial Unicode MS"/>
      <w:kern w:val="0"/>
      <w:szCs w:val="24"/>
    </w:rPr>
  </w:style>
  <w:style w:type="paragraph" w:customStyle="1" w:styleId="275">
    <w:name w:val="_Style 20"/>
    <w:basedOn w:val="1"/>
    <w:qFormat/>
    <w:uiPriority w:val="0"/>
    <w:pPr>
      <w:spacing w:line="240" w:lineRule="auto"/>
      <w:ind w:firstLine="0" w:firstLineChars="0"/>
    </w:pPr>
    <w:rPr>
      <w:rFonts w:ascii="Tahoma" w:hAnsi="Tahoma"/>
      <w:szCs w:val="20"/>
    </w:rPr>
  </w:style>
  <w:style w:type="paragraph" w:customStyle="1" w:styleId="276">
    <w:name w:val="xl2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77">
    <w:name w:val="pa-1"/>
    <w:basedOn w:val="1"/>
    <w:qFormat/>
    <w:uiPriority w:val="0"/>
    <w:pPr>
      <w:widowControl/>
      <w:spacing w:line="384" w:lineRule="atLeast"/>
      <w:ind w:firstLine="0" w:firstLineChars="0"/>
      <w:jc w:val="left"/>
    </w:pPr>
    <w:rPr>
      <w:rFonts w:ascii="宋体" w:hAnsi="宋体" w:cs="宋体"/>
      <w:kern w:val="0"/>
      <w:szCs w:val="24"/>
    </w:rPr>
  </w:style>
  <w:style w:type="paragraph" w:customStyle="1" w:styleId="278">
    <w:name w:val="xl59"/>
    <w:basedOn w:val="1"/>
    <w:qFormat/>
    <w:uiPriority w:val="0"/>
    <w:pPr>
      <w:widowControl/>
      <w:pBdr>
        <w:top w:val="single" w:color="0000FF" w:sz="4" w:space="0"/>
        <w:left w:val="single" w:color="0000FF" w:sz="4" w:space="0"/>
        <w:right w:val="single" w:color="0000FF" w:sz="8"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79">
    <w:name w:val="xl56"/>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80">
    <w:name w:val="xl50"/>
    <w:basedOn w:val="1"/>
    <w:qFormat/>
    <w:uiPriority w:val="0"/>
    <w:pPr>
      <w:widowControl/>
      <w:pBdr>
        <w:top w:val="single" w:color="0000FF" w:sz="4"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81">
    <w:name w:val="xl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rFonts w:ascii="楷体_GB2312" w:hAnsi="宋体" w:eastAsia="楷体_GB2312"/>
      <w:kern w:val="0"/>
      <w:sz w:val="21"/>
      <w:szCs w:val="21"/>
    </w:rPr>
  </w:style>
  <w:style w:type="paragraph" w:customStyle="1" w:styleId="282">
    <w:name w:val="Char1 Char Char Char Char Char Char"/>
    <w:basedOn w:val="1"/>
    <w:qFormat/>
    <w:uiPriority w:val="0"/>
    <w:pPr>
      <w:spacing w:line="240" w:lineRule="auto"/>
      <w:ind w:firstLine="0" w:firstLineChars="0"/>
    </w:pPr>
    <w:rPr>
      <w:rFonts w:ascii="Tahoma" w:hAnsi="Tahoma"/>
      <w:szCs w:val="20"/>
    </w:rPr>
  </w:style>
  <w:style w:type="paragraph" w:customStyle="1" w:styleId="283">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4">
    <w:name w:val="xl58"/>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kern w:val="0"/>
      <w:sz w:val="21"/>
      <w:szCs w:val="21"/>
    </w:rPr>
  </w:style>
  <w:style w:type="paragraph" w:customStyle="1" w:styleId="285">
    <w:name w:val="xl48"/>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86">
    <w:name w:val="xl55"/>
    <w:basedOn w:val="1"/>
    <w:qFormat/>
    <w:uiPriority w:val="0"/>
    <w:pPr>
      <w:widowControl/>
      <w:pBdr>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color w:val="000000"/>
      <w:kern w:val="0"/>
      <w:sz w:val="21"/>
      <w:szCs w:val="21"/>
    </w:rPr>
  </w:style>
  <w:style w:type="paragraph" w:customStyle="1" w:styleId="287">
    <w:name w:val="标题 3_0"/>
    <w:basedOn w:val="249"/>
    <w:next w:val="1"/>
    <w:qFormat/>
    <w:uiPriority w:val="0"/>
    <w:pPr>
      <w:keepNext/>
      <w:keepLines/>
      <w:spacing w:before="260" w:after="260" w:line="412" w:lineRule="auto"/>
      <w:jc w:val="left"/>
      <w:outlineLvl w:val="2"/>
    </w:pPr>
    <w:rPr>
      <w:b/>
    </w:rPr>
  </w:style>
  <w:style w:type="paragraph" w:customStyle="1" w:styleId="288">
    <w:name w:val="xl60"/>
    <w:basedOn w:val="1"/>
    <w:qFormat/>
    <w:uiPriority w:val="0"/>
    <w:pPr>
      <w:widowControl/>
      <w:pBdr>
        <w:left w:val="single" w:color="0000FF" w:sz="4" w:space="0"/>
        <w:bottom w:val="single" w:color="0000FF" w:sz="4" w:space="0"/>
        <w:right w:val="single" w:color="0000FF" w:sz="8"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89">
    <w:name w:val="次小点说明 Char"/>
    <w:basedOn w:val="8"/>
    <w:qFormat/>
    <w:uiPriority w:val="0"/>
    <w:pPr>
      <w:ind w:firstLine="0"/>
    </w:pPr>
    <w:rPr>
      <w:sz w:val="24"/>
      <w:szCs w:val="24"/>
    </w:rPr>
  </w:style>
  <w:style w:type="paragraph" w:customStyle="1" w:styleId="290">
    <w:name w:val="正文呀_0"/>
    <w:basedOn w:val="283"/>
    <w:qFormat/>
    <w:uiPriority w:val="0"/>
    <w:pPr>
      <w:spacing w:line="420" w:lineRule="exact"/>
      <w:ind w:firstLine="420" w:firstLineChars="200"/>
    </w:pPr>
    <w:rPr>
      <w:rFonts w:ascii="宋体" w:hAnsi="宋体" w:eastAsia="等线"/>
      <w:szCs w:val="21"/>
    </w:rPr>
  </w:style>
  <w:style w:type="paragraph" w:customStyle="1" w:styleId="291">
    <w:name w:val="xl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92">
    <w:name w:val="xl53"/>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93">
    <w:name w:val="Char Char Char1"/>
    <w:basedOn w:val="1"/>
    <w:qFormat/>
    <w:uiPriority w:val="0"/>
    <w:pPr>
      <w:spacing w:line="240" w:lineRule="auto"/>
      <w:ind w:firstLine="0" w:firstLineChars="0"/>
    </w:pPr>
    <w:rPr>
      <w:rFonts w:ascii="Tahoma" w:hAnsi="Tahoma"/>
      <w:szCs w:val="20"/>
    </w:rPr>
  </w:style>
  <w:style w:type="paragraph" w:customStyle="1" w:styleId="29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5">
    <w:name w:val="xl49"/>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96">
    <w:name w:val="xl4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kern w:val="0"/>
      <w:szCs w:val="20"/>
    </w:rPr>
  </w:style>
  <w:style w:type="paragraph" w:customStyle="1" w:styleId="297">
    <w:name w:val="xl61"/>
    <w:basedOn w:val="1"/>
    <w:qFormat/>
    <w:uiPriority w:val="0"/>
    <w:pPr>
      <w:widowControl/>
      <w:pBdr>
        <w:top w:val="single" w:color="0000FF" w:sz="4" w:space="0"/>
        <w:left w:val="single" w:color="0000FF" w:sz="4" w:space="0"/>
        <w:right w:val="single" w:color="0000FF" w:sz="4" w:space="0"/>
      </w:pBdr>
      <w:spacing w:before="100" w:beforeAutospacing="1" w:after="100" w:afterAutospacing="1" w:line="240" w:lineRule="auto"/>
      <w:ind w:firstLine="0" w:firstLineChars="0"/>
      <w:jc w:val="center"/>
    </w:pPr>
    <w:rPr>
      <w:color w:val="000000"/>
      <w:kern w:val="0"/>
      <w:sz w:val="21"/>
      <w:szCs w:val="21"/>
    </w:rPr>
  </w:style>
  <w:style w:type="paragraph" w:customStyle="1" w:styleId="298">
    <w:name w:val="正文小四缩进"/>
    <w:next w:val="1"/>
    <w:qFormat/>
    <w:uiPriority w:val="0"/>
    <w:pPr>
      <w:widowControl w:val="0"/>
      <w:adjustRightInd w:val="0"/>
      <w:snapToGrid w:val="0"/>
      <w:spacing w:line="360" w:lineRule="auto"/>
      <w:ind w:firstLine="420" w:firstLineChars="200"/>
    </w:pPr>
    <w:rPr>
      <w:rFonts w:ascii="宋体" w:hAnsi="宋体" w:eastAsia="Times New Roman" w:cs="Times New Roman"/>
      <w:kern w:val="2"/>
      <w:sz w:val="21"/>
      <w:szCs w:val="21"/>
      <w:lang w:val="en-US" w:eastAsia="zh-CN" w:bidi="ar-SA"/>
    </w:rPr>
  </w:style>
  <w:style w:type="paragraph" w:customStyle="1" w:styleId="299">
    <w:name w:val="xl54"/>
    <w:basedOn w:val="1"/>
    <w:qFormat/>
    <w:uiPriority w:val="0"/>
    <w:pPr>
      <w:widowControl/>
      <w:pBdr>
        <w:top w:val="single" w:color="0000FF" w:sz="4" w:space="0"/>
        <w:left w:val="single" w:color="0000FF" w:sz="8" w:space="0"/>
        <w:right w:val="single" w:color="0000FF" w:sz="4" w:space="0"/>
      </w:pBdr>
      <w:spacing w:before="100" w:beforeAutospacing="1" w:after="100" w:afterAutospacing="1" w:line="240" w:lineRule="auto"/>
      <w:ind w:firstLine="0" w:firstLineChars="0"/>
      <w:jc w:val="center"/>
    </w:pPr>
    <w:rPr>
      <w:rFonts w:ascii="宋体" w:hAnsi="宋体"/>
      <w:color w:val="000000"/>
      <w:kern w:val="0"/>
      <w:sz w:val="21"/>
      <w:szCs w:val="21"/>
    </w:rPr>
  </w:style>
  <w:style w:type="paragraph" w:customStyle="1" w:styleId="300">
    <w:name w:val="font10"/>
    <w:basedOn w:val="1"/>
    <w:qFormat/>
    <w:uiPriority w:val="0"/>
    <w:pPr>
      <w:widowControl/>
      <w:spacing w:before="100" w:beforeAutospacing="1" w:after="100" w:afterAutospacing="1" w:line="240" w:lineRule="auto"/>
      <w:ind w:firstLine="0" w:firstLineChars="0"/>
      <w:jc w:val="left"/>
    </w:pPr>
    <w:rPr>
      <w:rFonts w:ascii="宋体" w:hAnsi="宋体"/>
      <w:b/>
      <w:bCs/>
      <w:color w:val="000000"/>
      <w:kern w:val="0"/>
      <w:sz w:val="21"/>
      <w:szCs w:val="21"/>
    </w:rPr>
  </w:style>
  <w:style w:type="paragraph" w:customStyle="1" w:styleId="30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楷体_GB2312" w:hAnsi="宋体" w:eastAsia="楷体_GB2312"/>
      <w:b/>
      <w:bCs/>
      <w:kern w:val="0"/>
      <w:sz w:val="21"/>
      <w:szCs w:val="21"/>
    </w:rPr>
  </w:style>
  <w:style w:type="paragraph" w:customStyle="1" w:styleId="302">
    <w:name w:val="xl44"/>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303">
    <w:name w:val="font5"/>
    <w:basedOn w:val="1"/>
    <w:qFormat/>
    <w:uiPriority w:val="0"/>
    <w:pPr>
      <w:widowControl/>
      <w:spacing w:before="100" w:beforeAutospacing="1" w:after="100" w:afterAutospacing="1" w:line="240" w:lineRule="auto"/>
      <w:ind w:firstLine="0" w:firstLineChars="0"/>
      <w:jc w:val="left"/>
    </w:pPr>
    <w:rPr>
      <w:rFonts w:ascii="宋体" w:hAnsi="宋体"/>
      <w:kern w:val="0"/>
      <w:sz w:val="18"/>
      <w:szCs w:val="18"/>
    </w:rPr>
  </w:style>
  <w:style w:type="paragraph" w:customStyle="1" w:styleId="304">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kern w:val="0"/>
      <w:szCs w:val="20"/>
    </w:rPr>
  </w:style>
  <w:style w:type="paragraph" w:customStyle="1" w:styleId="305">
    <w:name w:val="font9"/>
    <w:basedOn w:val="1"/>
    <w:qFormat/>
    <w:uiPriority w:val="0"/>
    <w:pPr>
      <w:widowControl/>
      <w:spacing w:before="100" w:beforeAutospacing="1" w:after="100" w:afterAutospacing="1" w:line="240" w:lineRule="auto"/>
      <w:ind w:firstLine="0" w:firstLineChars="0"/>
      <w:jc w:val="left"/>
    </w:pPr>
    <w:rPr>
      <w:b/>
      <w:bCs/>
      <w:color w:val="000000"/>
      <w:kern w:val="0"/>
      <w:sz w:val="21"/>
      <w:szCs w:val="21"/>
    </w:rPr>
  </w:style>
  <w:style w:type="paragraph" w:customStyle="1" w:styleId="306">
    <w:name w:val="正文 A"/>
    <w:qFormat/>
    <w:uiPriority w:val="0"/>
    <w:pPr>
      <w:widowControl w:val="0"/>
      <w:jc w:val="both"/>
    </w:pPr>
    <w:rPr>
      <w:rFonts w:ascii="Calibri" w:hAnsi="Calibri" w:eastAsia="宋体" w:cs="Calibri"/>
      <w:color w:val="000000"/>
      <w:kern w:val="2"/>
      <w:sz w:val="21"/>
      <w:szCs w:val="21"/>
      <w:u w:color="000000"/>
      <w:lang w:val="en-US" w:eastAsia="zh-CN" w:bidi="ar-SA"/>
    </w:rPr>
  </w:style>
  <w:style w:type="paragraph" w:customStyle="1" w:styleId="307">
    <w:name w:val="xl47"/>
    <w:basedOn w:val="1"/>
    <w:qFormat/>
    <w:uiPriority w:val="0"/>
    <w:pPr>
      <w:widowControl/>
      <w:pBdr>
        <w:top w:val="single" w:color="0000FF" w:sz="4" w:space="0"/>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308">
    <w:name w:val="Char Char1 Char Char Char Char Char Char"/>
    <w:basedOn w:val="1"/>
    <w:qFormat/>
    <w:uiPriority w:val="0"/>
    <w:pPr>
      <w:widowControl/>
      <w:adjustRightInd w:val="0"/>
      <w:snapToGrid w:val="0"/>
      <w:spacing w:beforeLines="25" w:line="240" w:lineRule="exact"/>
      <w:ind w:firstLine="560" w:firstLineChars="192"/>
      <w:jc w:val="left"/>
    </w:pPr>
    <w:rPr>
      <w:sz w:val="21"/>
      <w:szCs w:val="20"/>
    </w:rPr>
  </w:style>
  <w:style w:type="paragraph" w:customStyle="1" w:styleId="309">
    <w:name w:val="font8"/>
    <w:basedOn w:val="1"/>
    <w:qFormat/>
    <w:uiPriority w:val="0"/>
    <w:pPr>
      <w:widowControl/>
      <w:spacing w:before="100" w:beforeAutospacing="1" w:after="100" w:afterAutospacing="1" w:line="240" w:lineRule="auto"/>
      <w:ind w:firstLine="0" w:firstLineChars="0"/>
      <w:jc w:val="left"/>
    </w:pPr>
    <w:rPr>
      <w:rFonts w:ascii="宋体" w:hAnsi="宋体"/>
      <w:b/>
      <w:bCs/>
      <w:color w:val="000000"/>
      <w:kern w:val="0"/>
      <w:sz w:val="21"/>
      <w:szCs w:val="21"/>
    </w:rPr>
  </w:style>
  <w:style w:type="paragraph" w:customStyle="1" w:styleId="310">
    <w:name w:val="xl3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b/>
      <w:bCs/>
      <w:kern w:val="0"/>
      <w:sz w:val="21"/>
      <w:szCs w:val="21"/>
      <w:u w:val="single"/>
    </w:rPr>
  </w:style>
  <w:style w:type="paragraph" w:customStyle="1" w:styleId="311">
    <w:name w:val="font11"/>
    <w:basedOn w:val="1"/>
    <w:qFormat/>
    <w:uiPriority w:val="0"/>
    <w:pPr>
      <w:widowControl/>
      <w:spacing w:before="100" w:beforeAutospacing="1" w:after="100" w:afterAutospacing="1" w:line="240" w:lineRule="auto"/>
      <w:ind w:firstLine="0" w:firstLineChars="0"/>
      <w:jc w:val="left"/>
    </w:pPr>
    <w:rPr>
      <w:rFonts w:ascii="宋体" w:hAnsi="宋体"/>
      <w:kern w:val="0"/>
      <w:sz w:val="21"/>
      <w:szCs w:val="21"/>
    </w:rPr>
  </w:style>
  <w:style w:type="paragraph" w:customStyle="1" w:styleId="312">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31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楷体_GB2312" w:hAnsi="宋体" w:eastAsia="楷体_GB2312"/>
      <w:kern w:val="0"/>
      <w:sz w:val="21"/>
      <w:szCs w:val="21"/>
    </w:rPr>
  </w:style>
  <w:style w:type="paragraph" w:customStyle="1" w:styleId="314">
    <w:name w:val="xl2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楷体_GB2312" w:hAnsi="宋体" w:eastAsia="楷体_GB2312"/>
      <w:b/>
      <w:bCs/>
      <w:kern w:val="0"/>
      <w:sz w:val="21"/>
      <w:szCs w:val="21"/>
    </w:rPr>
  </w:style>
  <w:style w:type="paragraph" w:customStyle="1" w:styleId="315">
    <w:name w:val="xl45"/>
    <w:basedOn w:val="1"/>
    <w:qFormat/>
    <w:uiPriority w:val="0"/>
    <w:pPr>
      <w:widowControl/>
      <w:pBdr>
        <w:top w:val="single" w:color="0000FF" w:sz="4" w:space="0"/>
        <w:left w:val="single" w:color="0000FF" w:sz="4" w:space="0"/>
        <w:right w:val="single" w:color="0000FF" w:sz="4" w:space="0"/>
      </w:pBdr>
      <w:spacing w:before="100" w:beforeAutospacing="1" w:after="100" w:afterAutospacing="1" w:line="240" w:lineRule="auto"/>
      <w:ind w:firstLine="0" w:firstLineChars="0"/>
      <w:jc w:val="left"/>
    </w:pPr>
    <w:rPr>
      <w:rFonts w:ascii="宋体" w:hAnsi="宋体"/>
      <w:kern w:val="0"/>
      <w:szCs w:val="24"/>
    </w:rPr>
  </w:style>
  <w:style w:type="paragraph" w:customStyle="1" w:styleId="316">
    <w:name w:val="正文呀2_0"/>
    <w:basedOn w:val="290"/>
    <w:qFormat/>
    <w:uiPriority w:val="0"/>
    <w:rPr>
      <w:rFonts w:ascii="Times New Roman" w:hAnsi="Times New Roman" w:eastAsia="宋体"/>
    </w:rPr>
  </w:style>
  <w:style w:type="character" w:customStyle="1" w:styleId="317">
    <w:name w:val="UserStyle_9"/>
    <w:link w:val="318"/>
    <w:qFormat/>
    <w:locked/>
    <w:uiPriority w:val="0"/>
    <w:rPr>
      <w:kern w:val="2"/>
      <w:sz w:val="21"/>
      <w:szCs w:val="24"/>
    </w:rPr>
  </w:style>
  <w:style w:type="paragraph" w:customStyle="1" w:styleId="318">
    <w:name w:val="AnnotationText"/>
    <w:basedOn w:val="1"/>
    <w:link w:val="317"/>
    <w:qFormat/>
    <w:uiPriority w:val="0"/>
    <w:pPr>
      <w:widowControl/>
      <w:spacing w:line="240" w:lineRule="auto"/>
      <w:ind w:firstLine="0" w:firstLineChars="0"/>
      <w:jc w:val="left"/>
    </w:pPr>
    <w:rPr>
      <w:sz w:val="21"/>
      <w:szCs w:val="24"/>
    </w:rPr>
  </w:style>
  <w:style w:type="character" w:customStyle="1" w:styleId="319">
    <w:name w:val="批注文字 Char2"/>
    <w:qFormat/>
    <w:uiPriority w:val="0"/>
    <w:rPr>
      <w:rFonts w:hint="default" w:ascii="Times New Roman" w:hAnsi="Times New Roman" w:cs="Times New Roman"/>
      <w:szCs w:val="24"/>
    </w:rPr>
  </w:style>
  <w:style w:type="character" w:customStyle="1" w:styleId="320">
    <w:name w:val="Char Char9"/>
    <w:qFormat/>
    <w:uiPriority w:val="0"/>
    <w:rPr>
      <w:rFonts w:hint="eastAsia" w:ascii="仿宋_GB2312" w:hAnsi="Times New Roman" w:eastAsia="仿宋_GB2312" w:cs="Times New Roman"/>
      <w:sz w:val="32"/>
      <w:szCs w:val="20"/>
    </w:rPr>
  </w:style>
  <w:style w:type="character" w:customStyle="1" w:styleId="321">
    <w:name w:val="正文文本缩进 3 Char1"/>
    <w:basedOn w:val="50"/>
    <w:semiHidden/>
    <w:qFormat/>
    <w:locked/>
    <w:uiPriority w:val="0"/>
    <w:rPr>
      <w:sz w:val="28"/>
    </w:rPr>
  </w:style>
  <w:style w:type="character" w:customStyle="1" w:styleId="322">
    <w:name w:val="批注框文本 Char1"/>
    <w:basedOn w:val="50"/>
    <w:semiHidden/>
    <w:qFormat/>
    <w:locked/>
    <w:uiPriority w:val="0"/>
    <w:rPr>
      <w:kern w:val="2"/>
      <w:sz w:val="18"/>
      <w:szCs w:val="18"/>
    </w:rPr>
  </w:style>
  <w:style w:type="character" w:customStyle="1" w:styleId="323">
    <w:name w:val="日期 Char1"/>
    <w:basedOn w:val="50"/>
    <w:semiHidden/>
    <w:qFormat/>
    <w:locked/>
    <w:uiPriority w:val="0"/>
    <w:rPr>
      <w:kern w:val="2"/>
      <w:sz w:val="21"/>
      <w:szCs w:val="24"/>
    </w:rPr>
  </w:style>
  <w:style w:type="character" w:customStyle="1" w:styleId="324">
    <w:name w:val="手改 Char Char"/>
    <w:qFormat/>
    <w:uiPriority w:val="0"/>
    <w:rPr>
      <w:rFonts w:hint="default" w:ascii="Times New Roman" w:hAnsi="Times New Roman" w:eastAsia="宋体" w:cs="Times New Roman"/>
      <w:sz w:val="24"/>
      <w:szCs w:val="24"/>
      <w:lang w:bidi="ar-SA"/>
    </w:rPr>
  </w:style>
  <w:style w:type="character" w:customStyle="1" w:styleId="325">
    <w:name w:val="ca-71"/>
    <w:qFormat/>
    <w:uiPriority w:val="0"/>
    <w:rPr>
      <w:rFonts w:hint="eastAsia" w:ascii="宋体" w:hAnsi="宋体" w:eastAsia="宋体" w:cs="Times New Roman"/>
      <w:color w:val="000000"/>
      <w:sz w:val="12"/>
      <w:szCs w:val="12"/>
    </w:rPr>
  </w:style>
  <w:style w:type="character" w:customStyle="1" w:styleId="326">
    <w:name w:val="ca-41"/>
    <w:qFormat/>
    <w:uiPriority w:val="0"/>
    <w:rPr>
      <w:rFonts w:hint="eastAsia" w:ascii="宋体" w:hAnsi="宋体" w:eastAsia="宋体" w:cs="Times New Roman"/>
      <w:color w:val="000000"/>
      <w:sz w:val="20"/>
      <w:szCs w:val="20"/>
    </w:rPr>
  </w:style>
  <w:style w:type="character" w:customStyle="1" w:styleId="327">
    <w:name w:val="页眉 Char1"/>
    <w:basedOn w:val="50"/>
    <w:semiHidden/>
    <w:qFormat/>
    <w:locked/>
    <w:uiPriority w:val="0"/>
    <w:rPr>
      <w:kern w:val="2"/>
      <w:sz w:val="18"/>
      <w:szCs w:val="18"/>
    </w:rPr>
  </w:style>
  <w:style w:type="character" w:customStyle="1" w:styleId="328">
    <w:name w:val="ca-51"/>
    <w:qFormat/>
    <w:uiPriority w:val="0"/>
    <w:rPr>
      <w:rFonts w:hint="eastAsia" w:ascii="宋体" w:hAnsi="宋体" w:eastAsia="宋体" w:cs="Times New Roman"/>
      <w:color w:val="E60000"/>
      <w:sz w:val="20"/>
      <w:szCs w:val="20"/>
    </w:rPr>
  </w:style>
  <w:style w:type="character" w:customStyle="1" w:styleId="329">
    <w:name w:val="标题 2 Char1"/>
    <w:qFormat/>
    <w:uiPriority w:val="9"/>
    <w:rPr>
      <w:rFonts w:hint="default" w:ascii="Cambria" w:hAnsi="Cambria" w:eastAsia="宋体" w:cs="Times New Roman"/>
      <w:b/>
      <w:bCs/>
      <w:kern w:val="2"/>
      <w:sz w:val="32"/>
      <w:szCs w:val="32"/>
    </w:rPr>
  </w:style>
  <w:style w:type="character" w:customStyle="1" w:styleId="330">
    <w:name w:val="ca-31"/>
    <w:qFormat/>
    <w:uiPriority w:val="0"/>
    <w:rPr>
      <w:rFonts w:hint="eastAsia" w:ascii="宋体" w:hAnsi="宋体" w:eastAsia="宋体" w:cs="Times New Roman"/>
      <w:color w:val="000000"/>
      <w:sz w:val="24"/>
      <w:szCs w:val="24"/>
    </w:rPr>
  </w:style>
  <w:style w:type="character" w:customStyle="1" w:styleId="331">
    <w:name w:val="textcontents"/>
    <w:basedOn w:val="50"/>
    <w:qFormat/>
    <w:uiPriority w:val="0"/>
  </w:style>
  <w:style w:type="paragraph" w:customStyle="1" w:styleId="332">
    <w:name w:val="_paragraph_4sbbx_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7.wmf"/><Relationship Id="rId3" Type="http://schemas.openxmlformats.org/officeDocument/2006/relationships/footnotes" Target="footnotes.xml"/><Relationship Id="rId29" Type="http://schemas.openxmlformats.org/officeDocument/2006/relationships/image" Target="media/image6.wmf"/><Relationship Id="rId28" Type="http://schemas.openxmlformats.org/officeDocument/2006/relationships/image" Target="media/image5.wmf"/><Relationship Id="rId27" Type="http://schemas.openxmlformats.org/officeDocument/2006/relationships/image" Target="media/image4.wmf"/><Relationship Id="rId26" Type="http://schemas.openxmlformats.org/officeDocument/2006/relationships/image" Target="media/image3.wmf"/><Relationship Id="rId25" Type="http://schemas.openxmlformats.org/officeDocument/2006/relationships/image" Target="file:///C:\Users\Administrator\AppData\Roaming\Tencent\Users\84332323\QQ\WinTemp\RichOle\TN3R7%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214bed1c-87d9-40f8-a33a-f4d19ef36482</errorID>
      <errorWord>上午00:00</errorWord>
      <group>L1_Knowledge</group>
      <groupName>知识性问题</groupName>
      <ability>L2_Time</ability>
      <abilityName>日期时间</abilityName>
      <candidateList/>
      <explain>时间与前缀不匹配，可能的时间前缀有“下午、晚上、凌晨、午夜”。</explain>
      <paraID>62DC28B7</paraID>
      <start>29</start>
      <end>36</end>
      <status>unmodified</status>
      <modifiedWord/>
      <trackRevisions>false</trackRevisions>
    </reviewItem>
    <reviewItem>
      <errorID>a5e9b110-f854-4ffd-ae22-d07c93cbc4c2</errorID>
      <errorWord>可附件</errorWord>
      <group>L1_Word</group>
      <groupName>字词问题</groupName>
      <ability>L2_Typo</ability>
      <abilityName>字词错误</abilityName>
      <candidateList>
        <item>见附件</item>
      </candidateList>
      <explain/>
      <paraID>2C8347DF</paraID>
      <start>47</start>
      <end>50</end>
      <status>unmodified</status>
      <modifiedWord/>
      <trackRevisions>false</trackRevisions>
    </reviewItem>
    <reviewItem>
      <errorID>608f3bbc-0911-4837-b685-eccd2b415a78</errorID>
      <errorWord>所竞</errorWord>
      <group>L1_Word</group>
      <groupName>字词问题</groupName>
      <ability>L2_Typo</ability>
      <abilityName>字词错误</abilityName>
      <candidateList>
        <item>所用</item>
      </candidateList>
      <explain/>
      <paraID>742E6D39</paraID>
      <start>5</start>
      <end>7</end>
      <status>unmodified</status>
      <modifiedWord/>
      <trackRevisions>false</trackRevisions>
    </reviewItem>
    <reviewItem>
      <errorID>a01750fa-abdc-459a-828b-81d054c6954b</errorID>
      <errorWord>须</errorWord>
      <group>L1_Word</group>
      <groupName>字词问题</groupName>
      <ability>L2_Typo</ability>
      <abilityName>字词错误</abilityName>
      <candidateList>
        <item>需</item>
      </candidateList>
      <explain>存在发音相同字词的误用。</explain>
      <paraID> 5611AC3</paraID>
      <start>9</start>
      <end>10</end>
      <status>unmodified</status>
      <modifiedWord/>
      <trackRevisions>false</trackRevisions>
    </reviewItem>
    <reviewItem>
      <errorID>a753ee69-5064-4bd6-ba19-1554aaca9152</errorID>
      <errorWord>，</errorWord>
      <group>L1_Word</group>
      <groupName>字词问题</groupName>
      <ability>L2_Typo</ability>
      <abilityName>字词错误</abilityName>
      <candidateList>
        <item>，具</item>
      </candidateList>
      <explain/>
      <paraID>5439F0FD</paraID>
      <start>23</start>
      <end>24</end>
      <status>unmodified</status>
      <modifiedWord/>
      <trackRevisions>false</trackRevisions>
    </reviewItem>
    <reviewItem>
      <errorID>b8196acd-b1f9-484f-98e6-c085db273893</errorID>
      <errorWord>关键技术有</errorWord>
      <group>L1_Word</group>
      <groupName>字词问题</groupName>
      <ability>L2_Typo</ability>
      <abilityName>字词错误</abilityName>
      <candidateList>
        <item>关键技术</item>
      </candidateList>
      <explain/>
      <paraID>5A974572</paraID>
      <start>10</start>
      <end>15</end>
      <status>unmodified</status>
      <modifiedWord/>
      <trackRevisions>false</trackRevisions>
    </reviewItem>
    <reviewItem>
      <errorID>5118417a-b432-4c58-ada6-40fb360c4a03</errorID>
      <errorWord>送达至</errorWord>
      <group>L1_Word</group>
      <groupName>字词问题</groupName>
      <ability>L2_Typo</ability>
      <abilityName>字词错误</abilityName>
      <candidateList>
        <item>送达</item>
      </candidateList>
      <explain/>
      <paraID>74372B99</paraID>
      <start>22</start>
      <end>25</end>
      <status>unmodified</status>
      <modifiedWord/>
      <trackRevisions>false</trackRevisions>
    </reviewItem>
    <reviewItem>
      <errorID>3a7f39c1-86af-4395-b835-474f606506a5</errorID>
      <errorWord>古树名木的保护</errorWord>
      <group>L1_Political</group>
      <groupName>政治性问题</groupName>
      <ability>L2_Keyword</ability>
      <abilityName>固定表述</abilityName>
      <candidateList>
        <item>古树名木保护</item>
      </candidateList>
      <explain>词汇“古树名木保护”在特定场景下为固定表述形式，请确认此处的“古树名木的保护”是否存在不当。</explain>
      <paraID>6BAD1647</paraID>
      <start>28</start>
      <end>35</end>
      <status>unmodified</status>
      <modifiedWord/>
      <trackRevisions>false</trackRevisions>
    </reviewItem>
    <reviewItem>
      <errorID>e2bb7cf1-62af-42ca-b109-eb1e3baf5f90</errorID>
      <errorWord>噪音</errorWord>
      <group>L1_Word</group>
      <groupName>字词问题</groupName>
      <ability>L2_Alias</ability>
      <abilityName>也作/曾用词</abilityName>
      <candidateList>
        <item>噪声</item>
      </candidateList>
      <explain>词汇[噪音]为不规范表述或旧称，其规范书面表述为[噪声]。</explain>
      <paraID>12939283</paraID>
      <start>69</start>
      <end>71</end>
      <status>unmodified</status>
      <modifiedWord/>
      <trackRevisions>false</trackRevisions>
    </reviewItem>
    <reviewItem>
      <errorID>eae6de59-0481-4597-a0d8-dbbc9d6f1027</errorID>
      <errorWord>运入</errorWord>
      <group>L1_Word</group>
      <groupName>字词问题</groupName>
      <ability>L2_Typo</ability>
      <abilityName>字词错误</abilityName>
      <candidateList>
        <item>进入</item>
      </candidateList>
      <explain>〈动〉支进到某个范围或某个时期里：～学校｜～新阶段◇～角色。</explain>
      <paraID> 40940D9</paraID>
      <start>3</start>
      <end>5</end>
      <status>unmodified</status>
      <modifiedWord/>
      <trackRevisions>false</trackRevisions>
    </reviewItem>
    <reviewItem>
      <errorID>d8828ac9-9769-4f2d-824c-81210d00d9cf</errorID>
      <errorWord>）</errorWord>
      <group>L1_Word</group>
      <groupName>字词问题</groupName>
      <ability>L2_Typo</ability>
      <abilityName>字词错误</abilityName>
      <candidateList>
        <item>）项</item>
      </candidateList>
      <explain/>
      <paraID> 64F33FC</paraID>
      <start>44</start>
      <end>45</end>
      <status>unmodified</status>
      <modifiedWord/>
      <trackRevisions>false</trackRevisions>
    </reviewItem>
    <reviewItem>
      <errorID>eae4020f-c5f0-47ee-972b-625bce535071</errorID>
      <errorWord>其它</errorWord>
      <group>L1_Word</group>
      <groupName>字词问题</groupName>
      <ability>L2_Alias</ability>
      <abilityName>也作/曾用词</abilityName>
      <candidateList>
        <item>其他</item>
      </candidateList>
      <explain>词汇[其它]为不规范表述或旧称，其规范书面表述为[其他]。</explain>
      <paraID>2AFEA7CB</paraID>
      <start>1</start>
      <end>3</end>
      <status>unmodified</status>
      <modifiedWord/>
      <trackRevisions>false</trackRevisions>
    </reviewItem>
    <reviewItem>
      <errorID>806ab4b9-6026-49aa-9e73-a0fd8f588d09</errorID>
      <errorWord>：/。</errorWord>
      <group>L1_Punc</group>
      <groupName>标点问题</groupName>
      <ability>L2_Punc</ability>
      <abilityName>标点符号检查</abilityName>
      <candidateList>
        <item>：</item>
      </candidateList>
      <explain/>
      <paraID> A9DEF93</paraID>
      <start>10</start>
      <end>13</end>
      <status>unmodified</status>
      <modifiedWord/>
      <trackRevisions>false</trackRevisions>
    </reviewItem>
    <reviewItem>
      <errorID>6f7032cf-904b-4467-b98c-08ff7bb73abb</errorID>
      <errorWord>：/。</errorWord>
      <group>L1_Punc</group>
      <groupName>标点问题</groupName>
      <ability>L2_Punc</ability>
      <abilityName>标点符号检查</abilityName>
      <candidateList>
        <item>：</item>
      </candidateList>
      <explain/>
      <paraID>67FC9658</paraID>
      <start>7</start>
      <end>10</end>
      <status>unmodified</status>
      <modifiedWord/>
      <trackRevisions>false</trackRevisions>
    </reviewItem>
    <reviewItem>
      <errorID>c151f45c-6b0c-4af6-97f0-650041947ab1</errorID>
      <errorWord>：/。</errorWord>
      <group>L1_Punc</group>
      <groupName>标点问题</groupName>
      <ability>L2_Punc</ability>
      <abilityName>标点符号检查</abilityName>
      <candidateList>
        <item>：</item>
      </candidateList>
      <explain/>
      <paraID>602093CB</paraID>
      <start>8</start>
      <end>11</end>
      <status>unmodified</status>
      <modifiedWord/>
      <trackRevisions>false</trackRevisions>
    </reviewItem>
    <reviewItem>
      <errorID>f1c99680-b39e-4a74-a2ce-20c58220a758</errorID>
      <errorWord>：/；</errorWord>
      <group>L1_Punc</group>
      <groupName>标点问题</groupName>
      <ability>L2_Punc</ability>
      <abilityName>标点符号检查</abilityName>
      <candidateList>
        <item>：</item>
      </candidateList>
      <explain/>
      <paraID>7ABB02E2</paraID>
      <start>16</start>
      <end>19</end>
      <status>unmodified</status>
      <modifiedWord/>
      <trackRevisions>false</trackRevisions>
    </reviewItem>
    <reviewItem>
      <errorID>bd3e3a8c-fcfd-4571-b5d9-4e88bfcf4584</errorID>
      <errorWord>:/。</errorWord>
      <group>L1_Punc</group>
      <groupName>标点问题</groupName>
      <ability>L2_Punc</ability>
      <abilityName>标点符号检查</abilityName>
      <candidateList>
        <item>:</item>
      </candidateList>
      <explain/>
      <paraID>59848F8D</paraID>
      <start>7</start>
      <end>10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870a80-530e-4816-93d6-0ec3aa262dd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150</Pages>
  <Words>17834</Words>
  <Characters>19153</Characters>
  <Lines>861</Lines>
  <Paragraphs>242</Paragraphs>
  <TotalTime>14</TotalTime>
  <ScaleCrop>false</ScaleCrop>
  <LinksUpToDate>false</LinksUpToDate>
  <CharactersWithSpaces>19234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2023-01-02T18:53:00Z</dcterms:created>
  <dc:creator>Administrator</dc:creator>
  <cp:lastModifiedBy>用户</cp:lastModifiedBy>
  <cp:lastPrinted>2026-04-21T07:41:00Z</cp:lastPrinted>
  <dcterms:modified xsi:type="dcterms:W3CDTF">2026-04-21T09:05:26Z</dcterms:modified>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85313A2820C640CAA3B4A8F95A4B0D20_13</vt:lpwstr>
  </property>
  <property fmtid="{D5CDD505-2E9C-101B-9397-08002B2CF9AE}" pid="4" name="KSOTemplateDocerSaveRecord">
    <vt:lpwstr>eyJoZGlkIjoiNjYxNGMxOWE1NmJmNjE2NWUxMWZiOTdlYWFjMjI2YjIiLCJ1c2VySWQiOiIyNDA5MzM3NzAifQ==</vt:lpwstr>
  </property>
</Properties>
</file>